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7BC6DD">
      <w:pPr>
        <w:tabs>
          <w:tab w:val="left" w:pos="2520"/>
        </w:tabs>
        <w:ind w:firstLine="260" w:firstLineChars="50"/>
        <w:rPr>
          <w:rFonts w:hint="eastAsia" w:ascii="宋体" w:hAnsi="宋体"/>
          <w:color w:val="auto"/>
          <w:sz w:val="52"/>
        </w:rPr>
      </w:pPr>
      <w:r>
        <w:rPr>
          <w:rFonts w:hint="eastAsia" w:ascii="宋体" w:hAnsi="宋体"/>
          <w:color w:val="auto"/>
          <w:sz w:val="52"/>
        </w:rPr>
        <w:t>国有建设用地使用权</w:t>
      </w:r>
    </w:p>
    <w:p w14:paraId="5BEFE6CF">
      <w:pPr>
        <w:rPr>
          <w:rFonts w:hint="eastAsia" w:ascii="宋体" w:hAnsi="宋体"/>
          <w:color w:val="auto"/>
          <w:sz w:val="52"/>
        </w:rPr>
      </w:pPr>
    </w:p>
    <w:p w14:paraId="473C80AB">
      <w:pPr>
        <w:jc w:val="center"/>
        <w:rPr>
          <w:rFonts w:hint="eastAsia" w:ascii="宋体" w:hAnsi="宋体"/>
          <w:color w:val="auto"/>
          <w:sz w:val="84"/>
        </w:rPr>
      </w:pPr>
      <w:r>
        <w:rPr>
          <w:rFonts w:hint="eastAsia" w:ascii="宋体" w:hAnsi="宋体"/>
          <w:color w:val="auto"/>
          <w:sz w:val="84"/>
        </w:rPr>
        <w:t xml:space="preserve"> 挂牌出让文件</w:t>
      </w:r>
    </w:p>
    <w:p w14:paraId="48BE3845">
      <w:pPr>
        <w:jc w:val="right"/>
        <w:rPr>
          <w:rFonts w:hint="eastAsia" w:ascii="宋体" w:hAnsi="宋体"/>
          <w:color w:val="auto"/>
          <w:sz w:val="52"/>
        </w:rPr>
      </w:pPr>
    </w:p>
    <w:p w14:paraId="16F1868E">
      <w:pPr>
        <w:jc w:val="center"/>
        <w:rPr>
          <w:rFonts w:hint="eastAsia" w:ascii="宋体" w:hAnsi="宋体" w:eastAsia="宋体"/>
          <w:color w:val="auto"/>
          <w:sz w:val="32"/>
          <w:lang w:eastAsia="zh-CN"/>
        </w:rPr>
      </w:pPr>
      <w:r>
        <w:rPr>
          <w:rFonts w:hint="eastAsia" w:ascii="宋体" w:hAnsi="宋体"/>
          <w:color w:val="auto"/>
          <w:sz w:val="32"/>
        </w:rPr>
        <w:t xml:space="preserve">                         </w:t>
      </w:r>
      <w:r>
        <w:rPr>
          <w:rFonts w:hint="eastAsia" w:ascii="宋体" w:hAnsi="宋体"/>
          <w:color w:val="auto"/>
          <w:sz w:val="32"/>
          <w:lang w:eastAsia="zh-CN"/>
        </w:rPr>
        <w:t>郑港出〔2025〕120号</w:t>
      </w:r>
    </w:p>
    <w:p w14:paraId="65FAAD69">
      <w:pPr>
        <w:jc w:val="right"/>
        <w:rPr>
          <w:rFonts w:hint="eastAsia" w:ascii="宋体" w:hAnsi="宋体"/>
          <w:color w:val="auto"/>
          <w:sz w:val="32"/>
        </w:rPr>
      </w:pPr>
    </w:p>
    <w:p w14:paraId="5FB2A953">
      <w:pPr>
        <w:ind w:right="640"/>
        <w:rPr>
          <w:rFonts w:hint="eastAsia" w:ascii="宋体" w:hAnsi="宋体"/>
          <w:color w:val="auto"/>
          <w:sz w:val="32"/>
        </w:rPr>
      </w:pPr>
    </w:p>
    <w:p w14:paraId="6D9B61E8">
      <w:pPr>
        <w:ind w:right="640"/>
        <w:rPr>
          <w:rFonts w:hint="eastAsia" w:ascii="宋体" w:hAnsi="宋体"/>
          <w:color w:val="auto"/>
          <w:sz w:val="32"/>
        </w:rPr>
      </w:pPr>
    </w:p>
    <w:p w14:paraId="7262CBDF">
      <w:pPr>
        <w:ind w:right="640"/>
        <w:rPr>
          <w:rFonts w:hint="eastAsia" w:ascii="宋体" w:hAnsi="宋体"/>
          <w:color w:val="auto"/>
          <w:sz w:val="32"/>
        </w:rPr>
      </w:pPr>
    </w:p>
    <w:p w14:paraId="4A405EBA">
      <w:pPr>
        <w:ind w:right="640"/>
        <w:rPr>
          <w:rFonts w:hint="eastAsia" w:ascii="宋体" w:hAnsi="宋体"/>
          <w:color w:val="auto"/>
          <w:sz w:val="32"/>
        </w:rPr>
      </w:pPr>
    </w:p>
    <w:p w14:paraId="4D773D3B">
      <w:pPr>
        <w:ind w:right="640"/>
        <w:rPr>
          <w:rFonts w:hint="eastAsia" w:ascii="宋体" w:hAnsi="宋体"/>
          <w:color w:val="auto"/>
          <w:sz w:val="32"/>
        </w:rPr>
      </w:pPr>
    </w:p>
    <w:p w14:paraId="5D29C207">
      <w:pPr>
        <w:ind w:right="640"/>
        <w:rPr>
          <w:rFonts w:hint="eastAsia" w:ascii="宋体" w:hAnsi="宋体"/>
          <w:color w:val="auto"/>
          <w:sz w:val="32"/>
        </w:rPr>
      </w:pPr>
    </w:p>
    <w:p w14:paraId="18AC27F2">
      <w:pPr>
        <w:ind w:right="640"/>
        <w:rPr>
          <w:rFonts w:hint="eastAsia" w:ascii="宋体" w:hAnsi="宋体"/>
          <w:color w:val="auto"/>
          <w:sz w:val="32"/>
        </w:rPr>
      </w:pPr>
    </w:p>
    <w:p w14:paraId="5BF02911">
      <w:pPr>
        <w:pStyle w:val="3"/>
        <w:rPr>
          <w:rFonts w:hint="eastAsia"/>
        </w:rPr>
      </w:pPr>
    </w:p>
    <w:p w14:paraId="379AB756">
      <w:pPr>
        <w:ind w:right="640"/>
        <w:rPr>
          <w:rFonts w:hint="eastAsia" w:ascii="宋体" w:hAnsi="宋体"/>
          <w:color w:val="auto"/>
          <w:sz w:val="32"/>
        </w:rPr>
      </w:pPr>
    </w:p>
    <w:p w14:paraId="48670717">
      <w:pPr>
        <w:widowControl/>
        <w:snapToGrid w:val="0"/>
        <w:spacing w:line="240" w:lineRule="atLeast"/>
        <w:jc w:val="both"/>
        <w:rPr>
          <w:rFonts w:hint="eastAsia" w:ascii="宋体" w:hAnsi="宋体"/>
          <w:bCs/>
          <w:color w:val="auto"/>
          <w:w w:val="95"/>
          <w:sz w:val="44"/>
          <w:szCs w:val="44"/>
        </w:rPr>
      </w:pPr>
    </w:p>
    <w:p w14:paraId="30762786">
      <w:pPr>
        <w:widowControl/>
        <w:snapToGrid w:val="0"/>
        <w:spacing w:line="240" w:lineRule="atLeast"/>
        <w:jc w:val="center"/>
        <w:rPr>
          <w:rFonts w:hint="eastAsia" w:ascii="宋体" w:hAnsi="宋体" w:eastAsia="宋体" w:cs="宋体"/>
          <w:bCs/>
          <w:color w:val="auto"/>
          <w:w w:val="95"/>
          <w:sz w:val="30"/>
          <w:szCs w:val="30"/>
        </w:rPr>
      </w:pPr>
    </w:p>
    <w:p w14:paraId="6825A6D9">
      <w:pPr>
        <w:jc w:val="center"/>
        <w:rPr>
          <w:rFonts w:hint="eastAsia" w:ascii="宋体" w:hAnsi="宋体" w:eastAsia="宋体" w:cs="宋体"/>
          <w:bCs/>
          <w:color w:val="auto"/>
          <w:w w:val="95"/>
          <w:sz w:val="30"/>
          <w:szCs w:val="30"/>
          <w:lang w:eastAsia="zh-CN"/>
        </w:rPr>
      </w:pPr>
      <w:r>
        <w:rPr>
          <w:rFonts w:hint="eastAsia" w:ascii="宋体" w:hAnsi="宋体" w:eastAsia="宋体" w:cs="宋体"/>
          <w:bCs/>
          <w:color w:val="auto"/>
          <w:w w:val="95"/>
          <w:sz w:val="30"/>
          <w:szCs w:val="30"/>
          <w:lang w:eastAsia="zh-CN"/>
        </w:rPr>
        <w:t>郑州航空港经济综合实验区自然资源和规划局</w:t>
      </w:r>
    </w:p>
    <w:p w14:paraId="12D4188B">
      <w:pPr>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二○二</w:t>
      </w:r>
      <w:r>
        <w:rPr>
          <w:rFonts w:hint="eastAsia" w:ascii="仿宋" w:hAnsi="仿宋" w:eastAsia="仿宋" w:cs="仿宋"/>
          <w:color w:val="auto"/>
          <w:sz w:val="30"/>
          <w:szCs w:val="30"/>
          <w:highlight w:val="none"/>
          <w:lang w:val="en-US" w:eastAsia="zh-CN"/>
        </w:rPr>
        <w:t>五</w:t>
      </w:r>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eastAsia="zh-CN"/>
        </w:rPr>
        <w:t>八月</w:t>
      </w:r>
    </w:p>
    <w:p w14:paraId="6922CAFC">
      <w:pPr>
        <w:pStyle w:val="3"/>
        <w:rPr>
          <w:rFonts w:hint="eastAsia"/>
        </w:rPr>
        <w:sectPr>
          <w:footerReference r:id="rId3" w:type="default"/>
          <w:pgSz w:w="11906" w:h="16838"/>
          <w:pgMar w:top="1440" w:right="1800" w:bottom="1440" w:left="1800" w:header="851" w:footer="992" w:gutter="0"/>
          <w:pgNumType w:fmt="decimal" w:start="0"/>
          <w:cols w:space="720" w:num="1"/>
          <w:docGrid w:type="lines" w:linePitch="312" w:charSpace="0"/>
        </w:sectPr>
      </w:pPr>
    </w:p>
    <w:p w14:paraId="2857881A">
      <w:pPr>
        <w:rPr>
          <w:rFonts w:hint="eastAsia"/>
        </w:rPr>
      </w:pPr>
    </w:p>
    <w:p w14:paraId="78703C7F">
      <w:pPr>
        <w:jc w:val="center"/>
        <w:rPr>
          <w:rFonts w:ascii="宋体" w:hAnsi="宋体"/>
          <w:b/>
          <w:color w:val="auto"/>
          <w:sz w:val="44"/>
        </w:rPr>
      </w:pPr>
      <w:r>
        <w:rPr>
          <w:rFonts w:hint="eastAsia" w:ascii="宋体" w:hAnsi="宋体"/>
          <w:b/>
          <w:color w:val="auto"/>
          <w:sz w:val="44"/>
        </w:rPr>
        <w:t>本挂牌出让文件包括下列资料</w:t>
      </w:r>
    </w:p>
    <w:p w14:paraId="0F9DE83E">
      <w:pPr>
        <w:jc w:val="left"/>
        <w:rPr>
          <w:rFonts w:ascii="宋体" w:hAnsi="宋体"/>
          <w:color w:val="auto"/>
          <w:sz w:val="44"/>
        </w:rPr>
      </w:pPr>
    </w:p>
    <w:p w14:paraId="5D9E5405">
      <w:pPr>
        <w:autoSpaceDE w:val="0"/>
        <w:autoSpaceDN w:val="0"/>
        <w:adjustRightInd w:val="0"/>
        <w:ind w:right="159"/>
        <w:jc w:val="left"/>
        <w:rPr>
          <w:rFonts w:hint="eastAsia" w:ascii="仿宋" w:hAnsi="仿宋" w:eastAsia="仿宋" w:cs="仿宋"/>
          <w:color w:val="auto"/>
          <w:kern w:val="0"/>
          <w:sz w:val="32"/>
          <w:szCs w:val="15"/>
        </w:rPr>
      </w:pPr>
      <w:r>
        <w:rPr>
          <w:rFonts w:hint="eastAsia" w:ascii="仿宋" w:hAnsi="仿宋" w:eastAsia="仿宋" w:cs="仿宋"/>
          <w:color w:val="auto"/>
          <w:sz w:val="32"/>
        </w:rPr>
        <w:t>一、国有建设用地使用权</w:t>
      </w:r>
      <w:r>
        <w:rPr>
          <w:rFonts w:hint="eastAsia" w:ascii="仿宋" w:hAnsi="仿宋" w:eastAsia="仿宋" w:cs="仿宋"/>
          <w:color w:val="auto"/>
          <w:kern w:val="0"/>
          <w:sz w:val="32"/>
          <w:szCs w:val="15"/>
        </w:rPr>
        <w:t>挂牌出让公告 …………………2</w:t>
      </w:r>
    </w:p>
    <w:p w14:paraId="121F0FE6">
      <w:pPr>
        <w:rPr>
          <w:rFonts w:hint="eastAsia" w:ascii="仿宋" w:hAnsi="仿宋" w:eastAsia="仿宋" w:cs="仿宋"/>
          <w:bCs/>
          <w:color w:val="auto"/>
          <w:kern w:val="0"/>
          <w:sz w:val="32"/>
          <w:szCs w:val="32"/>
          <w:lang w:val="en-US" w:eastAsia="zh-CN"/>
        </w:rPr>
      </w:pPr>
      <w:r>
        <w:rPr>
          <w:rFonts w:hint="eastAsia" w:ascii="仿宋" w:hAnsi="仿宋" w:eastAsia="仿宋" w:cs="仿宋"/>
          <w:color w:val="auto"/>
          <w:kern w:val="0"/>
          <w:sz w:val="32"/>
          <w:szCs w:val="32"/>
        </w:rPr>
        <w:t>二、</w:t>
      </w:r>
      <w:r>
        <w:rPr>
          <w:rFonts w:hint="eastAsia" w:ascii="仿宋" w:hAnsi="仿宋" w:eastAsia="仿宋" w:cs="仿宋"/>
          <w:color w:val="auto"/>
          <w:kern w:val="0"/>
          <w:sz w:val="32"/>
          <w:szCs w:val="15"/>
        </w:rPr>
        <w:t>国有建设用地使用权挂牌出让须知 …………………</w:t>
      </w:r>
      <w:r>
        <w:rPr>
          <w:rFonts w:hint="eastAsia" w:ascii="仿宋" w:hAnsi="仿宋" w:eastAsia="仿宋" w:cs="仿宋"/>
          <w:color w:val="auto"/>
          <w:kern w:val="0"/>
          <w:sz w:val="32"/>
          <w:szCs w:val="15"/>
          <w:lang w:val="en-US" w:eastAsia="zh-CN"/>
        </w:rPr>
        <w:t>5</w:t>
      </w:r>
    </w:p>
    <w:p w14:paraId="49AAC55F">
      <w:pPr>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 xml:space="preserve">三、竞买申请书 ………………………………………… </w:t>
      </w:r>
      <w:r>
        <w:rPr>
          <w:rFonts w:hint="eastAsia" w:ascii="仿宋" w:hAnsi="仿宋" w:eastAsia="仿宋" w:cs="仿宋"/>
          <w:color w:val="auto"/>
          <w:kern w:val="0"/>
          <w:sz w:val="32"/>
          <w:szCs w:val="15"/>
          <w:lang w:val="en-US" w:eastAsia="zh-CN"/>
        </w:rPr>
        <w:t>16</w:t>
      </w:r>
    </w:p>
    <w:p w14:paraId="3B702888">
      <w:pPr>
        <w:autoSpaceDE w:val="0"/>
        <w:autoSpaceDN w:val="0"/>
        <w:adjustRightInd w:val="0"/>
        <w:ind w:right="159"/>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 xml:space="preserve">四、法人代表身份证明书 ……………………………… </w:t>
      </w:r>
      <w:r>
        <w:rPr>
          <w:rFonts w:hint="eastAsia" w:ascii="仿宋" w:hAnsi="仿宋" w:eastAsia="仿宋" w:cs="仿宋"/>
          <w:color w:val="auto"/>
          <w:kern w:val="0"/>
          <w:sz w:val="32"/>
          <w:szCs w:val="15"/>
          <w:lang w:val="en-US" w:eastAsia="zh-CN"/>
        </w:rPr>
        <w:t>17</w:t>
      </w:r>
    </w:p>
    <w:p w14:paraId="1FADBFE6">
      <w:pPr>
        <w:keepNext w:val="0"/>
        <w:keepLines w:val="0"/>
        <w:widowControl/>
        <w:suppressLineNumbers w:val="0"/>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 xml:space="preserve">五、授权委托书 ………………………………………… </w:t>
      </w:r>
      <w:r>
        <w:rPr>
          <w:rFonts w:hint="eastAsia" w:ascii="仿宋" w:hAnsi="仿宋" w:eastAsia="仿宋" w:cs="仿宋"/>
          <w:color w:val="auto"/>
          <w:kern w:val="0"/>
          <w:sz w:val="32"/>
          <w:szCs w:val="15"/>
          <w:lang w:val="en-US" w:eastAsia="zh-CN"/>
        </w:rPr>
        <w:t>18</w:t>
      </w:r>
    </w:p>
    <w:p w14:paraId="7F516AA5">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六、</w:t>
      </w:r>
      <w:r>
        <w:rPr>
          <w:rFonts w:hint="eastAsia" w:ascii="仿宋" w:hAnsi="仿宋" w:eastAsia="仿宋" w:cs="仿宋"/>
          <w:color w:val="auto"/>
          <w:sz w:val="32"/>
          <w:szCs w:val="32"/>
          <w:lang w:val="en-GB"/>
        </w:rPr>
        <w:t xml:space="preserve">竞得土地后成立新公司进行开发的申请 </w:t>
      </w:r>
      <w:r>
        <w:rPr>
          <w:rFonts w:hint="eastAsia" w:ascii="仿宋" w:hAnsi="仿宋" w:eastAsia="仿宋" w:cs="仿宋"/>
          <w:color w:val="auto"/>
          <w:kern w:val="0"/>
          <w:sz w:val="32"/>
          <w:szCs w:val="15"/>
        </w:rPr>
        <w:t>………… 2</w:t>
      </w:r>
      <w:r>
        <w:rPr>
          <w:rFonts w:hint="eastAsia" w:ascii="仿宋" w:hAnsi="仿宋" w:eastAsia="仿宋" w:cs="仿宋"/>
          <w:color w:val="auto"/>
          <w:kern w:val="0"/>
          <w:sz w:val="32"/>
          <w:szCs w:val="15"/>
          <w:lang w:val="en-US" w:eastAsia="zh-CN"/>
        </w:rPr>
        <w:t>0</w:t>
      </w:r>
    </w:p>
    <w:p w14:paraId="0905FB1F">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七、</w:t>
      </w:r>
      <w:r>
        <w:rPr>
          <w:rFonts w:hint="eastAsia" w:ascii="仿宋" w:hAnsi="仿宋" w:eastAsia="仿宋" w:cs="仿宋"/>
          <w:color w:val="auto"/>
          <w:sz w:val="32"/>
        </w:rPr>
        <w:t xml:space="preserve">竞买资格确认书 </w:t>
      </w:r>
      <w:r>
        <w:rPr>
          <w:rFonts w:hint="eastAsia" w:ascii="仿宋" w:hAnsi="仿宋" w:eastAsia="仿宋" w:cs="仿宋"/>
          <w:color w:val="auto"/>
          <w:kern w:val="0"/>
          <w:sz w:val="32"/>
          <w:szCs w:val="15"/>
        </w:rPr>
        <w:t>…………………………………… 2</w:t>
      </w:r>
      <w:r>
        <w:rPr>
          <w:rFonts w:hint="eastAsia" w:ascii="仿宋" w:hAnsi="仿宋" w:eastAsia="仿宋" w:cs="仿宋"/>
          <w:color w:val="auto"/>
          <w:kern w:val="0"/>
          <w:sz w:val="32"/>
          <w:szCs w:val="15"/>
          <w:lang w:val="en-US" w:eastAsia="zh-CN"/>
        </w:rPr>
        <w:t>1</w:t>
      </w:r>
    </w:p>
    <w:p w14:paraId="40F4C6C2">
      <w:pPr>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八、国有建设用地使用权挂牌出让竞买报价单 ……… 2</w:t>
      </w:r>
      <w:r>
        <w:rPr>
          <w:rFonts w:hint="eastAsia" w:ascii="仿宋" w:hAnsi="仿宋" w:eastAsia="仿宋" w:cs="仿宋"/>
          <w:color w:val="auto"/>
          <w:kern w:val="0"/>
          <w:sz w:val="32"/>
          <w:szCs w:val="15"/>
          <w:lang w:val="en-US" w:eastAsia="zh-CN"/>
        </w:rPr>
        <w:t>2</w:t>
      </w:r>
    </w:p>
    <w:p w14:paraId="55ADE531">
      <w:pPr>
        <w:rPr>
          <w:rFonts w:hint="default" w:ascii="仿宋" w:hAnsi="仿宋" w:eastAsia="仿宋" w:cs="仿宋"/>
          <w:color w:val="auto"/>
          <w:sz w:val="32"/>
          <w:szCs w:val="32"/>
          <w:lang w:val="en-US" w:eastAsia="zh-CN"/>
        </w:rPr>
      </w:pPr>
      <w:r>
        <w:rPr>
          <w:rFonts w:hint="eastAsia" w:ascii="仿宋" w:hAnsi="仿宋" w:eastAsia="仿宋" w:cs="仿宋"/>
          <w:color w:val="auto"/>
          <w:kern w:val="0"/>
          <w:sz w:val="32"/>
          <w:szCs w:val="15"/>
        </w:rPr>
        <w:t xml:space="preserve">九、成交确认书 ………………………………………… </w:t>
      </w:r>
      <w:r>
        <w:rPr>
          <w:rFonts w:hint="eastAsia" w:ascii="仿宋" w:hAnsi="仿宋" w:eastAsia="仿宋" w:cs="仿宋"/>
          <w:color w:val="auto"/>
          <w:kern w:val="0"/>
          <w:sz w:val="32"/>
          <w:szCs w:val="15"/>
          <w:lang w:val="en-US" w:eastAsia="zh-CN"/>
        </w:rPr>
        <w:t>23</w:t>
      </w:r>
    </w:p>
    <w:p w14:paraId="64FC47B4">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十、国有</w:t>
      </w:r>
      <w:r>
        <w:rPr>
          <w:rFonts w:hint="eastAsia" w:ascii="仿宋" w:hAnsi="仿宋" w:eastAsia="仿宋" w:cs="仿宋"/>
          <w:color w:val="auto"/>
          <w:sz w:val="32"/>
          <w:szCs w:val="32"/>
        </w:rPr>
        <w:t>建设用地</w:t>
      </w:r>
      <w:r>
        <w:rPr>
          <w:rFonts w:hint="eastAsia" w:ascii="仿宋" w:hAnsi="仿宋" w:eastAsia="仿宋" w:cs="仿宋"/>
          <w:color w:val="auto"/>
          <w:kern w:val="0"/>
          <w:sz w:val="32"/>
          <w:szCs w:val="15"/>
        </w:rPr>
        <w:t>使用权出让合同 …………………… 2</w:t>
      </w:r>
      <w:r>
        <w:rPr>
          <w:rFonts w:hint="eastAsia" w:ascii="仿宋" w:hAnsi="仿宋" w:eastAsia="仿宋" w:cs="仿宋"/>
          <w:color w:val="auto"/>
          <w:kern w:val="0"/>
          <w:sz w:val="32"/>
          <w:szCs w:val="15"/>
          <w:lang w:val="en-US" w:eastAsia="zh-CN"/>
        </w:rPr>
        <w:t>4</w:t>
      </w:r>
    </w:p>
    <w:p w14:paraId="561A2209">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 xml:space="preserve">十一、平面界址图 ……………………………………… </w:t>
      </w:r>
      <w:r>
        <w:rPr>
          <w:rFonts w:hint="eastAsia" w:ascii="仿宋" w:hAnsi="仿宋" w:eastAsia="仿宋" w:cs="仿宋"/>
          <w:color w:val="auto"/>
          <w:kern w:val="0"/>
          <w:sz w:val="32"/>
          <w:szCs w:val="15"/>
          <w:lang w:val="en-US" w:eastAsia="zh-CN"/>
        </w:rPr>
        <w:t>38</w:t>
      </w:r>
    </w:p>
    <w:p w14:paraId="63BEBAF3">
      <w:pPr>
        <w:autoSpaceDE w:val="0"/>
        <w:autoSpaceDN w:val="0"/>
        <w:adjustRightInd w:val="0"/>
        <w:ind w:right="159"/>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十</w:t>
      </w:r>
      <w:r>
        <w:rPr>
          <w:rFonts w:hint="eastAsia" w:ascii="仿宋" w:hAnsi="仿宋" w:eastAsia="仿宋" w:cs="仿宋"/>
          <w:color w:val="auto"/>
          <w:kern w:val="0"/>
          <w:sz w:val="32"/>
          <w:szCs w:val="15"/>
          <w:lang w:eastAsia="zh-CN"/>
        </w:rPr>
        <w:t>二</w:t>
      </w:r>
      <w:r>
        <w:rPr>
          <w:rFonts w:hint="eastAsia" w:ascii="仿宋" w:hAnsi="仿宋" w:eastAsia="仿宋" w:cs="仿宋"/>
          <w:color w:val="auto"/>
          <w:kern w:val="0"/>
          <w:sz w:val="32"/>
          <w:szCs w:val="15"/>
        </w:rPr>
        <w:t xml:space="preserve">、建设用地规划设计条件通知书 ………………… </w:t>
      </w:r>
      <w:r>
        <w:rPr>
          <w:rFonts w:hint="eastAsia" w:ascii="仿宋" w:hAnsi="仿宋" w:eastAsia="仿宋" w:cs="仿宋"/>
          <w:color w:val="auto"/>
          <w:kern w:val="0"/>
          <w:sz w:val="32"/>
          <w:szCs w:val="15"/>
          <w:lang w:val="en-US" w:eastAsia="zh-CN"/>
        </w:rPr>
        <w:t>39</w:t>
      </w:r>
    </w:p>
    <w:p w14:paraId="4AB41C89">
      <w:pPr>
        <w:autoSpaceDE w:val="0"/>
        <w:autoSpaceDN w:val="0"/>
        <w:adjustRightInd w:val="0"/>
        <w:ind w:right="159"/>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十</w:t>
      </w:r>
      <w:r>
        <w:rPr>
          <w:rFonts w:hint="eastAsia" w:ascii="仿宋" w:hAnsi="仿宋" w:eastAsia="仿宋" w:cs="仿宋"/>
          <w:color w:val="auto"/>
          <w:kern w:val="0"/>
          <w:sz w:val="32"/>
          <w:szCs w:val="15"/>
          <w:lang w:eastAsia="zh-CN"/>
        </w:rPr>
        <w:t>三</w:t>
      </w:r>
      <w:r>
        <w:rPr>
          <w:rFonts w:hint="eastAsia" w:ascii="仿宋" w:hAnsi="仿宋" w:eastAsia="仿宋" w:cs="仿宋"/>
          <w:color w:val="auto"/>
          <w:kern w:val="0"/>
          <w:sz w:val="32"/>
          <w:szCs w:val="15"/>
        </w:rPr>
        <w:t>、建设项目环保用地条件</w:t>
      </w:r>
      <w:r>
        <w:rPr>
          <w:rFonts w:hint="eastAsia" w:ascii="仿宋" w:hAnsi="仿宋" w:eastAsia="仿宋" w:cs="仿宋"/>
          <w:color w:val="auto"/>
          <w:kern w:val="0"/>
          <w:sz w:val="32"/>
          <w:szCs w:val="15"/>
          <w:lang w:val="en-US" w:eastAsia="zh-CN"/>
        </w:rPr>
        <w:t xml:space="preserve"> </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rPr>
        <w:t xml:space="preserve"> 41</w:t>
      </w:r>
    </w:p>
    <w:p w14:paraId="6DF7C60F">
      <w:pPr>
        <w:autoSpaceDE w:val="0"/>
        <w:autoSpaceDN w:val="0"/>
        <w:adjustRightInd w:val="0"/>
        <w:ind w:right="159"/>
        <w:jc w:val="left"/>
        <w:rPr>
          <w:rFonts w:hint="default" w:ascii="仿宋" w:hAnsi="仿宋" w:eastAsia="仿宋" w:cs="仿宋"/>
          <w:color w:val="auto"/>
          <w:kern w:val="0"/>
          <w:sz w:val="32"/>
          <w:szCs w:val="15"/>
          <w:lang w:val="en-US" w:eastAsia="zh-CN"/>
        </w:rPr>
      </w:pPr>
      <w:r>
        <w:rPr>
          <w:rFonts w:hint="eastAsia" w:ascii="仿宋" w:hAnsi="仿宋" w:eastAsia="仿宋" w:cs="仿宋"/>
          <w:color w:val="auto"/>
          <w:kern w:val="0"/>
          <w:sz w:val="32"/>
          <w:szCs w:val="15"/>
        </w:rPr>
        <w:t>十</w:t>
      </w:r>
      <w:r>
        <w:rPr>
          <w:rFonts w:hint="eastAsia" w:ascii="仿宋" w:hAnsi="仿宋" w:eastAsia="仿宋" w:cs="仿宋"/>
          <w:color w:val="auto"/>
          <w:kern w:val="0"/>
          <w:sz w:val="32"/>
          <w:szCs w:val="15"/>
          <w:lang w:eastAsia="zh-CN"/>
        </w:rPr>
        <w:t>四</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bidi="ar-SA"/>
        </w:rPr>
        <w:t xml:space="preserve">防空地下室设计条件通知书 </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rPr>
        <w:t xml:space="preserve"> 43</w:t>
      </w:r>
    </w:p>
    <w:p w14:paraId="464AA710">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lang w:val="en-US" w:eastAsia="zh-CN" w:bidi="ar-SA"/>
        </w:rPr>
        <w:t>十五、配建装配式建筑条件 …</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rPr>
        <w:t xml:space="preserve"> 45</w:t>
      </w:r>
    </w:p>
    <w:p w14:paraId="64B4DC6F">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lang w:val="en-US" w:eastAsia="zh-CN" w:bidi="ar-SA"/>
        </w:rPr>
        <w:t>十六、产业准入意见 …</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rPr>
        <w:t xml:space="preserve"> 46</w:t>
      </w:r>
    </w:p>
    <w:p w14:paraId="25874240">
      <w:pPr>
        <w:autoSpaceDE w:val="0"/>
        <w:autoSpaceDN w:val="0"/>
        <w:adjustRightInd w:val="0"/>
        <w:ind w:right="159"/>
        <w:jc w:val="left"/>
        <w:rPr>
          <w:rFonts w:hint="eastAsia" w:ascii="仿宋" w:hAnsi="仿宋" w:eastAsia="仿宋" w:cs="仿宋"/>
          <w:color w:val="auto"/>
          <w:kern w:val="0"/>
          <w:sz w:val="32"/>
          <w:szCs w:val="15"/>
          <w:lang w:val="en-US" w:eastAsia="zh-CN"/>
        </w:rPr>
      </w:pPr>
      <w:r>
        <w:rPr>
          <w:rFonts w:hint="eastAsia" w:ascii="仿宋" w:hAnsi="仿宋" w:eastAsia="仿宋" w:cs="仿宋"/>
          <w:color w:val="auto"/>
          <w:kern w:val="0"/>
          <w:sz w:val="32"/>
          <w:szCs w:val="15"/>
          <w:lang w:val="en-US" w:eastAsia="zh-CN" w:bidi="ar-SA"/>
        </w:rPr>
        <w:t>十七、地块瑕疵说明 …</w:t>
      </w:r>
      <w:r>
        <w:rPr>
          <w:rFonts w:hint="eastAsia" w:ascii="仿宋" w:hAnsi="仿宋" w:eastAsia="仿宋" w:cs="仿宋"/>
          <w:color w:val="auto"/>
          <w:kern w:val="0"/>
          <w:sz w:val="32"/>
          <w:szCs w:val="15"/>
        </w:rPr>
        <w:t>…………………………………</w:t>
      </w:r>
      <w:r>
        <w:rPr>
          <w:rFonts w:hint="eastAsia" w:ascii="仿宋" w:hAnsi="仿宋" w:eastAsia="仿宋" w:cs="仿宋"/>
          <w:color w:val="auto"/>
          <w:kern w:val="0"/>
          <w:sz w:val="32"/>
          <w:szCs w:val="15"/>
          <w:lang w:val="en-US" w:eastAsia="zh-CN"/>
        </w:rPr>
        <w:t xml:space="preserve"> 47</w:t>
      </w:r>
    </w:p>
    <w:p w14:paraId="6303F73A">
      <w:pPr>
        <w:autoSpaceDE w:val="0"/>
        <w:autoSpaceDN w:val="0"/>
        <w:adjustRightInd w:val="0"/>
        <w:ind w:right="159"/>
        <w:jc w:val="left"/>
        <w:rPr>
          <w:rFonts w:hint="default" w:ascii="仿宋" w:hAnsi="仿宋" w:eastAsia="仿宋" w:cs="仿宋"/>
          <w:color w:val="auto"/>
          <w:kern w:val="0"/>
          <w:sz w:val="32"/>
          <w:szCs w:val="15"/>
          <w:lang w:val="en-US" w:eastAsia="zh-CN"/>
        </w:rPr>
      </w:pPr>
    </w:p>
    <w:p w14:paraId="32F3BF2A">
      <w:pPr>
        <w:rPr>
          <w:rFonts w:hint="eastAsia"/>
          <w:color w:val="auto"/>
        </w:rPr>
      </w:pPr>
    </w:p>
    <w:p w14:paraId="2189F50A">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auto"/>
          <w:spacing w:val="-34"/>
          <w:sz w:val="44"/>
          <w:szCs w:val="44"/>
          <w:highlight w:val="none"/>
          <w:lang w:eastAsia="zh-CN"/>
        </w:rPr>
      </w:pPr>
    </w:p>
    <w:p w14:paraId="43BBB571">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auto"/>
          <w:spacing w:val="-34"/>
          <w:sz w:val="44"/>
          <w:szCs w:val="44"/>
          <w:highlight w:val="none"/>
          <w:lang w:eastAsia="zh-CN"/>
        </w:rPr>
      </w:pPr>
    </w:p>
    <w:p w14:paraId="29396598">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auto"/>
          <w:spacing w:val="-17"/>
          <w:w w:val="90"/>
          <w:sz w:val="44"/>
          <w:szCs w:val="44"/>
          <w:highlight w:val="none"/>
          <w:lang w:eastAsia="zh-CN"/>
        </w:rPr>
      </w:pPr>
      <w:r>
        <w:rPr>
          <w:rFonts w:hint="eastAsia" w:ascii="方正小标宋简体" w:hAnsi="方正小标宋简体" w:eastAsia="方正小标宋简体" w:cs="方正小标宋简体"/>
          <w:b w:val="0"/>
          <w:bCs w:val="0"/>
          <w:color w:val="auto"/>
          <w:spacing w:val="-17"/>
          <w:w w:val="90"/>
          <w:sz w:val="44"/>
          <w:szCs w:val="44"/>
          <w:highlight w:val="none"/>
          <w:lang w:eastAsia="zh-CN"/>
        </w:rPr>
        <w:br w:type="page"/>
      </w:r>
      <w:r>
        <w:rPr>
          <w:rFonts w:hint="eastAsia" w:ascii="方正小标宋简体" w:hAnsi="方正小标宋简体" w:eastAsia="方正小标宋简体" w:cs="方正小标宋简体"/>
          <w:b w:val="0"/>
          <w:bCs w:val="0"/>
          <w:color w:val="auto"/>
          <w:spacing w:val="-17"/>
          <w:w w:val="90"/>
          <w:sz w:val="44"/>
          <w:szCs w:val="44"/>
          <w:highlight w:val="none"/>
          <w:lang w:eastAsia="zh-CN"/>
        </w:rPr>
        <w:t>郑州航空港经济综合实验区自然资源和规划局</w:t>
      </w:r>
    </w:p>
    <w:p w14:paraId="272CDC1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auto"/>
          <w:w w:val="95"/>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国有建设用地使用权挂牌出让公告</w:t>
      </w:r>
    </w:p>
    <w:p w14:paraId="03BC28CA">
      <w:pPr>
        <w:keepNext w:val="0"/>
        <w:keepLines w:val="0"/>
        <w:pageBreakBefore w:val="0"/>
        <w:widowControl/>
        <w:kinsoku/>
        <w:wordWrap/>
        <w:overflowPunct/>
        <w:topLinePunct w:val="0"/>
        <w:autoSpaceDE/>
        <w:autoSpaceDN/>
        <w:bidi w:val="0"/>
        <w:adjustRightInd/>
        <w:snapToGrid w:val="0"/>
        <w:spacing w:line="560" w:lineRule="exact"/>
        <w:ind w:left="0"/>
        <w:jc w:val="center"/>
        <w:textAlignment w:val="auto"/>
        <w:outlineLvl w:val="9"/>
        <w:rPr>
          <w:rFonts w:hint="eastAsia" w:ascii="楷体" w:hAnsi="楷体" w:eastAsia="楷体" w:cs="楷体"/>
          <w:color w:val="auto"/>
          <w:sz w:val="30"/>
          <w:szCs w:val="30"/>
          <w:highlight w:val="none"/>
        </w:rPr>
      </w:pPr>
      <w:r>
        <w:rPr>
          <w:rFonts w:hint="eastAsia" w:ascii="楷体" w:hAnsi="楷体" w:eastAsia="楷体" w:cs="楷体"/>
          <w:color w:val="auto"/>
          <w:sz w:val="30"/>
          <w:szCs w:val="30"/>
          <w:highlight w:val="none"/>
        </w:rPr>
        <w:t>郑</w:t>
      </w:r>
      <w:r>
        <w:rPr>
          <w:rFonts w:hint="eastAsia" w:ascii="楷体" w:hAnsi="楷体" w:eastAsia="楷体" w:cs="楷体"/>
          <w:color w:val="auto"/>
          <w:sz w:val="30"/>
          <w:szCs w:val="30"/>
          <w:highlight w:val="none"/>
          <w:lang w:eastAsia="zh-CN"/>
        </w:rPr>
        <w:t>港</w:t>
      </w:r>
      <w:r>
        <w:rPr>
          <w:rFonts w:hint="eastAsia" w:ascii="楷体" w:hAnsi="楷体" w:eastAsia="楷体" w:cs="楷体"/>
          <w:color w:val="auto"/>
          <w:sz w:val="30"/>
          <w:szCs w:val="30"/>
          <w:highlight w:val="none"/>
        </w:rPr>
        <w:t>资交易告字〔20</w:t>
      </w:r>
      <w:r>
        <w:rPr>
          <w:rFonts w:hint="eastAsia" w:ascii="楷体" w:hAnsi="楷体" w:eastAsia="楷体" w:cs="楷体"/>
          <w:color w:val="auto"/>
          <w:sz w:val="30"/>
          <w:szCs w:val="30"/>
          <w:highlight w:val="none"/>
          <w:lang w:val="en-US" w:eastAsia="zh-CN"/>
        </w:rPr>
        <w:t>25</w:t>
      </w:r>
      <w:r>
        <w:rPr>
          <w:rFonts w:hint="eastAsia" w:ascii="楷体" w:hAnsi="楷体" w:eastAsia="楷体" w:cs="楷体"/>
          <w:color w:val="auto"/>
          <w:sz w:val="30"/>
          <w:szCs w:val="30"/>
          <w:highlight w:val="none"/>
        </w:rPr>
        <w:t>〕</w:t>
      </w:r>
      <w:r>
        <w:rPr>
          <w:rFonts w:hint="eastAsia" w:ascii="楷体" w:hAnsi="楷体" w:eastAsia="楷体" w:cs="楷体"/>
          <w:color w:val="auto"/>
          <w:sz w:val="30"/>
          <w:szCs w:val="30"/>
          <w:highlight w:val="none"/>
          <w:lang w:val="en-US" w:eastAsia="zh-CN"/>
        </w:rPr>
        <w:t>44号</w:t>
      </w:r>
    </w:p>
    <w:p w14:paraId="76D157B9">
      <w:pPr>
        <w:keepNext w:val="0"/>
        <w:keepLines w:val="0"/>
        <w:pageBreakBefore w:val="0"/>
        <w:widowControl/>
        <w:numPr>
          <w:ilvl w:val="0"/>
          <w:numId w:val="0"/>
        </w:numPr>
        <w:kinsoku/>
        <w:wordWrap/>
        <w:overflowPunct/>
        <w:topLinePunct w:val="0"/>
        <w:autoSpaceDE/>
        <w:autoSpaceDN/>
        <w:bidi w:val="0"/>
        <w:adjustRightInd/>
        <w:snapToGrid w:val="0"/>
        <w:spacing w:line="600" w:lineRule="exact"/>
        <w:ind w:right="0" w:rightChars="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经郑州航空港经济综合实验区（郑州新郑综合保税区)管理委员会批准，</w:t>
      </w:r>
      <w:r>
        <w:rPr>
          <w:rFonts w:hint="eastAsia" w:ascii="仿宋_GB2312" w:hAnsi="仿宋_GB2312" w:eastAsia="仿宋_GB2312" w:cs="仿宋_GB2312"/>
          <w:color w:val="auto"/>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决定以挂牌方式</w:t>
      </w:r>
      <w:r>
        <w:rPr>
          <w:rFonts w:hint="eastAsia" w:ascii="仿宋_GB2312" w:hAnsi="仿宋_GB2312" w:eastAsia="仿宋_GB2312" w:cs="仿宋_GB2312"/>
          <w:color w:val="auto"/>
          <w:sz w:val="32"/>
          <w:szCs w:val="32"/>
          <w:highlight w:val="none"/>
          <w:lang w:eastAsia="zh-CN"/>
        </w:rPr>
        <w:t>出让郑港出〔2025〕120号国有建设用</w:t>
      </w:r>
      <w:r>
        <w:rPr>
          <w:rFonts w:hint="eastAsia" w:ascii="仿宋_GB2312" w:hAnsi="仿宋_GB2312" w:eastAsia="仿宋_GB2312" w:cs="仿宋_GB2312"/>
          <w:color w:val="auto"/>
          <w:sz w:val="32"/>
          <w:szCs w:val="32"/>
          <w:highlight w:val="none"/>
        </w:rPr>
        <w:t>地使用权，</w:t>
      </w:r>
      <w:r>
        <w:rPr>
          <w:rFonts w:hint="eastAsia" w:ascii="仿宋_GB2312" w:hAnsi="仿宋_GB2312" w:eastAsia="仿宋_GB2312" w:cs="仿宋_GB2312"/>
          <w:color w:val="auto"/>
          <w:sz w:val="32"/>
          <w:szCs w:val="32"/>
          <w:highlight w:val="none"/>
          <w:lang w:eastAsia="zh-CN"/>
        </w:rPr>
        <w:t>具体</w:t>
      </w:r>
      <w:r>
        <w:rPr>
          <w:rFonts w:hint="eastAsia"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sz w:val="32"/>
          <w:szCs w:val="32"/>
          <w:highlight w:val="none"/>
          <w:lang w:eastAsia="zh-CN"/>
        </w:rPr>
        <w:t>郑州航空港经济综合实验区公共资源交易中心</w:t>
      </w:r>
      <w:r>
        <w:rPr>
          <w:rFonts w:hint="eastAsia" w:ascii="仿宋_GB2312" w:hAnsi="仿宋_GB2312" w:eastAsia="仿宋_GB2312" w:cs="仿宋_GB2312"/>
          <w:color w:val="auto"/>
          <w:sz w:val="32"/>
          <w:szCs w:val="32"/>
          <w:highlight w:val="none"/>
        </w:rPr>
        <w:t>承办。现将有关事项公告如下：</w:t>
      </w:r>
    </w:p>
    <w:p w14:paraId="48767293">
      <w:pPr>
        <w:keepNext w:val="0"/>
        <w:keepLines w:val="0"/>
        <w:pageBreakBefore w:val="0"/>
        <w:widowControl/>
        <w:numPr>
          <w:ilvl w:val="0"/>
          <w:numId w:val="0"/>
        </w:numPr>
        <w:kinsoku/>
        <w:wordWrap/>
        <w:overflowPunct/>
        <w:topLinePunct w:val="0"/>
        <w:autoSpaceDE/>
        <w:autoSpaceDN/>
        <w:bidi w:val="0"/>
        <w:adjustRightInd/>
        <w:snapToGrid w:val="0"/>
        <w:spacing w:line="600" w:lineRule="exact"/>
        <w:ind w:right="0" w:rightChars="0" w:firstLine="640" w:firstLineChars="200"/>
        <w:jc w:val="both"/>
        <w:textAlignment w:val="auto"/>
        <w:outlineLvl w:val="9"/>
        <w:rPr>
          <w:rFonts w:hint="eastAsia"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挂牌地块的基本情况和规划指标要求</w:t>
      </w:r>
    </w:p>
    <w:tbl>
      <w:tblPr>
        <w:tblStyle w:val="15"/>
        <w:tblW w:w="9297" w:type="dxa"/>
        <w:tblInd w:w="-142" w:type="dxa"/>
        <w:tblLayout w:type="fixed"/>
        <w:tblCellMar>
          <w:top w:w="0" w:type="dxa"/>
          <w:left w:w="0" w:type="dxa"/>
          <w:bottom w:w="0" w:type="dxa"/>
          <w:right w:w="0" w:type="dxa"/>
        </w:tblCellMar>
      </w:tblPr>
      <w:tblGrid>
        <w:gridCol w:w="907"/>
        <w:gridCol w:w="943"/>
        <w:gridCol w:w="829"/>
        <w:gridCol w:w="819"/>
        <w:gridCol w:w="575"/>
        <w:gridCol w:w="984"/>
        <w:gridCol w:w="606"/>
        <w:gridCol w:w="798"/>
        <w:gridCol w:w="902"/>
        <w:gridCol w:w="682"/>
        <w:gridCol w:w="696"/>
        <w:gridCol w:w="556"/>
      </w:tblGrid>
      <w:tr w14:paraId="3BB58A52">
        <w:tblPrEx>
          <w:tblCellMar>
            <w:top w:w="0" w:type="dxa"/>
            <w:left w:w="0" w:type="dxa"/>
            <w:bottom w:w="0" w:type="dxa"/>
            <w:right w:w="0" w:type="dxa"/>
          </w:tblCellMar>
        </w:tblPrEx>
        <w:trPr>
          <w:trHeight w:val="651" w:hRule="atLeast"/>
        </w:trPr>
        <w:tc>
          <w:tcPr>
            <w:tcW w:w="907" w:type="dxa"/>
            <w:vMerge w:val="restart"/>
            <w:tcBorders>
              <w:top w:val="single" w:color="000000" w:sz="4" w:space="0"/>
              <w:left w:val="single" w:color="000000" w:sz="4" w:space="0"/>
              <w:right w:val="single" w:color="000000" w:sz="4" w:space="0"/>
            </w:tcBorders>
            <w:noWrap w:val="0"/>
            <w:vAlign w:val="center"/>
          </w:tcPr>
          <w:p w14:paraId="1258E8C4">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lang w:eastAsia="zh-CN"/>
              </w:rPr>
            </w:pPr>
            <w:r>
              <w:rPr>
                <w:rFonts w:hint="eastAsia" w:ascii="仿宋" w:hAnsi="仿宋" w:eastAsia="仿宋" w:cs="仿宋"/>
                <w:color w:val="auto"/>
                <w:sz w:val="15"/>
                <w:szCs w:val="15"/>
                <w:highlight w:val="none"/>
                <w:lang w:eastAsia="zh-CN"/>
              </w:rPr>
              <w:t>编号</w:t>
            </w:r>
          </w:p>
        </w:tc>
        <w:tc>
          <w:tcPr>
            <w:tcW w:w="943" w:type="dxa"/>
            <w:vMerge w:val="restart"/>
            <w:tcBorders>
              <w:top w:val="single" w:color="000000" w:sz="4" w:space="0"/>
              <w:left w:val="single" w:color="000000" w:sz="4" w:space="0"/>
              <w:bottom w:val="single" w:color="000000" w:sz="4" w:space="0"/>
              <w:right w:val="single" w:color="000000" w:sz="4" w:space="0"/>
            </w:tcBorders>
            <w:noWrap w:val="0"/>
            <w:vAlign w:val="center"/>
          </w:tcPr>
          <w:p w14:paraId="2AF214EB">
            <w:pPr>
              <w:keepNext w:val="0"/>
              <w:keepLines w:val="0"/>
              <w:pageBreakBefore w:val="0"/>
              <w:kinsoku/>
              <w:wordWrap/>
              <w:overflowPunct/>
              <w:topLinePunct w:val="0"/>
              <w:autoSpaceDE/>
              <w:autoSpaceDN/>
              <w:bidi w:val="0"/>
              <w:adjustRightInd/>
              <w:snapToGrid w:val="0"/>
              <w:spacing w:line="240" w:lineRule="auto"/>
              <w:ind w:left="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土地</w:t>
            </w:r>
          </w:p>
          <w:p w14:paraId="57CC51BA">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位置</w:t>
            </w:r>
          </w:p>
        </w:tc>
        <w:tc>
          <w:tcPr>
            <w:tcW w:w="8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FFBA0AE">
            <w:pPr>
              <w:keepNext w:val="0"/>
              <w:keepLines w:val="0"/>
              <w:pageBreakBefore w:val="0"/>
              <w:kinsoku/>
              <w:wordWrap/>
              <w:overflowPunct/>
              <w:topLinePunct w:val="0"/>
              <w:autoSpaceDE/>
              <w:autoSpaceDN/>
              <w:bidi w:val="0"/>
              <w:adjustRightInd/>
              <w:snapToGrid w:val="0"/>
              <w:spacing w:line="240" w:lineRule="auto"/>
              <w:ind w:left="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土地面积</w:t>
            </w:r>
          </w:p>
          <w:p w14:paraId="4D85A874">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（平方米）</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671E68B2">
            <w:pPr>
              <w:keepNext w:val="0"/>
              <w:keepLines w:val="0"/>
              <w:pageBreakBefore w:val="0"/>
              <w:kinsoku/>
              <w:wordWrap/>
              <w:overflowPunct/>
              <w:topLinePunct w:val="0"/>
              <w:autoSpaceDE/>
              <w:autoSpaceDN/>
              <w:bidi w:val="0"/>
              <w:adjustRightInd/>
              <w:snapToGrid w:val="0"/>
              <w:spacing w:line="240" w:lineRule="auto"/>
              <w:ind w:left="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土地</w:t>
            </w:r>
          </w:p>
          <w:p w14:paraId="2F9EE7B4">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用途</w:t>
            </w:r>
          </w:p>
        </w:tc>
        <w:tc>
          <w:tcPr>
            <w:tcW w:w="3865" w:type="dxa"/>
            <w:gridSpan w:val="5"/>
            <w:tcBorders>
              <w:top w:val="single" w:color="000000" w:sz="4" w:space="0"/>
              <w:left w:val="single" w:color="000000" w:sz="4" w:space="0"/>
              <w:bottom w:val="single" w:color="000000" w:sz="4" w:space="0"/>
              <w:right w:val="single" w:color="000000" w:sz="4" w:space="0"/>
            </w:tcBorders>
            <w:noWrap w:val="0"/>
            <w:vAlign w:val="center"/>
          </w:tcPr>
          <w:p w14:paraId="659BC5C3">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规划指标要求</w:t>
            </w:r>
          </w:p>
        </w:tc>
        <w:tc>
          <w:tcPr>
            <w:tcW w:w="682" w:type="dxa"/>
            <w:vMerge w:val="restart"/>
            <w:tcBorders>
              <w:top w:val="single" w:color="000000" w:sz="4" w:space="0"/>
              <w:left w:val="single" w:color="000000" w:sz="4" w:space="0"/>
              <w:right w:val="single" w:color="000000" w:sz="4" w:space="0"/>
            </w:tcBorders>
            <w:noWrap w:val="0"/>
            <w:vAlign w:val="center"/>
          </w:tcPr>
          <w:p w14:paraId="2CAA9852">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lang w:val="en-US" w:eastAsia="zh-CN"/>
              </w:rPr>
            </w:pPr>
            <w:r>
              <w:rPr>
                <w:rFonts w:hint="eastAsia" w:ascii="仿宋" w:hAnsi="仿宋" w:eastAsia="仿宋" w:cs="仿宋"/>
                <w:color w:val="auto"/>
                <w:sz w:val="15"/>
                <w:szCs w:val="15"/>
                <w:highlight w:val="none"/>
                <w:lang w:val="en-US" w:eastAsia="zh-CN"/>
              </w:rPr>
              <w:t>使用年期(年)</w:t>
            </w:r>
          </w:p>
        </w:tc>
        <w:tc>
          <w:tcPr>
            <w:tcW w:w="696" w:type="dxa"/>
            <w:vMerge w:val="restart"/>
            <w:tcBorders>
              <w:top w:val="single" w:color="000000" w:sz="4" w:space="0"/>
              <w:left w:val="single" w:color="000000" w:sz="4" w:space="0"/>
              <w:right w:val="single" w:color="000000" w:sz="4" w:space="0"/>
            </w:tcBorders>
            <w:noWrap w:val="0"/>
            <w:vAlign w:val="center"/>
          </w:tcPr>
          <w:p w14:paraId="6F5FABCC">
            <w:pPr>
              <w:keepNext w:val="0"/>
              <w:keepLines w:val="0"/>
              <w:pageBreakBefore w:val="0"/>
              <w:kinsoku/>
              <w:wordWrap/>
              <w:overflowPunct/>
              <w:topLinePunct w:val="0"/>
              <w:autoSpaceDE/>
              <w:autoSpaceDN/>
              <w:bidi w:val="0"/>
              <w:adjustRightInd/>
              <w:snapToGrid w:val="0"/>
              <w:spacing w:line="240" w:lineRule="auto"/>
              <w:ind w:left="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起始价</w:t>
            </w:r>
          </w:p>
          <w:p w14:paraId="6B0A4E54">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（万元）</w:t>
            </w:r>
          </w:p>
        </w:tc>
        <w:tc>
          <w:tcPr>
            <w:tcW w:w="556" w:type="dxa"/>
            <w:vMerge w:val="restart"/>
            <w:tcBorders>
              <w:top w:val="single" w:color="000000" w:sz="4" w:space="0"/>
              <w:left w:val="single" w:color="000000" w:sz="4" w:space="0"/>
              <w:right w:val="single" w:color="000000" w:sz="4" w:space="0"/>
            </w:tcBorders>
            <w:noWrap w:val="0"/>
            <w:vAlign w:val="center"/>
          </w:tcPr>
          <w:p w14:paraId="70A457B2">
            <w:pPr>
              <w:keepNext w:val="0"/>
              <w:keepLines w:val="0"/>
              <w:pageBreakBefore w:val="0"/>
              <w:kinsoku/>
              <w:wordWrap/>
              <w:overflowPunct/>
              <w:topLinePunct w:val="0"/>
              <w:autoSpaceDE/>
              <w:autoSpaceDN/>
              <w:bidi w:val="0"/>
              <w:adjustRightInd/>
              <w:snapToGrid w:val="0"/>
              <w:spacing w:line="240" w:lineRule="auto"/>
              <w:ind w:left="0"/>
              <w:jc w:val="center"/>
              <w:outlineLvl w:val="9"/>
              <w:rPr>
                <w:rFonts w:hint="eastAsia" w:ascii="仿宋" w:hAnsi="仿宋" w:eastAsia="仿宋" w:cs="仿宋"/>
                <w:color w:val="auto"/>
                <w:sz w:val="15"/>
                <w:szCs w:val="15"/>
                <w:highlight w:val="none"/>
              </w:rPr>
            </w:pPr>
          </w:p>
          <w:p w14:paraId="6B145685">
            <w:pPr>
              <w:keepNext w:val="0"/>
              <w:keepLines w:val="0"/>
              <w:pageBreakBefore w:val="0"/>
              <w:kinsoku/>
              <w:wordWrap/>
              <w:overflowPunct/>
              <w:topLinePunct w:val="0"/>
              <w:autoSpaceDE/>
              <w:autoSpaceDN/>
              <w:bidi w:val="0"/>
              <w:adjustRightInd/>
              <w:snapToGrid w:val="0"/>
              <w:spacing w:line="240" w:lineRule="auto"/>
              <w:ind w:left="150" w:hanging="150" w:hangingChars="100"/>
              <w:jc w:val="both"/>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竞买保证金</w:t>
            </w:r>
          </w:p>
          <w:p w14:paraId="5FC94E8D">
            <w:pPr>
              <w:keepNext w:val="0"/>
              <w:keepLines w:val="0"/>
              <w:pageBreakBefore w:val="0"/>
              <w:kinsoku/>
              <w:wordWrap/>
              <w:overflowPunct/>
              <w:topLinePunct w:val="0"/>
              <w:autoSpaceDE/>
              <w:autoSpaceDN/>
              <w:bidi w:val="0"/>
              <w:adjustRightInd/>
              <w:snapToGrid w:val="0"/>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（万元）</w:t>
            </w:r>
          </w:p>
        </w:tc>
      </w:tr>
      <w:tr w14:paraId="66B94C94">
        <w:tblPrEx>
          <w:tblCellMar>
            <w:top w:w="0" w:type="dxa"/>
            <w:left w:w="0" w:type="dxa"/>
            <w:bottom w:w="0" w:type="dxa"/>
            <w:right w:w="0" w:type="dxa"/>
          </w:tblCellMar>
        </w:tblPrEx>
        <w:trPr>
          <w:trHeight w:val="787" w:hRule="atLeast"/>
        </w:trPr>
        <w:tc>
          <w:tcPr>
            <w:tcW w:w="907" w:type="dxa"/>
            <w:vMerge w:val="continue"/>
            <w:tcBorders>
              <w:left w:val="single" w:color="000000" w:sz="4" w:space="0"/>
              <w:bottom w:val="single" w:color="000000" w:sz="4" w:space="0"/>
              <w:right w:val="single" w:color="000000" w:sz="4" w:space="0"/>
            </w:tcBorders>
            <w:noWrap w:val="0"/>
            <w:vAlign w:val="center"/>
          </w:tcPr>
          <w:p w14:paraId="1F2B3DF0">
            <w:pPr>
              <w:keepNext w:val="0"/>
              <w:keepLines w:val="0"/>
              <w:pageBreakBefore w:val="0"/>
              <w:widowControl/>
              <w:kinsoku/>
              <w:wordWrap/>
              <w:overflowPunct/>
              <w:topLinePunct w:val="0"/>
              <w:autoSpaceDE/>
              <w:autoSpaceDN/>
              <w:bidi w:val="0"/>
              <w:adjustRightInd/>
              <w:spacing w:line="240" w:lineRule="auto"/>
              <w:ind w:left="0" w:leftChars="0"/>
              <w:jc w:val="left"/>
              <w:outlineLvl w:val="9"/>
              <w:rPr>
                <w:rFonts w:hint="eastAsia" w:ascii="仿宋" w:hAnsi="仿宋" w:eastAsia="仿宋" w:cs="仿宋"/>
                <w:color w:val="auto"/>
                <w:sz w:val="15"/>
                <w:szCs w:val="15"/>
                <w:highlight w:val="none"/>
              </w:rPr>
            </w:pPr>
          </w:p>
        </w:tc>
        <w:tc>
          <w:tcPr>
            <w:tcW w:w="9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4FC72">
            <w:pPr>
              <w:keepNext w:val="0"/>
              <w:keepLines w:val="0"/>
              <w:pageBreakBefore w:val="0"/>
              <w:widowControl/>
              <w:kinsoku/>
              <w:wordWrap/>
              <w:overflowPunct/>
              <w:topLinePunct w:val="0"/>
              <w:autoSpaceDE/>
              <w:autoSpaceDN/>
              <w:bidi w:val="0"/>
              <w:adjustRightInd/>
              <w:spacing w:line="240" w:lineRule="auto"/>
              <w:ind w:left="0" w:leftChars="0"/>
              <w:jc w:val="left"/>
              <w:outlineLvl w:val="9"/>
              <w:rPr>
                <w:rFonts w:hint="eastAsia" w:ascii="仿宋" w:hAnsi="仿宋" w:eastAsia="仿宋" w:cs="仿宋"/>
                <w:color w:val="auto"/>
                <w:sz w:val="15"/>
                <w:szCs w:val="15"/>
                <w:highlight w:val="none"/>
              </w:rPr>
            </w:pPr>
          </w:p>
        </w:tc>
        <w:tc>
          <w:tcPr>
            <w:tcW w:w="8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3A7B1">
            <w:pPr>
              <w:keepNext w:val="0"/>
              <w:keepLines w:val="0"/>
              <w:pageBreakBefore w:val="0"/>
              <w:widowControl/>
              <w:kinsoku/>
              <w:wordWrap/>
              <w:overflowPunct/>
              <w:topLinePunct w:val="0"/>
              <w:autoSpaceDE/>
              <w:autoSpaceDN/>
              <w:bidi w:val="0"/>
              <w:adjustRightInd/>
              <w:spacing w:line="240" w:lineRule="auto"/>
              <w:ind w:left="0" w:leftChars="0"/>
              <w:jc w:val="left"/>
              <w:outlineLvl w:val="9"/>
              <w:rPr>
                <w:rFonts w:hint="eastAsia" w:ascii="仿宋" w:hAnsi="仿宋" w:eastAsia="仿宋" w:cs="仿宋"/>
                <w:color w:val="auto"/>
                <w:sz w:val="15"/>
                <w:szCs w:val="15"/>
                <w:highlight w:val="none"/>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32B2E">
            <w:pPr>
              <w:keepNext w:val="0"/>
              <w:keepLines w:val="0"/>
              <w:pageBreakBefore w:val="0"/>
              <w:widowControl/>
              <w:kinsoku/>
              <w:wordWrap/>
              <w:overflowPunct/>
              <w:topLinePunct w:val="0"/>
              <w:autoSpaceDE/>
              <w:autoSpaceDN/>
              <w:bidi w:val="0"/>
              <w:adjustRightInd/>
              <w:spacing w:line="240" w:lineRule="auto"/>
              <w:ind w:left="0" w:leftChars="0"/>
              <w:jc w:val="left"/>
              <w:outlineLvl w:val="9"/>
              <w:rPr>
                <w:rFonts w:hint="eastAsia" w:ascii="仿宋" w:hAnsi="仿宋" w:eastAsia="仿宋" w:cs="仿宋"/>
                <w:color w:val="auto"/>
                <w:sz w:val="15"/>
                <w:szCs w:val="15"/>
                <w:highlight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4EF6F09">
            <w:pPr>
              <w:keepNext w:val="0"/>
              <w:keepLines w:val="0"/>
              <w:pageBreakBefore w:val="0"/>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容积率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7EC34365">
            <w:pPr>
              <w:keepNext w:val="0"/>
              <w:keepLines w:val="0"/>
              <w:pageBreakBefore w:val="0"/>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建筑密度</w:t>
            </w:r>
            <w:r>
              <w:rPr>
                <w:rFonts w:hint="eastAsia" w:ascii="仿宋" w:hAnsi="仿宋" w:eastAsia="仿宋" w:cs="仿宋"/>
                <w:color w:val="auto"/>
                <w:sz w:val="15"/>
                <w:szCs w:val="15"/>
                <w:highlight w:val="none"/>
              </w:rPr>
              <w:br w:type="textWrapping"/>
            </w:r>
            <w:r>
              <w:rPr>
                <w:rFonts w:hint="eastAsia" w:ascii="仿宋" w:hAnsi="仿宋" w:eastAsia="仿宋" w:cs="仿宋"/>
                <w:color w:val="auto"/>
                <w:sz w:val="15"/>
                <w:szCs w:val="15"/>
                <w:highlight w:val="none"/>
              </w:rPr>
              <w:t>（%）</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93C0C72">
            <w:pPr>
              <w:keepNext w:val="0"/>
              <w:keepLines w:val="0"/>
              <w:pageBreakBefore w:val="0"/>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绿地率</w:t>
            </w:r>
            <w:r>
              <w:rPr>
                <w:rFonts w:hint="eastAsia" w:ascii="仿宋" w:hAnsi="仿宋" w:eastAsia="仿宋" w:cs="仿宋"/>
                <w:color w:val="auto"/>
                <w:sz w:val="15"/>
                <w:szCs w:val="15"/>
                <w:highlight w:val="none"/>
              </w:rPr>
              <w:br w:type="textWrapping"/>
            </w:r>
            <w:r>
              <w:rPr>
                <w:rFonts w:hint="eastAsia" w:ascii="仿宋" w:hAnsi="仿宋" w:eastAsia="仿宋" w:cs="仿宋"/>
                <w:color w:val="auto"/>
                <w:sz w:val="15"/>
                <w:szCs w:val="15"/>
                <w:highlight w:val="none"/>
              </w:rPr>
              <w:t>（%）</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14:paraId="5C4C2C16">
            <w:pPr>
              <w:keepNext w:val="0"/>
              <w:keepLines w:val="0"/>
              <w:pageBreakBefore w:val="0"/>
              <w:widowControl/>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r>
              <w:rPr>
                <w:rFonts w:hint="eastAsia" w:ascii="仿宋" w:hAnsi="仿宋" w:eastAsia="仿宋" w:cs="仿宋"/>
                <w:color w:val="auto"/>
                <w:sz w:val="15"/>
                <w:szCs w:val="15"/>
                <w:highlight w:val="none"/>
              </w:rPr>
              <w:t>建筑高度</w:t>
            </w:r>
            <w:r>
              <w:rPr>
                <w:rFonts w:hint="eastAsia" w:ascii="仿宋" w:hAnsi="仿宋" w:eastAsia="仿宋" w:cs="仿宋"/>
                <w:color w:val="auto"/>
                <w:sz w:val="15"/>
                <w:szCs w:val="15"/>
                <w:highlight w:val="none"/>
              </w:rPr>
              <w:br w:type="textWrapping"/>
            </w:r>
            <w:r>
              <w:rPr>
                <w:rFonts w:hint="eastAsia" w:ascii="仿宋" w:hAnsi="仿宋" w:eastAsia="仿宋" w:cs="仿宋"/>
                <w:color w:val="auto"/>
                <w:sz w:val="15"/>
                <w:szCs w:val="15"/>
                <w:highlight w:val="none"/>
              </w:rPr>
              <w:t>（米）</w:t>
            </w:r>
          </w:p>
        </w:tc>
        <w:tc>
          <w:tcPr>
            <w:tcW w:w="902" w:type="dxa"/>
            <w:tcBorders>
              <w:left w:val="single" w:color="000000" w:sz="4" w:space="0"/>
              <w:bottom w:val="single" w:color="000000" w:sz="4" w:space="0"/>
              <w:right w:val="single" w:color="000000" w:sz="4" w:space="0"/>
            </w:tcBorders>
            <w:noWrap w:val="0"/>
            <w:vAlign w:val="center"/>
          </w:tcPr>
          <w:p w14:paraId="4F96E171">
            <w:pPr>
              <w:keepNext w:val="0"/>
              <w:keepLines w:val="0"/>
              <w:pageBreakBefore w:val="0"/>
              <w:widowControl/>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lang w:eastAsia="zh-CN"/>
              </w:rPr>
            </w:pPr>
            <w:r>
              <w:rPr>
                <w:rFonts w:hint="eastAsia" w:ascii="仿宋" w:hAnsi="仿宋" w:eastAsia="仿宋" w:cs="仿宋"/>
                <w:color w:val="auto"/>
                <w:sz w:val="15"/>
                <w:szCs w:val="15"/>
                <w:highlight w:val="none"/>
                <w:lang w:eastAsia="zh-CN"/>
              </w:rPr>
              <w:t>地下规划指标</w:t>
            </w:r>
          </w:p>
        </w:tc>
        <w:tc>
          <w:tcPr>
            <w:tcW w:w="682" w:type="dxa"/>
            <w:vMerge w:val="continue"/>
            <w:tcBorders>
              <w:left w:val="single" w:color="000000" w:sz="4" w:space="0"/>
              <w:bottom w:val="single" w:color="000000" w:sz="4" w:space="0"/>
              <w:right w:val="single" w:color="000000" w:sz="4" w:space="0"/>
            </w:tcBorders>
            <w:noWrap w:val="0"/>
            <w:vAlign w:val="center"/>
          </w:tcPr>
          <w:p w14:paraId="0DC4E60A">
            <w:pPr>
              <w:keepNext w:val="0"/>
              <w:keepLines w:val="0"/>
              <w:pageBreakBefore w:val="0"/>
              <w:widowControl/>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p>
        </w:tc>
        <w:tc>
          <w:tcPr>
            <w:tcW w:w="696" w:type="dxa"/>
            <w:vMerge w:val="continue"/>
            <w:tcBorders>
              <w:left w:val="single" w:color="000000" w:sz="4" w:space="0"/>
              <w:bottom w:val="single" w:color="000000" w:sz="4" w:space="0"/>
              <w:right w:val="single" w:color="000000" w:sz="4" w:space="0"/>
            </w:tcBorders>
            <w:noWrap w:val="0"/>
            <w:vAlign w:val="center"/>
          </w:tcPr>
          <w:p w14:paraId="477DCDD1">
            <w:pPr>
              <w:keepNext w:val="0"/>
              <w:keepLines w:val="0"/>
              <w:pageBreakBefore w:val="0"/>
              <w:widowControl/>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p>
        </w:tc>
        <w:tc>
          <w:tcPr>
            <w:tcW w:w="556" w:type="dxa"/>
            <w:vMerge w:val="continue"/>
            <w:tcBorders>
              <w:left w:val="single" w:color="000000" w:sz="4" w:space="0"/>
              <w:right w:val="single" w:color="000000" w:sz="4" w:space="0"/>
            </w:tcBorders>
            <w:noWrap w:val="0"/>
            <w:vAlign w:val="center"/>
          </w:tcPr>
          <w:p w14:paraId="7A52DE37">
            <w:pPr>
              <w:keepNext w:val="0"/>
              <w:keepLines w:val="0"/>
              <w:pageBreakBefore w:val="0"/>
              <w:widowControl/>
              <w:kinsoku/>
              <w:wordWrap/>
              <w:overflowPunct/>
              <w:topLinePunct w:val="0"/>
              <w:autoSpaceDE/>
              <w:autoSpaceDN/>
              <w:bidi w:val="0"/>
              <w:adjustRightInd/>
              <w:spacing w:line="240" w:lineRule="auto"/>
              <w:ind w:left="0" w:leftChars="0"/>
              <w:jc w:val="center"/>
              <w:outlineLvl w:val="9"/>
              <w:rPr>
                <w:rFonts w:hint="eastAsia" w:ascii="仿宋" w:hAnsi="仿宋" w:eastAsia="仿宋" w:cs="仿宋"/>
                <w:color w:val="auto"/>
                <w:sz w:val="15"/>
                <w:szCs w:val="15"/>
                <w:highlight w:val="none"/>
              </w:rPr>
            </w:pPr>
          </w:p>
        </w:tc>
      </w:tr>
      <w:tr w14:paraId="2FDE8606">
        <w:tblPrEx>
          <w:tblCellMar>
            <w:top w:w="0" w:type="dxa"/>
            <w:left w:w="0" w:type="dxa"/>
            <w:bottom w:w="0" w:type="dxa"/>
            <w:right w:w="0" w:type="dxa"/>
          </w:tblCellMar>
        </w:tblPrEx>
        <w:trPr>
          <w:trHeight w:val="1213"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BB5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sz w:val="13"/>
                <w:szCs w:val="13"/>
                <w:highlight w:val="none"/>
                <w:u w:val="none"/>
                <w:lang w:val="en-US" w:eastAsia="zh-CN"/>
              </w:rPr>
            </w:pPr>
            <w:bookmarkStart w:id="0" w:name="OLE_LINK3" w:colFirst="0" w:colLast="11"/>
            <w:r>
              <w:rPr>
                <w:rFonts w:hint="eastAsia" w:ascii="仿宋" w:hAnsi="仿宋" w:eastAsia="仿宋" w:cs="仿宋"/>
                <w:color w:val="auto"/>
                <w:sz w:val="13"/>
                <w:szCs w:val="13"/>
                <w:highlight w:val="none"/>
                <w:u w:val="none"/>
                <w:lang w:val="en-US" w:eastAsia="zh-CN"/>
              </w:rPr>
              <w:t>郑港出〔2025〕120号</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AD0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黄海路以南、游龙路以西</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430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222185.77</w:t>
            </w:r>
          </w:p>
        </w:tc>
        <w:tc>
          <w:tcPr>
            <w:tcW w:w="8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A26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工业用地</w:t>
            </w:r>
          </w:p>
        </w:tc>
        <w:tc>
          <w:tcPr>
            <w:tcW w:w="5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032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＞1.12</w:t>
            </w:r>
          </w:p>
          <w:p w14:paraId="5D7F84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kern w:val="2"/>
                <w:sz w:val="13"/>
                <w:szCs w:val="13"/>
                <w:highlight w:val="none"/>
                <w:u w:val="none"/>
                <w:lang w:val="en-US" w:eastAsia="zh-CN" w:bidi="ar-SA"/>
              </w:rPr>
            </w:pPr>
            <w:r>
              <w:rPr>
                <w:rFonts w:hint="eastAsia" w:ascii="仿宋" w:hAnsi="仿宋" w:eastAsia="仿宋" w:cs="仿宋"/>
                <w:color w:val="auto"/>
                <w:sz w:val="13"/>
                <w:szCs w:val="13"/>
                <w:highlight w:val="none"/>
                <w:u w:val="none"/>
                <w:lang w:val="en-US" w:eastAsia="zh-CN"/>
              </w:rPr>
              <w:t>＜3.0</w:t>
            </w:r>
          </w:p>
        </w:tc>
        <w:tc>
          <w:tcPr>
            <w:tcW w:w="9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D76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kern w:val="2"/>
                <w:sz w:val="13"/>
                <w:szCs w:val="13"/>
                <w:highlight w:val="none"/>
                <w:u w:val="none"/>
                <w:lang w:val="en-US" w:eastAsia="zh-CN" w:bidi="ar-SA"/>
              </w:rPr>
            </w:pPr>
            <w:r>
              <w:rPr>
                <w:rFonts w:hint="eastAsia" w:ascii="仿宋" w:hAnsi="仿宋" w:eastAsia="仿宋" w:cs="仿宋"/>
                <w:color w:val="auto"/>
                <w:sz w:val="13"/>
                <w:szCs w:val="13"/>
                <w:highlight w:val="none"/>
                <w:u w:val="none"/>
                <w:lang w:val="en-US" w:eastAsia="zh-CN"/>
              </w:rPr>
              <w:t>＞40</w:t>
            </w:r>
          </w:p>
        </w:tc>
        <w:tc>
          <w:tcPr>
            <w:tcW w:w="6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245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kern w:val="2"/>
                <w:sz w:val="13"/>
                <w:szCs w:val="13"/>
                <w:highlight w:val="none"/>
                <w:u w:val="none"/>
                <w:lang w:val="en-US" w:eastAsia="zh-CN" w:bidi="ar-SA"/>
              </w:rPr>
            </w:pPr>
            <w:r>
              <w:rPr>
                <w:rFonts w:hint="eastAsia" w:ascii="仿宋" w:hAnsi="仿宋" w:eastAsia="仿宋" w:cs="仿宋"/>
                <w:color w:val="auto"/>
                <w:sz w:val="13"/>
                <w:szCs w:val="13"/>
                <w:highlight w:val="none"/>
                <w:u w:val="none"/>
                <w:lang w:val="en-US" w:eastAsia="zh-CN"/>
              </w:rPr>
              <w:t>＜20</w:t>
            </w:r>
          </w:p>
        </w:tc>
        <w:tc>
          <w:tcPr>
            <w:tcW w:w="7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999F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kern w:val="2"/>
                <w:sz w:val="13"/>
                <w:szCs w:val="13"/>
                <w:highlight w:val="none"/>
                <w:u w:val="none"/>
                <w:lang w:val="en-US" w:eastAsia="zh-CN" w:bidi="ar-SA"/>
              </w:rPr>
            </w:pPr>
            <w:r>
              <w:rPr>
                <w:rFonts w:hint="eastAsia" w:ascii="仿宋" w:hAnsi="仿宋" w:eastAsia="仿宋" w:cs="仿宋"/>
                <w:color w:val="auto"/>
                <w:sz w:val="13"/>
                <w:szCs w:val="13"/>
                <w:highlight w:val="none"/>
                <w:u w:val="none"/>
                <w:lang w:val="en-US" w:eastAsia="zh-CN"/>
              </w:rPr>
              <w:t>＜80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079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eastAsia"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见规划设计条件通知书</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FDA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6A4C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sz w:val="13"/>
                <w:szCs w:val="13"/>
                <w:highlight w:val="none"/>
                <w:u w:val="none"/>
                <w:lang w:val="en-US" w:eastAsia="zh-CN"/>
              </w:rPr>
            </w:pPr>
            <w:bookmarkStart w:id="7" w:name="_GoBack"/>
            <w:bookmarkEnd w:id="7"/>
            <w:r>
              <w:rPr>
                <w:rFonts w:hint="eastAsia" w:ascii="仿宋" w:hAnsi="仿宋" w:eastAsia="仿宋" w:cs="仿宋"/>
                <w:color w:val="auto"/>
                <w:sz w:val="13"/>
                <w:szCs w:val="13"/>
                <w:highlight w:val="none"/>
                <w:u w:val="none"/>
                <w:lang w:val="en-US" w:eastAsia="zh-CN"/>
              </w:rPr>
              <w:t>7671</w:t>
            </w:r>
          </w:p>
        </w:tc>
        <w:tc>
          <w:tcPr>
            <w:tcW w:w="5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211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outlineLvl w:val="9"/>
              <w:rPr>
                <w:rFonts w:hint="default" w:ascii="仿宋" w:hAnsi="仿宋" w:eastAsia="仿宋" w:cs="仿宋"/>
                <w:color w:val="auto"/>
                <w:sz w:val="13"/>
                <w:szCs w:val="13"/>
                <w:highlight w:val="none"/>
                <w:u w:val="none"/>
                <w:lang w:val="en-US" w:eastAsia="zh-CN"/>
              </w:rPr>
            </w:pPr>
            <w:r>
              <w:rPr>
                <w:rFonts w:hint="eastAsia" w:ascii="仿宋" w:hAnsi="仿宋" w:eastAsia="仿宋" w:cs="仿宋"/>
                <w:color w:val="auto"/>
                <w:sz w:val="13"/>
                <w:szCs w:val="13"/>
                <w:highlight w:val="none"/>
                <w:u w:val="none"/>
                <w:lang w:val="en-US" w:eastAsia="zh-CN"/>
              </w:rPr>
              <w:t>3836</w:t>
            </w:r>
          </w:p>
        </w:tc>
      </w:tr>
      <w:bookmarkEnd w:id="0"/>
    </w:tbl>
    <w:p w14:paraId="78C867FE">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、本次出让地块</w:t>
      </w:r>
      <w:r>
        <w:rPr>
          <w:rFonts w:hint="eastAsia" w:ascii="仿宋_GB2312" w:hAnsi="仿宋_GB2312" w:eastAsia="仿宋_GB2312" w:cs="仿宋_GB2312"/>
          <w:color w:val="auto"/>
          <w:sz w:val="32"/>
          <w:szCs w:val="32"/>
          <w:highlight w:val="none"/>
        </w:rPr>
        <w:t>中华人民共和国境内外的法人、自然人和其他组织均可申请参加</w:t>
      </w:r>
      <w:r>
        <w:rPr>
          <w:rFonts w:hint="eastAsia" w:ascii="仿宋_GB2312" w:hAnsi="仿宋_GB2312" w:eastAsia="仿宋_GB2312" w:cs="仿宋_GB2312"/>
          <w:color w:val="auto"/>
          <w:sz w:val="32"/>
          <w:szCs w:val="32"/>
          <w:highlight w:val="none"/>
          <w:lang w:eastAsia="zh-CN"/>
        </w:rPr>
        <w:t>竞买</w:t>
      </w:r>
      <w:r>
        <w:rPr>
          <w:rFonts w:hint="eastAsia" w:ascii="仿宋_GB2312" w:hAnsi="仿宋_GB2312" w:eastAsia="仿宋_GB2312" w:cs="仿宋_GB2312"/>
          <w:color w:val="auto"/>
          <w:sz w:val="32"/>
          <w:szCs w:val="32"/>
          <w:highlight w:val="none"/>
        </w:rPr>
        <w:t>，申请人可以单独申请，也可以联合申请。</w:t>
      </w:r>
    </w:p>
    <w:p w14:paraId="5A871C73">
      <w:pPr>
        <w:keepNext w:val="0"/>
        <w:keepLines w:val="0"/>
        <w:pageBreakBefore w:val="0"/>
        <w:widowControl w:val="0"/>
        <w:kinsoku/>
        <w:wordWrap/>
        <w:overflowPunct/>
        <w:topLinePunct w:val="0"/>
        <w:autoSpaceDE/>
        <w:autoSpaceDN/>
        <w:bidi w:val="0"/>
        <w:adjustRightInd/>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三、本次出让地块采取无底价挂牌方式出让，最高价格的出价人即为竞得人。</w:t>
      </w:r>
    </w:p>
    <w:p w14:paraId="6E67B5F8">
      <w:pPr>
        <w:keepNext w:val="0"/>
        <w:keepLines w:val="0"/>
        <w:pageBreakBefore w:val="0"/>
        <w:widowControl w:val="0"/>
        <w:kinsoku/>
        <w:wordWrap/>
        <w:overflowPunct/>
        <w:topLinePunct w:val="0"/>
        <w:autoSpaceDE/>
        <w:autoSpaceDN/>
        <w:bidi w:val="0"/>
        <w:adjustRightInd/>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四、申请人可于2025年8月6日至2025年9月2日在郑州航空港经济综合实验区公共资源交易中心网站</w:t>
      </w:r>
      <w:bookmarkStart w:id="1" w:name="OLE_LINK6"/>
      <w:r>
        <w:rPr>
          <w:rFonts w:hint="eastAsia" w:ascii="仿宋_GB2312" w:hAnsi="仿宋_GB2312" w:eastAsia="仿宋_GB2312" w:cs="仿宋_GB2312"/>
          <w:color w:val="auto"/>
          <w:sz w:val="32"/>
          <w:szCs w:val="32"/>
          <w:lang w:val="en-US" w:eastAsia="zh-CN"/>
        </w:rPr>
        <w:t>http://www.zzhkgggzy.cn:18082/</w:t>
      </w:r>
      <w:bookmarkEnd w:id="1"/>
      <w:r>
        <w:rPr>
          <w:rFonts w:hint="eastAsia" w:ascii="仿宋_GB2312" w:hAnsi="仿宋_GB2312" w:eastAsia="仿宋_GB2312" w:cs="仿宋_GB2312"/>
          <w:color w:val="auto"/>
          <w:sz w:val="32"/>
          <w:szCs w:val="32"/>
          <w:lang w:val="en-US" w:eastAsia="zh-CN"/>
        </w:rPr>
        <w:t>下载获取挂牌出让文件，相关书面申请到公共资源交易中心901房间提交,竞买保证金截止时间2025年9月2日日12时。</w:t>
      </w:r>
    </w:p>
    <w:p w14:paraId="71F4AC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经审查，申请人按规定交纳竞买保证金，具备申请条件的，在2025年9月2日日17时前确定其竞买资格。</w:t>
      </w:r>
    </w:p>
    <w:p w14:paraId="2BB9FC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土地成交后，郑州航空港经济综合实验区公共资源交易中心向竞得人现场出具《竞得证明》。竞得人在成交后2个工作日内持《竞得证明》及相关资料到郑州航空港经济综合实验区自然资源和规划局进行资料审核，签订《成交确认书》。</w:t>
      </w:r>
    </w:p>
    <w:p w14:paraId="42C496E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right="0" w:rightChars="0" w:firstLine="640" w:firstLineChars="200"/>
        <w:jc w:val="both"/>
        <w:textAlignment w:val="auto"/>
        <w:outlineLvl w:val="9"/>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auto"/>
          <w:sz w:val="32"/>
          <w:szCs w:val="32"/>
          <w:lang w:val="en-US" w:eastAsia="zh-CN"/>
        </w:rPr>
        <w:t>五、本次国有建设用地使用权挂牌地点为：郑州航空港经济综合实验区赠之路与新港大道交叉口向西约150米路北郑州航空港经济综合实验区公共资源交易中心702房间。其中国有建设用地使用权公告时间为2025年8月6日至2025年8月25日，挂牌时间为2025年8月26日至2025年9月4日，挂牌截止时间为2025年9月4日9时。</w:t>
      </w:r>
    </w:p>
    <w:p w14:paraId="0578B284">
      <w:pPr>
        <w:keepNext w:val="0"/>
        <w:keepLines w:val="0"/>
        <w:pageBreakBefore w:val="0"/>
        <w:kinsoku/>
        <w:wordWrap/>
        <w:overflowPunct/>
        <w:topLinePunct w:val="0"/>
        <w:autoSpaceDE/>
        <w:autoSpaceDN/>
        <w:bidi w:val="0"/>
        <w:adjustRightInd/>
        <w:snapToGrid w:val="0"/>
        <w:spacing w:line="600" w:lineRule="exact"/>
        <w:ind w:lef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、其他需要公告的事项</w:t>
      </w:r>
    </w:p>
    <w:p w14:paraId="07AB7D9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outlineLvl w:val="9"/>
        <w:rPr>
          <w:rFonts w:hint="default" w:ascii="Times New Roman" w:hAnsi="Times New Roman" w:eastAsia="宋体" w:cs="Times New Roman"/>
          <w:lang w:val="en-US" w:eastAsia="zh-CN"/>
        </w:rPr>
      </w:pPr>
      <w:r>
        <w:rPr>
          <w:rFonts w:hint="eastAsia" w:ascii="仿宋_GB2312" w:hAnsi="仿宋_GB2312" w:eastAsia="仿宋_GB2312" w:cs="仿宋_GB2312"/>
          <w:sz w:val="32"/>
          <w:szCs w:val="32"/>
          <w:lang w:val="en-US" w:eastAsia="zh-CN"/>
        </w:rPr>
        <w:t>（一）挂牌时间截止时,有竞买人表示愿意继续竞价,转入现场竞价,通过现场竞价确定竞得人。</w:t>
      </w:r>
    </w:p>
    <w:p w14:paraId="7218F24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（二）本次挂牌为无底价挂牌，最高价格的出价人即为竞得人。</w:t>
      </w:r>
    </w:p>
    <w:p w14:paraId="3A7A1B0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bookmarkStart w:id="2" w:name="OLE_LINK5"/>
      <w:r>
        <w:rPr>
          <w:rFonts w:hint="eastAsia" w:ascii="仿宋_GB2312" w:hAnsi="仿宋_GB2312" w:eastAsia="仿宋_GB2312" w:cs="仿宋_GB2312"/>
          <w:sz w:val="32"/>
          <w:szCs w:val="32"/>
          <w:lang w:val="en-US" w:eastAsia="zh-CN"/>
        </w:rPr>
        <w:t>本次出让的地块</w:t>
      </w:r>
      <w:r>
        <w:rPr>
          <w:rFonts w:hint="eastAsia" w:ascii="仿宋_GB2312" w:hAnsi="仿宋_GB2312" w:eastAsia="仿宋_GB2312" w:cs="仿宋_GB2312"/>
          <w:sz w:val="32"/>
          <w:szCs w:val="32"/>
        </w:rPr>
        <w:t>土地出让价款于《国有建设用地使用权出让合同》签订之日起30日内缴清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竞得人付清全部挂牌成交价款后，依法申请办理土地相关手续。</w:t>
      </w:r>
      <w:bookmarkEnd w:id="2"/>
    </w:p>
    <w:p w14:paraId="1F90A86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）竞得人须依法在规定时限内完成项目立项、规划、环境影响评价等有关报批手续。</w:t>
      </w:r>
    </w:p>
    <w:p w14:paraId="0A9B23C8">
      <w:pPr>
        <w:keepNext w:val="0"/>
        <w:keepLines w:val="0"/>
        <w:pageBreakBefore w:val="0"/>
        <w:widowControl/>
        <w:kinsoku/>
        <w:wordWrap/>
        <w:overflowPunct/>
        <w:topLinePunct w:val="0"/>
        <w:autoSpaceDE/>
        <w:autoSpaceDN/>
        <w:bidi w:val="0"/>
        <w:adjustRightInd/>
        <w:snapToGrid w:val="0"/>
        <w:spacing w:line="60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lang w:eastAsia="zh-CN"/>
        </w:rPr>
        <w:t>、联系方式</w:t>
      </w:r>
      <w:r>
        <w:rPr>
          <w:rFonts w:hint="eastAsia" w:ascii="仿宋_GB2312" w:hAnsi="仿宋_GB2312" w:eastAsia="仿宋_GB2312" w:cs="仿宋_GB2312"/>
          <w:color w:val="auto"/>
          <w:sz w:val="32"/>
          <w:szCs w:val="32"/>
          <w:highlight w:val="none"/>
          <w:lang w:val="en-US" w:eastAsia="zh-CN"/>
        </w:rPr>
        <w:t>及银行账户</w:t>
      </w: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highlight w:val="none"/>
          <w:lang w:val="en-US" w:eastAsia="zh-CN"/>
        </w:rPr>
        <w:t xml:space="preserve">   </w:t>
      </w:r>
    </w:p>
    <w:p w14:paraId="341C2ED4">
      <w:pPr>
        <w:keepNext w:val="0"/>
        <w:keepLines w:val="0"/>
        <w:pageBreakBefore w:val="0"/>
        <w:widowControl/>
        <w:kinsoku/>
        <w:wordWrap/>
        <w:overflowPunct/>
        <w:topLinePunct w:val="0"/>
        <w:autoSpaceDE/>
        <w:autoSpaceDN/>
        <w:bidi w:val="0"/>
        <w:adjustRightInd/>
        <w:snapToGrid w:val="0"/>
        <w:spacing w:line="60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郑州航空港经济综合实验区自然资源和规划局：冯</w:t>
      </w:r>
      <w:r>
        <w:rPr>
          <w:rFonts w:hint="eastAsia" w:ascii="仿宋_GB2312" w:hAnsi="仿宋_GB2312" w:eastAsia="仿宋_GB2312" w:cs="仿宋_GB2312"/>
          <w:color w:val="auto"/>
          <w:sz w:val="32"/>
          <w:szCs w:val="32"/>
          <w:highlight w:val="none"/>
          <w:lang w:val="en-US" w:eastAsia="zh-CN"/>
        </w:rPr>
        <w:t>先生</w:t>
      </w:r>
      <w:r>
        <w:rPr>
          <w:rFonts w:hint="eastAsia" w:ascii="仿宋_GB2312" w:hAnsi="仿宋_GB2312" w:eastAsia="仿宋_GB2312" w:cs="仿宋_GB2312"/>
          <w:color w:val="auto"/>
          <w:sz w:val="32"/>
          <w:szCs w:val="32"/>
          <w:highlight w:val="none"/>
          <w:lang w:eastAsia="zh-CN"/>
        </w:rPr>
        <w:t>（0371）</w:t>
      </w:r>
      <w:r>
        <w:rPr>
          <w:rFonts w:hint="eastAsia" w:ascii="仿宋_GB2312" w:hAnsi="仿宋_GB2312" w:eastAsia="仿宋_GB2312" w:cs="仿宋_GB2312"/>
          <w:color w:val="auto"/>
          <w:sz w:val="32"/>
          <w:szCs w:val="32"/>
          <w:highlight w:val="none"/>
          <w:lang w:val="en-US" w:eastAsia="zh-CN"/>
        </w:rPr>
        <w:t>58551632</w:t>
      </w:r>
    </w:p>
    <w:p w14:paraId="78538084">
      <w:pPr>
        <w:keepNext w:val="0"/>
        <w:keepLines w:val="0"/>
        <w:pageBreakBefore w:val="0"/>
        <w:widowControl/>
        <w:kinsoku/>
        <w:wordWrap/>
        <w:overflowPunct/>
        <w:topLinePunct w:val="0"/>
        <w:autoSpaceDE/>
        <w:autoSpaceDN/>
        <w:bidi w:val="0"/>
        <w:adjustRightInd/>
        <w:snapToGrid w:val="0"/>
        <w:spacing w:line="46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郑州航空港经济综合实验区发展和统计局：朱女士（0371）66929833</w:t>
      </w:r>
    </w:p>
    <w:p w14:paraId="7C65A445">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郑州航空港经济综合实验区公共资源交易中心：张先生（0371）61318572</w:t>
      </w:r>
    </w:p>
    <w:p w14:paraId="3756BE5C">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银行账户：郑州航空港经济综合实验区公共资源交易中心</w:t>
      </w:r>
    </w:p>
    <w:p w14:paraId="7F6DE096">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开户行：中国银行郑州航空港分行</w:t>
      </w:r>
    </w:p>
    <w:p w14:paraId="48DB96C9">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子账户：253370023376</w:t>
      </w:r>
    </w:p>
    <w:p w14:paraId="30F407FA">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p>
    <w:p w14:paraId="7A528080">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银行账户：郑州航空港经济综合实验区公共资源交易中心</w:t>
      </w:r>
    </w:p>
    <w:p w14:paraId="03351012">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开户行：中信银行股份有限公司郑州航空港区支行</w:t>
      </w:r>
    </w:p>
    <w:p w14:paraId="13A74337">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子账户：3111130009970000812</w:t>
      </w:r>
    </w:p>
    <w:p w14:paraId="14377ADA">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p>
    <w:p w14:paraId="6DE69FE3">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银行账户：郑州航空港经济综合实验区公共资源交易中心</w:t>
      </w:r>
    </w:p>
    <w:p w14:paraId="1D7FE21F">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开户行：平安银行郑州港区支行</w:t>
      </w:r>
    </w:p>
    <w:p w14:paraId="1C5D610B">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子账户：30208283000199</w:t>
      </w:r>
    </w:p>
    <w:p w14:paraId="7E5BF84C">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p>
    <w:p w14:paraId="73719F74">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银行账户：郑州航空港经济综合实验区公共资源交易中心</w:t>
      </w:r>
    </w:p>
    <w:p w14:paraId="2D2B1CB8">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开户行：郑州银行股份有限公司航空港区支行</w:t>
      </w:r>
    </w:p>
    <w:p w14:paraId="75B99AC1">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子账户：888100090064327</w:t>
      </w:r>
    </w:p>
    <w:p w14:paraId="693BB49F">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p>
    <w:p w14:paraId="38C6E0E1">
      <w:pPr>
        <w:keepNext w:val="0"/>
        <w:keepLines w:val="0"/>
        <w:pageBreakBefore w:val="0"/>
        <w:kinsoku/>
        <w:wordWrap/>
        <w:overflowPunct/>
        <w:topLinePunct w:val="0"/>
        <w:autoSpaceDE/>
        <w:autoSpaceDN/>
        <w:bidi w:val="0"/>
        <w:adjustRightInd/>
        <w:spacing w:line="60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73E67DEA">
      <w:pPr>
        <w:keepNext w:val="0"/>
        <w:keepLines w:val="0"/>
        <w:pageBreakBefore w:val="0"/>
        <w:kinsoku/>
        <w:wordWrap/>
        <w:overflowPunct/>
        <w:topLinePunct w:val="0"/>
        <w:autoSpaceDE/>
        <w:autoSpaceDN/>
        <w:bidi w:val="0"/>
        <w:adjustRightInd/>
        <w:spacing w:line="600" w:lineRule="exact"/>
        <w:ind w:firstLine="5440" w:firstLineChars="1700"/>
        <w:textAlignment w:val="auto"/>
        <w:rPr>
          <w:rFonts w:ascii="Times New Roman" w:hAnsi="Times New Roman" w:eastAsia="宋体" w:cs="Times New Roman"/>
        </w:rPr>
      </w:pPr>
      <w:r>
        <w:rPr>
          <w:rFonts w:hint="eastAsia" w:ascii="仿宋_GB2312" w:hAnsi="仿宋_GB2312" w:eastAsia="仿宋_GB2312" w:cs="仿宋_GB2312"/>
          <w:color w:val="auto"/>
          <w:sz w:val="32"/>
          <w:szCs w:val="32"/>
          <w:highlight w:val="none"/>
          <w:lang w:val="en-US" w:eastAsia="zh-CN"/>
        </w:rPr>
        <w:t xml:space="preserve"> 2025年8月6日</w:t>
      </w:r>
    </w:p>
    <w:p w14:paraId="3E49D2FD">
      <w:pPr>
        <w:keepNext w:val="0"/>
        <w:keepLines w:val="0"/>
        <w:pageBreakBefore w:val="0"/>
        <w:widowControl w:val="0"/>
        <w:tabs>
          <w:tab w:val="left" w:pos="8280"/>
        </w:tabs>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r>
        <w:rPr>
          <w:rFonts w:hint="eastAsia" w:ascii="方正小标宋简体" w:hAnsi="方正小标宋简体" w:eastAsia="方正小标宋简体" w:cs="方正小标宋简体"/>
          <w:color w:val="auto"/>
          <w:sz w:val="44"/>
          <w:szCs w:val="44"/>
        </w:rPr>
        <w:t>国有建设用地使用权挂牌出让须知</w:t>
      </w:r>
    </w:p>
    <w:p w14:paraId="2F809225">
      <w:pPr>
        <w:keepNext w:val="0"/>
        <w:keepLines w:val="0"/>
        <w:pageBreakBefore w:val="0"/>
        <w:widowControl w:val="0"/>
        <w:tabs>
          <w:tab w:val="left" w:pos="8280"/>
        </w:tabs>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w:t>
      </w:r>
    </w:p>
    <w:p w14:paraId="27350839">
      <w:pPr>
        <w:keepNext w:val="0"/>
        <w:keepLines w:val="0"/>
        <w:pageBreakBefore w:val="0"/>
        <w:widowControl w:val="0"/>
        <w:tabs>
          <w:tab w:val="left" w:pos="8280"/>
        </w:tabs>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中华人民共和国土地管理法》《中华人民共和国城镇国有土地使用权出让和转让暂行条例》《招标拍卖挂牌出让国有土地使用权规定》以及《招标拍卖挂牌出让国有土地使用权规范》《郑州市人民政府办公厅转发郑州市公共资源交易管理委员会办公室关于郑州市公共资源交易管理暂行办法的通知》（郑政办（2017）7</w:t>
      </w:r>
      <w:r>
        <w:rPr>
          <w:rFonts w:hint="eastAsia" w:ascii="仿宋_GB2312" w:hAnsi="仿宋_GB2312" w:eastAsia="仿宋_GB2312" w:cs="仿宋_GB2312"/>
          <w:color w:val="auto"/>
          <w:sz w:val="32"/>
          <w:szCs w:val="32"/>
          <w:lang w:val="en-US" w:eastAsia="zh-CN"/>
        </w:rPr>
        <w:t>25号</w:t>
      </w:r>
      <w:r>
        <w:rPr>
          <w:rFonts w:hint="eastAsia" w:ascii="仿宋_GB2312" w:hAnsi="仿宋_GB2312" w:eastAsia="仿宋_GB2312" w:cs="仿宋_GB2312"/>
          <w:color w:val="auto"/>
          <w:sz w:val="32"/>
          <w:szCs w:val="32"/>
        </w:rPr>
        <w:t>）以及《郑州航空港经济综合实验区机构编制委员会关于公共资源交易管理体制有关问题的通知》（郑港编（2016）9号）等有关规定，经郑州航空港经济综合实验区（郑州新郑综合保税区)管理委员会批准，</w:t>
      </w:r>
      <w:r>
        <w:rPr>
          <w:rFonts w:hint="eastAsia" w:ascii="仿宋_GB2312" w:hAnsi="仿宋_GB2312" w:eastAsia="仿宋_GB2312" w:cs="仿宋_GB2312"/>
          <w:color w:val="auto"/>
          <w:sz w:val="32"/>
          <w:szCs w:val="32"/>
          <w:lang w:eastAsia="zh-CN"/>
        </w:rPr>
        <w:t>郑州航空港经济综合实验区自然资源和规划局</w:t>
      </w:r>
      <w:r>
        <w:rPr>
          <w:rFonts w:hint="eastAsia" w:ascii="仿宋_GB2312" w:hAnsi="仿宋_GB2312" w:eastAsia="仿宋_GB2312" w:cs="仿宋_GB2312"/>
          <w:color w:val="auto"/>
          <w:sz w:val="32"/>
          <w:szCs w:val="32"/>
        </w:rPr>
        <w:t>决定以挂牌方式公开出让</w:t>
      </w:r>
      <w:r>
        <w:rPr>
          <w:rFonts w:hint="eastAsia" w:ascii="仿宋_GB2312" w:hAnsi="仿宋_GB2312" w:eastAsia="仿宋_GB2312" w:cs="仿宋_GB2312"/>
          <w:color w:val="auto"/>
          <w:sz w:val="32"/>
          <w:szCs w:val="32"/>
          <w:lang w:eastAsia="zh-CN"/>
        </w:rPr>
        <w:t>郑港出〔2025〕120号</w:t>
      </w:r>
      <w:r>
        <w:rPr>
          <w:rFonts w:hint="eastAsia" w:ascii="仿宋_GB2312" w:hAnsi="仿宋_GB2312" w:eastAsia="仿宋_GB2312" w:cs="仿宋_GB2312"/>
          <w:color w:val="auto"/>
          <w:sz w:val="32"/>
          <w:szCs w:val="32"/>
        </w:rPr>
        <w:t>地块的国有建设用地使用权。</w:t>
      </w:r>
    </w:p>
    <w:p w14:paraId="3F211DE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一、此次国有建设用地使用权挂牌出让的出让人为</w:t>
      </w:r>
      <w:r>
        <w:rPr>
          <w:rFonts w:hint="eastAsia" w:ascii="仿宋_GB2312" w:hAnsi="仿宋_GB2312" w:eastAsia="仿宋_GB2312" w:cs="仿宋_GB2312"/>
          <w:color w:val="auto"/>
          <w:spacing w:val="20"/>
          <w:kern w:val="0"/>
          <w:sz w:val="32"/>
          <w:szCs w:val="32"/>
          <w:lang w:eastAsia="zh-CN"/>
        </w:rPr>
        <w:t>郑州航空港经济综合实验区自然资源和规划局</w:t>
      </w:r>
      <w:r>
        <w:rPr>
          <w:rFonts w:hint="eastAsia" w:ascii="仿宋_GB2312" w:hAnsi="仿宋_GB2312" w:eastAsia="仿宋_GB2312" w:cs="仿宋_GB2312"/>
          <w:color w:val="auto"/>
          <w:sz w:val="32"/>
          <w:szCs w:val="32"/>
        </w:rPr>
        <w:t>，具体组织实施人为</w:t>
      </w:r>
      <w:r>
        <w:rPr>
          <w:rFonts w:hint="eastAsia" w:ascii="仿宋_GB2312" w:hAnsi="仿宋_GB2312" w:eastAsia="仿宋_GB2312" w:cs="仿宋_GB2312"/>
          <w:color w:val="auto"/>
          <w:sz w:val="32"/>
          <w:szCs w:val="32"/>
          <w:lang w:eastAsia="zh-CN"/>
        </w:rPr>
        <w:t>郑州航空港经济综合实验区公共资源交易中心</w:t>
      </w:r>
      <w:r>
        <w:rPr>
          <w:rFonts w:hint="eastAsia" w:ascii="仿宋_GB2312" w:hAnsi="仿宋_GB2312" w:eastAsia="仿宋_GB2312" w:cs="仿宋_GB2312"/>
          <w:color w:val="auto"/>
          <w:sz w:val="32"/>
          <w:szCs w:val="32"/>
        </w:rPr>
        <w:t>。</w:t>
      </w:r>
    </w:p>
    <w:p w14:paraId="050BC2E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二、此次国有建设用地使用权挂牌出让遵循公开、公平、公正和诚实信用原则。</w:t>
      </w:r>
    </w:p>
    <w:p w14:paraId="719CD1F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本次挂牌最高价格的出价人即为竞得人。</w:t>
      </w:r>
    </w:p>
    <w:p w14:paraId="1E1CA75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三、出让地块的基本情况及规划指标要求：</w:t>
      </w:r>
    </w:p>
    <w:p w14:paraId="2AFF458B">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（一）地块位置：</w:t>
      </w:r>
      <w:r>
        <w:rPr>
          <w:rFonts w:hint="eastAsia" w:ascii="仿宋_GB2312" w:hAnsi="仿宋_GB2312" w:eastAsia="仿宋_GB2312" w:cs="仿宋_GB2312"/>
          <w:sz w:val="32"/>
          <w:szCs w:val="32"/>
          <w:highlight w:val="none"/>
          <w:u w:val="single"/>
          <w:lang w:eastAsia="zh-CN"/>
        </w:rPr>
        <w:t>黄海路以南、游龙路以西</w:t>
      </w:r>
      <w:r>
        <w:rPr>
          <w:rFonts w:hint="eastAsia" w:ascii="仿宋_GB2312" w:hAnsi="仿宋_GB2312" w:eastAsia="仿宋_GB2312" w:cs="仿宋_GB2312"/>
          <w:color w:val="auto"/>
          <w:sz w:val="32"/>
          <w:szCs w:val="32"/>
          <w:u w:val="none"/>
          <w:lang w:eastAsia="zh-CN"/>
        </w:rPr>
        <w:t>；</w:t>
      </w:r>
    </w:p>
    <w:p w14:paraId="3FF7898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（二）地块范围：</w:t>
      </w:r>
      <w:r>
        <w:rPr>
          <w:rFonts w:hint="eastAsia" w:ascii="仿宋_GB2312" w:hAnsi="仿宋_GB2312" w:eastAsia="仿宋_GB2312" w:cs="仿宋_GB2312"/>
          <w:color w:val="auto"/>
          <w:sz w:val="32"/>
          <w:szCs w:val="32"/>
          <w:u w:val="single"/>
        </w:rPr>
        <w:t>详见平面界址图</w:t>
      </w:r>
      <w:r>
        <w:rPr>
          <w:rFonts w:hint="eastAsia" w:ascii="仿宋_GB2312" w:hAnsi="仿宋_GB2312" w:eastAsia="仿宋_GB2312" w:cs="仿宋_GB2312"/>
          <w:color w:val="auto"/>
          <w:sz w:val="32"/>
          <w:szCs w:val="32"/>
        </w:rPr>
        <w:t>；</w:t>
      </w:r>
    </w:p>
    <w:p w14:paraId="3E8D35D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（三）出让面积：</w:t>
      </w:r>
      <w:r>
        <w:rPr>
          <w:rFonts w:hint="eastAsia" w:ascii="仿宋_GB2312" w:hAnsi="仿宋_GB2312" w:cs="仿宋_GB2312"/>
          <w:color w:val="auto"/>
          <w:sz w:val="32"/>
          <w:szCs w:val="32"/>
          <w:u w:val="single"/>
          <w:lang w:val="en-US" w:eastAsia="zh-CN"/>
        </w:rPr>
        <w:t>222185.77</w:t>
      </w:r>
      <w:r>
        <w:rPr>
          <w:rFonts w:hint="eastAsia" w:ascii="仿宋_GB2312" w:hAnsi="仿宋_GB2312" w:eastAsia="仿宋_GB2312" w:cs="仿宋_GB2312"/>
          <w:color w:val="auto"/>
          <w:sz w:val="32"/>
          <w:szCs w:val="32"/>
        </w:rPr>
        <w:t>平方米；</w:t>
      </w:r>
    </w:p>
    <w:p w14:paraId="2563FE3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（四）土地用途：</w:t>
      </w:r>
      <w:r>
        <w:rPr>
          <w:rFonts w:hint="eastAsia" w:ascii="仿宋_GB2312" w:hAnsi="仿宋_GB2312" w:eastAsia="仿宋_GB2312" w:cs="仿宋_GB2312"/>
          <w:color w:val="auto"/>
          <w:sz w:val="32"/>
          <w:szCs w:val="32"/>
          <w:u w:val="single"/>
          <w:lang w:val="en-US" w:eastAsia="zh-CN"/>
        </w:rPr>
        <w:t>工业用地</w:t>
      </w:r>
      <w:r>
        <w:rPr>
          <w:rFonts w:hint="eastAsia" w:ascii="仿宋_GB2312" w:hAnsi="仿宋_GB2312" w:eastAsia="仿宋_GB2312" w:cs="仿宋_GB2312"/>
          <w:color w:val="auto"/>
          <w:sz w:val="32"/>
          <w:szCs w:val="32"/>
        </w:rPr>
        <w:t>；</w:t>
      </w:r>
    </w:p>
    <w:p w14:paraId="0B6F620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（五）地下空间开发情况：</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地下空间主要使用功能为配建停车、人防工程</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rPr>
        <w:t>；</w:t>
      </w:r>
    </w:p>
    <w:p w14:paraId="667072EB">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六</w:t>
      </w:r>
      <w:r>
        <w:rPr>
          <w:rFonts w:hint="eastAsia" w:ascii="仿宋_GB2312" w:hAnsi="仿宋_GB2312" w:eastAsia="仿宋_GB2312" w:cs="仿宋_GB2312"/>
          <w:color w:val="auto"/>
          <w:sz w:val="32"/>
          <w:szCs w:val="32"/>
        </w:rPr>
        <w:t>）规划指标：</w:t>
      </w:r>
      <w:r>
        <w:rPr>
          <w:rFonts w:hint="eastAsia" w:ascii="仿宋_GB2312" w:hAnsi="仿宋_GB2312" w:eastAsia="仿宋_GB2312" w:cs="仿宋_GB2312"/>
          <w:color w:val="auto"/>
          <w:sz w:val="32"/>
          <w:szCs w:val="32"/>
          <w:u w:val="single"/>
        </w:rPr>
        <w:t>详见《建设用地规划设计条件通知书》</w:t>
      </w:r>
      <w:r>
        <w:rPr>
          <w:rFonts w:hint="eastAsia" w:ascii="仿宋_GB2312" w:hAnsi="仿宋_GB2312" w:eastAsia="仿宋_GB2312" w:cs="仿宋_GB2312"/>
          <w:color w:val="auto"/>
          <w:sz w:val="32"/>
          <w:szCs w:val="32"/>
        </w:rPr>
        <w:t>；</w:t>
      </w:r>
    </w:p>
    <w:p w14:paraId="1D3D48B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七</w:t>
      </w:r>
      <w:r>
        <w:rPr>
          <w:rFonts w:hint="eastAsia" w:ascii="仿宋_GB2312" w:hAnsi="仿宋_GB2312" w:eastAsia="仿宋_GB2312" w:cs="仿宋_GB2312"/>
          <w:color w:val="auto"/>
          <w:sz w:val="32"/>
          <w:szCs w:val="32"/>
        </w:rPr>
        <w:t>）土地使用权出让年期：</w:t>
      </w:r>
      <w:r>
        <w:rPr>
          <w:rFonts w:hint="eastAsia" w:ascii="仿宋_GB2312" w:hAnsi="仿宋_GB2312" w:eastAsia="仿宋_GB2312" w:cs="仿宋_GB2312"/>
          <w:color w:val="auto"/>
          <w:sz w:val="32"/>
          <w:szCs w:val="32"/>
          <w:u w:val="single"/>
        </w:rPr>
        <w:t>50年</w:t>
      </w:r>
      <w:r>
        <w:rPr>
          <w:rFonts w:hint="eastAsia" w:ascii="仿宋_GB2312" w:hAnsi="仿宋_GB2312" w:eastAsia="仿宋_GB2312" w:cs="仿宋_GB2312"/>
          <w:color w:val="auto"/>
          <w:sz w:val="32"/>
          <w:szCs w:val="32"/>
          <w:lang w:eastAsia="zh-CN"/>
        </w:rPr>
        <w:t>；</w:t>
      </w:r>
    </w:p>
    <w:p w14:paraId="5BEC7A2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u w:val="single"/>
          <w:lang w:eastAsia="zh-CN"/>
        </w:rPr>
      </w:pPr>
      <w:r>
        <w:rPr>
          <w:rFonts w:hint="eastAsia" w:ascii="仿宋_GB2312" w:hAnsi="仿宋_GB2312" w:eastAsia="仿宋_GB2312" w:cs="仿宋_GB2312"/>
          <w:color w:val="auto"/>
          <w:sz w:val="32"/>
          <w:szCs w:val="32"/>
          <w:lang w:eastAsia="zh-CN"/>
        </w:rPr>
        <w:t>（八）出让地块各项建设要求：</w:t>
      </w:r>
      <w:r>
        <w:rPr>
          <w:rFonts w:hint="eastAsia" w:ascii="仿宋_GB2312" w:hAnsi="仿宋_GB2312" w:eastAsia="仿宋_GB2312" w:cs="仿宋_GB2312"/>
          <w:color w:val="auto"/>
          <w:sz w:val="32"/>
          <w:szCs w:val="32"/>
          <w:u w:val="single"/>
          <w:lang w:eastAsia="zh-CN"/>
        </w:rPr>
        <w:t>人防意见、配建装配式建筑、环保要求、产业准入要求见挂牌文件；</w:t>
      </w:r>
    </w:p>
    <w:p w14:paraId="048D25A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left"/>
        <w:textAlignment w:val="auto"/>
        <w:rPr>
          <w:rFonts w:hint="eastAsia" w:ascii="仿宋_GB2312" w:hAnsi="仿宋_GB2312" w:eastAsia="仿宋_GB2312" w:cs="仿宋_GB2312"/>
          <w:color w:val="000000"/>
          <w:sz w:val="32"/>
          <w:szCs w:val="32"/>
          <w:u w:val="single"/>
          <w:lang w:eastAsia="zh-CN"/>
        </w:rPr>
      </w:pPr>
      <w:r>
        <w:rPr>
          <w:rFonts w:hint="eastAsia" w:ascii="仿宋_GB2312" w:hAnsi="仿宋_GB2312" w:eastAsia="仿宋_GB2312" w:cs="仿宋_GB2312"/>
          <w:color w:val="auto"/>
          <w:sz w:val="32"/>
          <w:szCs w:val="32"/>
          <w:lang w:eastAsia="zh-CN"/>
        </w:rPr>
        <w:t>（九）开竣工时间：</w:t>
      </w:r>
      <w:r>
        <w:rPr>
          <w:rFonts w:hint="eastAsia" w:ascii="仿宋_GB2312" w:hAnsi="仿宋_GB2312" w:eastAsia="仿宋_GB2312" w:cs="仿宋_GB2312"/>
          <w:color w:val="000000"/>
          <w:sz w:val="32"/>
          <w:szCs w:val="32"/>
          <w:u w:val="single"/>
          <w:lang w:eastAsia="zh-CN"/>
        </w:rPr>
        <w:t>开工时间为《国有建设用地使用权出让合同》签订之日起</w:t>
      </w:r>
      <w:r>
        <w:rPr>
          <w:rFonts w:hint="eastAsia" w:ascii="仿宋_GB2312" w:hAnsi="仿宋_GB2312" w:eastAsia="仿宋_GB2312" w:cs="仿宋_GB2312"/>
          <w:color w:val="000000"/>
          <w:sz w:val="32"/>
          <w:szCs w:val="32"/>
          <w:u w:val="single"/>
          <w:lang w:val="en-US" w:eastAsia="zh-CN"/>
        </w:rPr>
        <w:t>90日</w:t>
      </w:r>
      <w:r>
        <w:rPr>
          <w:rFonts w:hint="eastAsia" w:ascii="仿宋_GB2312" w:hAnsi="仿宋_GB2312" w:eastAsia="仿宋_GB2312" w:cs="仿宋_GB2312"/>
          <w:color w:val="000000"/>
          <w:sz w:val="32"/>
          <w:szCs w:val="32"/>
          <w:u w:val="single"/>
          <w:lang w:eastAsia="zh-CN"/>
        </w:rPr>
        <w:t>内，竣工时间为开工之日起五年内。</w:t>
      </w:r>
    </w:p>
    <w:p w14:paraId="112E8A3A">
      <w:pPr>
        <w:pStyle w:val="6"/>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四、竞买资格及要求</w:t>
      </w:r>
    </w:p>
    <w:p w14:paraId="55D6F54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交纳竞买保证金的截止时间为</w:t>
      </w:r>
      <w:r>
        <w:rPr>
          <w:rFonts w:hint="eastAsia" w:ascii="仿宋_GB2312" w:hAnsi="仿宋_GB2312" w:eastAsia="仿宋_GB2312" w:cs="仿宋_GB2312"/>
          <w:color w:val="auto"/>
          <w:sz w:val="32"/>
          <w:szCs w:val="32"/>
          <w:highlight w:val="none"/>
          <w:lang w:val="en-US" w:eastAsia="zh-CN"/>
        </w:rPr>
        <w:t>2025年9月2日日12时</w:t>
      </w:r>
      <w:r>
        <w:rPr>
          <w:rFonts w:hint="eastAsia" w:ascii="仿宋_GB2312" w:hAnsi="仿宋_GB2312" w:eastAsia="仿宋_GB2312" w:cs="仿宋_GB2312"/>
          <w:color w:val="auto"/>
          <w:sz w:val="32"/>
          <w:szCs w:val="32"/>
          <w:highlight w:val="none"/>
        </w:rPr>
        <w:t>，以到账时间为准。本宗地的竞买保证金为人民币大写</w:t>
      </w:r>
      <w:bookmarkStart w:id="3" w:name="OLE_LINK1"/>
      <w:r>
        <w:rPr>
          <w:rFonts w:hint="eastAsia" w:ascii="仿宋_GB2312" w:hAnsi="仿宋_GB2312" w:eastAsia="仿宋_GB2312" w:cs="仿宋_GB2312"/>
          <w:color w:val="auto"/>
          <w:sz w:val="32"/>
          <w:szCs w:val="32"/>
          <w:highlight w:val="none"/>
          <w:u w:val="single"/>
          <w:lang w:eastAsia="zh-CN"/>
        </w:rPr>
        <w:t>叁仟捌佰叁拾陆万元</w:t>
      </w:r>
      <w:r>
        <w:rPr>
          <w:rFonts w:hint="eastAsia" w:ascii="仿宋_GB2312" w:hAnsi="仿宋_GB2312" w:eastAsia="仿宋_GB2312" w:cs="仿宋_GB2312"/>
          <w:color w:val="auto"/>
          <w:sz w:val="32"/>
          <w:szCs w:val="32"/>
          <w:highlight w:val="none"/>
          <w:lang w:eastAsia="zh-CN"/>
        </w:rPr>
        <w:t>整</w:t>
      </w:r>
      <w:r>
        <w:rPr>
          <w:rFonts w:hint="eastAsia" w:ascii="仿宋_GB2312" w:hAnsi="仿宋_GB2312" w:eastAsia="仿宋_GB2312" w:cs="仿宋_GB2312"/>
          <w:color w:val="auto"/>
          <w:sz w:val="32"/>
          <w:szCs w:val="32"/>
          <w:highlight w:val="none"/>
        </w:rPr>
        <w:t>（小写</w:t>
      </w:r>
      <w:r>
        <w:rPr>
          <w:rFonts w:hint="eastAsia" w:ascii="仿宋_GB2312" w:hAnsi="仿宋_GB2312" w:eastAsia="仿宋_GB2312" w:cs="仿宋_GB2312"/>
          <w:color w:val="auto"/>
          <w:sz w:val="32"/>
          <w:szCs w:val="32"/>
          <w:highlight w:val="none"/>
          <w:u w:val="single"/>
          <w:lang w:val="en-US" w:eastAsia="zh-CN"/>
        </w:rPr>
        <w:t>38360000</w:t>
      </w:r>
      <w:r>
        <w:rPr>
          <w:rFonts w:hint="eastAsia" w:ascii="仿宋_GB2312" w:hAnsi="仿宋_GB2312" w:eastAsia="仿宋_GB2312" w:cs="仿宋_GB2312"/>
          <w:color w:val="auto"/>
          <w:sz w:val="32"/>
          <w:szCs w:val="32"/>
          <w:highlight w:val="none"/>
        </w:rPr>
        <w:t>元）</w:t>
      </w:r>
      <w:bookmarkEnd w:id="3"/>
      <w:r>
        <w:rPr>
          <w:rFonts w:hint="eastAsia" w:ascii="仿宋_GB2312" w:hAnsi="仿宋_GB2312" w:eastAsia="仿宋_GB2312" w:cs="仿宋_GB2312"/>
          <w:color w:val="auto"/>
          <w:sz w:val="32"/>
          <w:szCs w:val="32"/>
          <w:highlight w:val="none"/>
        </w:rPr>
        <w:t>。</w:t>
      </w:r>
    </w:p>
    <w:p w14:paraId="7068B5D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五、申请和资格审查</w:t>
      </w:r>
    </w:p>
    <w:p w14:paraId="4B53F03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（一）挂牌文件取得</w:t>
      </w:r>
    </w:p>
    <w:p w14:paraId="307C2BF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申请人可于</w:t>
      </w:r>
      <w:r>
        <w:rPr>
          <w:rFonts w:hint="eastAsia" w:ascii="仿宋_GB2312" w:hAnsi="仿宋_GB2312" w:eastAsia="仿宋_GB2312" w:cs="仿宋_GB2312"/>
          <w:color w:val="auto"/>
          <w:sz w:val="32"/>
          <w:szCs w:val="32"/>
          <w:highlight w:val="none"/>
          <w:lang w:val="en-US" w:eastAsia="zh-CN"/>
        </w:rPr>
        <w:t>2025年8月6日至2025年9月2日</w:t>
      </w:r>
      <w:r>
        <w:rPr>
          <w:rFonts w:hint="eastAsia" w:ascii="仿宋_GB2312" w:hAnsi="仿宋_GB2312" w:eastAsia="仿宋_GB2312" w:cs="仿宋_GB2312"/>
          <w:color w:val="auto"/>
          <w:sz w:val="32"/>
          <w:szCs w:val="32"/>
          <w:highlight w:val="none"/>
        </w:rPr>
        <w:t>在</w:t>
      </w:r>
      <w:r>
        <w:rPr>
          <w:rFonts w:hint="eastAsia" w:ascii="仿宋_GB2312" w:hAnsi="仿宋_GB2312" w:eastAsia="仿宋_GB2312" w:cs="仿宋_GB2312"/>
          <w:color w:val="auto"/>
          <w:sz w:val="32"/>
          <w:szCs w:val="32"/>
          <w:highlight w:val="none"/>
          <w:lang w:eastAsia="zh-CN"/>
        </w:rPr>
        <w:t>郑州航空港经济综合实验区公共资源交易中心</w:t>
      </w:r>
      <w:r>
        <w:rPr>
          <w:rFonts w:hint="eastAsia" w:ascii="仿宋_GB2312" w:hAnsi="仿宋_GB2312" w:eastAsia="仿宋_GB2312" w:cs="仿宋_GB2312"/>
          <w:color w:val="auto"/>
          <w:sz w:val="32"/>
          <w:szCs w:val="32"/>
          <w:highlight w:val="none"/>
        </w:rPr>
        <w:t>网站</w:t>
      </w:r>
      <w:r>
        <w:rPr>
          <w:rFonts w:hint="eastAsia" w:ascii="仿宋_GB2312" w:hAnsi="仿宋_GB2312" w:eastAsia="仿宋_GB2312" w:cs="仿宋_GB2312"/>
          <w:color w:val="auto"/>
          <w:sz w:val="32"/>
          <w:szCs w:val="32"/>
          <w:lang w:val="en-US" w:eastAsia="zh-CN"/>
        </w:rPr>
        <w:t>http://www.zzhkgggzy.cn:18082/</w:t>
      </w:r>
      <w:r>
        <w:rPr>
          <w:rFonts w:hint="eastAsia" w:ascii="仿宋_GB2312" w:hAnsi="仿宋_GB2312" w:eastAsia="仿宋_GB2312" w:cs="仿宋_GB2312"/>
          <w:color w:val="auto"/>
          <w:sz w:val="32"/>
          <w:szCs w:val="32"/>
          <w:highlight w:val="none"/>
        </w:rPr>
        <w:t>下载获取挂牌出让文件，具体包括：</w:t>
      </w:r>
    </w:p>
    <w:p w14:paraId="2FA0E53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1．国有建设用地使用权挂牌出让公告；</w:t>
      </w:r>
    </w:p>
    <w:p w14:paraId="40D56E4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2．国有建设用地使用权挂牌出让须知；</w:t>
      </w:r>
    </w:p>
    <w:p w14:paraId="7C9CD89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3．竞买申请书；</w:t>
      </w:r>
    </w:p>
    <w:p w14:paraId="0105E12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4．法人代表身份证明书；</w:t>
      </w:r>
    </w:p>
    <w:p w14:paraId="4DA50F9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5．授权委托书；</w:t>
      </w:r>
    </w:p>
    <w:p w14:paraId="54BF6EF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6．竞得土地后成立新公司进行开发的申请；</w:t>
      </w:r>
    </w:p>
    <w:p w14:paraId="4412D70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7．竞买资格确认书；</w:t>
      </w:r>
    </w:p>
    <w:p w14:paraId="6F6F696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8．国有建设用地使用权挂牌出让竞买报价单；</w:t>
      </w:r>
    </w:p>
    <w:p w14:paraId="19A721B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9．成交确认书；</w:t>
      </w:r>
    </w:p>
    <w:p w14:paraId="396DAF8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10．国有建设用地使用权出让合同；</w:t>
      </w:r>
    </w:p>
    <w:p w14:paraId="3C1A069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11．平面定界图；</w:t>
      </w:r>
    </w:p>
    <w:p w14:paraId="27147FD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12．建设用地规划设计条件通知书；</w:t>
      </w:r>
    </w:p>
    <w:p w14:paraId="1A2F99A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 建设项目</w:t>
      </w:r>
      <w:r>
        <w:rPr>
          <w:rFonts w:hint="eastAsia" w:ascii="仿宋_GB2312" w:hAnsi="仿宋_GB2312" w:eastAsia="仿宋_GB2312" w:cs="仿宋_GB2312"/>
          <w:color w:val="auto"/>
          <w:sz w:val="32"/>
          <w:szCs w:val="32"/>
          <w:highlight w:val="none"/>
          <w:lang w:eastAsia="zh-CN"/>
        </w:rPr>
        <w:t>环保用地</w:t>
      </w:r>
      <w:r>
        <w:rPr>
          <w:rFonts w:hint="eastAsia" w:ascii="仿宋_GB2312" w:hAnsi="仿宋_GB2312" w:eastAsia="仿宋_GB2312" w:cs="仿宋_GB2312"/>
          <w:color w:val="auto"/>
          <w:sz w:val="32"/>
          <w:szCs w:val="32"/>
          <w:highlight w:val="none"/>
        </w:rPr>
        <w:t>条件；</w:t>
      </w:r>
    </w:p>
    <w:p w14:paraId="4A78C6F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14. 防空地下室设计条件通知书；</w:t>
      </w:r>
    </w:p>
    <w:p w14:paraId="2C43D52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kern w:val="2"/>
          <w:sz w:val="32"/>
          <w:szCs w:val="32"/>
          <w:highlight w:val="none"/>
          <w:lang w:val="en-US" w:eastAsia="zh-CN" w:bidi="ar-SA"/>
        </w:rPr>
        <w:t xml:space="preserve">15. </w:t>
      </w:r>
      <w:r>
        <w:rPr>
          <w:rFonts w:hint="eastAsia" w:ascii="仿宋_GB2312" w:hAnsi="仿宋_GB2312" w:eastAsia="仿宋_GB2312" w:cs="仿宋_GB2312"/>
          <w:color w:val="auto"/>
          <w:sz w:val="32"/>
          <w:szCs w:val="32"/>
          <w:u w:val="none"/>
          <w:lang w:eastAsia="zh-CN"/>
        </w:rPr>
        <w:t>配建装配式建筑条件；</w:t>
      </w:r>
    </w:p>
    <w:p w14:paraId="553F45A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kern w:val="0"/>
          <w:sz w:val="32"/>
          <w:szCs w:val="15"/>
          <w:lang w:val="en-US" w:eastAsia="zh-CN" w:bidi="ar-SA"/>
        </w:rPr>
      </w:pPr>
      <w:r>
        <w:rPr>
          <w:rFonts w:hint="eastAsia" w:ascii="仿宋_GB2312" w:hAnsi="仿宋_GB2312" w:eastAsia="仿宋_GB2312" w:cs="仿宋_GB2312"/>
          <w:color w:val="auto"/>
          <w:sz w:val="32"/>
          <w:szCs w:val="32"/>
          <w:u w:val="none"/>
          <w:lang w:val="en-US" w:eastAsia="zh-CN"/>
        </w:rPr>
        <w:t xml:space="preserve">16. </w:t>
      </w:r>
      <w:r>
        <w:rPr>
          <w:rFonts w:hint="eastAsia" w:ascii="仿宋_GB2312" w:hAnsi="仿宋_GB2312" w:eastAsia="仿宋_GB2312" w:cs="仿宋_GB2312"/>
          <w:color w:val="auto"/>
          <w:kern w:val="0"/>
          <w:sz w:val="32"/>
          <w:szCs w:val="15"/>
          <w:lang w:val="en-US" w:eastAsia="zh-CN" w:bidi="ar-SA"/>
        </w:rPr>
        <w:t>产业准入要求；</w:t>
      </w:r>
    </w:p>
    <w:p w14:paraId="66795FA6">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lang w:val="en-US" w:eastAsia="zh-CN"/>
        </w:rPr>
      </w:pPr>
      <w:r>
        <w:rPr>
          <w:rFonts w:hint="eastAsia" w:ascii="仿宋_GB2312" w:hAnsi="仿宋_GB2312" w:eastAsia="仿宋_GB2312" w:cs="仿宋_GB2312"/>
          <w:color w:val="auto"/>
          <w:sz w:val="32"/>
          <w:szCs w:val="32"/>
          <w:u w:val="none"/>
          <w:lang w:val="en-US" w:eastAsia="zh-CN"/>
        </w:rPr>
        <w:t xml:space="preserve">17. </w:t>
      </w:r>
      <w:r>
        <w:rPr>
          <w:rFonts w:hint="eastAsia" w:ascii="仿宋_GB2312" w:hAnsi="仿宋_GB2312" w:eastAsia="仿宋_GB2312" w:cs="仿宋_GB2312"/>
          <w:color w:val="auto"/>
          <w:kern w:val="0"/>
          <w:sz w:val="32"/>
          <w:szCs w:val="15"/>
          <w:lang w:val="en-US" w:eastAsia="zh-CN" w:bidi="ar-SA"/>
        </w:rPr>
        <w:t>地块瑕疵说明。</w:t>
      </w:r>
    </w:p>
    <w:p w14:paraId="2CB2D15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（二）提交申请</w:t>
      </w:r>
    </w:p>
    <w:p w14:paraId="508D4F86">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申请人</w:t>
      </w:r>
      <w:r>
        <w:rPr>
          <w:rFonts w:hint="eastAsia" w:ascii="仿宋_GB2312" w:hAnsi="仿宋_GB2312" w:eastAsia="仿宋_GB2312" w:cs="仿宋_GB2312"/>
          <w:color w:val="auto"/>
          <w:sz w:val="32"/>
          <w:szCs w:val="32"/>
          <w:highlight w:val="none"/>
          <w:lang w:eastAsia="zh-CN"/>
        </w:rPr>
        <w:t>可于</w:t>
      </w:r>
      <w:r>
        <w:rPr>
          <w:rFonts w:hint="eastAsia" w:ascii="仿宋_GB2312" w:hAnsi="仿宋_GB2312" w:eastAsia="仿宋_GB2312" w:cs="仿宋_GB2312"/>
          <w:color w:val="auto"/>
          <w:sz w:val="32"/>
          <w:szCs w:val="32"/>
          <w:highlight w:val="none"/>
          <w:lang w:val="en-US" w:eastAsia="zh-CN"/>
        </w:rPr>
        <w:t>2025年8月6日至2025年9月2日</w:t>
      </w:r>
      <w:r>
        <w:rPr>
          <w:rFonts w:hint="eastAsia" w:ascii="仿宋_GB2312" w:hAnsi="仿宋_GB2312" w:eastAsia="仿宋_GB2312" w:cs="仿宋_GB2312"/>
          <w:color w:val="auto"/>
          <w:sz w:val="32"/>
          <w:szCs w:val="32"/>
          <w:highlight w:val="none"/>
        </w:rPr>
        <w:t>到</w:t>
      </w:r>
      <w:r>
        <w:rPr>
          <w:rFonts w:hint="eastAsia" w:ascii="仿宋_GB2312" w:hAnsi="仿宋_GB2312" w:eastAsia="仿宋_GB2312" w:cs="仿宋_GB2312"/>
          <w:color w:val="auto"/>
          <w:sz w:val="32"/>
          <w:szCs w:val="32"/>
          <w:highlight w:val="none"/>
          <w:lang w:eastAsia="zh-CN"/>
        </w:rPr>
        <w:t>郑州航空港经济综合实验区公共资源交易中心</w:t>
      </w:r>
      <w:r>
        <w:rPr>
          <w:rFonts w:hint="eastAsia" w:ascii="仿宋_GB2312" w:hAnsi="仿宋_GB2312" w:eastAsia="仿宋_GB2312" w:cs="仿宋_GB2312"/>
          <w:color w:val="auto"/>
          <w:sz w:val="32"/>
          <w:szCs w:val="32"/>
          <w:highlight w:val="none"/>
        </w:rPr>
        <w:t>提交书面申请。申请文件</w:t>
      </w:r>
      <w:r>
        <w:rPr>
          <w:rFonts w:hint="eastAsia" w:ascii="仿宋_GB2312" w:hAnsi="仿宋_GB2312" w:eastAsia="仿宋_GB2312" w:cs="仿宋_GB2312"/>
          <w:color w:val="auto"/>
          <w:sz w:val="32"/>
          <w:szCs w:val="32"/>
          <w:highlight w:val="none"/>
          <w:lang w:eastAsia="zh-CN"/>
        </w:rPr>
        <w:t>还</w:t>
      </w:r>
      <w:r>
        <w:rPr>
          <w:rFonts w:hint="eastAsia" w:ascii="仿宋_GB2312" w:hAnsi="仿宋_GB2312" w:eastAsia="仿宋_GB2312" w:cs="仿宋_GB2312"/>
          <w:color w:val="auto"/>
          <w:sz w:val="32"/>
          <w:szCs w:val="32"/>
          <w:highlight w:val="none"/>
        </w:rPr>
        <w:t>包括：</w:t>
      </w:r>
    </w:p>
    <w:p w14:paraId="677FA23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1．法人申请的，应提交下列文件：</w:t>
      </w:r>
    </w:p>
    <w:p w14:paraId="5BEE350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（1）竞买申请书；</w:t>
      </w:r>
    </w:p>
    <w:p w14:paraId="6D426296">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（2）法人单位有效证明文件；</w:t>
      </w:r>
    </w:p>
    <w:p w14:paraId="5622287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注：《营业执照》复印件（验原件，复印件加盖法人单位公章）。</w:t>
      </w:r>
    </w:p>
    <w:p w14:paraId="4999058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（3）法定代表人的有效身份证明文件；</w:t>
      </w:r>
    </w:p>
    <w:p w14:paraId="2830DE4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注：法人单位盖章的法人代表身份证复印件（验原件，复印件加盖法人单位公章）；法人代表证明书复印件（验原件，复印件加盖法人单位公章），或法人单位出具的法人代表证明。</w:t>
      </w:r>
    </w:p>
    <w:p w14:paraId="12D224C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（4）申请人委托他人办理的，应提交授权委托书及委托代理人的有效身份证明文件；</w:t>
      </w:r>
    </w:p>
    <w:p w14:paraId="72E17F4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（5）竞买保证金交纳凭证；</w:t>
      </w:r>
    </w:p>
    <w:p w14:paraId="4258B489">
      <w:pPr>
        <w:keepNext w:val="0"/>
        <w:keepLines w:val="0"/>
        <w:pageBreakBefore w:val="0"/>
        <w:widowControl w:val="0"/>
        <w:kinsoku/>
        <w:wordWrap/>
        <w:overflowPunct/>
        <w:topLinePunct w:val="0"/>
        <w:autoSpaceDE/>
        <w:autoSpaceDN/>
        <w:bidi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）如成立新公司开发的，需提交</w:t>
      </w:r>
      <w:r>
        <w:rPr>
          <w:rFonts w:hint="eastAsia" w:ascii="仿宋_GB2312" w:hAnsi="仿宋_GB2312" w:eastAsia="仿宋_GB2312" w:cs="仿宋_GB2312"/>
          <w:color w:val="auto"/>
          <w:sz w:val="32"/>
          <w:szCs w:val="32"/>
          <w:highlight w:val="none"/>
          <w:lang w:eastAsia="zh-CN"/>
        </w:rPr>
        <w:t>成立新</w:t>
      </w:r>
      <w:r>
        <w:rPr>
          <w:rFonts w:hint="eastAsia" w:ascii="仿宋_GB2312" w:hAnsi="仿宋_GB2312" w:eastAsia="仿宋_GB2312" w:cs="仿宋_GB2312"/>
          <w:color w:val="auto"/>
          <w:sz w:val="32"/>
          <w:szCs w:val="32"/>
          <w:highlight w:val="none"/>
        </w:rPr>
        <w:t>公司开发的申请；</w:t>
      </w:r>
    </w:p>
    <w:p w14:paraId="0F53614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）挂牌文件规定需要提交的其他文件。</w:t>
      </w:r>
    </w:p>
    <w:p w14:paraId="716F7331">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2．自然人申请的，应提交下列文件：</w:t>
      </w:r>
    </w:p>
    <w:p w14:paraId="6B2BD9D8">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（1）竞买申请书；</w:t>
      </w:r>
    </w:p>
    <w:p w14:paraId="6395604F">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（2）申请人有效身份证明文件；</w:t>
      </w:r>
    </w:p>
    <w:p w14:paraId="0768ED46">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（3）申请人委托他人办理的，应提交授权委托书及委托代理人的有效身份证明文件；</w:t>
      </w:r>
    </w:p>
    <w:p w14:paraId="0C875A17">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（4）竞买保证金交纳凭证；</w:t>
      </w:r>
    </w:p>
    <w:p w14:paraId="59F3B310">
      <w:pPr>
        <w:keepNext w:val="0"/>
        <w:keepLines w:val="0"/>
        <w:pageBreakBefore w:val="0"/>
        <w:widowControl w:val="0"/>
        <w:kinsoku/>
        <w:wordWrap/>
        <w:overflowPunct/>
        <w:topLinePunct w:val="0"/>
        <w:autoSpaceDE/>
        <w:autoSpaceDN/>
        <w:bidi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）如成立新公司开发的，需提交</w:t>
      </w:r>
      <w:r>
        <w:rPr>
          <w:rFonts w:hint="eastAsia" w:ascii="仿宋_GB2312" w:hAnsi="仿宋_GB2312" w:eastAsia="仿宋_GB2312" w:cs="仿宋_GB2312"/>
          <w:color w:val="auto"/>
          <w:sz w:val="32"/>
          <w:szCs w:val="32"/>
          <w:highlight w:val="none"/>
          <w:lang w:eastAsia="zh-CN"/>
        </w:rPr>
        <w:t>成立新</w:t>
      </w:r>
      <w:r>
        <w:rPr>
          <w:rFonts w:hint="eastAsia" w:ascii="仿宋_GB2312" w:hAnsi="仿宋_GB2312" w:eastAsia="仿宋_GB2312" w:cs="仿宋_GB2312"/>
          <w:color w:val="auto"/>
          <w:sz w:val="32"/>
          <w:szCs w:val="32"/>
          <w:highlight w:val="none"/>
        </w:rPr>
        <w:t>公司开发的申请；</w:t>
      </w:r>
    </w:p>
    <w:p w14:paraId="54E038E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）挂牌文件规定需要提交的其他文件。</w:t>
      </w:r>
    </w:p>
    <w:p w14:paraId="6F9E652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．其他组织申请的,应提交下列文件:</w:t>
      </w:r>
    </w:p>
    <w:p w14:paraId="4DC1DF4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（1）竞买申请书；</w:t>
      </w:r>
    </w:p>
    <w:p w14:paraId="0E21D11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（2）表明该组织合法存在的文件或有效证明；</w:t>
      </w:r>
    </w:p>
    <w:p w14:paraId="2EF6CD6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（3）表明该组织负责人身份的有效证明文件；</w:t>
      </w:r>
    </w:p>
    <w:p w14:paraId="74EBB03B">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（4）申请人为法人依法设立并领取营业执照的分支机构的，应出具法人单位的授权文件；</w:t>
      </w:r>
    </w:p>
    <w:p w14:paraId="34C1918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（5）申请人委托他人办理的，应提交授权委托书及委托代理人的有效身份证明文件；</w:t>
      </w:r>
    </w:p>
    <w:p w14:paraId="710BCE5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（6）竞买保证金交纳凭证；</w:t>
      </w:r>
    </w:p>
    <w:p w14:paraId="13B1D45D">
      <w:pPr>
        <w:keepNext w:val="0"/>
        <w:keepLines w:val="0"/>
        <w:pageBreakBefore w:val="0"/>
        <w:widowControl w:val="0"/>
        <w:kinsoku/>
        <w:wordWrap/>
        <w:overflowPunct/>
        <w:topLinePunct w:val="0"/>
        <w:autoSpaceDE/>
        <w:autoSpaceDN/>
        <w:bidi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）如成立新公司开发的，需提交</w:t>
      </w:r>
      <w:r>
        <w:rPr>
          <w:rFonts w:hint="eastAsia" w:ascii="仿宋_GB2312" w:hAnsi="仿宋_GB2312" w:eastAsia="仿宋_GB2312" w:cs="仿宋_GB2312"/>
          <w:color w:val="auto"/>
          <w:sz w:val="32"/>
          <w:szCs w:val="32"/>
          <w:highlight w:val="none"/>
          <w:lang w:eastAsia="zh-CN"/>
        </w:rPr>
        <w:t>成立新</w:t>
      </w:r>
      <w:r>
        <w:rPr>
          <w:rFonts w:hint="eastAsia" w:ascii="仿宋_GB2312" w:hAnsi="仿宋_GB2312" w:eastAsia="仿宋_GB2312" w:cs="仿宋_GB2312"/>
          <w:color w:val="auto"/>
          <w:sz w:val="32"/>
          <w:szCs w:val="32"/>
          <w:highlight w:val="none"/>
        </w:rPr>
        <w:t>公司开发的申请；</w:t>
      </w:r>
    </w:p>
    <w:p w14:paraId="73B62F0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）挂牌文件规定需要提交的其他文件。</w:t>
      </w:r>
    </w:p>
    <w:p w14:paraId="281CDADB">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．境外及港、澳、台申请人申请的，应提交下列文件：</w:t>
      </w:r>
    </w:p>
    <w:p w14:paraId="1886A16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（1）竞买申请书；</w:t>
      </w:r>
    </w:p>
    <w:p w14:paraId="1D10579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经中华人民共和国驻该国、该地区大使馆或领事馆认证的境外法人、自然人、其他组织的有效身份证明文件；或经中华人民共和国司法部授权的香港律师公证并由中国法律服务（香港）有限公司加盖转递章的中国香港地区法人、自然人、其他组织的有效身份证明文件；或经澳门特别行政区公证部门公证的中国澳门地区法人、自然人、其他组织的有效身份证明文件；或经有权一级人民政府台湾事务办公室认证的中国台湾地区法人、自然人、其他组织的有效身份证明文件；</w:t>
      </w:r>
    </w:p>
    <w:p w14:paraId="0C806F6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（3）申请人委托他人办理的，应提交授权委托书及委托代理人的有效身份证明文件；</w:t>
      </w:r>
    </w:p>
    <w:p w14:paraId="413437F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（4）竞买保证金交纳凭证；</w:t>
      </w:r>
    </w:p>
    <w:p w14:paraId="4C1A0D16">
      <w:pPr>
        <w:keepNext w:val="0"/>
        <w:keepLines w:val="0"/>
        <w:pageBreakBefore w:val="0"/>
        <w:widowControl w:val="0"/>
        <w:kinsoku/>
        <w:wordWrap/>
        <w:overflowPunct/>
        <w:topLinePunct w:val="0"/>
        <w:autoSpaceDE/>
        <w:autoSpaceDN/>
        <w:bidi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）如成立新公司开发的，需提交</w:t>
      </w:r>
      <w:r>
        <w:rPr>
          <w:rFonts w:hint="eastAsia" w:ascii="仿宋_GB2312" w:hAnsi="仿宋_GB2312" w:eastAsia="仿宋_GB2312" w:cs="仿宋_GB2312"/>
          <w:color w:val="auto"/>
          <w:sz w:val="32"/>
          <w:szCs w:val="32"/>
          <w:highlight w:val="none"/>
          <w:lang w:eastAsia="zh-CN"/>
        </w:rPr>
        <w:t>成立新</w:t>
      </w:r>
      <w:r>
        <w:rPr>
          <w:rFonts w:hint="eastAsia" w:ascii="仿宋_GB2312" w:hAnsi="仿宋_GB2312" w:eastAsia="仿宋_GB2312" w:cs="仿宋_GB2312"/>
          <w:color w:val="auto"/>
          <w:sz w:val="32"/>
          <w:szCs w:val="32"/>
          <w:highlight w:val="none"/>
        </w:rPr>
        <w:t>公司开发的申请；</w:t>
      </w:r>
    </w:p>
    <w:p w14:paraId="077F7E2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）挂牌文件规定需要提交的其他文件。</w:t>
      </w:r>
    </w:p>
    <w:p w14:paraId="69115B54">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上述文件中，申请书必须用中文书写，其他文件可以使用其他语言，但必须附中文译本，所有文件的解释以中文译本为准。</w:t>
      </w:r>
    </w:p>
    <w:p w14:paraId="427CFFD7">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5．联合申请的，应提交下列文件：</w:t>
      </w:r>
    </w:p>
    <w:p w14:paraId="4E3D3316">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（1）联合申请各方共同签署的竞买申请书；</w:t>
      </w:r>
    </w:p>
    <w:p w14:paraId="06019C31">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（2）联合申请各方的有效身份证明文件；</w:t>
      </w:r>
    </w:p>
    <w:p w14:paraId="2320A09B">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（3）联合竞买协议，联合竞买各方须持经公证的《联合竞买协议》，协议要规定联合各方的权利、义务、出资比例及各方所占土地使用权份额，并明确签订《国有建设用地使用权出让合同》时的受让人；</w:t>
      </w:r>
    </w:p>
    <w:p w14:paraId="69AB91C8">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（4）申请人委托他人办理的，应提交经联合各方共同签署的授权委托书及委托代理人的有效身份证明文件；</w:t>
      </w:r>
    </w:p>
    <w:p w14:paraId="732EF6C2">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（5）竞买保证金交纳凭证；</w:t>
      </w:r>
    </w:p>
    <w:p w14:paraId="4DF18B3F">
      <w:pPr>
        <w:keepLines w:val="0"/>
        <w:pageBreakBefore w:val="0"/>
        <w:widowControl w:val="0"/>
        <w:kinsoku/>
        <w:wordWrap/>
        <w:overflowPunct/>
        <w:topLinePunct w:val="0"/>
        <w:autoSpaceDE/>
        <w:autoSpaceDN/>
        <w:bidi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）如成立新公司开发的，需提交</w:t>
      </w:r>
      <w:r>
        <w:rPr>
          <w:rFonts w:hint="eastAsia" w:ascii="仿宋_GB2312" w:hAnsi="仿宋_GB2312" w:eastAsia="仿宋_GB2312" w:cs="仿宋_GB2312"/>
          <w:sz w:val="32"/>
          <w:szCs w:val="32"/>
          <w:highlight w:val="none"/>
          <w:lang w:eastAsia="zh-CN"/>
        </w:rPr>
        <w:t>成立新</w:t>
      </w:r>
      <w:r>
        <w:rPr>
          <w:rFonts w:hint="eastAsia" w:ascii="仿宋_GB2312" w:hAnsi="仿宋_GB2312" w:eastAsia="仿宋_GB2312" w:cs="仿宋_GB2312"/>
          <w:sz w:val="32"/>
          <w:szCs w:val="32"/>
          <w:highlight w:val="none"/>
        </w:rPr>
        <w:t>公司开发的申请；</w:t>
      </w:r>
    </w:p>
    <w:p w14:paraId="4123475F">
      <w:pPr>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（8）挂牌文件规定需要提交的其他文件。</w:t>
      </w:r>
    </w:p>
    <w:p w14:paraId="7D6F2A5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(三)资格审查</w:t>
      </w:r>
    </w:p>
    <w:p w14:paraId="27FF972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公共资源交易中心负责对挂牌出让公告规定的时间内收到的申请进行审查。按规定交纳竞买保证金、通过资格审查的，方能取得竞买资格。</w:t>
      </w:r>
    </w:p>
    <w:p w14:paraId="7DB42F7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经审查，有下列情形之一的，为无效申请：</w:t>
      </w:r>
    </w:p>
    <w:p w14:paraId="65EEB9F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1．申请人不具备竞买资格的；</w:t>
      </w:r>
    </w:p>
    <w:p w14:paraId="45962EB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2．未按规定交纳竞买保证金的；</w:t>
      </w:r>
    </w:p>
    <w:p w14:paraId="4D495BF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3．申请文件不齐全或不符合规定的；</w:t>
      </w:r>
    </w:p>
    <w:p w14:paraId="4924F4A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4．委托他人代理，委托文件不齐全或不符合规定的；</w:t>
      </w:r>
    </w:p>
    <w:p w14:paraId="237B857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5．法律、法规规定的其他情形。</w:t>
      </w:r>
    </w:p>
    <w:p w14:paraId="6BC6CA7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（四）确认竞买人资格</w:t>
      </w:r>
    </w:p>
    <w:p w14:paraId="4B152046">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经审查，申请人按规定交纳竞买保证金</w:t>
      </w:r>
      <w:r>
        <w:rPr>
          <w:rFonts w:hint="eastAsia" w:ascii="仿宋_GB2312" w:hAnsi="仿宋_GB2312" w:eastAsia="仿宋_GB2312" w:cs="仿宋_GB2312"/>
          <w:color w:val="auto"/>
          <w:sz w:val="32"/>
          <w:szCs w:val="32"/>
          <w:highlight w:val="none"/>
          <w:lang w:eastAsia="zh-CN"/>
        </w:rPr>
        <w:t>且</w:t>
      </w:r>
      <w:r>
        <w:rPr>
          <w:rFonts w:hint="eastAsia" w:ascii="仿宋_GB2312" w:hAnsi="仿宋_GB2312" w:eastAsia="仿宋_GB2312" w:cs="仿宋_GB2312"/>
          <w:color w:val="auto"/>
          <w:sz w:val="32"/>
          <w:szCs w:val="32"/>
          <w:highlight w:val="none"/>
        </w:rPr>
        <w:t>具备申请条件的，公共资源交易中心将在</w:t>
      </w:r>
      <w:r>
        <w:rPr>
          <w:rFonts w:hint="eastAsia" w:ascii="仿宋_GB2312" w:hAnsi="仿宋_GB2312" w:eastAsia="仿宋_GB2312" w:cs="仿宋_GB2312"/>
          <w:color w:val="auto"/>
          <w:sz w:val="32"/>
          <w:szCs w:val="32"/>
          <w:highlight w:val="none"/>
          <w:lang w:val="en-US" w:eastAsia="zh-CN"/>
        </w:rPr>
        <w:t>2025年9月2日日</w:t>
      </w:r>
      <w:r>
        <w:rPr>
          <w:rFonts w:hint="eastAsia" w:ascii="仿宋_GB2312" w:hAnsi="仿宋_GB2312" w:eastAsia="仿宋_GB2312" w:cs="仿宋_GB2312"/>
          <w:color w:val="auto"/>
          <w:sz w:val="32"/>
          <w:szCs w:val="32"/>
          <w:highlight w:val="none"/>
        </w:rPr>
        <w:t>17时前核发《竞买资格确认书》，确认其竞买资格，并通知其参加挂牌活动。</w:t>
      </w:r>
    </w:p>
    <w:p w14:paraId="7664395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（五）答疑及现场踏勘</w:t>
      </w:r>
    </w:p>
    <w:p w14:paraId="51C77BF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申请人对挂牌出让文件有疑问的，可在挂牌活动期间以书面或口头方式向</w:t>
      </w:r>
      <w:r>
        <w:rPr>
          <w:rFonts w:hint="eastAsia" w:ascii="仿宋_GB2312" w:hAnsi="仿宋_GB2312" w:eastAsia="仿宋_GB2312" w:cs="仿宋_GB2312"/>
          <w:color w:val="auto"/>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或郑州</w:t>
      </w:r>
      <w:r>
        <w:rPr>
          <w:rFonts w:hint="eastAsia" w:ascii="仿宋_GB2312" w:hAnsi="仿宋_GB2312" w:eastAsia="仿宋_GB2312" w:cs="仿宋_GB2312"/>
          <w:color w:val="auto"/>
          <w:sz w:val="32"/>
          <w:szCs w:val="32"/>
          <w:highlight w:val="none"/>
          <w:lang w:eastAsia="zh-CN"/>
        </w:rPr>
        <w:t>航空港经济综合实验区公共资源交易中心</w:t>
      </w:r>
      <w:r>
        <w:rPr>
          <w:rFonts w:hint="eastAsia" w:ascii="仿宋_GB2312" w:hAnsi="仿宋_GB2312" w:eastAsia="仿宋_GB2312" w:cs="仿宋_GB2312"/>
          <w:color w:val="auto"/>
          <w:sz w:val="32"/>
          <w:szCs w:val="32"/>
          <w:highlight w:val="none"/>
        </w:rPr>
        <w:t>咨询。此次挂牌出让不组织统一现场踏勘。</w:t>
      </w:r>
    </w:p>
    <w:p w14:paraId="4CB33A2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六、本次挂牌出让活动有关时间</w:t>
      </w:r>
    </w:p>
    <w:p w14:paraId="7096DC6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（一）挂牌起始时间：</w:t>
      </w:r>
      <w:r>
        <w:rPr>
          <w:rFonts w:hint="eastAsia" w:ascii="仿宋_GB2312" w:hAnsi="仿宋_GB2312" w:eastAsia="仿宋_GB2312" w:cs="仿宋_GB2312"/>
          <w:color w:val="auto"/>
          <w:sz w:val="32"/>
          <w:szCs w:val="32"/>
          <w:lang w:val="en-US" w:eastAsia="zh-CN"/>
        </w:rPr>
        <w:t>2025年</w:t>
      </w:r>
      <w:r>
        <w:rPr>
          <w:rFonts w:hint="eastAsia" w:ascii="仿宋_GB2312" w:hAnsi="仿宋_GB2312" w:eastAsia="仿宋_GB2312" w:cs="仿宋_GB2312"/>
          <w:color w:val="auto"/>
          <w:sz w:val="32"/>
          <w:szCs w:val="32"/>
          <w:highlight w:val="none"/>
          <w:lang w:val="en-US" w:eastAsia="zh-CN"/>
        </w:rPr>
        <w:t>8月26日</w:t>
      </w:r>
      <w:r>
        <w:rPr>
          <w:rFonts w:hint="eastAsia" w:ascii="仿宋_GB2312" w:hAnsi="仿宋_GB2312" w:eastAsia="仿宋_GB2312" w:cs="仿宋_GB2312"/>
          <w:color w:val="auto"/>
          <w:sz w:val="32"/>
          <w:szCs w:val="32"/>
          <w:highlight w:val="none"/>
        </w:rPr>
        <w:t>8时30分；</w:t>
      </w:r>
    </w:p>
    <w:p w14:paraId="1209AF4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（二）接受挂牌报价时间：挂牌期间工作日</w:t>
      </w:r>
      <w:r>
        <w:rPr>
          <w:rFonts w:hint="eastAsia" w:ascii="仿宋_GB2312" w:hAnsi="仿宋_GB2312" w:eastAsia="仿宋_GB2312" w:cs="仿宋_GB2312"/>
          <w:color w:val="auto"/>
          <w:sz w:val="32"/>
          <w:szCs w:val="32"/>
          <w:highlight w:val="none"/>
          <w:lang w:val="en-US" w:eastAsia="zh-CN"/>
        </w:rPr>
        <w:t>8时30分至12时和14时00分至17时30分（截止日除外）；</w:t>
      </w:r>
    </w:p>
    <w:p w14:paraId="6BE3131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（三）挂牌截止时间：由挂牌主持人在</w:t>
      </w:r>
      <w:r>
        <w:rPr>
          <w:rFonts w:hint="eastAsia" w:ascii="仿宋_GB2312" w:hAnsi="仿宋_GB2312" w:eastAsia="仿宋_GB2312" w:cs="仿宋_GB2312"/>
          <w:color w:val="auto"/>
          <w:sz w:val="32"/>
          <w:szCs w:val="32"/>
          <w:highlight w:val="none"/>
          <w:lang w:val="en-US" w:eastAsia="zh-CN"/>
        </w:rPr>
        <w:t>2025年9月4日9时</w:t>
      </w:r>
      <w:r>
        <w:rPr>
          <w:rFonts w:hint="eastAsia" w:ascii="仿宋_GB2312" w:hAnsi="仿宋_GB2312" w:eastAsia="仿宋_GB2312" w:cs="仿宋_GB2312"/>
          <w:color w:val="auto"/>
          <w:sz w:val="32"/>
          <w:szCs w:val="32"/>
          <w:highlight w:val="none"/>
        </w:rPr>
        <w:t>主持确定挂牌截止。</w:t>
      </w:r>
    </w:p>
    <w:p w14:paraId="3A71B09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七、挂牌起始价、增价幅度</w:t>
      </w:r>
    </w:p>
    <w:p w14:paraId="553EB22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郑港出〔2025〕120号</w:t>
      </w:r>
      <w:r>
        <w:rPr>
          <w:rFonts w:hint="eastAsia" w:ascii="仿宋_GB2312" w:hAnsi="仿宋_GB2312" w:eastAsia="仿宋_GB2312" w:cs="仿宋_GB2312"/>
          <w:color w:val="auto"/>
          <w:sz w:val="32"/>
          <w:szCs w:val="32"/>
          <w:highlight w:val="none"/>
        </w:rPr>
        <w:t>地块起始价为人民币大写</w:t>
      </w:r>
      <w:r>
        <w:rPr>
          <w:rFonts w:hint="eastAsia" w:ascii="仿宋_GB2312" w:hAnsi="仿宋_GB2312" w:eastAsia="仿宋_GB2312" w:cs="仿宋_GB2312"/>
          <w:color w:val="auto"/>
          <w:sz w:val="32"/>
          <w:szCs w:val="32"/>
          <w:highlight w:val="none"/>
          <w:u w:val="single"/>
          <w:lang w:eastAsia="zh-CN"/>
        </w:rPr>
        <w:t>柒仟陆佰柒拾壹万元</w:t>
      </w:r>
      <w:r>
        <w:rPr>
          <w:rFonts w:hint="eastAsia" w:ascii="仿宋_GB2312" w:hAnsi="仿宋_GB2312" w:eastAsia="仿宋_GB2312" w:cs="仿宋_GB2312"/>
          <w:color w:val="auto"/>
          <w:sz w:val="32"/>
          <w:szCs w:val="32"/>
          <w:highlight w:val="none"/>
          <w:lang w:eastAsia="zh-CN"/>
        </w:rPr>
        <w:t>整</w:t>
      </w:r>
      <w:r>
        <w:rPr>
          <w:rFonts w:hint="eastAsia" w:ascii="仿宋_GB2312" w:hAnsi="仿宋_GB2312" w:eastAsia="仿宋_GB2312" w:cs="仿宋_GB2312"/>
          <w:color w:val="auto"/>
          <w:sz w:val="32"/>
          <w:szCs w:val="32"/>
          <w:highlight w:val="none"/>
        </w:rPr>
        <w:t>（小写</w:t>
      </w:r>
      <w:r>
        <w:rPr>
          <w:rFonts w:hint="eastAsia" w:ascii="仿宋_GB2312" w:hAnsi="仿宋_GB2312" w:eastAsia="仿宋_GB2312" w:cs="仿宋_GB2312"/>
          <w:color w:val="auto"/>
          <w:sz w:val="32"/>
          <w:szCs w:val="32"/>
          <w:highlight w:val="none"/>
          <w:u w:val="single"/>
          <w:lang w:val="en-US" w:eastAsia="zh-CN"/>
        </w:rPr>
        <w:t>76710000</w:t>
      </w:r>
      <w:r>
        <w:rPr>
          <w:rFonts w:hint="eastAsia" w:ascii="仿宋_GB2312" w:hAnsi="仿宋_GB2312" w:eastAsia="仿宋_GB2312" w:cs="仿宋_GB2312"/>
          <w:color w:val="auto"/>
          <w:sz w:val="32"/>
          <w:szCs w:val="32"/>
          <w:highlight w:val="none"/>
        </w:rPr>
        <w:t>元）,增价幅度不低于人民币大写</w:t>
      </w:r>
      <w:r>
        <w:rPr>
          <w:rFonts w:hint="eastAsia" w:ascii="仿宋_GB2312" w:hAnsi="仿宋_GB2312" w:eastAsia="仿宋_GB2312" w:cs="仿宋_GB2312"/>
          <w:color w:val="auto"/>
          <w:sz w:val="32"/>
          <w:szCs w:val="32"/>
          <w:highlight w:val="none"/>
          <w:u w:val="single"/>
          <w:lang w:eastAsia="zh-CN"/>
        </w:rPr>
        <w:t>伍拾</w:t>
      </w:r>
      <w:r>
        <w:rPr>
          <w:rFonts w:hint="eastAsia" w:ascii="仿宋_GB2312" w:hAnsi="仿宋_GB2312" w:eastAsia="仿宋_GB2312" w:cs="仿宋_GB2312"/>
          <w:color w:val="auto"/>
          <w:sz w:val="32"/>
          <w:szCs w:val="32"/>
          <w:highlight w:val="none"/>
        </w:rPr>
        <w:t>万元（小写</w:t>
      </w:r>
      <w:r>
        <w:rPr>
          <w:rFonts w:hint="eastAsia" w:ascii="仿宋_GB2312" w:hAnsi="仿宋_GB2312" w:eastAsia="仿宋_GB2312" w:cs="仿宋_GB2312"/>
          <w:color w:val="auto"/>
          <w:sz w:val="32"/>
          <w:szCs w:val="32"/>
          <w:highlight w:val="none"/>
          <w:u w:val="single"/>
          <w:lang w:val="en-US" w:eastAsia="zh-CN"/>
        </w:rPr>
        <w:t>5</w:t>
      </w:r>
      <w:r>
        <w:rPr>
          <w:rFonts w:hint="eastAsia" w:ascii="仿宋_GB2312" w:hAnsi="仿宋_GB2312" w:eastAsia="仿宋_GB2312" w:cs="仿宋_GB2312"/>
          <w:color w:val="auto"/>
          <w:sz w:val="32"/>
          <w:szCs w:val="32"/>
          <w:highlight w:val="none"/>
          <w:u w:val="single"/>
        </w:rPr>
        <w:t>0</w:t>
      </w:r>
      <w:r>
        <w:rPr>
          <w:rFonts w:hint="eastAsia" w:ascii="仿宋_GB2312" w:hAnsi="仿宋_GB2312" w:eastAsia="仿宋_GB2312" w:cs="仿宋_GB2312"/>
          <w:color w:val="auto"/>
          <w:sz w:val="32"/>
          <w:szCs w:val="32"/>
          <w:highlight w:val="none"/>
        </w:rPr>
        <w:t>万元）；</w:t>
      </w:r>
    </w:p>
    <w:p w14:paraId="0C080BB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第一个竞买人的首次报价应等于或高于挂牌起始价，后续报价与前次报价的增加额应为规定增价幅度的整数倍。</w:t>
      </w:r>
    </w:p>
    <w:p w14:paraId="47B010B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八、挂牌程序</w:t>
      </w:r>
    </w:p>
    <w:p w14:paraId="7A7DFC56">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（一）公布挂牌信息</w:t>
      </w:r>
    </w:p>
    <w:p w14:paraId="65EE90C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1．郑州</w:t>
      </w:r>
      <w:r>
        <w:rPr>
          <w:rFonts w:hint="eastAsia" w:ascii="仿宋_GB2312" w:hAnsi="仿宋_GB2312" w:eastAsia="仿宋_GB2312" w:cs="仿宋_GB2312"/>
          <w:color w:val="auto"/>
          <w:sz w:val="32"/>
          <w:szCs w:val="32"/>
          <w:highlight w:val="none"/>
          <w:lang w:eastAsia="zh-CN"/>
        </w:rPr>
        <w:t>航空港经济综合实验区公共资源交易中心</w:t>
      </w:r>
      <w:r>
        <w:rPr>
          <w:rFonts w:hint="eastAsia" w:ascii="仿宋_GB2312" w:hAnsi="仿宋_GB2312" w:eastAsia="仿宋_GB2312" w:cs="仿宋_GB2312"/>
          <w:color w:val="auto"/>
          <w:sz w:val="32"/>
          <w:szCs w:val="32"/>
          <w:highlight w:val="none"/>
        </w:rPr>
        <w:t>将有关宗地的位置、面积、用途、使用年期、规划要求、起始价、增价规则及增价幅度等挂牌公布；</w:t>
      </w:r>
    </w:p>
    <w:p w14:paraId="7726DD6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2．挂牌主持人介绍地块的情况。</w:t>
      </w:r>
    </w:p>
    <w:p w14:paraId="35F98FE5">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（二）挂牌竞价</w:t>
      </w:r>
    </w:p>
    <w:p w14:paraId="4787F39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1．挂牌主持人介绍挂牌起始价、增价幅度等竞价规则，宣布挂牌竞价开始；</w:t>
      </w:r>
    </w:p>
    <w:p w14:paraId="75F1B70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2．竞买执行人当面提交其填写的《国有建设用地使用权挂牌出让竞买报价单》后，进行报价；</w:t>
      </w:r>
    </w:p>
    <w:p w14:paraId="2F15D83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3．公共资源交易中心在收到《国有建设用地使用权挂牌出让竞买报价单》后，对报价单进行审核，对符合规定的报价予以确认；</w:t>
      </w:r>
    </w:p>
    <w:p w14:paraId="77169161">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4．公共资源交易中心确认该报价后，更新显示挂牌价格，继续接受新的报价。</w:t>
      </w:r>
    </w:p>
    <w:p w14:paraId="406F7B1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（三）挂牌截止</w:t>
      </w:r>
    </w:p>
    <w:p w14:paraId="7EDECB8A">
      <w:pPr>
        <w:pStyle w:val="6"/>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挂牌截止应当由挂牌主持人主持确定。在公告规定的挂牌截止时间，竞买人应当出席挂牌现场，挂牌主持人宣布最高报价及其报价者，并询问竞买人是否愿意继续竞价。</w:t>
      </w:r>
    </w:p>
    <w:p w14:paraId="71440FA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rPr>
        <w:t>1．挂牌主持人在</w:t>
      </w:r>
      <w:r>
        <w:rPr>
          <w:rFonts w:hint="eastAsia" w:ascii="仿宋_GB2312" w:hAnsi="仿宋_GB2312" w:eastAsia="仿宋_GB2312" w:cs="仿宋_GB2312"/>
          <w:color w:val="auto"/>
          <w:sz w:val="32"/>
          <w:szCs w:val="32"/>
          <w:highlight w:val="none"/>
          <w:lang w:val="en-US" w:eastAsia="zh-CN"/>
        </w:rPr>
        <w:t>2025年9月4日9时</w:t>
      </w:r>
      <w:r>
        <w:rPr>
          <w:rFonts w:hint="eastAsia" w:ascii="仿宋_GB2312" w:hAnsi="仿宋_GB2312" w:eastAsia="仿宋_GB2312" w:cs="仿宋_GB2312"/>
          <w:color w:val="auto"/>
          <w:sz w:val="32"/>
          <w:szCs w:val="32"/>
          <w:highlight w:val="none"/>
        </w:rPr>
        <w:t>主持确</w:t>
      </w:r>
      <w:r>
        <w:rPr>
          <w:rFonts w:hint="eastAsia" w:ascii="仿宋_GB2312" w:hAnsi="仿宋_GB2312" w:eastAsia="仿宋_GB2312" w:cs="仿宋_GB2312"/>
          <w:color w:val="auto"/>
          <w:sz w:val="32"/>
          <w:szCs w:val="32"/>
        </w:rPr>
        <w:t>定挂牌截止；</w:t>
      </w:r>
    </w:p>
    <w:p w14:paraId="68F0773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2．挂牌主持人宣布最高报价及其报价者编号，并询问竞买人是否愿意继续竞价；</w:t>
      </w:r>
    </w:p>
    <w:p w14:paraId="1A53330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3．挂牌主持人连续三次报出最高挂牌价格，没有竞买人表示愿意继续竞价的，挂牌主持人宣布挂牌活动结束，最高价格的出价人即为竞得人；</w:t>
      </w:r>
    </w:p>
    <w:p w14:paraId="0AA543A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4．有竞买人表示愿意继续竞价的，即属于挂牌截止时有两个或两个以上竞买人要求报价的情形，挂牌主持人应当宣布挂牌出让转入现场竞价，并宣布现场竞价的时间和地点，通过现场竞价确定竞得人。</w:t>
      </w:r>
    </w:p>
    <w:p w14:paraId="478598FB">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（四）现场竞价</w:t>
      </w:r>
    </w:p>
    <w:p w14:paraId="03A5D82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现场竞价由土地招标拍卖挂牌主持人主持进行，取得该宗地挂牌竞买资格的竞买人均可参加现场竞价。现场竞价按下列程序举行：</w:t>
      </w:r>
    </w:p>
    <w:p w14:paraId="3B6BD97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1．挂牌主持人应当宣布现场竞价的起始价、竞价规则和增价幅度，并宣布现场竞价开始。现场竞价的起始价为挂牌活动截止时的最高报价增加一个加价幅度后的价格；</w:t>
      </w:r>
    </w:p>
    <w:p w14:paraId="1BEE427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2．参加现场竞价的竞买人按照竞价规则报价；</w:t>
      </w:r>
    </w:p>
    <w:p w14:paraId="3F8FD226">
      <w:pPr>
        <w:pStyle w:val="13"/>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采用书面报价的方式，由各竞买人在最高报价的基础上，填写报价单，价高者得。</w:t>
      </w:r>
    </w:p>
    <w:p w14:paraId="257E0CA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3．经确认该竞买人报价后，继续竞价；</w:t>
      </w:r>
    </w:p>
    <w:p w14:paraId="030507C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现场竞价不受竞价轮次的限制，竞买人可重复报价。</w:t>
      </w:r>
    </w:p>
    <w:p w14:paraId="429CDDD3">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4．挂牌主持人连续三次宣布同一报价而没有其他竞买人再报价，挂牌主持人宣布最高应价或报价者为竞得人。</w:t>
      </w:r>
    </w:p>
    <w:p w14:paraId="5B7C7178">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rPr>
        <w:t>在现场竞价中无人参加竞买或</w:t>
      </w:r>
      <w:r>
        <w:rPr>
          <w:rFonts w:hint="eastAsia" w:ascii="仿宋_GB2312" w:hAnsi="仿宋_GB2312" w:eastAsia="仿宋_GB2312" w:cs="仿宋_GB2312"/>
          <w:color w:val="auto"/>
          <w:sz w:val="32"/>
          <w:szCs w:val="32"/>
          <w:highlight w:val="none"/>
        </w:rPr>
        <w:t>无人加价的，以挂牌截止时出价最高者为竞得人。</w:t>
      </w:r>
    </w:p>
    <w:p w14:paraId="3106091A">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（五）签订《成交确认书》</w:t>
      </w:r>
    </w:p>
    <w:p w14:paraId="79AC9EAA">
      <w:pPr>
        <w:keepNext w:val="0"/>
        <w:keepLines w:val="0"/>
        <w:pageBreakBefore w:val="0"/>
        <w:widowControl w:val="0"/>
        <w:numPr>
          <w:ilvl w:val="0"/>
          <w:numId w:val="0"/>
        </w:numPr>
        <w:kinsoku/>
        <w:wordWrap/>
        <w:overflowPunct/>
        <w:topLinePunct w:val="0"/>
        <w:autoSpaceDE/>
        <w:autoSpaceDN/>
        <w:bidi w:val="0"/>
        <w:adjustRightInd/>
        <w:spacing w:line="520" w:lineRule="exact"/>
        <w:ind w:left="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土地成交后，郑州航空港经济综合实验区公共资源交易中心向竞得人现场出具《竞得证明》；竞得人在成交后2个工作日内持《竞得证明》及相关资料到郑州航空港经济综合实验区自然资源和规划局进行资料审核，签订《成交确认书》。</w:t>
      </w:r>
    </w:p>
    <w:p w14:paraId="1E995D9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（六）签订《国有建设用地使用权出让合同》</w:t>
      </w:r>
    </w:p>
    <w:p w14:paraId="3A262AD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72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郑州航空港经济综合实验区自然资源和规划局在《成交确认书》签定之日起10个工作日内，与竞得人签订《国有建设用地使用权出让合同》。</w:t>
      </w:r>
    </w:p>
    <w:p w14:paraId="6013216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（七）出让结果公布</w:t>
      </w:r>
    </w:p>
    <w:p w14:paraId="59DC750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在此次国有建设用地使用权挂牌出让活动结束后10个工作日内，</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将在中国土地市场网（www.landchina.com）公布此次国有建设用地使用权挂牌出让结果；郑州</w:t>
      </w:r>
      <w:r>
        <w:rPr>
          <w:rFonts w:hint="eastAsia" w:ascii="仿宋_GB2312" w:hAnsi="仿宋_GB2312" w:eastAsia="仿宋_GB2312" w:cs="仿宋_GB2312"/>
          <w:color w:val="auto"/>
          <w:sz w:val="32"/>
          <w:szCs w:val="32"/>
          <w:highlight w:val="none"/>
          <w:lang w:eastAsia="zh-CN"/>
        </w:rPr>
        <w:t>航空港经济综合实验区公共资源交易中心</w:t>
      </w:r>
      <w:r>
        <w:rPr>
          <w:rFonts w:hint="eastAsia" w:ascii="仿宋_GB2312" w:hAnsi="仿宋_GB2312" w:eastAsia="仿宋_GB2312" w:cs="仿宋_GB2312"/>
          <w:color w:val="auto"/>
          <w:sz w:val="32"/>
          <w:szCs w:val="32"/>
          <w:highlight w:val="none"/>
        </w:rPr>
        <w:t>将在其官网公布挂牌出让结果。</w:t>
      </w:r>
    </w:p>
    <w:p w14:paraId="38E268C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九、报价规则</w:t>
      </w:r>
    </w:p>
    <w:p w14:paraId="08C1CAE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（一）本次挂牌以价高者得为原则确定竞得人；</w:t>
      </w:r>
    </w:p>
    <w:p w14:paraId="0536C73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（二）本次挂牌以增价方式进行报价，每次加价幅度不得小于挂牌主持人宣布的增价幅度；</w:t>
      </w:r>
    </w:p>
    <w:p w14:paraId="0B4BB11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（三）竞买人以执行人当面提交其《国有建设用地使用权挂牌出让竞买报价单》方式报价，《国有建设用地使用权挂牌出让竞买报价单》一经报出，不得撤回；</w:t>
      </w:r>
    </w:p>
    <w:p w14:paraId="07B4B612">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（四）在报价期间，竞买人可多次报价；</w:t>
      </w:r>
    </w:p>
    <w:p w14:paraId="4F9F18AF">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（五）竞买人报价有下列情形之一的，为无效报价：</w:t>
      </w:r>
    </w:p>
    <w:p w14:paraId="1173BE8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1．报价单未在挂牌期限内提交的；</w:t>
      </w:r>
    </w:p>
    <w:p w14:paraId="7BC8E0C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2．报价单未按规定填写的；</w:t>
      </w:r>
    </w:p>
    <w:p w14:paraId="426A5D4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3．报价单填写人与竞买申请文件不符的；</w:t>
      </w:r>
    </w:p>
    <w:p w14:paraId="587C451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4．报价不符合报价规则的。</w:t>
      </w:r>
    </w:p>
    <w:p w14:paraId="4B57D4CE">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（六）有两个或两个以上竞买人报价相同的，确认先提交报价单者为该挂牌价格的出价人。</w:t>
      </w:r>
    </w:p>
    <w:p w14:paraId="437278C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十、注意事项</w:t>
      </w:r>
    </w:p>
    <w:p w14:paraId="69FA575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（一）申请人须全面阅读有关挂牌文件，如有疑问可以在挂牌活动开始日以前用书面或口头方式向</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及公共资源交易中心咨询。申请人自行现场踏勘挂牌出让地块。申请一经受理确认后，即视为竞买人对挂牌文件及地块现状无异议并全面接受，并承诺承担相关法律责任；</w:t>
      </w:r>
    </w:p>
    <w:p w14:paraId="55D3100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）申请人竞得土地后，拟成立新公司进行开发建设的，应在申请书中明确新公司的出资构成、成立时间等内容。</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可以根据挂牌出让结果与竞得人签订《国有建设用地使用权出让合同》，在竞得人按约定办理完新公司注册登记手续后，再与新公司签订《国有建设用地使用权出让合同变更协议》；</w:t>
      </w:r>
    </w:p>
    <w:p w14:paraId="31B66EB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）竞买报价单一经提交，不可撤回；</w:t>
      </w:r>
    </w:p>
    <w:p w14:paraId="2ECB7699">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四</w:t>
      </w:r>
      <w:r>
        <w:rPr>
          <w:rFonts w:hint="eastAsia" w:ascii="仿宋_GB2312" w:hAnsi="仿宋_GB2312" w:eastAsia="仿宋_GB2312" w:cs="仿宋_GB2312"/>
          <w:color w:val="auto"/>
          <w:sz w:val="32"/>
          <w:szCs w:val="32"/>
          <w:highlight w:val="none"/>
        </w:rPr>
        <w:t>）《成交确认书》对</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和竞得人具有法律效力，竞得人放弃竞得宗地的，应当承担法律责任；</w:t>
      </w:r>
    </w:p>
    <w:p w14:paraId="79941863">
      <w:pPr>
        <w:keepNext w:val="0"/>
        <w:keepLines w:val="0"/>
        <w:pageBreakBefore w:val="0"/>
        <w:widowControl w:val="0"/>
        <w:kinsoku/>
        <w:wordWrap/>
        <w:overflowPunct/>
        <w:topLinePunct w:val="0"/>
        <w:autoSpaceDE/>
        <w:autoSpaceDN/>
        <w:bidi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五</w:t>
      </w:r>
      <w:r>
        <w:rPr>
          <w:rFonts w:hint="eastAsia" w:ascii="仿宋_GB2312" w:hAnsi="仿宋_GB2312" w:eastAsia="仿宋_GB2312" w:cs="仿宋_GB2312"/>
          <w:color w:val="auto"/>
          <w:sz w:val="32"/>
          <w:szCs w:val="32"/>
          <w:highlight w:val="none"/>
        </w:rPr>
        <w:t>）竞得人缴纳的竞买保证金，挂牌成交后转作受让地块的定金，多余部分转作出让金。未竞得人缴纳的竞买保证金，在挂牌活动结束后5个工作日内予以无息退还。使用外币资金的，竞买保证金的转抵及退还按国家相关规定另行执行。</w:t>
      </w:r>
    </w:p>
    <w:p w14:paraId="343D8E76">
      <w:pPr>
        <w:keepNext w:val="0"/>
        <w:keepLines w:val="0"/>
        <w:pageBreakBefore w:val="0"/>
        <w:widowControl w:val="0"/>
        <w:kinsoku/>
        <w:wordWrap/>
        <w:overflowPunct/>
        <w:topLinePunct w:val="0"/>
        <w:autoSpaceDE/>
        <w:autoSpaceDN/>
        <w:bidi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竞买保证金到账及退还查询；</w:t>
      </w:r>
    </w:p>
    <w:p w14:paraId="49BEDE42">
      <w:pPr>
        <w:keepNext w:val="0"/>
        <w:keepLines w:val="0"/>
        <w:pageBreakBefore w:val="0"/>
        <w:widowControl w:val="0"/>
        <w:kinsoku/>
        <w:wordWrap/>
        <w:overflowPunct/>
        <w:topLinePunct w:val="0"/>
        <w:autoSpaceDE/>
        <w:autoSpaceDN/>
        <w:bidi w:val="0"/>
        <w:spacing w:line="520" w:lineRule="exact"/>
        <w:ind w:right="0" w:rightChars="0" w:firstLine="640" w:firstLineChars="200"/>
        <w:jc w:val="both"/>
        <w:textAlignment w:val="auto"/>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color w:val="auto"/>
          <w:sz w:val="32"/>
          <w:szCs w:val="32"/>
          <w:highlight w:val="none"/>
        </w:rPr>
        <w:t>联系人：</w:t>
      </w:r>
      <w:r>
        <w:rPr>
          <w:rFonts w:hint="eastAsia" w:ascii="仿宋_GB2312" w:hAnsi="仿宋_GB2312" w:eastAsia="仿宋_GB2312" w:cs="仿宋_GB2312"/>
          <w:color w:val="auto"/>
          <w:sz w:val="32"/>
          <w:szCs w:val="32"/>
          <w:highlight w:val="none"/>
          <w:lang w:eastAsia="zh-CN"/>
        </w:rPr>
        <w:t>郑州航空港经济综合实验区公共资源交易中心：张先生</w:t>
      </w:r>
    </w:p>
    <w:p w14:paraId="09941287">
      <w:pPr>
        <w:keepNext w:val="0"/>
        <w:keepLines w:val="0"/>
        <w:pageBreakBefore w:val="0"/>
        <w:widowControl w:val="0"/>
        <w:kinsoku/>
        <w:wordWrap/>
        <w:overflowPunct/>
        <w:topLinePunct w:val="0"/>
        <w:autoSpaceDE/>
        <w:autoSpaceDN/>
        <w:bidi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联系电话：</w:t>
      </w:r>
      <w:r>
        <w:rPr>
          <w:rFonts w:hint="eastAsia" w:ascii="仿宋_GB2312" w:hAnsi="仿宋_GB2312" w:eastAsia="仿宋_GB2312" w:cs="仿宋_GB2312"/>
          <w:color w:val="auto"/>
          <w:sz w:val="32"/>
          <w:szCs w:val="32"/>
          <w:highlight w:val="none"/>
        </w:rPr>
        <w:t>0371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61318572</w:t>
      </w:r>
    </w:p>
    <w:p w14:paraId="70E6B75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六</w:t>
      </w:r>
      <w:r>
        <w:rPr>
          <w:rFonts w:hint="eastAsia" w:ascii="仿宋_GB2312" w:hAnsi="仿宋_GB2312" w:eastAsia="仿宋_GB2312" w:cs="仿宋_GB2312"/>
          <w:color w:val="auto"/>
          <w:sz w:val="32"/>
          <w:szCs w:val="32"/>
          <w:highlight w:val="none"/>
        </w:rPr>
        <w:t>）有下列情形之一的，</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在挂牌开始前终止挂牌活动，并通知竞买人：</w:t>
      </w:r>
    </w:p>
    <w:p w14:paraId="6AAD19B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1．竞买人串通损害国家利益、社会利益或他人合法权益的；</w:t>
      </w:r>
    </w:p>
    <w:p w14:paraId="0AFD45E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2．挂牌工作人员私下接触竞买人，足以影响挂牌公正性的；</w:t>
      </w:r>
    </w:p>
    <w:p w14:paraId="332643D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3．应当依法终止挂牌活动的其他情形。</w:t>
      </w:r>
    </w:p>
    <w:p w14:paraId="7642BCFD">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七</w:t>
      </w:r>
      <w:r>
        <w:rPr>
          <w:rFonts w:hint="eastAsia" w:ascii="仿宋_GB2312" w:hAnsi="仿宋_GB2312" w:eastAsia="仿宋_GB2312" w:cs="仿宋_GB2312"/>
          <w:color w:val="auto"/>
          <w:sz w:val="32"/>
          <w:szCs w:val="32"/>
          <w:highlight w:val="none"/>
        </w:rPr>
        <w:t>）竞得人有下列行为的，视为违约，</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可取消其竞得人资格，竞买保证金不予退还</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收回该宗土地使用权，另行组织出让。</w:t>
      </w:r>
    </w:p>
    <w:p w14:paraId="37D69B8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1．竞得人拒绝或逾期签订《成交确认书》的；</w:t>
      </w:r>
    </w:p>
    <w:p w14:paraId="3158EB50">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2．竞得人拒绝或逾期签订《国有建设用地使用权出让合同》的；</w:t>
      </w:r>
    </w:p>
    <w:p w14:paraId="151BD1D7">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3．竞得人提供虚假文件或隐瞒事实的；</w:t>
      </w:r>
    </w:p>
    <w:p w14:paraId="67AC984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4．竞得人采取行贿、恶意串通等非法手段竞得的。</w:t>
      </w:r>
    </w:p>
    <w:p w14:paraId="38E941CC">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八</w:t>
      </w:r>
      <w:r>
        <w:rPr>
          <w:rFonts w:hint="eastAsia" w:ascii="仿宋_GB2312" w:hAnsi="仿宋_GB2312" w:eastAsia="仿宋_GB2312" w:cs="仿宋_GB2312"/>
          <w:color w:val="auto"/>
          <w:sz w:val="32"/>
          <w:szCs w:val="32"/>
          <w:highlight w:val="none"/>
        </w:rPr>
        <w:t>）挂牌成交价即为该幅地块的出让金总价款，不包括契税及其它费用；</w:t>
      </w:r>
    </w:p>
    <w:p w14:paraId="6600FD5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九</w:t>
      </w:r>
      <w:r>
        <w:rPr>
          <w:rFonts w:hint="eastAsia" w:ascii="仿宋_GB2312" w:hAnsi="仿宋_GB2312" w:eastAsia="仿宋_GB2312" w:cs="仿宋_GB2312"/>
          <w:color w:val="auto"/>
          <w:sz w:val="32"/>
          <w:szCs w:val="32"/>
          <w:highlight w:val="none"/>
        </w:rPr>
        <w:t>）竞得人与出让人签订《国有建设用地使用权出让合同》后，应当于出让合同签订之日起30日内缴清出让价款</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竞得人付清全部挂牌成交价款后，依法申请办理土地相关手续；</w:t>
      </w:r>
    </w:p>
    <w:p w14:paraId="3994AA24">
      <w:pPr>
        <w:keepNext w:val="0"/>
        <w:keepLines w:val="0"/>
        <w:pageBreakBefore w:val="0"/>
        <w:widowControl w:val="0"/>
        <w:kinsoku/>
        <w:wordWrap/>
        <w:overflowPunct/>
        <w:topLinePunct w:val="0"/>
        <w:autoSpaceDE/>
        <w:autoSpaceDN/>
        <w:bidi w:val="0"/>
        <w:adjustRightInd w:val="0"/>
        <w:snapToGrid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（十）挂牌不成交的，应当按规定由</w:t>
      </w:r>
      <w:r>
        <w:rPr>
          <w:rFonts w:hint="eastAsia" w:ascii="仿宋_GB2312" w:hAnsi="仿宋_GB2312" w:eastAsia="仿宋_GB2312" w:cs="仿宋_GB2312"/>
          <w:color w:val="auto"/>
          <w:sz w:val="32"/>
          <w:szCs w:val="32"/>
          <w:highlight w:val="none"/>
          <w:lang w:eastAsia="zh-CN"/>
        </w:rPr>
        <w:t>郑州航空港经济综合实验区自然资源和规</w:t>
      </w:r>
      <w:r>
        <w:rPr>
          <w:rFonts w:hint="eastAsia" w:ascii="仿宋_GB2312" w:hAnsi="仿宋_GB2312" w:eastAsia="仿宋_GB2312" w:cs="仿宋_GB2312"/>
          <w:color w:val="auto"/>
          <w:spacing w:val="20"/>
          <w:kern w:val="0"/>
          <w:sz w:val="32"/>
          <w:szCs w:val="32"/>
          <w:highlight w:val="none"/>
          <w:lang w:eastAsia="zh-CN"/>
        </w:rPr>
        <w:t>划局</w:t>
      </w:r>
      <w:r>
        <w:rPr>
          <w:rFonts w:hint="eastAsia" w:ascii="仿宋_GB2312" w:hAnsi="仿宋_GB2312" w:eastAsia="仿宋_GB2312" w:cs="仿宋_GB2312"/>
          <w:color w:val="auto"/>
          <w:sz w:val="32"/>
          <w:szCs w:val="32"/>
          <w:highlight w:val="none"/>
        </w:rPr>
        <w:t>重新组织出让；</w:t>
      </w:r>
    </w:p>
    <w:p w14:paraId="02371363">
      <w:pPr>
        <w:keepNext w:val="0"/>
        <w:keepLines w:val="0"/>
        <w:pageBreakBefore w:val="0"/>
        <w:widowControl w:val="0"/>
        <w:numPr>
          <w:ilvl w:val="0"/>
          <w:numId w:val="0"/>
        </w:numPr>
        <w:kinsoku/>
        <w:wordWrap/>
        <w:overflowPunct/>
        <w:topLinePunct w:val="0"/>
        <w:autoSpaceDE/>
        <w:autoSpaceDN/>
        <w:bidi w:val="0"/>
        <w:spacing w:line="52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对本《须知》有解释权，未尽事宜以</w:t>
      </w:r>
      <w:r>
        <w:rPr>
          <w:rFonts w:hint="eastAsia" w:ascii="仿宋_GB2312" w:hAnsi="仿宋_GB2312" w:eastAsia="仿宋_GB2312" w:cs="仿宋_GB2312"/>
          <w:color w:val="auto"/>
          <w:spacing w:val="20"/>
          <w:kern w:val="0"/>
          <w:sz w:val="32"/>
          <w:szCs w:val="32"/>
          <w:highlight w:val="none"/>
          <w:lang w:eastAsia="zh-CN"/>
        </w:rPr>
        <w:t>郑州航空港经济综合实验区自然资源和规划局</w:t>
      </w:r>
      <w:r>
        <w:rPr>
          <w:rFonts w:hint="eastAsia" w:ascii="仿宋_GB2312" w:hAnsi="仿宋_GB2312" w:eastAsia="仿宋_GB2312" w:cs="仿宋_GB2312"/>
          <w:color w:val="auto"/>
          <w:sz w:val="32"/>
          <w:szCs w:val="32"/>
          <w:highlight w:val="none"/>
        </w:rPr>
        <w:t>解释为准。</w:t>
      </w:r>
    </w:p>
    <w:p w14:paraId="5440154C">
      <w:pPr>
        <w:pStyle w:val="2"/>
        <w:pageBreakBefore w:val="0"/>
        <w:widowControl w:val="0"/>
        <w:kinsoku/>
        <w:wordWrap/>
        <w:overflowPunct/>
        <w:topLinePunct w:val="0"/>
        <w:autoSpaceDE/>
        <w:autoSpaceDN/>
        <w:bidi w:val="0"/>
        <w:spacing w:line="520" w:lineRule="exact"/>
        <w:ind w:firstLine="643" w:firstLineChars="200"/>
        <w:jc w:val="both"/>
        <w:textAlignment w:val="auto"/>
        <w:rPr>
          <w:rFonts w:hint="eastAsia"/>
          <w:highlight w:val="none"/>
        </w:rPr>
      </w:pPr>
    </w:p>
    <w:p w14:paraId="168CB15E">
      <w:pPr>
        <w:pStyle w:val="2"/>
        <w:pageBreakBefore w:val="0"/>
        <w:widowControl w:val="0"/>
        <w:kinsoku/>
        <w:wordWrap/>
        <w:overflowPunct/>
        <w:topLinePunct w:val="0"/>
        <w:autoSpaceDE/>
        <w:autoSpaceDN/>
        <w:bidi w:val="0"/>
        <w:spacing w:line="520" w:lineRule="exact"/>
        <w:ind w:firstLine="643" w:firstLineChars="200"/>
        <w:jc w:val="both"/>
        <w:textAlignment w:val="auto"/>
        <w:rPr>
          <w:rFonts w:hint="eastAsia"/>
          <w:highlight w:val="none"/>
        </w:rPr>
      </w:pPr>
    </w:p>
    <w:p w14:paraId="33230F08">
      <w:pPr>
        <w:keepNext w:val="0"/>
        <w:keepLines w:val="0"/>
        <w:pageBreakBefore w:val="0"/>
        <w:widowControl w:val="0"/>
        <w:numPr>
          <w:ilvl w:val="0"/>
          <w:numId w:val="0"/>
        </w:numPr>
        <w:kinsoku/>
        <w:wordWrap/>
        <w:overflowPunct/>
        <w:topLinePunct w:val="0"/>
        <w:autoSpaceDE/>
        <w:autoSpaceDN/>
        <w:bidi w:val="0"/>
        <w:spacing w:line="520" w:lineRule="exact"/>
        <w:ind w:right="0" w:righ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06A925B2">
      <w:pPr>
        <w:keepNext w:val="0"/>
        <w:keepLines w:val="0"/>
        <w:pageBreakBefore w:val="0"/>
        <w:widowControl w:val="0"/>
        <w:numPr>
          <w:ilvl w:val="0"/>
          <w:numId w:val="0"/>
        </w:numPr>
        <w:kinsoku/>
        <w:wordWrap/>
        <w:overflowPunct/>
        <w:topLinePunct w:val="0"/>
        <w:autoSpaceDE/>
        <w:autoSpaceDN/>
        <w:bidi w:val="0"/>
        <w:spacing w:line="520" w:lineRule="exact"/>
        <w:ind w:right="0" w:rightChars="0" w:firstLine="5760" w:firstLineChars="1800"/>
        <w:jc w:val="center"/>
        <w:textAlignment w:val="auto"/>
        <w:rPr>
          <w:rFonts w:hint="eastAsia" w:ascii="方正小标宋简体" w:hAnsi="方正小标宋简体" w:eastAsia="方正小标宋简体" w:cs="方正小标宋简体"/>
          <w:color w:val="auto"/>
          <w:kern w:val="0"/>
          <w:sz w:val="44"/>
          <w:szCs w:val="44"/>
          <w:highlight w:val="none"/>
          <w:lang w:val="en-US" w:eastAsia="zh-CN"/>
        </w:rPr>
      </w:pPr>
      <w:r>
        <w:rPr>
          <w:rFonts w:hint="eastAsia" w:ascii="仿宋_GB2312" w:hAnsi="仿宋_GB2312" w:eastAsia="仿宋_GB2312" w:cs="仿宋_GB2312"/>
          <w:color w:val="auto"/>
          <w:sz w:val="32"/>
          <w:szCs w:val="32"/>
          <w:highlight w:val="none"/>
          <w:lang w:eastAsia="zh-CN"/>
        </w:rPr>
        <w:t>2025年8月</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eastAsia="zh-CN"/>
        </w:rPr>
        <w:t>日</w:t>
      </w:r>
      <w:r>
        <w:rPr>
          <w:rFonts w:hint="eastAsia" w:ascii="仿宋_GB2312" w:hAnsi="仿宋_GB2312" w:eastAsia="仿宋_GB2312" w:cs="仿宋_GB2312"/>
          <w:color w:val="FF0000"/>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kern w:val="0"/>
          <w:sz w:val="44"/>
          <w:szCs w:val="44"/>
          <w:highlight w:val="none"/>
        </w:rPr>
        <w:br w:type="page"/>
      </w:r>
      <w:r>
        <w:rPr>
          <w:rFonts w:hint="eastAsia" w:ascii="方正小标宋简体" w:hAnsi="方正小标宋简体" w:eastAsia="方正小标宋简体" w:cs="方正小标宋简体"/>
          <w:color w:val="auto"/>
          <w:kern w:val="0"/>
          <w:sz w:val="44"/>
          <w:szCs w:val="44"/>
          <w:highlight w:val="none"/>
          <w:lang w:val="en-US" w:eastAsia="zh-CN"/>
        </w:rPr>
        <w:t xml:space="preserve"> </w:t>
      </w:r>
    </w:p>
    <w:p w14:paraId="53EB4EDE">
      <w:pPr>
        <w:keepNext w:val="0"/>
        <w:keepLines w:val="0"/>
        <w:pageBreakBefore w:val="0"/>
        <w:widowControl w:val="0"/>
        <w:numPr>
          <w:ilvl w:val="0"/>
          <w:numId w:val="0"/>
        </w:numPr>
        <w:kinsoku/>
        <w:wordWrap/>
        <w:overflowPunct/>
        <w:topLinePunct w:val="0"/>
        <w:autoSpaceDE/>
        <w:autoSpaceDN/>
        <w:bidi w:val="0"/>
        <w:spacing w:line="560" w:lineRule="exact"/>
        <w:ind w:right="0" w:rightChars="0"/>
        <w:jc w:val="center"/>
        <w:textAlignment w:val="auto"/>
        <w:rPr>
          <w:rFonts w:hint="eastAsia" w:ascii="方正小标宋简体" w:hAnsi="方正小标宋简体" w:eastAsia="方正小标宋简体" w:cs="方正小标宋简体"/>
          <w:color w:val="auto"/>
          <w:kern w:val="0"/>
          <w:sz w:val="44"/>
          <w:szCs w:val="44"/>
          <w:highlight w:val="none"/>
        </w:rPr>
      </w:pPr>
      <w:r>
        <w:rPr>
          <w:rFonts w:hint="eastAsia" w:ascii="方正小标宋简体" w:hAnsi="方正小标宋简体" w:eastAsia="方正小标宋简体" w:cs="方正小标宋简体"/>
          <w:color w:val="auto"/>
          <w:kern w:val="0"/>
          <w:sz w:val="44"/>
          <w:szCs w:val="44"/>
          <w:highlight w:val="none"/>
        </w:rPr>
        <w:t>竞买申请书</w:t>
      </w:r>
    </w:p>
    <w:p w14:paraId="42048B25">
      <w:pPr>
        <w:spacing w:line="520" w:lineRule="exact"/>
        <w:rPr>
          <w:rFonts w:hint="eastAsia" w:ascii="仿宋" w:hAnsi="仿宋" w:eastAsia="仿宋" w:cs="仿宋"/>
          <w:color w:val="auto"/>
          <w:spacing w:val="20"/>
          <w:kern w:val="0"/>
          <w:sz w:val="32"/>
          <w:szCs w:val="32"/>
          <w:highlight w:val="none"/>
          <w:lang w:eastAsia="zh-CN"/>
        </w:rPr>
      </w:pPr>
    </w:p>
    <w:p w14:paraId="6AE32593">
      <w:pPr>
        <w:spacing w:line="520" w:lineRule="exact"/>
        <w:rPr>
          <w:rFonts w:hint="eastAsia" w:ascii="仿宋" w:hAnsi="仿宋" w:eastAsia="仿宋" w:cs="仿宋"/>
          <w:color w:val="auto"/>
          <w:sz w:val="32"/>
          <w:szCs w:val="32"/>
          <w:highlight w:val="none"/>
        </w:rPr>
      </w:pPr>
      <w:r>
        <w:rPr>
          <w:rFonts w:hint="eastAsia" w:ascii="仿宋" w:hAnsi="仿宋" w:eastAsia="仿宋" w:cs="仿宋"/>
          <w:color w:val="auto"/>
          <w:spacing w:val="20"/>
          <w:kern w:val="0"/>
          <w:sz w:val="32"/>
          <w:szCs w:val="32"/>
          <w:highlight w:val="none"/>
          <w:lang w:eastAsia="zh-CN"/>
        </w:rPr>
        <w:t>郑州航空港经济综合实验区自然资源和规划局</w:t>
      </w:r>
      <w:r>
        <w:rPr>
          <w:rFonts w:hint="eastAsia" w:ascii="仿宋" w:hAnsi="仿宋" w:eastAsia="仿宋" w:cs="仿宋"/>
          <w:color w:val="auto"/>
          <w:sz w:val="32"/>
          <w:szCs w:val="32"/>
          <w:highlight w:val="none"/>
        </w:rPr>
        <w:t>:</w:t>
      </w:r>
    </w:p>
    <w:p w14:paraId="1378A62D">
      <w:pPr>
        <w:spacing w:line="480" w:lineRule="exact"/>
        <w:ind w:firstLine="6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经认真阅读编号为</w:t>
      </w:r>
      <w:r>
        <w:rPr>
          <w:rFonts w:hint="eastAsia" w:ascii="仿宋" w:hAnsi="仿宋" w:eastAsia="仿宋" w:cs="仿宋"/>
          <w:color w:val="auto"/>
          <w:sz w:val="32"/>
          <w:szCs w:val="32"/>
          <w:highlight w:val="none"/>
          <w:lang w:eastAsia="zh-CN"/>
        </w:rPr>
        <w:t>郑港出〔2025〕120号</w:t>
      </w:r>
      <w:r>
        <w:rPr>
          <w:rFonts w:hint="eastAsia" w:ascii="仿宋" w:hAnsi="仿宋" w:eastAsia="仿宋" w:cs="仿宋"/>
          <w:color w:val="auto"/>
          <w:sz w:val="32"/>
          <w:szCs w:val="32"/>
          <w:highlight w:val="none"/>
        </w:rPr>
        <w:t>地块的挂牌出让文件, 并实地踏勘，我方已全面了解发改部门关于项目核准、备案的详细规定和程序、环保部门关于项目备案审批的详细规定和程序，完全接受并愿意遵守你局国有建设用地使用权挂牌出让文件中的规定和要求,对所有文件均无异议。</w:t>
      </w:r>
    </w:p>
    <w:p w14:paraId="6E123F88">
      <w:pPr>
        <w:spacing w:line="480" w:lineRule="exact"/>
        <w:ind w:firstLine="6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我方现正式申请参加你局于</w:t>
      </w:r>
      <w:r>
        <w:rPr>
          <w:rFonts w:hint="eastAsia" w:ascii="仿宋_GB2312" w:hAnsi="仿宋_GB2312" w:eastAsia="仿宋_GB2312" w:cs="仿宋_GB2312"/>
          <w:color w:val="auto"/>
          <w:sz w:val="32"/>
          <w:szCs w:val="32"/>
          <w:lang w:val="en-US" w:eastAsia="zh-CN"/>
        </w:rPr>
        <w:t>2025年8月26日至2025年9月4日9时</w:t>
      </w:r>
      <w:r>
        <w:rPr>
          <w:rFonts w:hint="eastAsia" w:ascii="仿宋" w:hAnsi="仿宋" w:eastAsia="仿宋" w:cs="仿宋"/>
          <w:color w:val="auto"/>
          <w:sz w:val="32"/>
          <w:szCs w:val="32"/>
          <w:highlight w:val="none"/>
        </w:rPr>
        <w:t>在郑州航空港经济综合实验区赠之路与新港大道交叉口向西约150米路北</w:t>
      </w:r>
      <w:r>
        <w:rPr>
          <w:rFonts w:hint="eastAsia" w:ascii="仿宋" w:hAnsi="仿宋" w:eastAsia="仿宋" w:cs="仿宋"/>
          <w:color w:val="auto"/>
          <w:sz w:val="32"/>
          <w:szCs w:val="32"/>
          <w:highlight w:val="none"/>
          <w:lang w:eastAsia="zh-CN"/>
        </w:rPr>
        <w:t>郑州航空港经济综合实验区公共资源交易中心</w:t>
      </w:r>
      <w:r>
        <w:rPr>
          <w:rFonts w:hint="eastAsia" w:ascii="仿宋" w:hAnsi="仿宋" w:eastAsia="仿宋" w:cs="仿宋"/>
          <w:color w:val="auto"/>
          <w:sz w:val="32"/>
          <w:szCs w:val="32"/>
          <w:highlight w:val="none"/>
        </w:rPr>
        <w:t>702房间举行的</w:t>
      </w:r>
      <w:r>
        <w:rPr>
          <w:rFonts w:hint="eastAsia" w:ascii="仿宋" w:hAnsi="仿宋" w:eastAsia="仿宋" w:cs="仿宋"/>
          <w:color w:val="auto"/>
          <w:sz w:val="32"/>
          <w:szCs w:val="32"/>
          <w:highlight w:val="none"/>
          <w:lang w:eastAsia="zh-CN"/>
        </w:rPr>
        <w:t>郑港出〔2025〕120号</w:t>
      </w:r>
      <w:r>
        <w:rPr>
          <w:rFonts w:hint="eastAsia" w:ascii="仿宋" w:hAnsi="仿宋" w:eastAsia="仿宋" w:cs="仿宋"/>
          <w:color w:val="auto"/>
          <w:sz w:val="32"/>
          <w:szCs w:val="32"/>
          <w:highlight w:val="none"/>
        </w:rPr>
        <w:t>地块国有建设用地使用权挂牌活动。</w:t>
      </w:r>
    </w:p>
    <w:p w14:paraId="56812F7E">
      <w:pPr>
        <w:adjustRightInd w:val="0"/>
        <w:snapToGrid w:val="0"/>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我方愿意按挂牌出让文件规定，交纳竞买保证金人民币大写</w:t>
      </w:r>
      <w:r>
        <w:rPr>
          <w:rFonts w:hint="eastAsia" w:ascii="仿宋_GB2312" w:hAnsi="仿宋_GB2312" w:eastAsia="仿宋_GB2312" w:cs="仿宋_GB2312"/>
          <w:color w:val="auto"/>
          <w:sz w:val="32"/>
          <w:szCs w:val="32"/>
          <w:highlight w:val="none"/>
          <w:u w:val="single"/>
          <w:lang w:eastAsia="zh-CN"/>
        </w:rPr>
        <w:t>叁仟捌佰叁拾陆万元</w:t>
      </w:r>
      <w:r>
        <w:rPr>
          <w:rFonts w:hint="eastAsia" w:ascii="仿宋_GB2312" w:hAnsi="仿宋_GB2312" w:eastAsia="仿宋_GB2312" w:cs="仿宋_GB2312"/>
          <w:color w:val="auto"/>
          <w:sz w:val="32"/>
          <w:szCs w:val="32"/>
          <w:highlight w:val="none"/>
          <w:lang w:eastAsia="zh-CN"/>
        </w:rPr>
        <w:t>整</w:t>
      </w:r>
      <w:r>
        <w:rPr>
          <w:rFonts w:hint="eastAsia" w:ascii="仿宋_GB2312" w:hAnsi="仿宋_GB2312" w:eastAsia="仿宋_GB2312" w:cs="仿宋_GB2312"/>
          <w:color w:val="auto"/>
          <w:sz w:val="32"/>
          <w:szCs w:val="32"/>
          <w:highlight w:val="none"/>
        </w:rPr>
        <w:t>（小写</w:t>
      </w:r>
      <w:r>
        <w:rPr>
          <w:rFonts w:hint="eastAsia" w:ascii="仿宋_GB2312" w:hAnsi="仿宋_GB2312" w:eastAsia="仿宋_GB2312" w:cs="仿宋_GB2312"/>
          <w:color w:val="auto"/>
          <w:sz w:val="32"/>
          <w:szCs w:val="32"/>
          <w:highlight w:val="none"/>
          <w:u w:val="single"/>
          <w:lang w:val="en-US" w:eastAsia="zh-CN"/>
        </w:rPr>
        <w:t>38360000</w:t>
      </w:r>
      <w:r>
        <w:rPr>
          <w:rFonts w:hint="eastAsia" w:ascii="仿宋_GB2312" w:hAnsi="仿宋_GB2312" w:eastAsia="仿宋_GB2312" w:cs="仿宋_GB2312"/>
          <w:color w:val="auto"/>
          <w:sz w:val="32"/>
          <w:szCs w:val="32"/>
          <w:highlight w:val="none"/>
        </w:rPr>
        <w:t>元）</w:t>
      </w:r>
      <w:r>
        <w:rPr>
          <w:rFonts w:hint="eastAsia" w:ascii="仿宋" w:hAnsi="仿宋" w:eastAsia="仿宋" w:cs="仿宋"/>
          <w:color w:val="auto"/>
          <w:sz w:val="32"/>
          <w:szCs w:val="32"/>
          <w:highlight w:val="none"/>
        </w:rPr>
        <w:t>。</w:t>
      </w:r>
    </w:p>
    <w:p w14:paraId="2CB38597">
      <w:pPr>
        <w:spacing w:line="480" w:lineRule="exact"/>
        <w:ind w:firstLine="6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若能竞得该地块，我方保证按照国有建设用地使用权挂牌出让文件的规定和要求履行全部义务。</w:t>
      </w:r>
    </w:p>
    <w:p w14:paraId="3ED343CD">
      <w:pPr>
        <w:spacing w:line="480" w:lineRule="exact"/>
        <w:ind w:firstLine="6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若我方在国有建设用地使用权挂牌出让活动中，出现不能按期付款或有其他违约行为，我方愿意承担全部法律责任，并赔偿由此产生的损失。</w:t>
      </w:r>
    </w:p>
    <w:p w14:paraId="013FFD4D">
      <w:pPr>
        <w:spacing w:line="480" w:lineRule="exact"/>
        <w:ind w:firstLine="6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特此申请和承诺。</w:t>
      </w:r>
    </w:p>
    <w:p w14:paraId="39C1AB31">
      <w:pPr>
        <w:tabs>
          <w:tab w:val="left" w:pos="7920"/>
          <w:tab w:val="left" w:pos="8100"/>
        </w:tabs>
        <w:spacing w:line="52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申请人：（公章）             法定代表人签名：</w:t>
      </w:r>
    </w:p>
    <w:p w14:paraId="2C378B9B">
      <w:pPr>
        <w:tabs>
          <w:tab w:val="left" w:pos="7920"/>
        </w:tabs>
        <w:spacing w:line="52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通讯地址： </w:t>
      </w:r>
    </w:p>
    <w:p w14:paraId="36B51F07">
      <w:pPr>
        <w:spacing w:line="52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 xml:space="preserve">邮政编码：           电话：           传真：                             </w:t>
      </w:r>
    </w:p>
    <w:p w14:paraId="276C33B7">
      <w:pPr>
        <w:tabs>
          <w:tab w:val="left" w:pos="8100"/>
          <w:tab w:val="left" w:pos="8280"/>
        </w:tabs>
        <w:spacing w:line="520" w:lineRule="exact"/>
        <w:ind w:right="1920"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开户银行：           账号：</w:t>
      </w:r>
    </w:p>
    <w:p w14:paraId="52241B51">
      <w:pPr>
        <w:tabs>
          <w:tab w:val="left" w:pos="7200"/>
          <w:tab w:val="left" w:pos="8100"/>
          <w:tab w:val="left" w:pos="8280"/>
        </w:tabs>
        <w:spacing w:line="520" w:lineRule="exact"/>
        <w:ind w:right="1280" w:firstLine="750"/>
        <w:jc w:val="right"/>
        <w:rPr>
          <w:rFonts w:hint="eastAsia" w:ascii="仿宋" w:hAnsi="仿宋" w:eastAsia="仿宋"/>
          <w:color w:val="auto"/>
          <w:sz w:val="32"/>
          <w:szCs w:val="32"/>
          <w:highlight w:val="none"/>
        </w:rPr>
      </w:pPr>
      <w:r>
        <w:rPr>
          <w:rFonts w:hint="eastAsia" w:ascii="仿宋" w:hAnsi="仿宋" w:eastAsia="仿宋"/>
          <w:color w:val="auto"/>
          <w:sz w:val="32"/>
          <w:szCs w:val="32"/>
          <w:highlight w:val="none"/>
        </w:rPr>
        <w:t xml:space="preserve">       </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s="仿宋_GB2312"/>
          <w:color w:val="auto"/>
          <w:sz w:val="32"/>
          <w:szCs w:val="32"/>
          <w:highlight w:val="none"/>
          <w:u w:val="single"/>
        </w:rPr>
        <w:t xml:space="preserve">   </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月</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日</w:t>
      </w:r>
    </w:p>
    <w:p w14:paraId="78A2D3E0">
      <w:pPr>
        <w:tabs>
          <w:tab w:val="left" w:pos="5400"/>
          <w:tab w:val="left" w:pos="5760"/>
          <w:tab w:val="left" w:pos="6120"/>
          <w:tab w:val="left" w:pos="7920"/>
          <w:tab w:val="left" w:pos="8100"/>
        </w:tabs>
        <w:adjustRightInd w:val="0"/>
        <w:snapToGrid w:val="0"/>
        <w:spacing w:line="580" w:lineRule="exact"/>
        <w:jc w:val="center"/>
        <w:rPr>
          <w:rFonts w:hint="eastAsia" w:ascii="仿宋" w:hAnsi="仿宋" w:eastAsia="仿宋" w:cs="宋体"/>
          <w:b/>
          <w:bCs/>
          <w:color w:val="auto"/>
          <w:kern w:val="0"/>
          <w:sz w:val="32"/>
          <w:szCs w:val="32"/>
          <w:highlight w:val="none"/>
        </w:rPr>
      </w:pPr>
    </w:p>
    <w:p w14:paraId="23A85090">
      <w:pPr>
        <w:tabs>
          <w:tab w:val="left" w:pos="5400"/>
          <w:tab w:val="left" w:pos="5760"/>
          <w:tab w:val="left" w:pos="6120"/>
          <w:tab w:val="left" w:pos="7920"/>
          <w:tab w:val="left" w:pos="8100"/>
        </w:tabs>
        <w:adjustRightInd w:val="0"/>
        <w:snapToGrid w:val="0"/>
        <w:spacing w:line="580" w:lineRule="exact"/>
        <w:jc w:val="center"/>
        <w:rPr>
          <w:rFonts w:hint="eastAsia" w:ascii="宋体" w:hAnsi="宋体" w:cs="宋体"/>
          <w:b/>
          <w:bCs/>
          <w:color w:val="auto"/>
          <w:kern w:val="0"/>
          <w:sz w:val="44"/>
          <w:szCs w:val="44"/>
          <w:highlight w:val="none"/>
        </w:rPr>
      </w:pPr>
    </w:p>
    <w:p w14:paraId="46ED2C82">
      <w:pPr>
        <w:tabs>
          <w:tab w:val="left" w:pos="5400"/>
          <w:tab w:val="left" w:pos="5760"/>
          <w:tab w:val="left" w:pos="6120"/>
          <w:tab w:val="left" w:pos="7920"/>
          <w:tab w:val="left" w:pos="8100"/>
        </w:tabs>
        <w:adjustRightInd w:val="0"/>
        <w:snapToGrid w:val="0"/>
        <w:spacing w:line="580" w:lineRule="exact"/>
        <w:jc w:val="center"/>
        <w:rPr>
          <w:rFonts w:hint="eastAsia" w:ascii="宋体" w:hAnsi="宋体" w:cs="宋体"/>
          <w:b/>
          <w:bCs/>
          <w:color w:val="auto"/>
          <w:kern w:val="0"/>
          <w:sz w:val="44"/>
          <w:szCs w:val="44"/>
          <w:highlight w:val="none"/>
        </w:rPr>
      </w:pPr>
      <w:r>
        <w:rPr>
          <w:rFonts w:hint="eastAsia" w:ascii="宋体" w:hAnsi="宋体" w:cs="宋体"/>
          <w:b/>
          <w:bCs/>
          <w:color w:val="auto"/>
          <w:kern w:val="0"/>
          <w:sz w:val="44"/>
          <w:szCs w:val="44"/>
          <w:highlight w:val="none"/>
        </w:rPr>
        <w:t>法人代表身份证明书</w:t>
      </w:r>
    </w:p>
    <w:p w14:paraId="156330F2">
      <w:pPr>
        <w:rPr>
          <w:rFonts w:hint="eastAsia" w:ascii="仿宋" w:hAnsi="仿宋" w:eastAsia="仿宋"/>
          <w:color w:val="auto"/>
          <w:sz w:val="32"/>
          <w:szCs w:val="32"/>
          <w:highlight w:val="none"/>
        </w:rPr>
      </w:pPr>
    </w:p>
    <w:p w14:paraId="41CE25B9">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rPr>
        <w:t>同志，在我单位任</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rPr>
        <w:t>职务，系我单位法人代表，特此证明。</w:t>
      </w:r>
    </w:p>
    <w:p w14:paraId="0AD911BB">
      <w:pPr>
        <w:ind w:firstLine="75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       </w:t>
      </w:r>
    </w:p>
    <w:p w14:paraId="16F72FAB">
      <w:pPr>
        <w:ind w:firstLine="750"/>
        <w:rPr>
          <w:rFonts w:hint="eastAsia" w:ascii="仿宋" w:hAnsi="仿宋" w:eastAsia="仿宋"/>
          <w:color w:val="auto"/>
          <w:sz w:val="32"/>
          <w:szCs w:val="32"/>
          <w:highlight w:val="none"/>
          <w:lang w:val="en-GB"/>
        </w:rPr>
      </w:pPr>
    </w:p>
    <w:p w14:paraId="6B3BE6F2">
      <w:pPr>
        <w:ind w:firstLine="750"/>
        <w:rPr>
          <w:rFonts w:hint="eastAsia" w:ascii="仿宋" w:hAnsi="仿宋" w:eastAsia="仿宋"/>
          <w:color w:val="auto"/>
          <w:sz w:val="32"/>
          <w:szCs w:val="32"/>
          <w:highlight w:val="none"/>
          <w:lang w:val="en-GB"/>
        </w:rPr>
      </w:pPr>
    </w:p>
    <w:p w14:paraId="7C6B57F7">
      <w:pPr>
        <w:ind w:firstLine="75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                             单位全称（盖章）</w:t>
      </w:r>
    </w:p>
    <w:p w14:paraId="77DDA4C2">
      <w:pPr>
        <w:ind w:firstLine="4908" w:firstLineChars="1534"/>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rPr>
        <w:t xml:space="preserve">    </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s="仿宋_GB2312"/>
          <w:color w:val="auto"/>
          <w:sz w:val="32"/>
          <w:szCs w:val="32"/>
          <w:highlight w:val="none"/>
          <w:u w:val="single"/>
        </w:rPr>
        <w:t xml:space="preserve">  </w:t>
      </w:r>
      <w:r>
        <w:rPr>
          <w:rFonts w:hint="eastAsia" w:ascii="仿宋" w:hAnsi="仿宋" w:eastAsia="仿宋"/>
          <w:color w:val="auto"/>
          <w:sz w:val="32"/>
          <w:szCs w:val="32"/>
          <w:highlight w:val="none"/>
          <w:lang w:val="en-GB"/>
        </w:rPr>
        <w:t>年</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日</w:t>
      </w:r>
    </w:p>
    <w:p w14:paraId="1CE16624">
      <w:pP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附注：</w:t>
      </w:r>
    </w:p>
    <w:p w14:paraId="1580E507">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该代表人办公地点：</w:t>
      </w:r>
    </w:p>
    <w:p w14:paraId="5FEE11A5">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联系电话：</w:t>
      </w:r>
    </w:p>
    <w:p w14:paraId="6F111347">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传真：</w:t>
      </w:r>
    </w:p>
    <w:p w14:paraId="06E3CDCA">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邮政编码：                     </w:t>
      </w:r>
    </w:p>
    <w:p w14:paraId="5B573ED2">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居民身份证号码：                              </w:t>
      </w:r>
    </w:p>
    <w:p w14:paraId="3FE524DC">
      <w:pPr>
        <w:ind w:right="320" w:firstLine="750"/>
        <w:jc w:val="right"/>
        <w:rPr>
          <w:rFonts w:hint="eastAsia" w:ascii="仿宋" w:hAnsi="仿宋" w:eastAsia="仿宋"/>
          <w:color w:val="auto"/>
          <w:sz w:val="32"/>
          <w:szCs w:val="32"/>
          <w:highlight w:val="none"/>
          <w:lang w:val="en-GB"/>
        </w:rPr>
      </w:pPr>
    </w:p>
    <w:p w14:paraId="6866D872">
      <w:pPr>
        <w:ind w:right="320" w:firstLine="750"/>
        <w:jc w:val="right"/>
        <w:rPr>
          <w:rFonts w:hint="eastAsia" w:ascii="仿宋" w:hAnsi="仿宋" w:eastAsia="仿宋"/>
          <w:color w:val="auto"/>
          <w:sz w:val="32"/>
          <w:szCs w:val="32"/>
          <w:highlight w:val="none"/>
          <w:lang w:val="en-GB"/>
        </w:rPr>
      </w:pPr>
    </w:p>
    <w:p w14:paraId="39AFA4F0">
      <w:pPr>
        <w:ind w:right="320" w:firstLine="750"/>
        <w:jc w:val="right"/>
        <w:rPr>
          <w:rFonts w:hint="eastAsia" w:ascii="仿宋" w:hAnsi="仿宋" w:eastAsia="仿宋"/>
          <w:color w:val="auto"/>
          <w:sz w:val="32"/>
          <w:szCs w:val="32"/>
          <w:highlight w:val="none"/>
          <w:lang w:val="en-GB"/>
        </w:rPr>
      </w:pPr>
    </w:p>
    <w:p w14:paraId="17DDC235">
      <w:pPr>
        <w:ind w:right="320" w:firstLine="750"/>
        <w:jc w:val="right"/>
        <w:rPr>
          <w:rFonts w:hint="eastAsia" w:ascii="仿宋" w:hAnsi="仿宋" w:eastAsia="仿宋"/>
          <w:color w:val="auto"/>
          <w:sz w:val="32"/>
          <w:szCs w:val="32"/>
          <w:highlight w:val="none"/>
          <w:lang w:val="en-GB"/>
        </w:rPr>
      </w:pPr>
    </w:p>
    <w:p w14:paraId="72015589">
      <w:pPr>
        <w:ind w:right="320" w:firstLine="750"/>
        <w:jc w:val="right"/>
        <w:rPr>
          <w:rFonts w:hint="eastAsia" w:ascii="仿宋" w:hAnsi="仿宋" w:eastAsia="仿宋"/>
          <w:color w:val="auto"/>
          <w:sz w:val="32"/>
          <w:szCs w:val="32"/>
          <w:highlight w:val="none"/>
          <w:lang w:val="en-GB"/>
        </w:rPr>
      </w:pPr>
    </w:p>
    <w:p w14:paraId="3686CA69">
      <w:pPr>
        <w:tabs>
          <w:tab w:val="left" w:pos="5400"/>
          <w:tab w:val="left" w:pos="5760"/>
          <w:tab w:val="left" w:pos="6120"/>
          <w:tab w:val="left" w:pos="7920"/>
          <w:tab w:val="left" w:pos="8100"/>
        </w:tabs>
        <w:adjustRightInd w:val="0"/>
        <w:snapToGrid w:val="0"/>
        <w:spacing w:line="580" w:lineRule="exact"/>
        <w:jc w:val="both"/>
        <w:rPr>
          <w:rFonts w:hint="eastAsia" w:ascii="宋体" w:hAnsi="宋体" w:cs="宋体"/>
          <w:b/>
          <w:bCs/>
          <w:color w:val="auto"/>
          <w:kern w:val="0"/>
          <w:sz w:val="44"/>
          <w:szCs w:val="44"/>
          <w:highlight w:val="none"/>
        </w:rPr>
      </w:pPr>
    </w:p>
    <w:p w14:paraId="64C8C99A">
      <w:pPr>
        <w:pStyle w:val="2"/>
        <w:rPr>
          <w:rFonts w:hint="eastAsia"/>
          <w:highlight w:val="none"/>
        </w:rPr>
      </w:pPr>
    </w:p>
    <w:p w14:paraId="192CDB92">
      <w:pPr>
        <w:tabs>
          <w:tab w:val="left" w:pos="5400"/>
          <w:tab w:val="left" w:pos="5760"/>
          <w:tab w:val="left" w:pos="6120"/>
          <w:tab w:val="left" w:pos="7920"/>
          <w:tab w:val="left" w:pos="8100"/>
        </w:tabs>
        <w:adjustRightInd w:val="0"/>
        <w:snapToGrid w:val="0"/>
        <w:spacing w:line="580" w:lineRule="exact"/>
        <w:jc w:val="center"/>
        <w:rPr>
          <w:rFonts w:hint="eastAsia" w:ascii="宋体" w:hAnsi="宋体" w:cs="宋体"/>
          <w:b/>
          <w:bCs/>
          <w:color w:val="auto"/>
          <w:kern w:val="0"/>
          <w:sz w:val="44"/>
          <w:szCs w:val="44"/>
          <w:highlight w:val="none"/>
        </w:rPr>
      </w:pPr>
      <w:r>
        <w:rPr>
          <w:rFonts w:hint="eastAsia" w:ascii="宋体" w:hAnsi="宋体" w:cs="宋体"/>
          <w:b/>
          <w:bCs/>
          <w:color w:val="auto"/>
          <w:kern w:val="0"/>
          <w:sz w:val="44"/>
          <w:szCs w:val="44"/>
          <w:highlight w:val="none"/>
        </w:rPr>
        <w:br w:type="page"/>
      </w:r>
      <w:r>
        <w:rPr>
          <w:rFonts w:hint="eastAsia" w:ascii="宋体" w:hAnsi="宋体" w:cs="宋体"/>
          <w:b/>
          <w:bCs/>
          <w:color w:val="auto"/>
          <w:kern w:val="0"/>
          <w:sz w:val="44"/>
          <w:szCs w:val="44"/>
          <w:highlight w:val="none"/>
        </w:rPr>
        <w:t>授权委托书</w:t>
      </w:r>
    </w:p>
    <w:p w14:paraId="16BDE102">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（法人或组织用）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35"/>
        <w:gridCol w:w="2785"/>
        <w:gridCol w:w="1799"/>
        <w:gridCol w:w="2932"/>
      </w:tblGrid>
      <w:tr w14:paraId="6243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728" w:type="dxa"/>
            <w:gridSpan w:val="3"/>
            <w:noWrap w:val="0"/>
            <w:vAlign w:val="top"/>
          </w:tcPr>
          <w:p w14:paraId="2270AD33">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委托人</w:t>
            </w:r>
          </w:p>
        </w:tc>
        <w:tc>
          <w:tcPr>
            <w:tcW w:w="4731" w:type="dxa"/>
            <w:gridSpan w:val="2"/>
            <w:noWrap w:val="0"/>
            <w:vAlign w:val="top"/>
          </w:tcPr>
          <w:p w14:paraId="18D83B36">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受托人</w:t>
            </w:r>
          </w:p>
        </w:tc>
      </w:tr>
      <w:tr w14:paraId="4062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43" w:type="dxa"/>
            <w:gridSpan w:val="2"/>
            <w:noWrap w:val="0"/>
            <w:vAlign w:val="top"/>
          </w:tcPr>
          <w:p w14:paraId="543F29FA">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单位名称</w:t>
            </w:r>
          </w:p>
        </w:tc>
        <w:tc>
          <w:tcPr>
            <w:tcW w:w="2785" w:type="dxa"/>
            <w:noWrap w:val="0"/>
            <w:vAlign w:val="top"/>
          </w:tcPr>
          <w:p w14:paraId="0275CE20">
            <w:pPr>
              <w:adjustRightInd w:val="0"/>
              <w:snapToGrid w:val="0"/>
              <w:spacing w:line="580" w:lineRule="exact"/>
              <w:jc w:val="center"/>
              <w:rPr>
                <w:rFonts w:hint="eastAsia" w:ascii="仿宋" w:hAnsi="仿宋" w:eastAsia="仿宋"/>
                <w:color w:val="auto"/>
                <w:sz w:val="32"/>
                <w:szCs w:val="32"/>
                <w:highlight w:val="none"/>
                <w:lang w:val="en-GB"/>
              </w:rPr>
            </w:pPr>
          </w:p>
        </w:tc>
        <w:tc>
          <w:tcPr>
            <w:tcW w:w="1799" w:type="dxa"/>
            <w:noWrap w:val="0"/>
            <w:vAlign w:val="top"/>
          </w:tcPr>
          <w:p w14:paraId="2813342D">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姓名</w:t>
            </w:r>
          </w:p>
        </w:tc>
        <w:tc>
          <w:tcPr>
            <w:tcW w:w="2932" w:type="dxa"/>
            <w:noWrap w:val="0"/>
            <w:vAlign w:val="top"/>
          </w:tcPr>
          <w:p w14:paraId="12D6B7DC">
            <w:pPr>
              <w:adjustRightInd w:val="0"/>
              <w:snapToGrid w:val="0"/>
              <w:spacing w:line="580" w:lineRule="exact"/>
              <w:jc w:val="center"/>
              <w:rPr>
                <w:rFonts w:hint="eastAsia" w:ascii="仿宋" w:hAnsi="仿宋" w:eastAsia="仿宋"/>
                <w:color w:val="auto"/>
                <w:sz w:val="32"/>
                <w:szCs w:val="32"/>
                <w:highlight w:val="none"/>
                <w:lang w:val="en-GB"/>
              </w:rPr>
            </w:pPr>
          </w:p>
        </w:tc>
      </w:tr>
      <w:tr w14:paraId="5D4E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943" w:type="dxa"/>
            <w:gridSpan w:val="2"/>
            <w:noWrap w:val="0"/>
            <w:vAlign w:val="top"/>
          </w:tcPr>
          <w:p w14:paraId="06F43D4D">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法定代表人</w:t>
            </w:r>
          </w:p>
        </w:tc>
        <w:tc>
          <w:tcPr>
            <w:tcW w:w="2785" w:type="dxa"/>
            <w:noWrap w:val="0"/>
            <w:vAlign w:val="top"/>
          </w:tcPr>
          <w:p w14:paraId="345A4231">
            <w:pPr>
              <w:adjustRightInd w:val="0"/>
              <w:snapToGrid w:val="0"/>
              <w:spacing w:line="580" w:lineRule="exact"/>
              <w:jc w:val="center"/>
              <w:rPr>
                <w:rFonts w:hint="eastAsia" w:ascii="仿宋" w:hAnsi="仿宋" w:eastAsia="仿宋"/>
                <w:color w:val="auto"/>
                <w:sz w:val="32"/>
                <w:szCs w:val="32"/>
                <w:highlight w:val="none"/>
                <w:lang w:val="en-GB"/>
              </w:rPr>
            </w:pPr>
          </w:p>
        </w:tc>
        <w:tc>
          <w:tcPr>
            <w:tcW w:w="1799" w:type="dxa"/>
            <w:noWrap w:val="0"/>
            <w:vAlign w:val="top"/>
          </w:tcPr>
          <w:p w14:paraId="597B8208">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工作单位</w:t>
            </w:r>
          </w:p>
        </w:tc>
        <w:tc>
          <w:tcPr>
            <w:tcW w:w="2932" w:type="dxa"/>
            <w:noWrap w:val="0"/>
            <w:vAlign w:val="top"/>
          </w:tcPr>
          <w:p w14:paraId="36CE5E22">
            <w:pPr>
              <w:adjustRightInd w:val="0"/>
              <w:snapToGrid w:val="0"/>
              <w:spacing w:line="580" w:lineRule="exact"/>
              <w:jc w:val="center"/>
              <w:rPr>
                <w:rFonts w:hint="eastAsia" w:ascii="仿宋" w:hAnsi="仿宋" w:eastAsia="仿宋"/>
                <w:color w:val="auto"/>
                <w:sz w:val="32"/>
                <w:szCs w:val="32"/>
                <w:highlight w:val="none"/>
                <w:lang w:val="en-GB"/>
              </w:rPr>
            </w:pPr>
          </w:p>
        </w:tc>
      </w:tr>
      <w:tr w14:paraId="1F8B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943" w:type="dxa"/>
            <w:gridSpan w:val="2"/>
            <w:noWrap w:val="0"/>
            <w:vAlign w:val="top"/>
          </w:tcPr>
          <w:p w14:paraId="3EE5FBD0">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注册地址</w:t>
            </w:r>
          </w:p>
        </w:tc>
        <w:tc>
          <w:tcPr>
            <w:tcW w:w="2785" w:type="dxa"/>
            <w:noWrap w:val="0"/>
            <w:vAlign w:val="top"/>
          </w:tcPr>
          <w:p w14:paraId="591012AC">
            <w:pPr>
              <w:adjustRightInd w:val="0"/>
              <w:snapToGrid w:val="0"/>
              <w:spacing w:line="580" w:lineRule="exact"/>
              <w:jc w:val="center"/>
              <w:rPr>
                <w:rFonts w:hint="eastAsia" w:ascii="仿宋" w:hAnsi="仿宋" w:eastAsia="仿宋"/>
                <w:color w:val="auto"/>
                <w:sz w:val="32"/>
                <w:szCs w:val="32"/>
                <w:highlight w:val="none"/>
                <w:lang w:val="en-GB"/>
              </w:rPr>
            </w:pPr>
          </w:p>
        </w:tc>
        <w:tc>
          <w:tcPr>
            <w:tcW w:w="1799" w:type="dxa"/>
            <w:noWrap w:val="0"/>
            <w:vAlign w:val="top"/>
          </w:tcPr>
          <w:p w14:paraId="4B5D06D8">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职务</w:t>
            </w:r>
          </w:p>
        </w:tc>
        <w:tc>
          <w:tcPr>
            <w:tcW w:w="2932" w:type="dxa"/>
            <w:noWrap w:val="0"/>
            <w:vAlign w:val="top"/>
          </w:tcPr>
          <w:p w14:paraId="7FA8D66D">
            <w:pPr>
              <w:adjustRightInd w:val="0"/>
              <w:snapToGrid w:val="0"/>
              <w:spacing w:line="580" w:lineRule="exact"/>
              <w:jc w:val="center"/>
              <w:rPr>
                <w:rFonts w:hint="eastAsia" w:ascii="仿宋" w:hAnsi="仿宋" w:eastAsia="仿宋"/>
                <w:color w:val="auto"/>
                <w:sz w:val="32"/>
                <w:szCs w:val="32"/>
                <w:highlight w:val="none"/>
                <w:lang w:val="en-GB"/>
              </w:rPr>
            </w:pPr>
          </w:p>
        </w:tc>
      </w:tr>
      <w:tr w14:paraId="4843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943" w:type="dxa"/>
            <w:gridSpan w:val="2"/>
            <w:vMerge w:val="restart"/>
            <w:noWrap w:val="0"/>
            <w:vAlign w:val="center"/>
          </w:tcPr>
          <w:p w14:paraId="29271CCD">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营业执照 号码</w:t>
            </w:r>
          </w:p>
        </w:tc>
        <w:tc>
          <w:tcPr>
            <w:tcW w:w="2785" w:type="dxa"/>
            <w:vMerge w:val="restart"/>
            <w:noWrap w:val="0"/>
            <w:vAlign w:val="top"/>
          </w:tcPr>
          <w:p w14:paraId="4BEF3AAD">
            <w:pPr>
              <w:adjustRightInd w:val="0"/>
              <w:snapToGrid w:val="0"/>
              <w:spacing w:line="580" w:lineRule="exact"/>
              <w:jc w:val="center"/>
              <w:rPr>
                <w:rFonts w:hint="eastAsia" w:ascii="仿宋" w:hAnsi="仿宋" w:eastAsia="仿宋"/>
                <w:color w:val="auto"/>
                <w:sz w:val="32"/>
                <w:szCs w:val="32"/>
                <w:highlight w:val="none"/>
                <w:lang w:val="en-GB"/>
              </w:rPr>
            </w:pPr>
          </w:p>
        </w:tc>
        <w:tc>
          <w:tcPr>
            <w:tcW w:w="1799" w:type="dxa"/>
            <w:vMerge w:val="restart"/>
            <w:noWrap w:val="0"/>
            <w:vAlign w:val="center"/>
          </w:tcPr>
          <w:p w14:paraId="10E857AC">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证件号码</w:t>
            </w:r>
          </w:p>
        </w:tc>
        <w:tc>
          <w:tcPr>
            <w:tcW w:w="2932" w:type="dxa"/>
            <w:noWrap w:val="0"/>
            <w:vAlign w:val="top"/>
          </w:tcPr>
          <w:p w14:paraId="67AC81E7">
            <w:pPr>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身份证（ ）护照（ ）</w:t>
            </w:r>
          </w:p>
        </w:tc>
      </w:tr>
      <w:tr w14:paraId="4D37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trPr>
        <w:tc>
          <w:tcPr>
            <w:tcW w:w="1943" w:type="dxa"/>
            <w:gridSpan w:val="2"/>
            <w:vMerge w:val="continue"/>
            <w:noWrap w:val="0"/>
            <w:vAlign w:val="top"/>
          </w:tcPr>
          <w:p w14:paraId="2788C661">
            <w:pPr>
              <w:jc w:val="center"/>
              <w:rPr>
                <w:rFonts w:hint="eastAsia" w:ascii="仿宋" w:hAnsi="仿宋" w:eastAsia="仿宋"/>
                <w:color w:val="auto"/>
                <w:sz w:val="32"/>
                <w:szCs w:val="32"/>
                <w:highlight w:val="none"/>
                <w:lang w:val="en-GB"/>
              </w:rPr>
            </w:pPr>
          </w:p>
        </w:tc>
        <w:tc>
          <w:tcPr>
            <w:tcW w:w="2785" w:type="dxa"/>
            <w:vMerge w:val="continue"/>
            <w:noWrap w:val="0"/>
            <w:vAlign w:val="top"/>
          </w:tcPr>
          <w:p w14:paraId="08A31EA0">
            <w:pPr>
              <w:adjustRightInd w:val="0"/>
              <w:snapToGrid w:val="0"/>
              <w:spacing w:line="580" w:lineRule="exact"/>
              <w:jc w:val="center"/>
              <w:rPr>
                <w:rFonts w:hint="eastAsia" w:ascii="仿宋" w:hAnsi="仿宋" w:eastAsia="仿宋"/>
                <w:color w:val="auto"/>
                <w:sz w:val="32"/>
                <w:szCs w:val="32"/>
                <w:highlight w:val="none"/>
                <w:lang w:val="en-GB"/>
              </w:rPr>
            </w:pPr>
          </w:p>
        </w:tc>
        <w:tc>
          <w:tcPr>
            <w:tcW w:w="1799" w:type="dxa"/>
            <w:vMerge w:val="continue"/>
            <w:noWrap w:val="0"/>
            <w:vAlign w:val="top"/>
          </w:tcPr>
          <w:p w14:paraId="60A4E2A2">
            <w:pPr>
              <w:adjustRightInd w:val="0"/>
              <w:snapToGrid w:val="0"/>
              <w:spacing w:line="580" w:lineRule="exact"/>
              <w:jc w:val="center"/>
              <w:rPr>
                <w:rFonts w:hint="eastAsia" w:ascii="仿宋" w:hAnsi="仿宋" w:eastAsia="仿宋"/>
                <w:color w:val="auto"/>
                <w:sz w:val="32"/>
                <w:szCs w:val="32"/>
                <w:highlight w:val="none"/>
                <w:lang w:val="en-GB"/>
              </w:rPr>
            </w:pPr>
          </w:p>
        </w:tc>
        <w:tc>
          <w:tcPr>
            <w:tcW w:w="2932" w:type="dxa"/>
            <w:noWrap w:val="0"/>
            <w:vAlign w:val="top"/>
          </w:tcPr>
          <w:p w14:paraId="7F1EF51F">
            <w:pPr>
              <w:adjustRightInd w:val="0"/>
              <w:snapToGrid w:val="0"/>
              <w:spacing w:line="580" w:lineRule="exact"/>
              <w:jc w:val="center"/>
              <w:rPr>
                <w:rFonts w:hint="eastAsia" w:ascii="仿宋" w:hAnsi="仿宋" w:eastAsia="仿宋"/>
                <w:color w:val="auto"/>
                <w:sz w:val="32"/>
                <w:szCs w:val="32"/>
                <w:highlight w:val="none"/>
                <w:lang w:val="en-GB"/>
              </w:rPr>
            </w:pPr>
          </w:p>
        </w:tc>
      </w:tr>
      <w:tr w14:paraId="0157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8" w:hRule="atLeast"/>
        </w:trPr>
        <w:tc>
          <w:tcPr>
            <w:tcW w:w="9459" w:type="dxa"/>
            <w:gridSpan w:val="5"/>
            <w:noWrap w:val="0"/>
            <w:vAlign w:val="top"/>
          </w:tcPr>
          <w:p w14:paraId="3A7617A4">
            <w:pPr>
              <w:adjustRightInd w:val="0"/>
              <w:snapToGrid w:val="0"/>
              <w:spacing w:line="580" w:lineRule="exact"/>
              <w:ind w:firstLine="640" w:firstLineChars="200"/>
              <w:rPr>
                <w:rFonts w:hint="eastAsia" w:ascii="仿宋" w:hAnsi="仿宋" w:eastAsia="仿宋" w:cs="仿宋"/>
                <w:color w:val="auto"/>
                <w:sz w:val="32"/>
                <w:szCs w:val="32"/>
                <w:highlight w:val="none"/>
                <w:lang w:val="en-GB"/>
              </w:rPr>
            </w:pPr>
            <w:r>
              <w:rPr>
                <w:rFonts w:hint="eastAsia" w:ascii="仿宋" w:hAnsi="仿宋" w:eastAsia="仿宋" w:cs="仿宋"/>
                <w:color w:val="auto"/>
                <w:sz w:val="32"/>
                <w:szCs w:val="32"/>
                <w:highlight w:val="none"/>
                <w:lang w:val="en-GB"/>
              </w:rPr>
              <w:t>委托人授权</w:t>
            </w:r>
            <w:r>
              <w:rPr>
                <w:rFonts w:hint="eastAsia" w:ascii="仿宋" w:hAnsi="仿宋" w:eastAsia="仿宋" w:cs="仿宋"/>
                <w:color w:val="auto"/>
                <w:sz w:val="32"/>
                <w:szCs w:val="32"/>
                <w:highlight w:val="none"/>
                <w:u w:val="single"/>
                <w:lang w:val="en-GB"/>
              </w:rPr>
              <w:t xml:space="preserve">           </w:t>
            </w:r>
            <w:r>
              <w:rPr>
                <w:rFonts w:hint="eastAsia" w:ascii="仿宋" w:hAnsi="仿宋" w:eastAsia="仿宋" w:cs="仿宋"/>
                <w:color w:val="auto"/>
                <w:sz w:val="32"/>
                <w:szCs w:val="32"/>
                <w:highlight w:val="none"/>
                <w:lang w:val="en-GB"/>
              </w:rPr>
              <w:t>（受托人）代表本人参</w:t>
            </w:r>
            <w:r>
              <w:rPr>
                <w:rFonts w:hint="eastAsia" w:ascii="仿宋" w:hAnsi="仿宋" w:eastAsia="仿宋" w:cs="仿宋"/>
                <w:color w:val="auto"/>
                <w:sz w:val="32"/>
                <w:szCs w:val="32"/>
                <w:highlight w:val="none"/>
              </w:rPr>
              <w:t>加</w:t>
            </w:r>
            <w:r>
              <w:rPr>
                <w:rFonts w:hint="eastAsia" w:ascii="仿宋_GB2312" w:hAnsi="仿宋_GB2312" w:eastAsia="仿宋_GB2312" w:cs="仿宋_GB2312"/>
                <w:color w:val="auto"/>
                <w:sz w:val="32"/>
                <w:szCs w:val="32"/>
                <w:lang w:val="en-US" w:eastAsia="zh-CN"/>
              </w:rPr>
              <w:t>2025年8月26日至2025年9月4日9时</w:t>
            </w:r>
            <w:r>
              <w:rPr>
                <w:rFonts w:hint="eastAsia" w:ascii="仿宋" w:hAnsi="仿宋" w:eastAsia="仿宋" w:cs="仿宋"/>
                <w:color w:val="auto"/>
                <w:sz w:val="32"/>
                <w:szCs w:val="32"/>
                <w:highlight w:val="none"/>
              </w:rPr>
              <w:t>在郑州航空港经济综合实验区赠之路与新港大道交叉口向西约150米路北</w:t>
            </w:r>
            <w:r>
              <w:rPr>
                <w:rFonts w:hint="eastAsia" w:ascii="仿宋" w:hAnsi="仿宋" w:eastAsia="仿宋" w:cs="仿宋"/>
                <w:color w:val="auto"/>
                <w:sz w:val="32"/>
                <w:szCs w:val="32"/>
                <w:highlight w:val="none"/>
                <w:lang w:eastAsia="zh-CN"/>
              </w:rPr>
              <w:t>郑州航空港经济综合实验区公共资源交易中心</w:t>
            </w:r>
            <w:r>
              <w:rPr>
                <w:rFonts w:hint="eastAsia" w:ascii="仿宋" w:hAnsi="仿宋" w:eastAsia="仿宋" w:cs="仿宋"/>
                <w:color w:val="auto"/>
                <w:sz w:val="32"/>
                <w:szCs w:val="32"/>
                <w:highlight w:val="none"/>
              </w:rPr>
              <w:t>702房间举办的编号为</w:t>
            </w:r>
            <w:r>
              <w:rPr>
                <w:rFonts w:hint="eastAsia" w:ascii="仿宋" w:hAnsi="仿宋" w:eastAsia="仿宋" w:cs="仿宋"/>
                <w:color w:val="auto"/>
                <w:sz w:val="32"/>
                <w:szCs w:val="32"/>
                <w:highlight w:val="none"/>
                <w:lang w:eastAsia="zh-CN"/>
              </w:rPr>
              <w:t>郑港出〔2025〕120号</w:t>
            </w:r>
            <w:r>
              <w:rPr>
                <w:rFonts w:hint="eastAsia" w:ascii="仿宋" w:hAnsi="仿宋" w:eastAsia="仿宋" w:cs="仿宋"/>
                <w:color w:val="auto"/>
                <w:sz w:val="32"/>
                <w:szCs w:val="32"/>
                <w:highlight w:val="none"/>
              </w:rPr>
              <w:t>地块的国有建设用地使用权挂牌出让</w:t>
            </w:r>
            <w:r>
              <w:rPr>
                <w:rFonts w:hint="eastAsia" w:ascii="仿宋" w:hAnsi="仿宋" w:eastAsia="仿宋" w:cs="仿宋"/>
                <w:color w:val="auto"/>
                <w:sz w:val="32"/>
                <w:szCs w:val="32"/>
                <w:highlight w:val="none"/>
                <w:lang w:val="en-GB"/>
              </w:rPr>
              <w:t>活动，代表本单位签订《</w:t>
            </w:r>
            <w:r>
              <w:rPr>
                <w:rFonts w:hint="eastAsia" w:ascii="仿宋" w:hAnsi="仿宋" w:eastAsia="仿宋" w:cs="仿宋"/>
                <w:color w:val="auto"/>
                <w:sz w:val="32"/>
                <w:szCs w:val="32"/>
                <w:highlight w:val="none"/>
              </w:rPr>
              <w:t>竞</w:t>
            </w:r>
            <w:r>
              <w:rPr>
                <w:rFonts w:hint="eastAsia" w:ascii="仿宋" w:hAnsi="仿宋" w:eastAsia="仿宋" w:cs="仿宋"/>
                <w:color w:val="auto"/>
                <w:sz w:val="32"/>
                <w:szCs w:val="32"/>
                <w:highlight w:val="none"/>
                <w:lang w:val="en-GB" w:eastAsia="zh-CN"/>
              </w:rPr>
              <w:t>得证明</w:t>
            </w:r>
            <w:r>
              <w:rPr>
                <w:rFonts w:hint="eastAsia" w:ascii="仿宋" w:hAnsi="仿宋" w:eastAsia="仿宋" w:cs="仿宋"/>
                <w:color w:val="auto"/>
                <w:sz w:val="32"/>
                <w:szCs w:val="32"/>
                <w:highlight w:val="none"/>
                <w:lang w:val="en-GB"/>
              </w:rPr>
              <w:t>》等具有法律意义的文件、凭证等。</w:t>
            </w:r>
          </w:p>
          <w:p w14:paraId="5A5DA516">
            <w:pPr>
              <w:adjustRightInd w:val="0"/>
              <w:snapToGrid w:val="0"/>
              <w:spacing w:line="580" w:lineRule="exact"/>
              <w:ind w:firstLine="640" w:firstLineChars="200"/>
              <w:rPr>
                <w:rFonts w:hint="eastAsia" w:ascii="仿宋" w:hAnsi="仿宋" w:eastAsia="仿宋"/>
                <w:color w:val="auto"/>
                <w:sz w:val="32"/>
                <w:szCs w:val="32"/>
                <w:highlight w:val="none"/>
                <w:lang w:val="en-GB"/>
              </w:rPr>
            </w:pPr>
            <w:r>
              <w:rPr>
                <w:rFonts w:hint="eastAsia" w:ascii="仿宋" w:hAnsi="仿宋" w:eastAsia="仿宋" w:cs="仿宋"/>
                <w:color w:val="auto"/>
                <w:sz w:val="32"/>
                <w:szCs w:val="32"/>
                <w:highlight w:val="none"/>
                <w:lang w:val="en-GB"/>
              </w:rPr>
              <w:t>受托人作为委托人参加本次竞买的执行人，在该地块挂牌出让活动中所做出的承诺、填写的竞买报价单、签署的《</w:t>
            </w:r>
            <w:r>
              <w:rPr>
                <w:rFonts w:hint="eastAsia" w:ascii="仿宋" w:hAnsi="仿宋" w:eastAsia="仿宋" w:cs="仿宋"/>
                <w:color w:val="auto"/>
                <w:sz w:val="32"/>
                <w:szCs w:val="32"/>
                <w:highlight w:val="none"/>
              </w:rPr>
              <w:t>竞</w:t>
            </w:r>
            <w:r>
              <w:rPr>
                <w:rFonts w:hint="eastAsia" w:ascii="仿宋" w:hAnsi="仿宋" w:eastAsia="仿宋" w:cs="仿宋"/>
                <w:color w:val="auto"/>
                <w:sz w:val="32"/>
                <w:szCs w:val="32"/>
                <w:highlight w:val="none"/>
                <w:lang w:val="en-GB" w:eastAsia="zh-CN"/>
              </w:rPr>
              <w:t>得证明</w:t>
            </w:r>
            <w:r>
              <w:rPr>
                <w:rFonts w:hint="eastAsia" w:ascii="仿宋" w:hAnsi="仿宋" w:eastAsia="仿宋" w:cs="仿宋"/>
                <w:color w:val="auto"/>
                <w:sz w:val="32"/>
                <w:szCs w:val="32"/>
                <w:highlight w:val="none"/>
                <w:lang w:val="en-GB"/>
              </w:rPr>
              <w:t>》</w:t>
            </w:r>
            <w:r>
              <w:rPr>
                <w:rFonts w:hint="eastAsia" w:ascii="仿宋" w:hAnsi="仿宋" w:eastAsia="仿宋" w:cs="仿宋"/>
                <w:color w:val="auto"/>
                <w:sz w:val="32"/>
                <w:szCs w:val="32"/>
                <w:highlight w:val="none"/>
                <w:lang w:val="en-GB" w:eastAsia="zh-CN"/>
              </w:rPr>
              <w:t>等</w:t>
            </w:r>
            <w:r>
              <w:rPr>
                <w:rFonts w:hint="eastAsia" w:ascii="仿宋" w:hAnsi="仿宋" w:eastAsia="仿宋" w:cs="仿宋"/>
                <w:color w:val="auto"/>
                <w:sz w:val="32"/>
                <w:szCs w:val="32"/>
                <w:highlight w:val="none"/>
                <w:lang w:val="en-GB"/>
              </w:rPr>
              <w:t>文件，本单位均予以确认，并承担由此产生的法律后果</w:t>
            </w:r>
            <w:r>
              <w:rPr>
                <w:rFonts w:hint="eastAsia" w:ascii="仿宋" w:hAnsi="仿宋" w:eastAsia="仿宋"/>
                <w:color w:val="auto"/>
                <w:sz w:val="32"/>
                <w:szCs w:val="32"/>
                <w:highlight w:val="none"/>
                <w:lang w:val="en-GB"/>
              </w:rPr>
              <w:t>。</w:t>
            </w:r>
          </w:p>
          <w:p w14:paraId="42957E9D">
            <w:pPr>
              <w:adjustRightInd w:val="0"/>
              <w:snapToGrid w:val="0"/>
              <w:spacing w:line="580" w:lineRule="exact"/>
              <w:ind w:firstLine="3824" w:firstLineChars="1195"/>
              <w:rPr>
                <w:rFonts w:hint="eastAsia" w:ascii="仿宋" w:hAnsi="仿宋" w:eastAsia="仿宋"/>
                <w:color w:val="auto"/>
                <w:sz w:val="32"/>
                <w:szCs w:val="32"/>
                <w:highlight w:val="none"/>
                <w:u w:val="single"/>
                <w:lang w:val="en-GB"/>
              </w:rPr>
            </w:pPr>
            <w:r>
              <w:rPr>
                <w:rFonts w:hint="eastAsia" w:ascii="仿宋" w:hAnsi="仿宋" w:eastAsia="仿宋"/>
                <w:color w:val="auto"/>
                <w:sz w:val="32"/>
                <w:szCs w:val="32"/>
                <w:highlight w:val="none"/>
                <w:lang w:val="en-GB"/>
              </w:rPr>
              <w:t>委托人（盖章）：</w:t>
            </w:r>
            <w:r>
              <w:rPr>
                <w:rFonts w:hint="eastAsia" w:ascii="仿宋" w:hAnsi="仿宋" w:eastAsia="仿宋"/>
                <w:color w:val="auto"/>
                <w:sz w:val="32"/>
                <w:szCs w:val="32"/>
                <w:highlight w:val="none"/>
                <w:u w:val="single"/>
                <w:lang w:val="en-GB"/>
              </w:rPr>
              <w:t xml:space="preserve">              </w:t>
            </w:r>
          </w:p>
          <w:p w14:paraId="1439B70E">
            <w:pPr>
              <w:adjustRightInd w:val="0"/>
              <w:snapToGrid w:val="0"/>
              <w:spacing w:line="580" w:lineRule="exact"/>
              <w:ind w:firstLine="3824" w:firstLineChars="1195"/>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法定代表人（签名）：</w:t>
            </w:r>
            <w:r>
              <w:rPr>
                <w:rFonts w:hint="eastAsia" w:ascii="仿宋" w:hAnsi="仿宋" w:eastAsia="仿宋"/>
                <w:color w:val="auto"/>
                <w:sz w:val="32"/>
                <w:szCs w:val="32"/>
                <w:highlight w:val="none"/>
                <w:u w:val="single"/>
                <w:lang w:val="en-GB"/>
              </w:rPr>
              <w:t xml:space="preserve">          </w:t>
            </w:r>
          </w:p>
          <w:p w14:paraId="08F699AC">
            <w:pPr>
              <w:adjustRightInd w:val="0"/>
              <w:snapToGrid w:val="0"/>
              <w:spacing w:line="580" w:lineRule="exact"/>
              <w:ind w:right="640"/>
              <w:jc w:val="right"/>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rPr>
              <w:t xml:space="preserve">      </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s="仿宋_GB2312"/>
                <w:color w:val="auto"/>
                <w:sz w:val="32"/>
                <w:szCs w:val="32"/>
                <w:highlight w:val="none"/>
                <w:u w:val="single"/>
              </w:rPr>
              <w:t xml:space="preserve">    </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 xml:space="preserve">日 </w:t>
            </w:r>
          </w:p>
        </w:tc>
      </w:tr>
      <w:tr w14:paraId="0C44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008" w:type="dxa"/>
            <w:noWrap w:val="0"/>
            <w:vAlign w:val="center"/>
          </w:tcPr>
          <w:p w14:paraId="469750A2">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备注</w:t>
            </w:r>
          </w:p>
        </w:tc>
        <w:tc>
          <w:tcPr>
            <w:tcW w:w="8451" w:type="dxa"/>
            <w:gridSpan w:val="4"/>
            <w:noWrap w:val="0"/>
            <w:vAlign w:val="top"/>
          </w:tcPr>
          <w:p w14:paraId="7175EDA5">
            <w:pPr>
              <w:ind w:firstLine="3360" w:firstLineChars="1050"/>
              <w:rPr>
                <w:rFonts w:hint="eastAsia" w:ascii="仿宋" w:hAnsi="仿宋" w:eastAsia="仿宋"/>
                <w:color w:val="auto"/>
                <w:sz w:val="32"/>
                <w:szCs w:val="32"/>
                <w:highlight w:val="none"/>
                <w:lang w:val="en-GB"/>
              </w:rPr>
            </w:pPr>
          </w:p>
        </w:tc>
      </w:tr>
    </w:tbl>
    <w:p w14:paraId="61996D3C">
      <w:pPr>
        <w:tabs>
          <w:tab w:val="left" w:pos="5400"/>
          <w:tab w:val="left" w:pos="5760"/>
          <w:tab w:val="left" w:pos="6120"/>
          <w:tab w:val="left" w:pos="7920"/>
          <w:tab w:val="left" w:pos="8100"/>
        </w:tabs>
        <w:adjustRightInd w:val="0"/>
        <w:snapToGrid w:val="0"/>
        <w:spacing w:line="580" w:lineRule="exact"/>
        <w:ind w:firstLine="3092" w:firstLineChars="700"/>
        <w:jc w:val="both"/>
        <w:rPr>
          <w:rFonts w:hint="eastAsia" w:ascii="宋体" w:hAnsi="宋体" w:cs="宋体"/>
          <w:b/>
          <w:bCs/>
          <w:color w:val="auto"/>
          <w:kern w:val="0"/>
          <w:sz w:val="44"/>
          <w:szCs w:val="44"/>
          <w:highlight w:val="none"/>
        </w:rPr>
      </w:pPr>
    </w:p>
    <w:p w14:paraId="1AF30A2D">
      <w:pPr>
        <w:tabs>
          <w:tab w:val="left" w:pos="5400"/>
          <w:tab w:val="left" w:pos="5760"/>
          <w:tab w:val="left" w:pos="6120"/>
          <w:tab w:val="left" w:pos="7920"/>
          <w:tab w:val="left" w:pos="8100"/>
        </w:tabs>
        <w:adjustRightInd w:val="0"/>
        <w:snapToGrid w:val="0"/>
        <w:spacing w:line="580" w:lineRule="exact"/>
        <w:ind w:firstLine="3092" w:firstLineChars="700"/>
        <w:jc w:val="both"/>
        <w:rPr>
          <w:rFonts w:hint="eastAsia" w:ascii="宋体" w:hAnsi="宋体"/>
          <w:color w:val="auto"/>
          <w:sz w:val="44"/>
          <w:szCs w:val="44"/>
          <w:highlight w:val="none"/>
          <w:lang w:val="en-GB"/>
        </w:rPr>
      </w:pPr>
      <w:r>
        <w:rPr>
          <w:rFonts w:hint="eastAsia" w:ascii="宋体" w:hAnsi="宋体" w:cs="宋体"/>
          <w:b/>
          <w:bCs/>
          <w:color w:val="auto"/>
          <w:kern w:val="0"/>
          <w:sz w:val="44"/>
          <w:szCs w:val="44"/>
          <w:highlight w:val="none"/>
        </w:rPr>
        <w:br w:type="page"/>
      </w:r>
      <w:r>
        <w:rPr>
          <w:rFonts w:hint="eastAsia" w:ascii="宋体" w:hAnsi="宋体" w:cs="宋体"/>
          <w:b/>
          <w:bCs/>
          <w:color w:val="auto"/>
          <w:kern w:val="0"/>
          <w:sz w:val="44"/>
          <w:szCs w:val="44"/>
          <w:highlight w:val="none"/>
        </w:rPr>
        <w:t>授权委托书</w:t>
      </w:r>
    </w:p>
    <w:p w14:paraId="63FF235F">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（自然人用）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20"/>
        <w:gridCol w:w="2914"/>
        <w:gridCol w:w="1766"/>
        <w:gridCol w:w="2878"/>
      </w:tblGrid>
      <w:tr w14:paraId="0341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gridSpan w:val="3"/>
            <w:noWrap w:val="0"/>
            <w:vAlign w:val="top"/>
          </w:tcPr>
          <w:p w14:paraId="79CFD80F">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委托人</w:t>
            </w:r>
          </w:p>
        </w:tc>
        <w:tc>
          <w:tcPr>
            <w:tcW w:w="4644" w:type="dxa"/>
            <w:gridSpan w:val="2"/>
            <w:noWrap w:val="0"/>
            <w:vAlign w:val="top"/>
          </w:tcPr>
          <w:p w14:paraId="6C7E5811">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受托人</w:t>
            </w:r>
          </w:p>
        </w:tc>
      </w:tr>
      <w:tr w14:paraId="1B47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728" w:type="dxa"/>
            <w:gridSpan w:val="2"/>
            <w:noWrap w:val="0"/>
            <w:vAlign w:val="top"/>
          </w:tcPr>
          <w:p w14:paraId="335BCAF0">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姓名</w:t>
            </w:r>
          </w:p>
        </w:tc>
        <w:tc>
          <w:tcPr>
            <w:tcW w:w="2914" w:type="dxa"/>
            <w:noWrap w:val="0"/>
            <w:vAlign w:val="top"/>
          </w:tcPr>
          <w:p w14:paraId="18B26E15">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noWrap w:val="0"/>
            <w:vAlign w:val="top"/>
          </w:tcPr>
          <w:p w14:paraId="60C916B1">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姓名</w:t>
            </w:r>
          </w:p>
        </w:tc>
        <w:tc>
          <w:tcPr>
            <w:tcW w:w="2878" w:type="dxa"/>
            <w:noWrap w:val="0"/>
            <w:vAlign w:val="top"/>
          </w:tcPr>
          <w:p w14:paraId="33EA683A">
            <w:pPr>
              <w:adjustRightInd w:val="0"/>
              <w:snapToGrid w:val="0"/>
              <w:spacing w:line="580" w:lineRule="atLeast"/>
              <w:jc w:val="center"/>
              <w:rPr>
                <w:rFonts w:hint="eastAsia" w:ascii="仿宋" w:hAnsi="仿宋" w:eastAsia="仿宋"/>
                <w:color w:val="auto"/>
                <w:sz w:val="32"/>
                <w:szCs w:val="32"/>
                <w:highlight w:val="none"/>
                <w:lang w:val="en-GB"/>
              </w:rPr>
            </w:pPr>
          </w:p>
        </w:tc>
      </w:tr>
      <w:tr w14:paraId="2C82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noWrap w:val="0"/>
            <w:vAlign w:val="top"/>
          </w:tcPr>
          <w:p w14:paraId="5C518521">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性别</w:t>
            </w:r>
          </w:p>
        </w:tc>
        <w:tc>
          <w:tcPr>
            <w:tcW w:w="2914" w:type="dxa"/>
            <w:noWrap w:val="0"/>
            <w:vAlign w:val="top"/>
          </w:tcPr>
          <w:p w14:paraId="2EA482EB">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noWrap w:val="0"/>
            <w:vAlign w:val="top"/>
          </w:tcPr>
          <w:p w14:paraId="37F3042A">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性别</w:t>
            </w:r>
          </w:p>
        </w:tc>
        <w:tc>
          <w:tcPr>
            <w:tcW w:w="2878" w:type="dxa"/>
            <w:noWrap w:val="0"/>
            <w:vAlign w:val="top"/>
          </w:tcPr>
          <w:p w14:paraId="39A3AE2E">
            <w:pPr>
              <w:adjustRightInd w:val="0"/>
              <w:snapToGrid w:val="0"/>
              <w:spacing w:line="580" w:lineRule="atLeast"/>
              <w:jc w:val="center"/>
              <w:rPr>
                <w:rFonts w:hint="eastAsia" w:ascii="仿宋" w:hAnsi="仿宋" w:eastAsia="仿宋"/>
                <w:color w:val="auto"/>
                <w:sz w:val="32"/>
                <w:szCs w:val="32"/>
                <w:highlight w:val="none"/>
                <w:lang w:val="en-GB"/>
              </w:rPr>
            </w:pPr>
          </w:p>
        </w:tc>
      </w:tr>
      <w:tr w14:paraId="50FA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noWrap w:val="0"/>
            <w:vAlign w:val="top"/>
          </w:tcPr>
          <w:p w14:paraId="4FF27908">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出生日期</w:t>
            </w:r>
          </w:p>
        </w:tc>
        <w:tc>
          <w:tcPr>
            <w:tcW w:w="2914" w:type="dxa"/>
            <w:noWrap w:val="0"/>
            <w:vAlign w:val="top"/>
          </w:tcPr>
          <w:p w14:paraId="775C3A36">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noWrap w:val="0"/>
            <w:vAlign w:val="top"/>
          </w:tcPr>
          <w:p w14:paraId="03508D32">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出生日期</w:t>
            </w:r>
          </w:p>
        </w:tc>
        <w:tc>
          <w:tcPr>
            <w:tcW w:w="2878" w:type="dxa"/>
            <w:noWrap w:val="0"/>
            <w:vAlign w:val="top"/>
          </w:tcPr>
          <w:p w14:paraId="42A6BF5E">
            <w:pPr>
              <w:adjustRightInd w:val="0"/>
              <w:snapToGrid w:val="0"/>
              <w:spacing w:line="580" w:lineRule="atLeast"/>
              <w:jc w:val="center"/>
              <w:rPr>
                <w:rFonts w:hint="eastAsia" w:ascii="仿宋" w:hAnsi="仿宋" w:eastAsia="仿宋"/>
                <w:color w:val="auto"/>
                <w:sz w:val="32"/>
                <w:szCs w:val="32"/>
                <w:highlight w:val="none"/>
                <w:lang w:val="en-GB"/>
              </w:rPr>
            </w:pPr>
          </w:p>
        </w:tc>
      </w:tr>
      <w:tr w14:paraId="4EEF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noWrap w:val="0"/>
            <w:vAlign w:val="top"/>
          </w:tcPr>
          <w:p w14:paraId="620FE552">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工作单位</w:t>
            </w:r>
          </w:p>
        </w:tc>
        <w:tc>
          <w:tcPr>
            <w:tcW w:w="2914" w:type="dxa"/>
            <w:noWrap w:val="0"/>
            <w:vAlign w:val="top"/>
          </w:tcPr>
          <w:p w14:paraId="2070CB3F">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noWrap w:val="0"/>
            <w:vAlign w:val="top"/>
          </w:tcPr>
          <w:p w14:paraId="2CFEDD1A">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工作单位</w:t>
            </w:r>
          </w:p>
        </w:tc>
        <w:tc>
          <w:tcPr>
            <w:tcW w:w="2878" w:type="dxa"/>
            <w:noWrap w:val="0"/>
            <w:vAlign w:val="top"/>
          </w:tcPr>
          <w:p w14:paraId="78091C7A">
            <w:pPr>
              <w:adjustRightInd w:val="0"/>
              <w:snapToGrid w:val="0"/>
              <w:spacing w:line="580" w:lineRule="atLeast"/>
              <w:jc w:val="center"/>
              <w:rPr>
                <w:rFonts w:hint="eastAsia" w:ascii="仿宋" w:hAnsi="仿宋" w:eastAsia="仿宋"/>
                <w:color w:val="auto"/>
                <w:sz w:val="32"/>
                <w:szCs w:val="32"/>
                <w:highlight w:val="none"/>
                <w:lang w:val="en-GB"/>
              </w:rPr>
            </w:pPr>
          </w:p>
        </w:tc>
      </w:tr>
      <w:tr w14:paraId="157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gridSpan w:val="2"/>
            <w:noWrap w:val="0"/>
            <w:vAlign w:val="top"/>
          </w:tcPr>
          <w:p w14:paraId="591C3E9B">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职务</w:t>
            </w:r>
          </w:p>
        </w:tc>
        <w:tc>
          <w:tcPr>
            <w:tcW w:w="2914" w:type="dxa"/>
            <w:noWrap w:val="0"/>
            <w:vAlign w:val="top"/>
          </w:tcPr>
          <w:p w14:paraId="4B88085A">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noWrap w:val="0"/>
            <w:vAlign w:val="top"/>
          </w:tcPr>
          <w:p w14:paraId="6B2A423E">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职务</w:t>
            </w:r>
          </w:p>
        </w:tc>
        <w:tc>
          <w:tcPr>
            <w:tcW w:w="2878" w:type="dxa"/>
            <w:noWrap w:val="0"/>
            <w:vAlign w:val="top"/>
          </w:tcPr>
          <w:p w14:paraId="091EEAD8">
            <w:pPr>
              <w:adjustRightInd w:val="0"/>
              <w:snapToGrid w:val="0"/>
              <w:spacing w:line="580" w:lineRule="atLeast"/>
              <w:jc w:val="center"/>
              <w:rPr>
                <w:rFonts w:hint="eastAsia" w:ascii="仿宋" w:hAnsi="仿宋" w:eastAsia="仿宋"/>
                <w:color w:val="auto"/>
                <w:sz w:val="32"/>
                <w:szCs w:val="32"/>
                <w:highlight w:val="none"/>
                <w:lang w:val="en-GB"/>
              </w:rPr>
            </w:pPr>
          </w:p>
        </w:tc>
      </w:tr>
      <w:tr w14:paraId="16D4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8" w:type="dxa"/>
            <w:gridSpan w:val="2"/>
            <w:vMerge w:val="restart"/>
            <w:noWrap w:val="0"/>
            <w:vAlign w:val="center"/>
          </w:tcPr>
          <w:p w14:paraId="56956EC8">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证件号码</w:t>
            </w:r>
          </w:p>
        </w:tc>
        <w:tc>
          <w:tcPr>
            <w:tcW w:w="2914" w:type="dxa"/>
            <w:noWrap w:val="0"/>
            <w:vAlign w:val="top"/>
          </w:tcPr>
          <w:p w14:paraId="270B1EC8">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身份证（ ）护照（ ）</w:t>
            </w:r>
          </w:p>
        </w:tc>
        <w:tc>
          <w:tcPr>
            <w:tcW w:w="1766" w:type="dxa"/>
            <w:vMerge w:val="restart"/>
            <w:noWrap w:val="0"/>
            <w:vAlign w:val="center"/>
          </w:tcPr>
          <w:p w14:paraId="2BE291C2">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证件号码</w:t>
            </w:r>
          </w:p>
        </w:tc>
        <w:tc>
          <w:tcPr>
            <w:tcW w:w="2878" w:type="dxa"/>
            <w:noWrap w:val="0"/>
            <w:vAlign w:val="top"/>
          </w:tcPr>
          <w:p w14:paraId="715B9139">
            <w:pPr>
              <w:adjustRightInd w:val="0"/>
              <w:snapToGrid w:val="0"/>
              <w:spacing w:line="580" w:lineRule="atLeas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身份证（ ）护照（ ）</w:t>
            </w:r>
          </w:p>
        </w:tc>
      </w:tr>
      <w:tr w14:paraId="2418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8" w:type="dxa"/>
            <w:gridSpan w:val="2"/>
            <w:vMerge w:val="continue"/>
            <w:noWrap w:val="0"/>
            <w:vAlign w:val="top"/>
          </w:tcPr>
          <w:p w14:paraId="6954E6F0">
            <w:pPr>
              <w:jc w:val="center"/>
              <w:rPr>
                <w:rFonts w:hint="eastAsia" w:ascii="仿宋" w:hAnsi="仿宋" w:eastAsia="仿宋"/>
                <w:color w:val="auto"/>
                <w:sz w:val="32"/>
                <w:szCs w:val="32"/>
                <w:highlight w:val="none"/>
                <w:lang w:val="en-GB"/>
              </w:rPr>
            </w:pPr>
          </w:p>
        </w:tc>
        <w:tc>
          <w:tcPr>
            <w:tcW w:w="2914" w:type="dxa"/>
            <w:noWrap w:val="0"/>
            <w:vAlign w:val="top"/>
          </w:tcPr>
          <w:p w14:paraId="1E65A045">
            <w:pPr>
              <w:adjustRightInd w:val="0"/>
              <w:snapToGrid w:val="0"/>
              <w:spacing w:line="580" w:lineRule="atLeast"/>
              <w:jc w:val="center"/>
              <w:rPr>
                <w:rFonts w:hint="eastAsia" w:ascii="仿宋" w:hAnsi="仿宋" w:eastAsia="仿宋"/>
                <w:color w:val="auto"/>
                <w:sz w:val="32"/>
                <w:szCs w:val="32"/>
                <w:highlight w:val="none"/>
                <w:lang w:val="en-GB"/>
              </w:rPr>
            </w:pPr>
          </w:p>
        </w:tc>
        <w:tc>
          <w:tcPr>
            <w:tcW w:w="1766" w:type="dxa"/>
            <w:vMerge w:val="continue"/>
            <w:noWrap w:val="0"/>
            <w:vAlign w:val="top"/>
          </w:tcPr>
          <w:p w14:paraId="5E584596">
            <w:pPr>
              <w:adjustRightInd w:val="0"/>
              <w:snapToGrid w:val="0"/>
              <w:spacing w:line="580" w:lineRule="atLeast"/>
              <w:jc w:val="center"/>
              <w:rPr>
                <w:rFonts w:hint="eastAsia" w:ascii="仿宋" w:hAnsi="仿宋" w:eastAsia="仿宋"/>
                <w:color w:val="auto"/>
                <w:sz w:val="32"/>
                <w:szCs w:val="32"/>
                <w:highlight w:val="none"/>
                <w:lang w:val="en-GB"/>
              </w:rPr>
            </w:pPr>
          </w:p>
        </w:tc>
        <w:tc>
          <w:tcPr>
            <w:tcW w:w="2878" w:type="dxa"/>
            <w:noWrap w:val="0"/>
            <w:vAlign w:val="top"/>
          </w:tcPr>
          <w:p w14:paraId="2C310576">
            <w:pPr>
              <w:adjustRightInd w:val="0"/>
              <w:snapToGrid w:val="0"/>
              <w:spacing w:line="580" w:lineRule="atLeast"/>
              <w:jc w:val="center"/>
              <w:rPr>
                <w:rFonts w:hint="eastAsia" w:ascii="仿宋" w:hAnsi="仿宋" w:eastAsia="仿宋"/>
                <w:color w:val="auto"/>
                <w:sz w:val="32"/>
                <w:szCs w:val="32"/>
                <w:highlight w:val="none"/>
                <w:lang w:val="en-GB"/>
              </w:rPr>
            </w:pPr>
          </w:p>
        </w:tc>
      </w:tr>
      <w:tr w14:paraId="6A7E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5"/>
            <w:noWrap w:val="0"/>
            <w:vAlign w:val="top"/>
          </w:tcPr>
          <w:p w14:paraId="64D212B4">
            <w:pPr>
              <w:adjustRightInd w:val="0"/>
              <w:snapToGrid w:val="0"/>
              <w:spacing w:line="580" w:lineRule="atLeast"/>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本人授权</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（受托人）代表本人</w:t>
            </w:r>
            <w:r>
              <w:rPr>
                <w:rFonts w:hint="eastAsia" w:ascii="仿宋" w:hAnsi="仿宋" w:eastAsia="仿宋"/>
                <w:color w:val="auto"/>
                <w:sz w:val="32"/>
                <w:szCs w:val="32"/>
                <w:highlight w:val="none"/>
              </w:rPr>
              <w:t>参加</w:t>
            </w:r>
            <w:r>
              <w:rPr>
                <w:rFonts w:hint="eastAsia" w:ascii="仿宋_GB2312" w:hAnsi="仿宋_GB2312" w:eastAsia="仿宋_GB2312" w:cs="仿宋_GB2312"/>
                <w:color w:val="auto"/>
                <w:sz w:val="32"/>
                <w:szCs w:val="32"/>
                <w:lang w:val="en-US" w:eastAsia="zh-CN"/>
              </w:rPr>
              <w:t>2025年8月26日至2025年9月4日9时</w:t>
            </w:r>
            <w:r>
              <w:rPr>
                <w:rFonts w:hint="eastAsia" w:ascii="仿宋" w:hAnsi="仿宋" w:eastAsia="仿宋" w:cs="仿宋"/>
                <w:color w:val="auto"/>
                <w:sz w:val="32"/>
                <w:szCs w:val="32"/>
                <w:highlight w:val="none"/>
                <w:lang w:eastAsia="zh-CN"/>
              </w:rPr>
              <w:t>在郑州航空港经济综合实验</w:t>
            </w:r>
            <w:r>
              <w:rPr>
                <w:rFonts w:hint="eastAsia" w:ascii="仿宋" w:hAnsi="仿宋" w:eastAsia="仿宋" w:cs="仿宋"/>
                <w:color w:val="auto"/>
                <w:sz w:val="32"/>
                <w:szCs w:val="32"/>
                <w:highlight w:val="none"/>
              </w:rPr>
              <w:t>区赠之路与新港大道交叉口向西约150米路北</w:t>
            </w:r>
            <w:r>
              <w:rPr>
                <w:rFonts w:hint="eastAsia" w:ascii="仿宋" w:hAnsi="仿宋" w:eastAsia="仿宋" w:cs="仿宋"/>
                <w:color w:val="auto"/>
                <w:sz w:val="32"/>
                <w:szCs w:val="32"/>
                <w:highlight w:val="none"/>
                <w:lang w:eastAsia="zh-CN"/>
              </w:rPr>
              <w:t>郑州航空港经济综合实验区公共资源交易中心</w:t>
            </w:r>
            <w:r>
              <w:rPr>
                <w:rFonts w:hint="eastAsia" w:ascii="仿宋" w:hAnsi="仿宋" w:eastAsia="仿宋" w:cs="仿宋"/>
                <w:color w:val="auto"/>
                <w:sz w:val="32"/>
                <w:szCs w:val="32"/>
                <w:highlight w:val="none"/>
              </w:rPr>
              <w:t>702房间举办的编号为</w:t>
            </w:r>
            <w:r>
              <w:rPr>
                <w:rFonts w:hint="eastAsia" w:ascii="仿宋" w:hAnsi="仿宋" w:eastAsia="仿宋" w:cs="仿宋"/>
                <w:color w:val="auto"/>
                <w:sz w:val="32"/>
                <w:szCs w:val="32"/>
                <w:highlight w:val="none"/>
                <w:lang w:eastAsia="zh-CN"/>
              </w:rPr>
              <w:t>郑港出〔2025〕120号</w:t>
            </w:r>
            <w:r>
              <w:rPr>
                <w:rFonts w:hint="eastAsia" w:ascii="仿宋" w:hAnsi="仿宋" w:eastAsia="仿宋" w:cs="仿宋"/>
                <w:color w:val="auto"/>
                <w:sz w:val="32"/>
                <w:szCs w:val="32"/>
                <w:highlight w:val="none"/>
              </w:rPr>
              <w:t>地块的国有建设用地使用权挂</w:t>
            </w:r>
            <w:r>
              <w:rPr>
                <w:rFonts w:hint="eastAsia" w:ascii="仿宋" w:hAnsi="仿宋" w:eastAsia="仿宋"/>
                <w:color w:val="auto"/>
                <w:sz w:val="32"/>
                <w:szCs w:val="32"/>
                <w:highlight w:val="none"/>
              </w:rPr>
              <w:t>牌</w:t>
            </w:r>
            <w:r>
              <w:rPr>
                <w:rFonts w:hint="eastAsia" w:ascii="仿宋" w:hAnsi="仿宋" w:eastAsia="仿宋"/>
                <w:color w:val="auto"/>
                <w:sz w:val="32"/>
                <w:szCs w:val="32"/>
                <w:highlight w:val="none"/>
                <w:lang w:val="en-GB"/>
              </w:rPr>
              <w:t>出让活动，代表本人签订《成交确认书》等具有法律意义的文件、凭证等。</w:t>
            </w:r>
          </w:p>
          <w:p w14:paraId="4B267AEF">
            <w:pPr>
              <w:adjustRightInd w:val="0"/>
              <w:snapToGrid w:val="0"/>
              <w:spacing w:line="580" w:lineRule="atLeast"/>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受托人作为委托人参加本次竞买的执行人，在该地块挂牌出让活动中所做出的承诺、填写的竞买报价单、签署的《成交确认书》、合同或文件，本人均予以确认，并承担由此产生的法律后果。</w:t>
            </w:r>
          </w:p>
          <w:p w14:paraId="6E1DF826">
            <w:pPr>
              <w:adjustRightInd w:val="0"/>
              <w:snapToGrid w:val="0"/>
              <w:spacing w:line="580" w:lineRule="atLeast"/>
              <w:ind w:firstLine="3824" w:firstLineChars="1195"/>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委托人（签名）：</w:t>
            </w:r>
            <w:r>
              <w:rPr>
                <w:rFonts w:hint="eastAsia" w:ascii="仿宋" w:hAnsi="仿宋" w:eastAsia="仿宋"/>
                <w:color w:val="auto"/>
                <w:sz w:val="32"/>
                <w:szCs w:val="32"/>
                <w:highlight w:val="none"/>
                <w:u w:val="single"/>
                <w:lang w:val="en-GB"/>
              </w:rPr>
              <w:t xml:space="preserve">             </w:t>
            </w:r>
          </w:p>
          <w:p w14:paraId="7449B976">
            <w:pPr>
              <w:adjustRightInd w:val="0"/>
              <w:snapToGrid w:val="0"/>
              <w:spacing w:line="580" w:lineRule="atLeast"/>
              <w:ind w:right="640"/>
              <w:jc w:val="right"/>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rPr>
              <w:t xml:space="preserve">  </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s="仿宋_GB2312"/>
                <w:color w:val="auto"/>
                <w:sz w:val="32"/>
                <w:szCs w:val="32"/>
                <w:highlight w:val="none"/>
                <w:u w:val="single"/>
              </w:rPr>
              <w:t xml:space="preserve">      </w:t>
            </w:r>
            <w:r>
              <w:rPr>
                <w:rFonts w:hint="eastAsia" w:ascii="仿宋" w:hAnsi="仿宋" w:eastAsia="仿宋"/>
                <w:color w:val="auto"/>
                <w:sz w:val="32"/>
                <w:szCs w:val="32"/>
                <w:highlight w:val="none"/>
                <w:lang w:val="en-GB"/>
              </w:rPr>
              <w:t>年</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日</w:t>
            </w:r>
          </w:p>
        </w:tc>
      </w:tr>
      <w:tr w14:paraId="4606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08" w:type="dxa"/>
            <w:noWrap w:val="0"/>
            <w:vAlign w:val="center"/>
          </w:tcPr>
          <w:p w14:paraId="182DDA81">
            <w:pPr>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备注</w:t>
            </w:r>
          </w:p>
        </w:tc>
        <w:tc>
          <w:tcPr>
            <w:tcW w:w="8278" w:type="dxa"/>
            <w:gridSpan w:val="4"/>
            <w:noWrap w:val="0"/>
            <w:vAlign w:val="top"/>
          </w:tcPr>
          <w:p w14:paraId="36A42C79">
            <w:pPr>
              <w:ind w:firstLine="3360" w:firstLineChars="1050"/>
              <w:rPr>
                <w:rFonts w:hint="eastAsia" w:ascii="仿宋" w:hAnsi="仿宋" w:eastAsia="仿宋"/>
                <w:color w:val="auto"/>
                <w:sz w:val="32"/>
                <w:szCs w:val="32"/>
                <w:highlight w:val="none"/>
                <w:lang w:val="en-GB"/>
              </w:rPr>
            </w:pPr>
          </w:p>
        </w:tc>
      </w:tr>
    </w:tbl>
    <w:p w14:paraId="65025117">
      <w:pPr>
        <w:tabs>
          <w:tab w:val="left" w:pos="5400"/>
          <w:tab w:val="left" w:pos="5760"/>
          <w:tab w:val="left" w:pos="6120"/>
          <w:tab w:val="left" w:pos="7920"/>
          <w:tab w:val="left" w:pos="8100"/>
        </w:tabs>
        <w:adjustRightInd w:val="0"/>
        <w:snapToGrid w:val="0"/>
        <w:spacing w:line="580" w:lineRule="exact"/>
        <w:jc w:val="cente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br w:type="page"/>
      </w:r>
    </w:p>
    <w:p w14:paraId="35EF9BAB">
      <w:pPr>
        <w:tabs>
          <w:tab w:val="left" w:pos="5400"/>
          <w:tab w:val="left" w:pos="5760"/>
          <w:tab w:val="left" w:pos="6120"/>
          <w:tab w:val="left" w:pos="7920"/>
          <w:tab w:val="left" w:pos="8100"/>
        </w:tabs>
        <w:adjustRightInd w:val="0"/>
        <w:snapToGrid w:val="0"/>
        <w:spacing w:line="580" w:lineRule="exact"/>
        <w:jc w:val="center"/>
        <w:rPr>
          <w:rFonts w:hint="eastAsia" w:ascii="宋体" w:hAnsi="宋体"/>
          <w:color w:val="auto"/>
          <w:sz w:val="44"/>
          <w:szCs w:val="44"/>
          <w:highlight w:val="none"/>
          <w:lang w:val="en-GB"/>
        </w:rPr>
      </w:pPr>
      <w:r>
        <w:rPr>
          <w:rFonts w:hint="eastAsia" w:ascii="宋体" w:hAnsi="宋体" w:cs="宋体"/>
          <w:b/>
          <w:bCs/>
          <w:color w:val="auto"/>
          <w:kern w:val="0"/>
          <w:sz w:val="44"/>
          <w:szCs w:val="44"/>
          <w:highlight w:val="none"/>
        </w:rPr>
        <w:t>竞得土地后成立新公司进行开发的申请</w:t>
      </w:r>
    </w:p>
    <w:p w14:paraId="6A7E9BB8">
      <w:pPr>
        <w:adjustRightInd w:val="0"/>
        <w:snapToGrid w:val="0"/>
        <w:spacing w:line="560" w:lineRule="exact"/>
        <w:ind w:firstLine="2880" w:firstLineChars="900"/>
        <w:rPr>
          <w:rFonts w:hint="eastAsia" w:ascii="仿宋" w:hAnsi="仿宋" w:eastAsia="仿宋"/>
          <w:color w:val="auto"/>
          <w:sz w:val="32"/>
          <w:szCs w:val="32"/>
          <w:highlight w:val="none"/>
          <w:lang w:val="en-GB" w:eastAsia="zh-CN"/>
        </w:rPr>
      </w:pPr>
      <w:r>
        <w:rPr>
          <w:rFonts w:hint="eastAsia" w:ascii="仿宋" w:hAnsi="仿宋" w:eastAsia="仿宋"/>
          <w:color w:val="auto"/>
          <w:sz w:val="32"/>
          <w:szCs w:val="32"/>
          <w:highlight w:val="none"/>
          <w:lang w:val="en-GB" w:eastAsia="zh-CN"/>
        </w:rPr>
        <w:t xml:space="preserve"> </w:t>
      </w:r>
    </w:p>
    <w:p w14:paraId="44C4DB03">
      <w:pPr>
        <w:keepNext w:val="0"/>
        <w:keepLines w:val="0"/>
        <w:pageBreakBefore w:val="0"/>
        <w:kinsoku/>
        <w:wordWrap/>
        <w:overflowPunct/>
        <w:topLinePunct w:val="0"/>
        <w:autoSpaceDE/>
        <w:autoSpaceDN/>
        <w:bidi w:val="0"/>
        <w:adjustRightInd w:val="0"/>
        <w:snapToGrid w:val="0"/>
        <w:spacing w:line="480" w:lineRule="exact"/>
        <w:textAlignment w:val="auto"/>
        <w:rPr>
          <w:rFonts w:hint="eastAsia" w:ascii="仿宋" w:hAnsi="仿宋" w:eastAsia="仿宋"/>
          <w:color w:val="auto"/>
          <w:sz w:val="32"/>
          <w:szCs w:val="32"/>
          <w:highlight w:val="none"/>
        </w:rPr>
      </w:pPr>
      <w:r>
        <w:rPr>
          <w:rFonts w:hint="eastAsia" w:ascii="仿宋" w:hAnsi="仿宋" w:eastAsia="仿宋" w:cs="仿宋"/>
          <w:color w:val="auto"/>
          <w:spacing w:val="20"/>
          <w:kern w:val="0"/>
          <w:sz w:val="32"/>
          <w:szCs w:val="32"/>
          <w:highlight w:val="none"/>
          <w:lang w:eastAsia="zh-CN"/>
        </w:rPr>
        <w:t>郑州航空港经济综合实验区自然资源和规划局</w:t>
      </w:r>
      <w:r>
        <w:rPr>
          <w:rFonts w:hint="eastAsia" w:ascii="仿宋" w:hAnsi="仿宋" w:eastAsia="仿宋"/>
          <w:color w:val="auto"/>
          <w:sz w:val="32"/>
          <w:szCs w:val="32"/>
          <w:highlight w:val="none"/>
        </w:rPr>
        <w:t>：</w:t>
      </w:r>
    </w:p>
    <w:p w14:paraId="50C9D1BF">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rPr>
      </w:pPr>
      <w:r>
        <w:rPr>
          <w:rFonts w:hint="eastAsia" w:ascii="仿宋" w:hAnsi="仿宋" w:eastAsia="仿宋" w:cs="仿宋"/>
          <w:color w:val="auto"/>
          <w:sz w:val="32"/>
          <w:szCs w:val="32"/>
          <w:highlight w:val="none"/>
        </w:rPr>
        <w:t>我方申请参加你局于</w:t>
      </w:r>
      <w:r>
        <w:rPr>
          <w:rFonts w:hint="eastAsia" w:ascii="仿宋_GB2312" w:hAnsi="仿宋_GB2312" w:eastAsia="仿宋_GB2312" w:cs="仿宋_GB2312"/>
          <w:color w:val="auto"/>
          <w:sz w:val="32"/>
          <w:szCs w:val="32"/>
          <w:lang w:val="en-US" w:eastAsia="zh-CN"/>
        </w:rPr>
        <w:t>2025年8月26日至2025年9月4日9时</w:t>
      </w:r>
      <w:r>
        <w:rPr>
          <w:rFonts w:hint="eastAsia" w:ascii="仿宋" w:hAnsi="仿宋" w:eastAsia="仿宋" w:cs="仿宋"/>
          <w:color w:val="auto"/>
          <w:sz w:val="32"/>
          <w:szCs w:val="32"/>
          <w:highlight w:val="none"/>
          <w:lang w:eastAsia="zh-CN"/>
        </w:rPr>
        <w:t>在郑州航空港经济综合</w:t>
      </w:r>
      <w:r>
        <w:rPr>
          <w:rFonts w:hint="eastAsia" w:ascii="仿宋" w:hAnsi="仿宋" w:eastAsia="仿宋" w:cs="仿宋"/>
          <w:color w:val="auto"/>
          <w:sz w:val="32"/>
          <w:szCs w:val="32"/>
          <w:highlight w:val="none"/>
        </w:rPr>
        <w:t>实验区赠之路与新港大道交叉口向西约150米路北</w:t>
      </w:r>
      <w:r>
        <w:rPr>
          <w:rFonts w:hint="eastAsia" w:ascii="仿宋" w:hAnsi="仿宋" w:eastAsia="仿宋" w:cs="仿宋"/>
          <w:color w:val="auto"/>
          <w:sz w:val="32"/>
          <w:szCs w:val="32"/>
          <w:highlight w:val="none"/>
          <w:lang w:eastAsia="zh-CN"/>
        </w:rPr>
        <w:t>郑州航空港经济综合实验区公共资源交易中心</w:t>
      </w:r>
      <w:r>
        <w:rPr>
          <w:rFonts w:hint="eastAsia" w:ascii="仿宋" w:hAnsi="仿宋" w:eastAsia="仿宋" w:cs="仿宋"/>
          <w:color w:val="auto"/>
          <w:sz w:val="32"/>
          <w:szCs w:val="32"/>
          <w:highlight w:val="none"/>
        </w:rPr>
        <w:t>702房间举行的</w:t>
      </w:r>
      <w:r>
        <w:rPr>
          <w:rFonts w:hint="eastAsia" w:ascii="仿宋" w:hAnsi="仿宋" w:eastAsia="仿宋" w:cs="仿宋"/>
          <w:color w:val="auto"/>
          <w:sz w:val="32"/>
          <w:szCs w:val="32"/>
          <w:highlight w:val="none"/>
          <w:lang w:eastAsia="zh-CN"/>
        </w:rPr>
        <w:t>郑港出〔2025〕120号</w:t>
      </w:r>
      <w:r>
        <w:rPr>
          <w:rFonts w:hint="eastAsia" w:ascii="仿宋" w:hAnsi="仿宋" w:eastAsia="仿宋" w:cs="仿宋"/>
          <w:color w:val="auto"/>
          <w:sz w:val="32"/>
          <w:szCs w:val="32"/>
          <w:highlight w:val="none"/>
        </w:rPr>
        <w:t>地块国有建设用地使用权挂牌活动。</w:t>
      </w:r>
      <w:r>
        <w:rPr>
          <w:rFonts w:hint="eastAsia" w:ascii="仿宋" w:hAnsi="仿宋" w:eastAsia="仿宋" w:cs="仿宋"/>
          <w:color w:val="auto"/>
          <w:sz w:val="32"/>
          <w:szCs w:val="32"/>
          <w:highlight w:val="none"/>
          <w:lang w:val="en-GB"/>
        </w:rPr>
        <w:t>若能竞得该地块，我方拟</w:t>
      </w:r>
      <w:r>
        <w:rPr>
          <w:rFonts w:hint="eastAsia" w:ascii="仿宋" w:hAnsi="仿宋" w:eastAsia="仿宋" w:cs="仿宋"/>
          <w:color w:val="auto"/>
          <w:sz w:val="32"/>
          <w:szCs w:val="32"/>
          <w:highlight w:val="none"/>
        </w:rPr>
        <w:t>成立新公司进行开发建设，我方将遵照挂牌文件的约定与贵局签订《国有建设用</w:t>
      </w:r>
      <w:r>
        <w:rPr>
          <w:rFonts w:hint="eastAsia" w:ascii="仿宋" w:hAnsi="仿宋" w:eastAsia="仿宋"/>
          <w:color w:val="auto"/>
          <w:sz w:val="32"/>
          <w:szCs w:val="32"/>
          <w:highlight w:val="none"/>
        </w:rPr>
        <w:t>地使用权出让合同》，严格按合同约定期限支付全部款项，</w:t>
      </w:r>
      <w:r>
        <w:rPr>
          <w:rFonts w:hint="eastAsia" w:ascii="仿宋" w:hAnsi="仿宋" w:eastAsia="仿宋"/>
          <w:color w:val="auto"/>
          <w:sz w:val="32"/>
          <w:szCs w:val="32"/>
          <w:highlight w:val="none"/>
          <w:lang w:val="en-GB"/>
        </w:rPr>
        <w:t>并不以新公司的注册为由延缓缴纳时限。</w:t>
      </w:r>
      <w:r>
        <w:rPr>
          <w:rFonts w:hint="eastAsia" w:ascii="仿宋" w:hAnsi="仿宋" w:eastAsia="仿宋"/>
          <w:color w:val="auto"/>
          <w:sz w:val="32"/>
          <w:szCs w:val="32"/>
          <w:highlight w:val="none"/>
        </w:rPr>
        <w:t>我方承诺在成交之日起30个工作日内办理完新公司注册登记手续，然后由新公司与贵局签订《国有建设用地使用权出让合同变更协议》，以新公司名义办理土地登记。新公司出资构成为</w:t>
      </w:r>
      <w:r>
        <w:rPr>
          <w:rFonts w:hint="eastAsia"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rPr>
        <w:t>。</w:t>
      </w:r>
    </w:p>
    <w:p w14:paraId="6E5D34B2">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新公司的出资构成将严格按照我方前款向贵局做出的承诺执行，若出资构成发生改变，贵局可拒绝与新公司签订《国有建设用地使用权出让合同变更协议》，由我方承担全部违约责任。</w:t>
      </w:r>
    </w:p>
    <w:p w14:paraId="7EE24CAB">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贵局与我方新公司签订《国有建设用地使用权出让合同变更协议》后，我方对新公司履行合同义务承担连带保证责任。</w:t>
      </w:r>
    </w:p>
    <w:p w14:paraId="51171E00">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申请人：（公章）             法定代表人签名：     </w:t>
      </w:r>
    </w:p>
    <w:p w14:paraId="2F04D2FC">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联系人：          电话：          邮政编码：                 </w:t>
      </w:r>
      <w:r>
        <w:rPr>
          <w:rFonts w:hint="eastAsia" w:ascii="仿宋" w:hAnsi="仿宋" w:eastAsia="仿宋"/>
          <w:color w:val="auto"/>
          <w:sz w:val="32"/>
          <w:szCs w:val="32"/>
          <w:highlight w:val="none"/>
          <w:u w:val="single"/>
          <w:lang w:val="en-GB"/>
        </w:rPr>
        <w:t xml:space="preserve">                    </w:t>
      </w:r>
    </w:p>
    <w:p w14:paraId="47A5A41B">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地址：                                          </w:t>
      </w:r>
    </w:p>
    <w:p w14:paraId="6C22DC1B">
      <w:pPr>
        <w:keepNext w:val="0"/>
        <w:keepLines w:val="0"/>
        <w:pageBreakBefore w:val="0"/>
        <w:widowControl/>
        <w:shd w:val="clear" w:color="auto" w:fill="FFFFFF"/>
        <w:kinsoku/>
        <w:wordWrap/>
        <w:overflowPunct/>
        <w:topLinePunct w:val="0"/>
        <w:autoSpaceDE/>
        <w:autoSpaceDN/>
        <w:bidi w:val="0"/>
        <w:spacing w:line="480" w:lineRule="exact"/>
        <w:jc w:val="right"/>
        <w:textAlignment w:val="auto"/>
        <w:rPr>
          <w:rFonts w:hint="eastAsia" w:ascii="仿宋" w:hAnsi="仿宋" w:eastAsia="仿宋"/>
          <w:color w:val="auto"/>
          <w:sz w:val="32"/>
          <w:szCs w:val="32"/>
          <w:highlight w:val="none"/>
          <w:lang w:val="en-GB"/>
        </w:rPr>
      </w:pPr>
    </w:p>
    <w:p w14:paraId="539CCCB1">
      <w:pPr>
        <w:keepNext w:val="0"/>
        <w:keepLines w:val="0"/>
        <w:pageBreakBefore w:val="0"/>
        <w:widowControl/>
        <w:shd w:val="clear" w:color="auto" w:fill="FFFFFF"/>
        <w:kinsoku/>
        <w:wordWrap/>
        <w:overflowPunct/>
        <w:topLinePunct w:val="0"/>
        <w:autoSpaceDE/>
        <w:autoSpaceDN/>
        <w:bidi w:val="0"/>
        <w:spacing w:line="480" w:lineRule="exact"/>
        <w:ind w:right="640" w:firstLine="3840" w:firstLineChars="1200"/>
        <w:textAlignment w:val="auto"/>
        <w:rPr>
          <w:rFonts w:hint="eastAsia" w:ascii="仿宋" w:hAnsi="仿宋" w:eastAsia="仿宋"/>
          <w:color w:val="auto"/>
          <w:sz w:val="32"/>
          <w:szCs w:val="32"/>
          <w:highlight w:val="none"/>
          <w:lang w:val="en-GB"/>
        </w:rPr>
      </w:pP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s="仿宋_GB2312"/>
          <w:color w:val="auto"/>
          <w:sz w:val="32"/>
          <w:szCs w:val="32"/>
          <w:highlight w:val="none"/>
          <w:u w:val="single"/>
        </w:rPr>
        <w:t xml:space="preserve">    </w:t>
      </w:r>
      <w:r>
        <w:rPr>
          <w:rFonts w:hint="eastAsia" w:ascii="仿宋" w:hAnsi="仿宋" w:eastAsia="仿宋"/>
          <w:color w:val="auto"/>
          <w:sz w:val="32"/>
          <w:szCs w:val="32"/>
          <w:highlight w:val="none"/>
          <w:lang w:val="en-GB"/>
        </w:rPr>
        <w:t>年</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olor w:val="auto"/>
          <w:sz w:val="32"/>
          <w:szCs w:val="32"/>
          <w:highlight w:val="none"/>
          <w:lang w:val="en-GB"/>
        </w:rPr>
        <w:t>日　</w:t>
      </w:r>
    </w:p>
    <w:p w14:paraId="37D03BEC">
      <w:pPr>
        <w:tabs>
          <w:tab w:val="left" w:pos="5400"/>
          <w:tab w:val="left" w:pos="5760"/>
          <w:tab w:val="left" w:pos="6120"/>
          <w:tab w:val="left" w:pos="7920"/>
          <w:tab w:val="left" w:pos="8100"/>
        </w:tabs>
        <w:adjustRightInd w:val="0"/>
        <w:snapToGrid w:val="0"/>
        <w:spacing w:line="580" w:lineRule="exact"/>
        <w:jc w:val="center"/>
        <w:rPr>
          <w:rFonts w:hint="eastAsia" w:ascii="仿宋" w:hAnsi="仿宋" w:eastAsia="仿宋" w:cs="宋体"/>
          <w:b/>
          <w:bCs/>
          <w:color w:val="auto"/>
          <w:kern w:val="0"/>
          <w:sz w:val="32"/>
          <w:szCs w:val="32"/>
          <w:highlight w:val="none"/>
        </w:rPr>
      </w:pPr>
    </w:p>
    <w:p w14:paraId="4F9FFBC3">
      <w:pPr>
        <w:tabs>
          <w:tab w:val="left" w:pos="5400"/>
          <w:tab w:val="left" w:pos="5760"/>
          <w:tab w:val="left" w:pos="6120"/>
          <w:tab w:val="left" w:pos="7920"/>
          <w:tab w:val="left" w:pos="8100"/>
        </w:tabs>
        <w:adjustRightInd w:val="0"/>
        <w:snapToGrid w:val="0"/>
        <w:spacing w:line="580" w:lineRule="exact"/>
        <w:jc w:val="center"/>
        <w:rPr>
          <w:rFonts w:hint="eastAsia" w:ascii="宋体" w:hAnsi="宋体" w:cs="宋体"/>
          <w:b/>
          <w:bCs/>
          <w:color w:val="auto"/>
          <w:kern w:val="0"/>
          <w:sz w:val="44"/>
          <w:szCs w:val="44"/>
          <w:highlight w:val="none"/>
        </w:rPr>
      </w:pPr>
    </w:p>
    <w:p w14:paraId="670FB91C">
      <w:pPr>
        <w:tabs>
          <w:tab w:val="left" w:pos="5400"/>
          <w:tab w:val="left" w:pos="5760"/>
          <w:tab w:val="left" w:pos="6120"/>
          <w:tab w:val="left" w:pos="7920"/>
          <w:tab w:val="left" w:pos="8100"/>
        </w:tabs>
        <w:adjustRightInd w:val="0"/>
        <w:snapToGrid w:val="0"/>
        <w:spacing w:line="580" w:lineRule="exact"/>
        <w:jc w:val="center"/>
        <w:rPr>
          <w:rFonts w:hint="eastAsia" w:ascii="宋体" w:hAnsi="宋体" w:cs="宋体"/>
          <w:b/>
          <w:bCs/>
          <w:color w:val="auto"/>
          <w:kern w:val="0"/>
          <w:sz w:val="44"/>
          <w:szCs w:val="44"/>
          <w:highlight w:val="none"/>
        </w:rPr>
      </w:pPr>
      <w:r>
        <w:rPr>
          <w:rFonts w:hint="eastAsia" w:ascii="宋体" w:hAnsi="宋体" w:cs="宋体"/>
          <w:b/>
          <w:bCs/>
          <w:color w:val="auto"/>
          <w:kern w:val="0"/>
          <w:sz w:val="44"/>
          <w:szCs w:val="44"/>
          <w:highlight w:val="none"/>
        </w:rPr>
        <w:br w:type="page"/>
      </w:r>
      <w:r>
        <w:rPr>
          <w:rFonts w:hint="eastAsia" w:ascii="宋体" w:hAnsi="宋体" w:cs="宋体"/>
          <w:b/>
          <w:bCs/>
          <w:color w:val="auto"/>
          <w:kern w:val="0"/>
          <w:sz w:val="44"/>
          <w:szCs w:val="44"/>
          <w:highlight w:val="none"/>
        </w:rPr>
        <w:t>竞买资格确认书</w:t>
      </w:r>
    </w:p>
    <w:p w14:paraId="6C2D8776">
      <w:pPr>
        <w:ind w:firstLine="75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 xml:space="preserve">             </w:t>
      </w:r>
    </w:p>
    <w:p w14:paraId="3B67F5A1">
      <w:pPr>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w:t>
      </w:r>
    </w:p>
    <w:p w14:paraId="4DCE45D1">
      <w:pPr>
        <w:rPr>
          <w:rFonts w:hint="eastAsia" w:ascii="仿宋" w:hAnsi="仿宋" w:eastAsia="仿宋"/>
          <w:color w:val="auto"/>
          <w:sz w:val="32"/>
          <w:szCs w:val="32"/>
          <w:highlight w:val="none"/>
          <w:lang w:val="en-GB"/>
        </w:rPr>
      </w:pPr>
    </w:p>
    <w:p w14:paraId="0BE4DC0D">
      <w:pPr>
        <w:ind w:firstLine="640" w:firstLineChars="200"/>
        <w:rPr>
          <w:rFonts w:hint="eastAsia" w:ascii="仿宋" w:hAnsi="仿宋" w:eastAsia="仿宋" w:cs="仿宋"/>
          <w:color w:val="auto"/>
          <w:sz w:val="32"/>
          <w:szCs w:val="32"/>
          <w:highlight w:val="none"/>
          <w:lang w:val="en-GB"/>
        </w:rPr>
      </w:pPr>
      <w:r>
        <w:rPr>
          <w:rFonts w:hint="eastAsia" w:ascii="仿宋" w:hAnsi="仿宋" w:eastAsia="仿宋"/>
          <w:color w:val="auto"/>
          <w:sz w:val="32"/>
          <w:szCs w:val="32"/>
          <w:highlight w:val="none"/>
          <w:lang w:val="en-GB"/>
        </w:rPr>
        <w:t>你方提交的</w:t>
      </w:r>
      <w:r>
        <w:rPr>
          <w:rFonts w:hint="eastAsia" w:ascii="仿宋" w:hAnsi="仿宋" w:eastAsia="仿宋"/>
          <w:color w:val="auto"/>
          <w:sz w:val="32"/>
          <w:szCs w:val="32"/>
          <w:highlight w:val="none"/>
          <w:lang w:val="en-GB" w:eastAsia="zh-CN"/>
        </w:rPr>
        <w:t>郑港出〔2025〕120号</w:t>
      </w:r>
      <w:r>
        <w:rPr>
          <w:rFonts w:hint="eastAsia" w:ascii="仿宋" w:hAnsi="仿宋" w:eastAsia="仿宋"/>
          <w:color w:val="auto"/>
          <w:sz w:val="32"/>
          <w:szCs w:val="32"/>
          <w:highlight w:val="none"/>
        </w:rPr>
        <w:t>地块的挂牌竞买申请书及相关文件资料收悉。经审查，你方已按规定全额交纳竞买保证金，所提交文件资料符合我方本次挂牌出让文件的规定和要求,现确认你方具备参加本次国有建设用地使用权挂牌竞买资格。</w:t>
      </w:r>
      <w:r>
        <w:rPr>
          <w:rFonts w:hint="eastAsia" w:ascii="仿宋" w:hAnsi="仿宋" w:eastAsia="仿宋" w:cs="仿宋"/>
          <w:color w:val="auto"/>
          <w:sz w:val="32"/>
          <w:szCs w:val="32"/>
          <w:highlight w:val="none"/>
        </w:rPr>
        <w:t>请持此《竞买资格确认书》参加我中心于</w:t>
      </w:r>
      <w:r>
        <w:rPr>
          <w:rFonts w:hint="eastAsia" w:ascii="仿宋_GB2312" w:hAnsi="仿宋_GB2312" w:eastAsia="仿宋_GB2312" w:cs="仿宋_GB2312"/>
          <w:color w:val="auto"/>
          <w:sz w:val="32"/>
          <w:szCs w:val="32"/>
          <w:lang w:val="en-US" w:eastAsia="zh-CN"/>
        </w:rPr>
        <w:t>2025年8月26日至2025年9月4日9时</w:t>
      </w:r>
      <w:r>
        <w:rPr>
          <w:rFonts w:hint="eastAsia" w:ascii="仿宋" w:hAnsi="仿宋" w:eastAsia="仿宋" w:cs="仿宋"/>
          <w:color w:val="auto"/>
          <w:sz w:val="32"/>
          <w:szCs w:val="32"/>
          <w:highlight w:val="none"/>
          <w:lang w:eastAsia="zh-CN"/>
        </w:rPr>
        <w:t>在郑州航空港经济</w:t>
      </w:r>
      <w:r>
        <w:rPr>
          <w:rFonts w:hint="eastAsia" w:ascii="仿宋" w:hAnsi="仿宋" w:eastAsia="仿宋" w:cs="仿宋"/>
          <w:color w:val="auto"/>
          <w:sz w:val="32"/>
          <w:szCs w:val="32"/>
          <w:highlight w:val="none"/>
        </w:rPr>
        <w:t>综合实验区赠之路与新港大道交叉口向西约150米路北</w:t>
      </w:r>
      <w:r>
        <w:rPr>
          <w:rFonts w:hint="eastAsia" w:ascii="仿宋" w:hAnsi="仿宋" w:eastAsia="仿宋" w:cs="仿宋"/>
          <w:color w:val="auto"/>
          <w:sz w:val="32"/>
          <w:szCs w:val="32"/>
          <w:highlight w:val="none"/>
          <w:lang w:eastAsia="zh-CN"/>
        </w:rPr>
        <w:t>郑州航空港经济综合实验区公共资源交易中心</w:t>
      </w:r>
      <w:r>
        <w:rPr>
          <w:rFonts w:hint="eastAsia" w:ascii="仿宋" w:hAnsi="仿宋" w:eastAsia="仿宋" w:cs="仿宋"/>
          <w:color w:val="auto"/>
          <w:sz w:val="32"/>
          <w:szCs w:val="32"/>
          <w:highlight w:val="none"/>
        </w:rPr>
        <w:t>702房间举行的</w:t>
      </w:r>
      <w:r>
        <w:rPr>
          <w:rFonts w:hint="eastAsia" w:ascii="仿宋" w:hAnsi="仿宋" w:eastAsia="仿宋" w:cs="仿宋"/>
          <w:color w:val="auto"/>
          <w:sz w:val="32"/>
          <w:szCs w:val="32"/>
          <w:highlight w:val="none"/>
          <w:lang w:val="en-GB"/>
        </w:rPr>
        <w:t>国有建设用地使用权挂牌活动。</w:t>
      </w:r>
    </w:p>
    <w:p w14:paraId="49C40A45">
      <w:pPr>
        <w:ind w:firstLine="640" w:firstLineChars="200"/>
        <w:rPr>
          <w:rFonts w:hint="eastAsia"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你方竞买编号为：</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，竞买执行人为：</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w:t>
      </w:r>
    </w:p>
    <w:p w14:paraId="0F647A3A">
      <w:pPr>
        <w:ind w:firstLine="1920" w:firstLineChars="600"/>
        <w:rPr>
          <w:rFonts w:hint="eastAsia" w:ascii="仿宋" w:hAnsi="仿宋" w:eastAsia="仿宋"/>
          <w:color w:val="auto"/>
          <w:sz w:val="32"/>
          <w:szCs w:val="32"/>
          <w:highlight w:val="none"/>
          <w:lang w:val="en-GB"/>
        </w:rPr>
      </w:pPr>
    </w:p>
    <w:p w14:paraId="47F5A3FD">
      <w:pPr>
        <w:ind w:firstLine="1920" w:firstLineChars="600"/>
        <w:rPr>
          <w:rFonts w:hint="eastAsia" w:ascii="仿宋" w:hAnsi="仿宋" w:eastAsia="仿宋"/>
          <w:color w:val="auto"/>
          <w:sz w:val="32"/>
          <w:szCs w:val="32"/>
          <w:highlight w:val="none"/>
          <w:lang w:val="en-GB"/>
        </w:rPr>
      </w:pPr>
    </w:p>
    <w:p w14:paraId="643A0AFA">
      <w:pPr>
        <w:tabs>
          <w:tab w:val="left" w:pos="8789"/>
        </w:tabs>
        <w:ind w:right="55"/>
        <w:jc w:val="center"/>
        <w:outlineLvl w:val="0"/>
        <w:rPr>
          <w:rFonts w:ascii="宋体" w:hAnsi="宋体"/>
          <w:color w:val="auto"/>
          <w:sz w:val="44"/>
          <w:szCs w:val="44"/>
          <w:highlight w:val="none"/>
          <w:lang w:val="en-GB"/>
        </w:rPr>
      </w:pPr>
      <w:r>
        <w:rPr>
          <w:rFonts w:hint="eastAsia" w:ascii="仿宋" w:hAnsi="仿宋" w:eastAsia="仿宋"/>
          <w:color w:val="auto"/>
          <w:sz w:val="32"/>
          <w:szCs w:val="32"/>
          <w:highlight w:val="none"/>
          <w:lang w:val="en-GB"/>
        </w:rPr>
        <w:t xml:space="preserve">                                    年</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s="仿宋_GB2312"/>
          <w:color w:val="auto"/>
          <w:sz w:val="32"/>
          <w:szCs w:val="32"/>
          <w:highlight w:val="none"/>
          <w:u w:val="single"/>
          <w:lang w:val="en-GB"/>
        </w:rPr>
        <w:t xml:space="preserve">    </w:t>
      </w:r>
      <w:r>
        <w:rPr>
          <w:rFonts w:hint="eastAsia" w:ascii="仿宋" w:hAnsi="仿宋" w:eastAsia="仿宋"/>
          <w:color w:val="auto"/>
          <w:sz w:val="32"/>
          <w:szCs w:val="32"/>
          <w:highlight w:val="none"/>
          <w:lang w:val="en-GB"/>
        </w:rPr>
        <w:t>日　　　　</w:t>
      </w:r>
      <w:r>
        <w:rPr>
          <w:rFonts w:hint="eastAsia" w:ascii="仿宋" w:hAnsi="仿宋" w:eastAsia="仿宋"/>
          <w:color w:val="auto"/>
          <w:sz w:val="32"/>
          <w:szCs w:val="32"/>
          <w:highlight w:val="none"/>
          <w:lang w:val="en-GB"/>
        </w:rPr>
        <w:br w:type="page"/>
      </w:r>
      <w:r>
        <w:rPr>
          <w:rFonts w:hint="eastAsia" w:ascii="仿宋" w:hAnsi="仿宋" w:eastAsia="仿宋"/>
          <w:color w:val="auto"/>
          <w:sz w:val="32"/>
          <w:szCs w:val="32"/>
          <w:highlight w:val="none"/>
          <w:lang w:val="en-GB"/>
        </w:rPr>
        <w:t xml:space="preserve"> </w:t>
      </w:r>
      <w:bookmarkStart w:id="4" w:name="_Toc30172"/>
      <w:r>
        <w:rPr>
          <w:rFonts w:hint="eastAsia" w:ascii="宋体" w:hAnsi="宋体" w:cs="宋体"/>
          <w:b/>
          <w:bCs/>
          <w:color w:val="auto"/>
          <w:kern w:val="0"/>
          <w:sz w:val="44"/>
          <w:szCs w:val="44"/>
          <w:highlight w:val="none"/>
        </w:rPr>
        <w:t>国有建设用地使用权挂牌出让竞买报价单</w:t>
      </w:r>
      <w:bookmarkEnd w:id="4"/>
    </w:p>
    <w:p w14:paraId="074B6629">
      <w:pPr>
        <w:jc w:val="center"/>
        <w:rPr>
          <w:rFonts w:ascii="仿宋" w:hAnsi="仿宋" w:eastAsia="仿宋"/>
          <w:color w:val="auto"/>
          <w:sz w:val="32"/>
          <w:szCs w:val="32"/>
          <w:highlight w:val="none"/>
          <w:u w:val="single"/>
          <w:lang w:val="en-GB"/>
        </w:rPr>
      </w:pPr>
      <w:r>
        <w:rPr>
          <w:rFonts w:hint="eastAsia" w:ascii="仿宋" w:hAnsi="仿宋" w:eastAsia="仿宋"/>
          <w:color w:val="auto"/>
          <w:sz w:val="32"/>
          <w:szCs w:val="32"/>
          <w:highlight w:val="none"/>
          <w:lang w:val="en-GB"/>
        </w:rPr>
        <w:t xml:space="preserve">                      竞买人编号：</w:t>
      </w:r>
      <w:r>
        <w:rPr>
          <w:rFonts w:hint="eastAsia" w:ascii="仿宋" w:hAnsi="仿宋" w:eastAsia="仿宋"/>
          <w:color w:val="auto"/>
          <w:sz w:val="32"/>
          <w:szCs w:val="32"/>
          <w:highlight w:val="none"/>
          <w:u w:val="single"/>
          <w:lang w:val="en-GB"/>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6318"/>
        <w:gridCol w:w="846"/>
      </w:tblGrid>
      <w:tr w14:paraId="4C9D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2236" w:type="dxa"/>
            <w:noWrap w:val="0"/>
            <w:vAlign w:val="center"/>
          </w:tcPr>
          <w:p w14:paraId="3C041790">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地块编号</w:t>
            </w:r>
          </w:p>
        </w:tc>
        <w:tc>
          <w:tcPr>
            <w:tcW w:w="6318" w:type="dxa"/>
            <w:noWrap w:val="0"/>
            <w:vAlign w:val="center"/>
          </w:tcPr>
          <w:p w14:paraId="415706B2">
            <w:pPr>
              <w:jc w:val="center"/>
              <w:rPr>
                <w:rFonts w:hint="eastAsia" w:ascii="仿宋" w:hAnsi="仿宋" w:eastAsia="仿宋"/>
                <w:color w:val="auto"/>
                <w:sz w:val="32"/>
                <w:szCs w:val="32"/>
                <w:highlight w:val="none"/>
                <w:lang w:val="en-GB" w:eastAsia="zh-CN"/>
              </w:rPr>
            </w:pPr>
            <w:r>
              <w:rPr>
                <w:rFonts w:hint="eastAsia" w:ascii="仿宋" w:hAnsi="仿宋" w:eastAsia="仿宋"/>
                <w:color w:val="auto"/>
                <w:sz w:val="32"/>
                <w:szCs w:val="32"/>
                <w:highlight w:val="none"/>
                <w:lang w:val="en-GB" w:eastAsia="zh-CN"/>
              </w:rPr>
              <w:t>郑港出〔2025〕120号</w:t>
            </w:r>
          </w:p>
        </w:tc>
        <w:tc>
          <w:tcPr>
            <w:tcW w:w="846" w:type="dxa"/>
            <w:vMerge w:val="restart"/>
            <w:noWrap w:val="0"/>
            <w:textDirection w:val="tbRlV"/>
            <w:vAlign w:val="center"/>
          </w:tcPr>
          <w:p w14:paraId="7E496CC0">
            <w:pPr>
              <w:ind w:left="113" w:right="113"/>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由竞买人填写</w:t>
            </w:r>
          </w:p>
        </w:tc>
      </w:tr>
      <w:tr w14:paraId="563E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trPr>
        <w:tc>
          <w:tcPr>
            <w:tcW w:w="2236" w:type="dxa"/>
            <w:noWrap w:val="0"/>
            <w:vAlign w:val="center"/>
          </w:tcPr>
          <w:p w14:paraId="57A909EF">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竞买报价</w:t>
            </w:r>
          </w:p>
        </w:tc>
        <w:tc>
          <w:tcPr>
            <w:tcW w:w="6318" w:type="dxa"/>
            <w:noWrap w:val="0"/>
            <w:vAlign w:val="center"/>
          </w:tcPr>
          <w:p w14:paraId="2EBCF888">
            <w:pPr>
              <w:jc w:val="center"/>
              <w:rPr>
                <w:rFonts w:ascii="仿宋" w:hAnsi="仿宋" w:eastAsia="仿宋"/>
                <w:color w:val="auto"/>
                <w:sz w:val="32"/>
                <w:szCs w:val="32"/>
                <w:highlight w:val="none"/>
                <w:u w:val="single"/>
                <w:lang w:val="en-GB"/>
              </w:rPr>
            </w:pPr>
            <w:r>
              <w:rPr>
                <w:rFonts w:hint="eastAsia" w:ascii="仿宋" w:hAnsi="仿宋" w:eastAsia="仿宋"/>
                <w:color w:val="auto"/>
                <w:sz w:val="32"/>
                <w:szCs w:val="32"/>
                <w:highlight w:val="none"/>
                <w:lang w:val="en-GB"/>
              </w:rPr>
              <w:t>人民币</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亿</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仟</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佰</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拾</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万元</w:t>
            </w:r>
          </w:p>
          <w:p w14:paraId="5A000530">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小写</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万元</w:t>
            </w:r>
          </w:p>
        </w:tc>
        <w:tc>
          <w:tcPr>
            <w:tcW w:w="846" w:type="dxa"/>
            <w:vMerge w:val="continue"/>
            <w:noWrap w:val="0"/>
            <w:vAlign w:val="center"/>
          </w:tcPr>
          <w:p w14:paraId="6A8D484E">
            <w:pPr>
              <w:jc w:val="center"/>
              <w:rPr>
                <w:rFonts w:ascii="仿宋" w:hAnsi="仿宋" w:eastAsia="仿宋"/>
                <w:color w:val="auto"/>
                <w:sz w:val="32"/>
                <w:szCs w:val="32"/>
                <w:highlight w:val="none"/>
                <w:lang w:val="en-GB"/>
              </w:rPr>
            </w:pPr>
          </w:p>
        </w:tc>
      </w:tr>
      <w:tr w14:paraId="2D44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5" w:hRule="atLeast"/>
        </w:trPr>
        <w:tc>
          <w:tcPr>
            <w:tcW w:w="2236" w:type="dxa"/>
            <w:noWrap w:val="0"/>
            <w:vAlign w:val="center"/>
          </w:tcPr>
          <w:p w14:paraId="56BA9C32">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竞买人</w:t>
            </w:r>
          </w:p>
        </w:tc>
        <w:tc>
          <w:tcPr>
            <w:tcW w:w="6318" w:type="dxa"/>
            <w:noWrap w:val="0"/>
            <w:vAlign w:val="center"/>
          </w:tcPr>
          <w:p w14:paraId="792B06CB">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（加盖公章）</w:t>
            </w:r>
          </w:p>
        </w:tc>
        <w:tc>
          <w:tcPr>
            <w:tcW w:w="846" w:type="dxa"/>
            <w:vMerge w:val="continue"/>
            <w:noWrap w:val="0"/>
            <w:vAlign w:val="center"/>
          </w:tcPr>
          <w:p w14:paraId="1DDE5504">
            <w:pPr>
              <w:jc w:val="center"/>
              <w:rPr>
                <w:rFonts w:ascii="仿宋" w:hAnsi="仿宋" w:eastAsia="仿宋"/>
                <w:color w:val="auto"/>
                <w:sz w:val="32"/>
                <w:szCs w:val="32"/>
                <w:highlight w:val="none"/>
                <w:lang w:val="en-GB"/>
              </w:rPr>
            </w:pPr>
          </w:p>
        </w:tc>
      </w:tr>
      <w:tr w14:paraId="0BA7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4" w:hRule="atLeast"/>
        </w:trPr>
        <w:tc>
          <w:tcPr>
            <w:tcW w:w="2236" w:type="dxa"/>
            <w:noWrap w:val="0"/>
            <w:vAlign w:val="center"/>
          </w:tcPr>
          <w:p w14:paraId="5672CE55">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法定代表人</w:t>
            </w:r>
          </w:p>
          <w:p w14:paraId="1D5BC21C">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（或授权委托代理人）</w:t>
            </w:r>
          </w:p>
        </w:tc>
        <w:tc>
          <w:tcPr>
            <w:tcW w:w="6318" w:type="dxa"/>
            <w:noWrap w:val="0"/>
            <w:vAlign w:val="center"/>
          </w:tcPr>
          <w:p w14:paraId="2C384F6B">
            <w:pP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签名：</w:t>
            </w:r>
          </w:p>
        </w:tc>
        <w:tc>
          <w:tcPr>
            <w:tcW w:w="846" w:type="dxa"/>
            <w:vMerge w:val="continue"/>
            <w:noWrap w:val="0"/>
            <w:vAlign w:val="center"/>
          </w:tcPr>
          <w:p w14:paraId="16A2DF7A">
            <w:pPr>
              <w:jc w:val="center"/>
              <w:rPr>
                <w:rFonts w:ascii="仿宋" w:hAnsi="仿宋" w:eastAsia="仿宋"/>
                <w:color w:val="auto"/>
                <w:sz w:val="32"/>
                <w:szCs w:val="32"/>
                <w:highlight w:val="none"/>
                <w:lang w:val="en-GB"/>
              </w:rPr>
            </w:pPr>
          </w:p>
        </w:tc>
      </w:tr>
      <w:tr w14:paraId="2D79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trPr>
        <w:tc>
          <w:tcPr>
            <w:tcW w:w="2236" w:type="dxa"/>
            <w:noWrap w:val="0"/>
            <w:vAlign w:val="center"/>
          </w:tcPr>
          <w:p w14:paraId="204F9D2A">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收到报价时间</w:t>
            </w:r>
          </w:p>
        </w:tc>
        <w:tc>
          <w:tcPr>
            <w:tcW w:w="6318" w:type="dxa"/>
            <w:noWrap w:val="0"/>
            <w:vAlign w:val="center"/>
          </w:tcPr>
          <w:p w14:paraId="337AFD9D">
            <w:pPr>
              <w:jc w:val="center"/>
              <w:rPr>
                <w:rFonts w:ascii="仿宋" w:hAnsi="仿宋" w:eastAsia="仿宋"/>
                <w:color w:val="auto"/>
                <w:sz w:val="32"/>
                <w:szCs w:val="32"/>
                <w:highlight w:val="none"/>
                <w:u w:val="single"/>
                <w:lang w:val="en-GB"/>
              </w:rPr>
            </w:pPr>
            <w:r>
              <w:rPr>
                <w:rFonts w:hint="eastAsia" w:ascii="仿宋" w:hAnsi="仿宋" w:eastAsia="仿宋"/>
                <w:color w:val="auto"/>
                <w:sz w:val="32"/>
                <w:szCs w:val="32"/>
                <w:highlight w:val="none"/>
                <w:lang w:val="en-GB"/>
              </w:rPr>
              <w:t>20</w:t>
            </w: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年</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日</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时</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分</w:t>
            </w:r>
          </w:p>
        </w:tc>
        <w:tc>
          <w:tcPr>
            <w:tcW w:w="846" w:type="dxa"/>
            <w:vMerge w:val="restart"/>
            <w:noWrap w:val="0"/>
            <w:textDirection w:val="tbRlV"/>
            <w:vAlign w:val="center"/>
          </w:tcPr>
          <w:p w14:paraId="5ED88DB9">
            <w:pPr>
              <w:ind w:left="113" w:right="113"/>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由具体组织实施人填写</w:t>
            </w:r>
          </w:p>
        </w:tc>
      </w:tr>
      <w:tr w14:paraId="616D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trPr>
        <w:tc>
          <w:tcPr>
            <w:tcW w:w="2236" w:type="dxa"/>
            <w:noWrap w:val="0"/>
            <w:vAlign w:val="center"/>
          </w:tcPr>
          <w:p w14:paraId="5C4EC638">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具体组织实施人</w:t>
            </w:r>
          </w:p>
        </w:tc>
        <w:tc>
          <w:tcPr>
            <w:tcW w:w="6318" w:type="dxa"/>
            <w:noWrap w:val="0"/>
            <w:vAlign w:val="center"/>
          </w:tcPr>
          <w:p w14:paraId="26B55198">
            <w:pP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签名：</w:t>
            </w:r>
          </w:p>
        </w:tc>
        <w:tc>
          <w:tcPr>
            <w:tcW w:w="846" w:type="dxa"/>
            <w:vMerge w:val="continue"/>
            <w:noWrap w:val="0"/>
            <w:vAlign w:val="center"/>
          </w:tcPr>
          <w:p w14:paraId="23D1A291">
            <w:pPr>
              <w:jc w:val="center"/>
              <w:rPr>
                <w:rFonts w:ascii="仿宋" w:hAnsi="仿宋" w:eastAsia="仿宋"/>
                <w:color w:val="auto"/>
                <w:sz w:val="32"/>
                <w:szCs w:val="32"/>
                <w:highlight w:val="none"/>
                <w:lang w:val="en-GB"/>
              </w:rPr>
            </w:pPr>
          </w:p>
        </w:tc>
      </w:tr>
      <w:tr w14:paraId="692F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6" w:hRule="atLeast"/>
        </w:trPr>
        <w:tc>
          <w:tcPr>
            <w:tcW w:w="2236" w:type="dxa"/>
            <w:noWrap w:val="0"/>
            <w:vAlign w:val="center"/>
          </w:tcPr>
          <w:p w14:paraId="27F71E3A">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确认时间</w:t>
            </w:r>
          </w:p>
        </w:tc>
        <w:tc>
          <w:tcPr>
            <w:tcW w:w="6318" w:type="dxa"/>
            <w:noWrap w:val="0"/>
            <w:vAlign w:val="center"/>
          </w:tcPr>
          <w:p w14:paraId="45F5D7D6">
            <w:pPr>
              <w:jc w:val="center"/>
              <w:rPr>
                <w:rFonts w:ascii="仿宋" w:hAnsi="仿宋" w:eastAsia="仿宋"/>
                <w:color w:val="auto"/>
                <w:sz w:val="32"/>
                <w:szCs w:val="32"/>
                <w:highlight w:val="none"/>
                <w:lang w:val="en-GB"/>
              </w:rPr>
            </w:pPr>
            <w:r>
              <w:rPr>
                <w:rFonts w:hint="eastAsia" w:ascii="仿宋" w:hAnsi="仿宋" w:eastAsia="仿宋"/>
                <w:color w:val="auto"/>
                <w:sz w:val="32"/>
                <w:szCs w:val="32"/>
                <w:highlight w:val="none"/>
                <w:lang w:val="en-GB"/>
              </w:rPr>
              <w:t>20</w:t>
            </w: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年</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月</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日</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时</w:t>
            </w:r>
            <w:r>
              <w:rPr>
                <w:rFonts w:hint="eastAsia" w:ascii="仿宋" w:hAnsi="仿宋" w:eastAsia="仿宋"/>
                <w:color w:val="auto"/>
                <w:sz w:val="32"/>
                <w:szCs w:val="32"/>
                <w:highlight w:val="none"/>
                <w:u w:val="single"/>
                <w:lang w:val="en-GB"/>
              </w:rPr>
              <w:t xml:space="preserve">     </w:t>
            </w:r>
            <w:r>
              <w:rPr>
                <w:rFonts w:hint="eastAsia" w:ascii="仿宋" w:hAnsi="仿宋" w:eastAsia="仿宋"/>
                <w:color w:val="auto"/>
                <w:sz w:val="32"/>
                <w:szCs w:val="32"/>
                <w:highlight w:val="none"/>
                <w:lang w:val="en-GB"/>
              </w:rPr>
              <w:t>分</w:t>
            </w:r>
          </w:p>
        </w:tc>
        <w:tc>
          <w:tcPr>
            <w:tcW w:w="846" w:type="dxa"/>
            <w:vMerge w:val="continue"/>
            <w:noWrap w:val="0"/>
            <w:vAlign w:val="center"/>
          </w:tcPr>
          <w:p w14:paraId="64488C6C">
            <w:pPr>
              <w:jc w:val="center"/>
              <w:rPr>
                <w:rFonts w:ascii="仿宋" w:hAnsi="仿宋" w:eastAsia="仿宋"/>
                <w:color w:val="auto"/>
                <w:sz w:val="32"/>
                <w:szCs w:val="32"/>
                <w:highlight w:val="none"/>
                <w:lang w:val="en-GB"/>
              </w:rPr>
            </w:pPr>
          </w:p>
        </w:tc>
      </w:tr>
    </w:tbl>
    <w:p w14:paraId="0D2875BB">
      <w:pPr>
        <w:autoSpaceDE w:val="0"/>
        <w:autoSpaceDN w:val="0"/>
        <w:adjustRightInd w:val="0"/>
        <w:ind w:right="187"/>
        <w:rPr>
          <w:rFonts w:ascii="仿宋" w:hAnsi="仿宋" w:eastAsia="仿宋"/>
          <w:color w:val="auto"/>
          <w:kern w:val="0"/>
          <w:sz w:val="32"/>
          <w:szCs w:val="32"/>
        </w:rPr>
      </w:pPr>
      <w:r>
        <w:rPr>
          <w:rFonts w:hint="eastAsia" w:ascii="仿宋" w:hAnsi="仿宋" w:eastAsia="仿宋"/>
          <w:color w:val="auto"/>
          <w:kern w:val="0"/>
          <w:sz w:val="32"/>
          <w:szCs w:val="32"/>
        </w:rPr>
        <w:t>注： 1.竞买人每次报价只需递交一份签名及公章完整的报价单；</w:t>
      </w:r>
    </w:p>
    <w:p w14:paraId="2E0BCB12">
      <w:pPr>
        <w:autoSpaceDE w:val="0"/>
        <w:autoSpaceDN w:val="0"/>
        <w:adjustRightInd w:val="0"/>
        <w:ind w:left="2" w:leftChars="1" w:right="186" w:firstLine="640" w:firstLineChars="200"/>
        <w:jc w:val="left"/>
        <w:rPr>
          <w:rFonts w:ascii="仿宋" w:hAnsi="仿宋" w:eastAsia="仿宋"/>
          <w:color w:val="auto"/>
          <w:kern w:val="0"/>
          <w:sz w:val="32"/>
          <w:szCs w:val="32"/>
        </w:rPr>
      </w:pPr>
      <w:r>
        <w:rPr>
          <w:rFonts w:hint="eastAsia" w:ascii="仿宋" w:hAnsi="仿宋" w:eastAsia="仿宋"/>
          <w:color w:val="auto"/>
          <w:kern w:val="0"/>
          <w:sz w:val="32"/>
          <w:szCs w:val="32"/>
        </w:rPr>
        <w:t>2.内容用钢笔或水笔填写，要求字迹工整、清晰。报价金额大、小写不一致时，以大写为准。</w:t>
      </w:r>
    </w:p>
    <w:p w14:paraId="663190EB">
      <w:pPr>
        <w:autoSpaceDE w:val="0"/>
        <w:autoSpaceDN w:val="0"/>
        <w:adjustRightInd w:val="0"/>
        <w:ind w:left="2" w:leftChars="1" w:right="186" w:firstLine="640" w:firstLineChars="200"/>
        <w:jc w:val="left"/>
        <w:rPr>
          <w:rFonts w:ascii="仿宋" w:hAnsi="仿宋" w:eastAsia="仿宋"/>
          <w:color w:val="auto"/>
          <w:kern w:val="0"/>
          <w:sz w:val="32"/>
          <w:szCs w:val="32"/>
        </w:rPr>
      </w:pPr>
    </w:p>
    <w:p w14:paraId="293C5572">
      <w:pPr>
        <w:tabs>
          <w:tab w:val="left" w:pos="5400"/>
          <w:tab w:val="left" w:pos="5760"/>
          <w:tab w:val="left" w:pos="6120"/>
          <w:tab w:val="left" w:pos="7920"/>
          <w:tab w:val="left" w:pos="8100"/>
        </w:tabs>
        <w:adjustRightInd w:val="0"/>
        <w:snapToGrid w:val="0"/>
        <w:spacing w:line="580" w:lineRule="exact"/>
        <w:rPr>
          <w:rFonts w:hint="eastAsia" w:ascii="仿宋" w:hAnsi="仿宋" w:eastAsia="仿宋" w:cs="宋体"/>
          <w:b/>
          <w:bCs/>
          <w:color w:val="auto"/>
          <w:kern w:val="0"/>
          <w:sz w:val="32"/>
          <w:szCs w:val="32"/>
        </w:rPr>
      </w:pPr>
    </w:p>
    <w:p w14:paraId="039C1EC9">
      <w:pPr>
        <w:tabs>
          <w:tab w:val="left" w:pos="5400"/>
          <w:tab w:val="left" w:pos="5760"/>
          <w:tab w:val="left" w:pos="6120"/>
          <w:tab w:val="left" w:pos="7920"/>
          <w:tab w:val="left" w:pos="8100"/>
        </w:tabs>
        <w:adjustRightInd w:val="0"/>
        <w:snapToGrid w:val="0"/>
        <w:spacing w:line="540" w:lineRule="exact"/>
        <w:ind w:firstLine="2650" w:firstLineChars="600"/>
        <w:jc w:val="both"/>
        <w:outlineLvl w:val="0"/>
        <w:rPr>
          <w:rFonts w:hint="eastAsia" w:ascii="宋体" w:hAnsi="宋体" w:cs="宋体"/>
          <w:b/>
          <w:bCs/>
          <w:color w:val="auto"/>
          <w:kern w:val="0"/>
          <w:sz w:val="44"/>
          <w:szCs w:val="44"/>
        </w:rPr>
      </w:pPr>
      <w:bookmarkStart w:id="5" w:name="_Toc8551"/>
    </w:p>
    <w:p w14:paraId="55304467">
      <w:pPr>
        <w:tabs>
          <w:tab w:val="left" w:pos="5400"/>
          <w:tab w:val="left" w:pos="5760"/>
          <w:tab w:val="left" w:pos="6120"/>
          <w:tab w:val="left" w:pos="7920"/>
          <w:tab w:val="left" w:pos="8100"/>
        </w:tabs>
        <w:adjustRightInd w:val="0"/>
        <w:snapToGrid w:val="0"/>
        <w:spacing w:line="540" w:lineRule="exact"/>
        <w:ind w:firstLine="2650" w:firstLineChars="600"/>
        <w:jc w:val="both"/>
        <w:outlineLvl w:val="0"/>
        <w:rPr>
          <w:rFonts w:hint="eastAsia" w:ascii="宋体" w:hAnsi="宋体" w:cs="宋体"/>
          <w:b/>
          <w:bCs/>
          <w:color w:val="auto"/>
          <w:kern w:val="0"/>
          <w:sz w:val="44"/>
          <w:szCs w:val="44"/>
        </w:rPr>
      </w:pPr>
    </w:p>
    <w:p w14:paraId="1F2ADB81">
      <w:pPr>
        <w:tabs>
          <w:tab w:val="left" w:pos="5400"/>
          <w:tab w:val="left" w:pos="5760"/>
          <w:tab w:val="left" w:pos="6120"/>
          <w:tab w:val="left" w:pos="7920"/>
          <w:tab w:val="left" w:pos="8100"/>
        </w:tabs>
        <w:adjustRightInd w:val="0"/>
        <w:snapToGrid w:val="0"/>
        <w:spacing w:line="540" w:lineRule="exact"/>
        <w:ind w:firstLine="2650" w:firstLineChars="600"/>
        <w:jc w:val="both"/>
        <w:outlineLvl w:val="0"/>
        <w:rPr>
          <w:rFonts w:hint="eastAsia" w:ascii="宋体" w:hAnsi="宋体" w:cs="宋体"/>
          <w:b/>
          <w:bCs/>
          <w:color w:val="auto"/>
          <w:kern w:val="0"/>
          <w:sz w:val="44"/>
          <w:szCs w:val="44"/>
        </w:rPr>
      </w:pPr>
    </w:p>
    <w:p w14:paraId="49FDB03E">
      <w:pPr>
        <w:tabs>
          <w:tab w:val="left" w:pos="5400"/>
          <w:tab w:val="left" w:pos="5760"/>
          <w:tab w:val="left" w:pos="6120"/>
          <w:tab w:val="left" w:pos="7920"/>
          <w:tab w:val="left" w:pos="8100"/>
        </w:tabs>
        <w:adjustRightInd w:val="0"/>
        <w:snapToGrid w:val="0"/>
        <w:spacing w:line="540" w:lineRule="exact"/>
        <w:jc w:val="center"/>
        <w:outlineLvl w:val="0"/>
      </w:pPr>
      <w:r>
        <w:rPr>
          <w:rFonts w:hint="eastAsia" w:ascii="宋体" w:hAnsi="宋体" w:cs="宋体"/>
          <w:b/>
          <w:bCs/>
          <w:color w:val="auto"/>
          <w:kern w:val="0"/>
          <w:sz w:val="44"/>
          <w:szCs w:val="44"/>
        </w:rPr>
        <w:t>成交确认书</w:t>
      </w:r>
      <w:bookmarkEnd w:id="5"/>
    </w:p>
    <w:p w14:paraId="3A5D402E">
      <w:pPr>
        <w:spacing w:line="520" w:lineRule="exact"/>
        <w:ind w:firstLine="640" w:firstLineChars="200"/>
        <w:jc w:val="left"/>
        <w:rPr>
          <w:rFonts w:hint="eastAsia" w:ascii="仿宋" w:hAnsi="仿宋" w:eastAsia="仿宋" w:cs="仿宋"/>
          <w:color w:val="auto"/>
          <w:kern w:val="32"/>
          <w:sz w:val="32"/>
          <w:szCs w:val="32"/>
          <w:u w:val="single"/>
          <w:lang w:val="en-GB"/>
        </w:rPr>
      </w:pPr>
    </w:p>
    <w:p w14:paraId="47B47A60">
      <w:pPr>
        <w:spacing w:line="520" w:lineRule="exact"/>
        <w:ind w:firstLine="640" w:firstLineChars="200"/>
        <w:jc w:val="left"/>
        <w:rPr>
          <w:rFonts w:hint="eastAsia" w:ascii="仿宋" w:hAnsi="仿宋" w:eastAsia="仿宋" w:cs="仿宋"/>
          <w:color w:val="auto"/>
          <w:kern w:val="32"/>
          <w:sz w:val="32"/>
          <w:szCs w:val="32"/>
          <w:u w:val="single"/>
          <w:lang w:val="en-GB"/>
        </w:rPr>
      </w:pPr>
      <w:r>
        <w:rPr>
          <w:rFonts w:hint="eastAsia" w:ascii="仿宋" w:hAnsi="仿宋" w:eastAsia="仿宋" w:cs="仿宋"/>
          <w:color w:val="auto"/>
          <w:kern w:val="32"/>
          <w:sz w:val="32"/>
          <w:szCs w:val="32"/>
          <w:u w:val="single"/>
          <w:lang w:val="en-GB"/>
        </w:rPr>
        <w:t xml:space="preserve">    </w:t>
      </w:r>
      <w:r>
        <w:rPr>
          <w:rFonts w:hint="eastAsia" w:ascii="仿宋" w:hAnsi="仿宋" w:eastAsia="仿宋" w:cs="仿宋"/>
          <w:color w:val="auto"/>
          <w:sz w:val="32"/>
          <w:szCs w:val="32"/>
          <w:lang w:val="en-GB"/>
        </w:rPr>
        <w:t>年</w:t>
      </w:r>
      <w:r>
        <w:rPr>
          <w:rFonts w:hint="eastAsia" w:ascii="仿宋" w:hAnsi="仿宋" w:eastAsia="仿宋" w:cs="仿宋"/>
          <w:color w:val="auto"/>
          <w:kern w:val="32"/>
          <w:sz w:val="32"/>
          <w:szCs w:val="32"/>
          <w:u w:val="single"/>
          <w:lang w:val="en-GB"/>
        </w:rPr>
        <w:t xml:space="preserve">    </w:t>
      </w:r>
      <w:r>
        <w:rPr>
          <w:rFonts w:hint="eastAsia" w:ascii="仿宋" w:hAnsi="仿宋" w:eastAsia="仿宋" w:cs="仿宋"/>
          <w:color w:val="auto"/>
          <w:sz w:val="32"/>
          <w:szCs w:val="32"/>
          <w:lang w:val="en-GB"/>
        </w:rPr>
        <w:t xml:space="preserve"> 月</w:t>
      </w:r>
      <w:r>
        <w:rPr>
          <w:rFonts w:hint="eastAsia" w:ascii="仿宋" w:hAnsi="仿宋" w:eastAsia="仿宋" w:cs="仿宋"/>
          <w:color w:val="auto"/>
          <w:kern w:val="32"/>
          <w:sz w:val="32"/>
          <w:szCs w:val="32"/>
          <w:u w:val="single"/>
          <w:lang w:val="en-GB"/>
        </w:rPr>
        <w:t xml:space="preserve">    </w:t>
      </w:r>
      <w:r>
        <w:rPr>
          <w:rFonts w:hint="eastAsia" w:ascii="仿宋" w:hAnsi="仿宋" w:eastAsia="仿宋" w:cs="仿宋"/>
          <w:color w:val="auto"/>
          <w:sz w:val="32"/>
          <w:szCs w:val="32"/>
          <w:lang w:val="en-GB"/>
        </w:rPr>
        <w:t xml:space="preserve"> 日，在</w:t>
      </w:r>
      <w:r>
        <w:rPr>
          <w:rFonts w:hint="eastAsia" w:ascii="仿宋" w:hAnsi="仿宋" w:eastAsia="仿宋" w:cs="仿宋"/>
          <w:color w:val="auto"/>
          <w:sz w:val="32"/>
          <w:szCs w:val="32"/>
        </w:rPr>
        <w:t>郑州航空港经济综合实验区赠之路与新港大道交叉口向西约150米路北</w:t>
      </w:r>
      <w:r>
        <w:rPr>
          <w:rFonts w:hint="eastAsia" w:ascii="仿宋" w:hAnsi="仿宋" w:eastAsia="仿宋" w:cs="仿宋"/>
          <w:color w:val="auto"/>
          <w:sz w:val="32"/>
          <w:szCs w:val="32"/>
          <w:lang w:eastAsia="zh-CN"/>
        </w:rPr>
        <w:t>郑州航空港经济综合实验区公共资源交易中心</w:t>
      </w:r>
      <w:r>
        <w:rPr>
          <w:rFonts w:hint="eastAsia" w:ascii="仿宋" w:hAnsi="仿宋" w:eastAsia="仿宋" w:cs="仿宋"/>
          <w:color w:val="auto"/>
          <w:sz w:val="32"/>
          <w:szCs w:val="32"/>
        </w:rPr>
        <w:t>702房间</w:t>
      </w:r>
      <w:r>
        <w:rPr>
          <w:rFonts w:hint="eastAsia" w:ascii="仿宋" w:hAnsi="仿宋" w:eastAsia="仿宋" w:cs="仿宋"/>
          <w:color w:val="auto"/>
          <w:kern w:val="32"/>
          <w:sz w:val="32"/>
          <w:szCs w:val="32"/>
          <w:lang w:val="en-GB"/>
        </w:rPr>
        <w:t>举办的国有</w:t>
      </w:r>
      <w:r>
        <w:rPr>
          <w:rFonts w:hint="eastAsia" w:ascii="仿宋" w:hAnsi="仿宋" w:eastAsia="仿宋" w:cs="仿宋"/>
          <w:color w:val="auto"/>
          <w:sz w:val="32"/>
          <w:szCs w:val="32"/>
        </w:rPr>
        <w:t>建设用地</w:t>
      </w:r>
      <w:r>
        <w:rPr>
          <w:rFonts w:hint="eastAsia" w:ascii="仿宋" w:hAnsi="仿宋" w:eastAsia="仿宋" w:cs="仿宋"/>
          <w:color w:val="auto"/>
          <w:kern w:val="32"/>
          <w:sz w:val="32"/>
          <w:szCs w:val="32"/>
          <w:lang w:val="en-GB"/>
        </w:rPr>
        <w:t>使用权挂牌出让活动中，</w:t>
      </w:r>
      <w:r>
        <w:rPr>
          <w:rFonts w:hint="eastAsia" w:ascii="仿宋" w:hAnsi="仿宋" w:eastAsia="仿宋" w:cs="仿宋"/>
          <w:color w:val="auto"/>
          <w:kern w:val="32"/>
          <w:sz w:val="32"/>
          <w:szCs w:val="32"/>
          <w:u w:val="single"/>
          <w:lang w:val="en-GB"/>
        </w:rPr>
        <w:t xml:space="preserve">         </w:t>
      </w:r>
      <w:r>
        <w:rPr>
          <w:rFonts w:hint="eastAsia" w:ascii="仿宋" w:hAnsi="仿宋" w:eastAsia="仿宋" w:cs="仿宋"/>
          <w:color w:val="auto"/>
          <w:sz w:val="32"/>
          <w:szCs w:val="32"/>
          <w:u w:val="single"/>
          <w:lang w:val="en-GB"/>
        </w:rPr>
        <w:t xml:space="preserve">                 </w:t>
      </w:r>
      <w:r>
        <w:rPr>
          <w:rFonts w:hint="eastAsia" w:ascii="仿宋" w:hAnsi="仿宋" w:eastAsia="仿宋" w:cs="仿宋"/>
          <w:color w:val="auto"/>
          <w:sz w:val="32"/>
          <w:szCs w:val="32"/>
          <w:lang w:val="en-GB"/>
        </w:rPr>
        <w:t>竞得编号为</w:t>
      </w:r>
      <w:r>
        <w:rPr>
          <w:rFonts w:hint="eastAsia" w:ascii="仿宋" w:hAnsi="仿宋" w:eastAsia="仿宋" w:cs="仿宋"/>
          <w:color w:val="auto"/>
          <w:sz w:val="32"/>
          <w:szCs w:val="32"/>
          <w:u w:val="single"/>
          <w:lang w:val="en-GB"/>
        </w:rPr>
        <w:t xml:space="preserve">           </w:t>
      </w:r>
      <w:r>
        <w:rPr>
          <w:rFonts w:hint="eastAsia" w:ascii="仿宋" w:hAnsi="仿宋" w:eastAsia="仿宋" w:cs="仿宋"/>
          <w:color w:val="auto"/>
          <w:sz w:val="32"/>
          <w:szCs w:val="32"/>
          <w:lang w:val="en-GB"/>
        </w:rPr>
        <w:t>号地块的国有</w:t>
      </w:r>
      <w:r>
        <w:rPr>
          <w:rFonts w:hint="eastAsia" w:ascii="仿宋" w:hAnsi="仿宋" w:eastAsia="仿宋" w:cs="仿宋"/>
          <w:color w:val="auto"/>
          <w:sz w:val="32"/>
          <w:szCs w:val="32"/>
        </w:rPr>
        <w:t>建设用地</w:t>
      </w:r>
      <w:r>
        <w:rPr>
          <w:rFonts w:hint="eastAsia" w:ascii="仿宋" w:hAnsi="仿宋" w:eastAsia="仿宋" w:cs="仿宋"/>
          <w:color w:val="auto"/>
          <w:sz w:val="32"/>
          <w:szCs w:val="32"/>
          <w:lang w:val="en-GB"/>
        </w:rPr>
        <w:t>使用权。现将有关事项确认如下：</w:t>
      </w:r>
    </w:p>
    <w:p w14:paraId="69A6CABE">
      <w:pPr>
        <w:spacing w:line="520" w:lineRule="exact"/>
        <w:ind w:firstLine="640" w:firstLineChars="200"/>
        <w:jc w:val="left"/>
        <w:rPr>
          <w:rFonts w:ascii="仿宋" w:hAnsi="仿宋" w:eastAsia="仿宋"/>
          <w:color w:val="auto"/>
          <w:sz w:val="32"/>
          <w:szCs w:val="32"/>
          <w:lang w:val="en-GB"/>
        </w:rPr>
      </w:pPr>
      <w:r>
        <w:rPr>
          <w:rFonts w:hint="eastAsia" w:ascii="仿宋" w:hAnsi="仿宋" w:eastAsia="仿宋"/>
          <w:color w:val="auto"/>
          <w:sz w:val="32"/>
          <w:szCs w:val="32"/>
          <w:lang w:val="en-GB"/>
        </w:rPr>
        <w:t xml:space="preserve">该地块成交总价为人民币大写 </w:t>
      </w:r>
      <w:r>
        <w:rPr>
          <w:rFonts w:hint="eastAsia" w:ascii="仿宋" w:hAnsi="仿宋" w:eastAsia="仿宋"/>
          <w:color w:val="auto"/>
          <w:sz w:val="32"/>
          <w:szCs w:val="32"/>
          <w:u w:val="single"/>
          <w:lang w:val="en-GB"/>
        </w:rPr>
        <w:t xml:space="preserve">              </w:t>
      </w:r>
      <w:r>
        <w:rPr>
          <w:rFonts w:hint="eastAsia" w:ascii="仿宋" w:hAnsi="仿宋" w:eastAsia="仿宋"/>
          <w:color w:val="auto"/>
          <w:sz w:val="32"/>
          <w:szCs w:val="32"/>
          <w:lang w:val="en-GB"/>
        </w:rPr>
        <w:t>万元（小写</w:t>
      </w:r>
      <w:r>
        <w:rPr>
          <w:rFonts w:hint="eastAsia" w:ascii="仿宋" w:hAnsi="仿宋" w:eastAsia="仿宋"/>
          <w:color w:val="auto"/>
          <w:sz w:val="32"/>
          <w:szCs w:val="32"/>
          <w:u w:val="single"/>
          <w:lang w:val="en-GB"/>
        </w:rPr>
        <w:t xml:space="preserve">            </w:t>
      </w:r>
      <w:r>
        <w:rPr>
          <w:rFonts w:hint="eastAsia" w:ascii="仿宋" w:hAnsi="仿宋" w:eastAsia="仿宋"/>
          <w:color w:val="auto"/>
          <w:sz w:val="32"/>
          <w:szCs w:val="32"/>
          <w:lang w:val="en-GB"/>
        </w:rPr>
        <w:t>万元）。</w:t>
      </w:r>
    </w:p>
    <w:p w14:paraId="0233469F">
      <w:pPr>
        <w:tabs>
          <w:tab w:val="left" w:pos="720"/>
        </w:tabs>
        <w:spacing w:line="520" w:lineRule="exact"/>
        <w:ind w:firstLine="640" w:firstLineChars="200"/>
        <w:rPr>
          <w:rFonts w:ascii="仿宋" w:hAnsi="仿宋" w:eastAsia="仿宋"/>
          <w:color w:val="auto"/>
          <w:sz w:val="32"/>
          <w:szCs w:val="32"/>
          <w:lang w:val="en-GB"/>
        </w:rPr>
      </w:pPr>
      <w:r>
        <w:rPr>
          <w:rFonts w:hint="eastAsia" w:ascii="仿宋" w:hAnsi="仿宋" w:eastAsia="仿宋"/>
          <w:color w:val="auto"/>
          <w:sz w:val="32"/>
          <w:szCs w:val="32"/>
          <w:lang w:val="en-GB"/>
        </w:rPr>
        <w:t xml:space="preserve">竞得人交纳的竞买保证金，转作受让地块的定金、土地出让金。                                               </w:t>
      </w:r>
    </w:p>
    <w:p w14:paraId="7F8B2042">
      <w:pPr>
        <w:spacing w:line="520" w:lineRule="exact"/>
        <w:ind w:firstLine="640" w:firstLineChars="200"/>
        <w:rPr>
          <w:rFonts w:ascii="仿宋" w:hAnsi="仿宋" w:eastAsia="仿宋"/>
          <w:sz w:val="32"/>
          <w:szCs w:val="32"/>
          <w:lang w:val="en-GB"/>
        </w:rPr>
      </w:pPr>
      <w:r>
        <w:rPr>
          <w:rFonts w:hint="eastAsia" w:ascii="仿宋" w:hAnsi="仿宋" w:eastAsia="仿宋"/>
          <w:sz w:val="32"/>
          <w:szCs w:val="32"/>
          <w:lang w:val="en-GB"/>
        </w:rPr>
        <w:t>竞得人应当于土地成交后10个工作日内，持本《成交确认书》与</w:t>
      </w:r>
      <w:r>
        <w:rPr>
          <w:rFonts w:hint="eastAsia" w:ascii="仿宋" w:hAnsi="仿宋" w:eastAsia="仿宋"/>
          <w:sz w:val="32"/>
          <w:szCs w:val="32"/>
          <w:lang w:val="en-GB" w:eastAsia="zh-CN"/>
        </w:rPr>
        <w:t>郑州航空港经济综合实验区自然资源和规划局</w:t>
      </w:r>
      <w:r>
        <w:rPr>
          <w:rFonts w:hint="eastAsia" w:ascii="仿宋" w:hAnsi="仿宋" w:eastAsia="仿宋"/>
          <w:sz w:val="32"/>
          <w:szCs w:val="32"/>
          <w:lang w:val="en-GB"/>
        </w:rPr>
        <w:t>签订《国有</w:t>
      </w:r>
      <w:r>
        <w:rPr>
          <w:rFonts w:hint="eastAsia" w:ascii="仿宋" w:hAnsi="仿宋" w:eastAsia="仿宋"/>
          <w:sz w:val="32"/>
          <w:szCs w:val="32"/>
        </w:rPr>
        <w:t>建设用地</w:t>
      </w:r>
      <w:r>
        <w:rPr>
          <w:rFonts w:hint="eastAsia" w:ascii="仿宋" w:hAnsi="仿宋" w:eastAsia="仿宋"/>
          <w:sz w:val="32"/>
          <w:szCs w:val="32"/>
          <w:lang w:val="en-GB"/>
        </w:rPr>
        <w:t>使用权出让合同》。不按期签订《国有</w:t>
      </w:r>
      <w:r>
        <w:rPr>
          <w:rFonts w:hint="eastAsia" w:ascii="仿宋" w:hAnsi="仿宋" w:eastAsia="仿宋"/>
          <w:sz w:val="32"/>
          <w:szCs w:val="32"/>
        </w:rPr>
        <w:t>建设用地</w:t>
      </w:r>
      <w:r>
        <w:rPr>
          <w:rFonts w:hint="eastAsia" w:ascii="仿宋" w:hAnsi="仿宋" w:eastAsia="仿宋"/>
          <w:sz w:val="32"/>
          <w:szCs w:val="32"/>
          <w:lang w:val="en-GB"/>
        </w:rPr>
        <w:t>使用权出让合同》的，视为竞得人放弃竞得资格，竞得人应承担相应法律责任。</w:t>
      </w:r>
    </w:p>
    <w:p w14:paraId="296B1EFD">
      <w:pPr>
        <w:spacing w:line="520" w:lineRule="exact"/>
        <w:ind w:firstLine="640" w:firstLineChars="200"/>
        <w:rPr>
          <w:rFonts w:ascii="仿宋" w:hAnsi="仿宋" w:eastAsia="仿宋"/>
          <w:sz w:val="32"/>
          <w:szCs w:val="32"/>
          <w:lang w:val="en-GB"/>
        </w:rPr>
      </w:pPr>
      <w:r>
        <w:rPr>
          <w:rFonts w:hint="eastAsia" w:ascii="仿宋" w:hAnsi="仿宋" w:eastAsia="仿宋"/>
          <w:sz w:val="32"/>
          <w:szCs w:val="32"/>
          <w:lang w:val="en-GB"/>
        </w:rPr>
        <w:t>本《成交确认书》一式三份，</w:t>
      </w:r>
      <w:r>
        <w:rPr>
          <w:rFonts w:hint="eastAsia" w:ascii="仿宋" w:hAnsi="仿宋" w:eastAsia="仿宋"/>
          <w:sz w:val="32"/>
          <w:szCs w:val="32"/>
          <w:lang w:val="en-GB" w:eastAsia="zh-CN"/>
        </w:rPr>
        <w:t>郑州航空港经济综合实验区自然资源和规划局</w:t>
      </w:r>
      <w:r>
        <w:rPr>
          <w:rFonts w:hint="eastAsia" w:ascii="仿宋" w:hAnsi="仿宋" w:eastAsia="仿宋"/>
          <w:sz w:val="32"/>
          <w:szCs w:val="32"/>
          <w:lang w:val="en-GB"/>
        </w:rPr>
        <w:t>、竞得人和郑州</w:t>
      </w:r>
      <w:r>
        <w:rPr>
          <w:rFonts w:hint="eastAsia" w:ascii="仿宋" w:hAnsi="仿宋" w:eastAsia="仿宋"/>
          <w:sz w:val="32"/>
          <w:szCs w:val="32"/>
          <w:lang w:val="en-GB" w:eastAsia="zh-CN"/>
        </w:rPr>
        <w:t>航空港经济综合实验区公共资源交易中心</w:t>
      </w:r>
      <w:r>
        <w:rPr>
          <w:rFonts w:hint="eastAsia" w:ascii="仿宋" w:hAnsi="仿宋" w:eastAsia="仿宋"/>
          <w:sz w:val="32"/>
          <w:szCs w:val="32"/>
          <w:lang w:val="en-GB"/>
        </w:rPr>
        <w:t>各执一份。</w:t>
      </w:r>
    </w:p>
    <w:p w14:paraId="3EF89A2E">
      <w:pPr>
        <w:spacing w:line="520" w:lineRule="exact"/>
        <w:ind w:firstLine="640" w:firstLineChars="200"/>
        <w:rPr>
          <w:rFonts w:ascii="仿宋" w:hAnsi="仿宋" w:eastAsia="仿宋"/>
          <w:sz w:val="32"/>
          <w:szCs w:val="32"/>
          <w:lang w:val="en-GB"/>
        </w:rPr>
      </w:pPr>
      <w:r>
        <w:rPr>
          <w:rFonts w:hint="eastAsia" w:ascii="仿宋" w:hAnsi="仿宋" w:eastAsia="仿宋"/>
          <w:sz w:val="32"/>
          <w:szCs w:val="32"/>
          <w:lang w:val="en-GB"/>
        </w:rPr>
        <w:t>特此确认。</w:t>
      </w:r>
    </w:p>
    <w:p w14:paraId="66EDAC1C">
      <w:pPr>
        <w:tabs>
          <w:tab w:val="left" w:pos="7740"/>
          <w:tab w:val="left" w:pos="7920"/>
        </w:tabs>
        <w:autoSpaceDE w:val="0"/>
        <w:autoSpaceDN w:val="0"/>
        <w:adjustRightInd w:val="0"/>
        <w:spacing w:line="520" w:lineRule="exact"/>
        <w:ind w:right="156" w:firstLine="640" w:firstLineChars="200"/>
        <w:rPr>
          <w:rFonts w:ascii="仿宋" w:hAnsi="仿宋" w:eastAsia="仿宋"/>
          <w:sz w:val="32"/>
          <w:szCs w:val="32"/>
          <w:lang w:val="en-GB"/>
        </w:rPr>
      </w:pPr>
    </w:p>
    <w:p w14:paraId="22D193DD">
      <w:pPr>
        <w:spacing w:line="520" w:lineRule="exact"/>
        <w:rPr>
          <w:rFonts w:hint="eastAsia" w:ascii="仿宋" w:hAnsi="仿宋" w:eastAsia="仿宋"/>
          <w:sz w:val="32"/>
          <w:szCs w:val="32"/>
          <w:lang w:val="en-GB"/>
        </w:rPr>
      </w:pPr>
      <w:r>
        <w:rPr>
          <w:rFonts w:hint="eastAsia" w:ascii="仿宋" w:hAnsi="仿宋" w:eastAsia="仿宋"/>
          <w:sz w:val="32"/>
          <w:szCs w:val="32"/>
          <w:lang w:val="en-GB"/>
        </w:rPr>
        <w:t>出让人</w:t>
      </w:r>
      <w:r>
        <w:rPr>
          <w:rFonts w:hint="eastAsia" w:ascii="仿宋" w:hAnsi="仿宋" w:eastAsia="仿宋"/>
          <w:sz w:val="32"/>
          <w:szCs w:val="32"/>
          <w:lang w:val="en-GB" w:eastAsia="zh-CN"/>
        </w:rPr>
        <w:t>（盖章）</w:t>
      </w:r>
      <w:r>
        <w:rPr>
          <w:rFonts w:hint="eastAsia" w:ascii="仿宋" w:hAnsi="仿宋" w:eastAsia="仿宋"/>
          <w:sz w:val="32"/>
          <w:szCs w:val="32"/>
          <w:lang w:val="en-GB"/>
        </w:rPr>
        <w:t>：</w:t>
      </w:r>
      <w:r>
        <w:rPr>
          <w:rFonts w:hint="eastAsia" w:ascii="仿宋" w:hAnsi="仿宋" w:eastAsia="仿宋"/>
          <w:sz w:val="32"/>
          <w:szCs w:val="32"/>
          <w:lang w:val="en-US" w:eastAsia="zh-CN"/>
        </w:rPr>
        <w:t xml:space="preserve">                </w:t>
      </w:r>
      <w:r>
        <w:rPr>
          <w:rFonts w:hint="eastAsia" w:ascii="仿宋" w:hAnsi="仿宋" w:eastAsia="仿宋"/>
          <w:sz w:val="32"/>
          <w:szCs w:val="32"/>
          <w:lang w:val="en-GB"/>
        </w:rPr>
        <w:t>竞得人</w:t>
      </w:r>
      <w:r>
        <w:rPr>
          <w:rFonts w:hint="eastAsia" w:ascii="仿宋" w:hAnsi="仿宋" w:eastAsia="仿宋"/>
          <w:sz w:val="32"/>
          <w:szCs w:val="32"/>
          <w:lang w:val="en-GB" w:eastAsia="zh-CN"/>
        </w:rPr>
        <w:t>（盖章）</w:t>
      </w:r>
      <w:r>
        <w:rPr>
          <w:rFonts w:hint="eastAsia" w:ascii="仿宋" w:hAnsi="仿宋" w:eastAsia="仿宋"/>
          <w:sz w:val="32"/>
          <w:szCs w:val="32"/>
          <w:lang w:val="en-GB"/>
        </w:rPr>
        <w:t>：</w:t>
      </w:r>
    </w:p>
    <w:p w14:paraId="2108CD42">
      <w:pPr>
        <w:spacing w:line="520" w:lineRule="exact"/>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                                代  表（签字）：</w:t>
      </w:r>
    </w:p>
    <w:p w14:paraId="723D3C1A">
      <w:pPr>
        <w:spacing w:line="52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 xml:space="preserve">                    联系电话：</w:t>
      </w:r>
    </w:p>
    <w:p w14:paraId="79D57A06">
      <w:pPr>
        <w:tabs>
          <w:tab w:val="left" w:pos="7740"/>
          <w:tab w:val="left" w:pos="7920"/>
        </w:tabs>
        <w:autoSpaceDE w:val="0"/>
        <w:autoSpaceDN w:val="0"/>
        <w:adjustRightInd w:val="0"/>
        <w:spacing w:line="520" w:lineRule="exact"/>
        <w:ind w:right="156" w:firstLine="4480" w:firstLineChars="1400"/>
        <w:jc w:val="both"/>
        <w:rPr>
          <w:rFonts w:hint="eastAsia" w:ascii="仿宋" w:hAnsi="仿宋" w:eastAsia="仿宋"/>
          <w:kern w:val="0"/>
          <w:sz w:val="32"/>
          <w:szCs w:val="32"/>
          <w:lang w:val="en-GB"/>
        </w:rPr>
      </w:pPr>
      <w:r>
        <w:rPr>
          <w:rFonts w:hint="eastAsia" w:ascii="仿宋" w:hAnsi="仿宋" w:eastAsia="仿宋"/>
          <w:kern w:val="0"/>
          <w:sz w:val="32"/>
          <w:szCs w:val="32"/>
        </w:rPr>
        <w:t>签订时间：</w:t>
      </w:r>
      <w:r>
        <w:rPr>
          <w:rFonts w:hint="eastAsia" w:ascii="仿宋" w:hAnsi="仿宋" w:eastAsia="仿宋"/>
          <w:sz w:val="32"/>
          <w:szCs w:val="32"/>
          <w:lang w:val="en-US" w:eastAsia="zh-CN"/>
        </w:rPr>
        <w:t xml:space="preserve"> </w:t>
      </w:r>
      <w:r>
        <w:rPr>
          <w:rFonts w:hint="eastAsia" w:ascii="仿宋" w:hAnsi="仿宋" w:eastAsia="仿宋"/>
          <w:sz w:val="32"/>
          <w:szCs w:val="32"/>
        </w:rPr>
        <w:t>年   月   日</w:t>
      </w:r>
    </w:p>
    <w:p w14:paraId="14786E50">
      <w:pPr>
        <w:pStyle w:val="7"/>
        <w:jc w:val="center"/>
        <w:rPr>
          <w:rFonts w:hint="eastAsia" w:ascii="仿宋" w:hAnsi="仿宋" w:eastAsia="仿宋"/>
          <w:b/>
          <w:bCs/>
          <w:color w:val="auto"/>
        </w:rPr>
      </w:pPr>
    </w:p>
    <w:p w14:paraId="4074188A">
      <w:pPr>
        <w:pStyle w:val="7"/>
        <w:jc w:val="center"/>
        <w:rPr>
          <w:rFonts w:hint="eastAsia" w:hAnsi="宋体"/>
          <w:b/>
          <w:bCs/>
          <w:color w:val="auto"/>
          <w:sz w:val="44"/>
          <w:szCs w:val="44"/>
        </w:rPr>
      </w:pPr>
    </w:p>
    <w:p w14:paraId="2B0D3123">
      <w:pPr>
        <w:pStyle w:val="7"/>
        <w:jc w:val="center"/>
        <w:rPr>
          <w:rFonts w:hint="eastAsia" w:hAnsi="宋体"/>
          <w:b/>
          <w:bCs/>
          <w:color w:val="auto"/>
          <w:sz w:val="44"/>
          <w:szCs w:val="44"/>
        </w:rPr>
      </w:pPr>
    </w:p>
    <w:p w14:paraId="2D70F523">
      <w:pPr>
        <w:pStyle w:val="7"/>
        <w:jc w:val="center"/>
        <w:rPr>
          <w:rFonts w:hint="eastAsia" w:hAnsi="宋体"/>
          <w:b/>
          <w:bCs/>
          <w:color w:val="auto"/>
          <w:sz w:val="44"/>
          <w:szCs w:val="44"/>
        </w:rPr>
      </w:pPr>
    </w:p>
    <w:p w14:paraId="7360BF5E">
      <w:pPr>
        <w:pStyle w:val="7"/>
        <w:jc w:val="center"/>
        <w:rPr>
          <w:rFonts w:hint="eastAsia" w:hAnsi="宋体"/>
          <w:b/>
          <w:bCs/>
          <w:color w:val="auto"/>
          <w:sz w:val="44"/>
          <w:szCs w:val="44"/>
        </w:rPr>
      </w:pPr>
      <w:r>
        <w:rPr>
          <w:rFonts w:hint="eastAsia" w:hAnsi="宋体"/>
          <w:b/>
          <w:bCs/>
          <w:color w:val="auto"/>
          <w:sz w:val="44"/>
          <w:szCs w:val="44"/>
        </w:rPr>
        <w:t>国有建设用地使用权出让合同</w:t>
      </w:r>
    </w:p>
    <w:p w14:paraId="27FB8F10">
      <w:pPr>
        <w:pStyle w:val="7"/>
        <w:rPr>
          <w:rFonts w:hint="eastAsia" w:ascii="仿宋" w:hAnsi="仿宋" w:eastAsia="仿宋" w:cs="Times New Roman"/>
          <w:b/>
          <w:bCs/>
          <w:color w:val="auto"/>
        </w:rPr>
      </w:pPr>
    </w:p>
    <w:p w14:paraId="5A8D9329">
      <w:pPr>
        <w:pStyle w:val="7"/>
        <w:rPr>
          <w:rFonts w:hint="eastAsia" w:ascii="仿宋" w:hAnsi="仿宋" w:eastAsia="仿宋" w:cs="Times New Roman"/>
          <w:color w:val="auto"/>
        </w:rPr>
      </w:pPr>
    </w:p>
    <w:p w14:paraId="4AB575CC">
      <w:pPr>
        <w:pStyle w:val="7"/>
        <w:rPr>
          <w:rFonts w:hint="eastAsia" w:ascii="仿宋" w:hAnsi="仿宋" w:eastAsia="仿宋" w:cs="Times New Roman"/>
          <w:color w:val="auto"/>
        </w:rPr>
      </w:pPr>
    </w:p>
    <w:p w14:paraId="18DACD00">
      <w:pPr>
        <w:pStyle w:val="7"/>
        <w:rPr>
          <w:rFonts w:hint="eastAsia" w:ascii="仿宋" w:hAnsi="仿宋" w:eastAsia="仿宋" w:cs="Times New Roman"/>
          <w:color w:val="auto"/>
        </w:rPr>
      </w:pPr>
    </w:p>
    <w:p w14:paraId="7A2DFC4E">
      <w:pPr>
        <w:pStyle w:val="7"/>
        <w:rPr>
          <w:rFonts w:hint="eastAsia" w:ascii="仿宋" w:hAnsi="仿宋" w:eastAsia="仿宋" w:cs="Times New Roman"/>
          <w:color w:val="auto"/>
        </w:rPr>
      </w:pPr>
    </w:p>
    <w:p w14:paraId="758D97E6">
      <w:pPr>
        <w:pStyle w:val="7"/>
        <w:rPr>
          <w:rFonts w:hint="eastAsia" w:ascii="仿宋" w:hAnsi="仿宋" w:eastAsia="仿宋" w:cs="Times New Roman"/>
          <w:color w:val="auto"/>
        </w:rPr>
      </w:pPr>
    </w:p>
    <w:p w14:paraId="748AFB23">
      <w:pPr>
        <w:pStyle w:val="7"/>
        <w:rPr>
          <w:rFonts w:hint="eastAsia" w:ascii="仿宋" w:hAnsi="仿宋" w:eastAsia="仿宋" w:cs="Times New Roman"/>
          <w:color w:val="auto"/>
        </w:rPr>
      </w:pPr>
    </w:p>
    <w:p w14:paraId="10B5A2A9">
      <w:pPr>
        <w:pStyle w:val="7"/>
        <w:rPr>
          <w:rFonts w:hint="eastAsia" w:ascii="仿宋" w:hAnsi="仿宋" w:eastAsia="仿宋" w:cs="Times New Roman"/>
          <w:color w:val="auto"/>
        </w:rPr>
      </w:pPr>
    </w:p>
    <w:p w14:paraId="1CBEAC9C">
      <w:pPr>
        <w:pStyle w:val="7"/>
        <w:rPr>
          <w:rFonts w:hint="eastAsia" w:ascii="仿宋" w:hAnsi="仿宋" w:eastAsia="仿宋" w:cs="Times New Roman"/>
          <w:color w:val="auto"/>
        </w:rPr>
      </w:pPr>
    </w:p>
    <w:p w14:paraId="42D8B7DF">
      <w:pPr>
        <w:pStyle w:val="7"/>
        <w:rPr>
          <w:rFonts w:hint="eastAsia" w:ascii="仿宋" w:hAnsi="仿宋" w:eastAsia="仿宋" w:cs="Times New Roman"/>
          <w:color w:val="auto"/>
        </w:rPr>
      </w:pPr>
    </w:p>
    <w:p w14:paraId="6DA37D78">
      <w:pPr>
        <w:pStyle w:val="7"/>
        <w:rPr>
          <w:rFonts w:hint="eastAsia" w:ascii="仿宋" w:hAnsi="仿宋" w:eastAsia="仿宋" w:cs="Times New Roman"/>
          <w:color w:val="auto"/>
        </w:rPr>
      </w:pPr>
    </w:p>
    <w:p w14:paraId="1325C08D">
      <w:pPr>
        <w:pStyle w:val="7"/>
        <w:rPr>
          <w:rFonts w:hint="eastAsia" w:ascii="仿宋" w:hAnsi="仿宋" w:eastAsia="仿宋" w:cs="Times New Roman"/>
          <w:color w:val="auto"/>
        </w:rPr>
      </w:pPr>
    </w:p>
    <w:p w14:paraId="5EC8AF13">
      <w:pPr>
        <w:pStyle w:val="7"/>
        <w:rPr>
          <w:rFonts w:hint="eastAsia" w:ascii="仿宋" w:hAnsi="仿宋" w:eastAsia="仿宋" w:cs="Times New Roman"/>
          <w:color w:val="auto"/>
        </w:rPr>
      </w:pPr>
    </w:p>
    <w:p w14:paraId="3F526008">
      <w:pPr>
        <w:pStyle w:val="7"/>
        <w:rPr>
          <w:rFonts w:hint="eastAsia" w:ascii="仿宋" w:hAnsi="仿宋" w:eastAsia="仿宋" w:cs="Times New Roman"/>
          <w:color w:val="auto"/>
        </w:rPr>
      </w:pPr>
    </w:p>
    <w:p w14:paraId="1EF54C11">
      <w:pPr>
        <w:pStyle w:val="7"/>
        <w:rPr>
          <w:rFonts w:hint="eastAsia" w:ascii="仿宋" w:hAnsi="仿宋" w:eastAsia="仿宋" w:cs="Times New Roman"/>
          <w:color w:val="auto"/>
        </w:rPr>
      </w:pPr>
    </w:p>
    <w:p w14:paraId="5A0F550D">
      <w:pPr>
        <w:pStyle w:val="7"/>
        <w:rPr>
          <w:rFonts w:hint="eastAsia" w:ascii="仿宋" w:hAnsi="仿宋" w:eastAsia="仿宋" w:cs="Times New Roman"/>
          <w:color w:val="auto"/>
        </w:rPr>
      </w:pPr>
    </w:p>
    <w:p w14:paraId="1909801B">
      <w:pPr>
        <w:pStyle w:val="7"/>
        <w:rPr>
          <w:rFonts w:hint="eastAsia" w:ascii="仿宋" w:hAnsi="仿宋" w:eastAsia="仿宋" w:cs="Times New Roman"/>
          <w:color w:val="auto"/>
        </w:rPr>
      </w:pPr>
    </w:p>
    <w:p w14:paraId="1B27C5A7">
      <w:pPr>
        <w:pStyle w:val="7"/>
        <w:rPr>
          <w:rFonts w:hint="eastAsia" w:ascii="仿宋" w:hAnsi="仿宋" w:eastAsia="仿宋"/>
          <w:b/>
          <w:bCs/>
          <w:color w:val="auto"/>
        </w:rPr>
      </w:pPr>
      <w:r>
        <w:rPr>
          <w:rFonts w:hint="eastAsia" w:ascii="仿宋" w:hAnsi="仿宋" w:eastAsia="仿宋" w:cs="Times New Roman"/>
          <w:color w:val="auto"/>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284480</wp:posOffset>
                </wp:positionV>
                <wp:extent cx="619125" cy="594360"/>
                <wp:effectExtent l="4445" t="4445" r="16510" b="10795"/>
                <wp:wrapNone/>
                <wp:docPr id="1" name="矩形 57"/>
                <wp:cNvGraphicFramePr/>
                <a:graphic xmlns:a="http://schemas.openxmlformats.org/drawingml/2006/main">
                  <a:graphicData uri="http://schemas.microsoft.com/office/word/2010/wordprocessingShape">
                    <wps:wsp>
                      <wps:cNvSpPr/>
                      <wps:spPr>
                        <a:xfrm>
                          <a:off x="0" y="0"/>
                          <a:ext cx="619125"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7BCDBFF">
                            <w:pPr>
                              <w:rPr>
                                <w:rFonts w:hint="eastAsia" w:ascii="宋体" w:hAnsi="宋体"/>
                                <w:sz w:val="32"/>
                                <w:szCs w:val="32"/>
                              </w:rPr>
                            </w:pPr>
                            <w:r>
                              <w:rPr>
                                <w:rFonts w:hint="eastAsia" w:ascii="宋体" w:hAnsi="宋体"/>
                                <w:sz w:val="32"/>
                                <w:szCs w:val="32"/>
                              </w:rPr>
                              <w:t>制定</w:t>
                            </w:r>
                          </w:p>
                        </w:txbxContent>
                      </wps:txbx>
                      <wps:bodyPr wrap="square" upright="1"/>
                    </wps:wsp>
                  </a:graphicData>
                </a:graphic>
              </wp:anchor>
            </w:drawing>
          </mc:Choice>
          <mc:Fallback>
            <w:pict>
              <v:rect id="矩形 57" o:spid="_x0000_s1026" o:spt="1" style="position:absolute;left:0pt;margin-left:342pt;margin-top:22.4pt;height:46.8pt;width:48.75pt;z-index:251659264;mso-width-relative:page;mso-height-relative:page;" fillcolor="#FFFFFF" filled="t" stroked="t" coordsize="21600,21600" o:gfxdata="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tIMW1wAAAAoBAAAPAAAAAAAAAAEAIAAAACIAAABk&#10;cnMvZG93bnJldi54bWxQSwECFAAUAAAACACHTuJAGnNaMwcCAAA3BAAADgAAAAAAAAABACAAAAAm&#10;AQAAZHJzL2Uyb0RvYy54bWxQSwUGAAAAAAYABgBZAQAAnwUAAAAA&#10;">
                <v:fill on="t" focussize="0,0"/>
                <v:stroke color="#FFFFFF" joinstyle="miter"/>
                <v:imagedata o:title=""/>
                <o:lock v:ext="edit" aspectratio="f"/>
                <v:textbox>
                  <w:txbxContent>
                    <w:p w14:paraId="57BCDBFF">
                      <w:pPr>
                        <w:rPr>
                          <w:rFonts w:hint="eastAsia" w:ascii="宋体" w:hAnsi="宋体"/>
                          <w:sz w:val="32"/>
                          <w:szCs w:val="32"/>
                        </w:rPr>
                      </w:pPr>
                      <w:r>
                        <w:rPr>
                          <w:rFonts w:hint="eastAsia" w:ascii="宋体" w:hAnsi="宋体"/>
                          <w:sz w:val="32"/>
                          <w:szCs w:val="32"/>
                        </w:rPr>
                        <w:t>制定</w:t>
                      </w:r>
                    </w:p>
                  </w:txbxContent>
                </v:textbox>
              </v:rect>
            </w:pict>
          </mc:Fallback>
        </mc:AlternateContent>
      </w:r>
      <w:r>
        <w:rPr>
          <w:rFonts w:hint="eastAsia" w:ascii="仿宋" w:hAnsi="仿宋" w:eastAsia="仿宋" w:cs="Times New Roman"/>
          <w:color w:val="auto"/>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185420</wp:posOffset>
                </wp:positionV>
                <wp:extent cx="3657600" cy="792480"/>
                <wp:effectExtent l="4445" t="4445" r="10795" b="10795"/>
                <wp:wrapNone/>
                <wp:docPr id="2" name="矩形 58"/>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CE85137">
                            <w:pPr>
                              <w:spacing w:line="500" w:lineRule="exact"/>
                              <w:jc w:val="center"/>
                              <w:rPr>
                                <w:rFonts w:ascii="宋体" w:hAnsi="宋体"/>
                                <w:bCs/>
                                <w:sz w:val="32"/>
                                <w:szCs w:val="32"/>
                              </w:rPr>
                            </w:pPr>
                            <w:r>
                              <w:rPr>
                                <w:rFonts w:hint="eastAsia" w:ascii="宋体" w:hAnsi="宋体"/>
                                <w:bCs/>
                                <w:spacing w:val="72"/>
                                <w:sz w:val="32"/>
                                <w:szCs w:val="32"/>
                              </w:rPr>
                              <w:t>中华人民共和国国土资源</w:t>
                            </w:r>
                            <w:r>
                              <w:rPr>
                                <w:rFonts w:hint="eastAsia" w:ascii="宋体" w:hAnsi="宋体"/>
                                <w:bCs/>
                                <w:sz w:val="32"/>
                                <w:szCs w:val="32"/>
                              </w:rPr>
                              <w:t>部</w:t>
                            </w:r>
                          </w:p>
                          <w:p w14:paraId="57AB06F4">
                            <w:pPr>
                              <w:spacing w:line="500" w:lineRule="exact"/>
                              <w:jc w:val="center"/>
                              <w:rPr>
                                <w:rFonts w:hint="eastAsia" w:ascii="宋体" w:hAnsi="宋体"/>
                                <w:sz w:val="32"/>
                                <w:szCs w:val="32"/>
                              </w:rPr>
                            </w:pPr>
                            <w:r>
                              <w:rPr>
                                <w:rFonts w:hint="eastAsia" w:ascii="宋体" w:hAnsi="宋体"/>
                                <w:bCs/>
                                <w:sz w:val="32"/>
                                <w:szCs w:val="32"/>
                              </w:rPr>
                              <w:t>中华人民共和国国家工商行政管理总局</w:t>
                            </w:r>
                          </w:p>
                        </w:txbxContent>
                      </wps:txbx>
                      <wps:bodyPr wrap="square" upright="1"/>
                    </wps:wsp>
                  </a:graphicData>
                </a:graphic>
              </wp:anchor>
            </w:drawing>
          </mc:Choice>
          <mc:Fallback>
            <w:pict>
              <v:rect id="矩形 58" o:spid="_x0000_s1026" o:spt="1" style="position:absolute;left:0pt;margin-left:45pt;margin-top:14.6pt;height:62.4pt;width:288pt;z-index:251660288;mso-width-relative:page;mso-height-relative:page;" fillcolor="#FFFFFF" filled="t" stroked="t" coordsize="21600,21600" o:gfxdata="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3hrzWAAAACQEAAA8AAAAAAAAAAQAgAAAAIgAA&#10;AGRycy9kb3ducmV2LnhtbFBLAQIUABQAAAAIAIdO4kD8H7R7CgIAADgEAAAOAAAAAAAAAAEAIAAA&#10;ACUBAABkcnMvZTJvRG9jLnhtbFBLBQYAAAAABgAGAFkBAAChBQAAAAA=&#10;">
                <v:fill on="t" focussize="0,0"/>
                <v:stroke color="#FFFFFF" joinstyle="miter"/>
                <v:imagedata o:title=""/>
                <o:lock v:ext="edit" aspectratio="f"/>
                <v:textbox>
                  <w:txbxContent>
                    <w:p w14:paraId="5CE85137">
                      <w:pPr>
                        <w:spacing w:line="500" w:lineRule="exact"/>
                        <w:jc w:val="center"/>
                        <w:rPr>
                          <w:rFonts w:ascii="宋体" w:hAnsi="宋体"/>
                          <w:bCs/>
                          <w:sz w:val="32"/>
                          <w:szCs w:val="32"/>
                        </w:rPr>
                      </w:pPr>
                      <w:r>
                        <w:rPr>
                          <w:rFonts w:hint="eastAsia" w:ascii="宋体" w:hAnsi="宋体"/>
                          <w:bCs/>
                          <w:spacing w:val="72"/>
                          <w:sz w:val="32"/>
                          <w:szCs w:val="32"/>
                        </w:rPr>
                        <w:t>中华人民共和国国土资源</w:t>
                      </w:r>
                      <w:r>
                        <w:rPr>
                          <w:rFonts w:hint="eastAsia" w:ascii="宋体" w:hAnsi="宋体"/>
                          <w:bCs/>
                          <w:sz w:val="32"/>
                          <w:szCs w:val="32"/>
                        </w:rPr>
                        <w:t>部</w:t>
                      </w:r>
                    </w:p>
                    <w:p w14:paraId="57AB06F4">
                      <w:pPr>
                        <w:spacing w:line="500" w:lineRule="exact"/>
                        <w:jc w:val="center"/>
                        <w:rPr>
                          <w:rFonts w:hint="eastAsia" w:ascii="宋体" w:hAnsi="宋体"/>
                          <w:sz w:val="32"/>
                          <w:szCs w:val="32"/>
                        </w:rPr>
                      </w:pPr>
                      <w:r>
                        <w:rPr>
                          <w:rFonts w:hint="eastAsia" w:ascii="宋体" w:hAnsi="宋体"/>
                          <w:bCs/>
                          <w:sz w:val="32"/>
                          <w:szCs w:val="32"/>
                        </w:rPr>
                        <w:t>中华人民共和国国家工商行政管理总局</w:t>
                      </w:r>
                    </w:p>
                  </w:txbxContent>
                </v:textbox>
              </v:rect>
            </w:pict>
          </mc:Fallback>
        </mc:AlternateContent>
      </w:r>
      <w:r>
        <w:rPr>
          <w:rFonts w:hint="eastAsia" w:ascii="仿宋" w:hAnsi="仿宋" w:eastAsia="仿宋"/>
          <w:bCs/>
          <w:color w:val="auto"/>
          <w:spacing w:val="6"/>
        </w:rPr>
        <w:t xml:space="preserve">       </w:t>
      </w:r>
    </w:p>
    <w:p w14:paraId="07178D15">
      <w:pPr>
        <w:tabs>
          <w:tab w:val="left" w:pos="7560"/>
          <w:tab w:val="left" w:pos="7920"/>
        </w:tabs>
        <w:ind w:right="1920" w:firstLine="4800" w:firstLineChars="1500"/>
        <w:jc w:val="left"/>
        <w:rPr>
          <w:rFonts w:hint="eastAsia" w:ascii="仿宋" w:hAnsi="仿宋" w:eastAsia="仿宋"/>
          <w:color w:val="auto"/>
          <w:sz w:val="32"/>
          <w:szCs w:val="32"/>
          <w:u w:val="single"/>
        </w:rPr>
      </w:pPr>
      <w:r>
        <w:rPr>
          <w:rFonts w:hint="eastAsia" w:ascii="仿宋" w:hAnsi="仿宋" w:eastAsia="仿宋"/>
          <w:color w:val="auto"/>
          <w:sz w:val="32"/>
          <w:szCs w:val="32"/>
          <w:lang w:val="en-GB"/>
        </w:rPr>
        <w:t>合同编号</w:t>
      </w:r>
      <w:r>
        <w:rPr>
          <w:rFonts w:hint="eastAsia" w:ascii="仿宋" w:hAnsi="仿宋" w:eastAsia="仿宋"/>
          <w:color w:val="auto"/>
          <w:sz w:val="32"/>
          <w:szCs w:val="32"/>
        </w:rPr>
        <w:t>：</w:t>
      </w:r>
    </w:p>
    <w:p w14:paraId="6EB8A184">
      <w:pPr>
        <w:tabs>
          <w:tab w:val="left" w:pos="7560"/>
          <w:tab w:val="left" w:pos="7920"/>
        </w:tabs>
        <w:ind w:firstLine="3200" w:firstLineChars="1000"/>
        <w:jc w:val="right"/>
        <w:rPr>
          <w:rFonts w:hint="eastAsia" w:ascii="仿宋" w:hAnsi="仿宋" w:eastAsia="仿宋"/>
          <w:color w:val="auto"/>
          <w:sz w:val="32"/>
          <w:szCs w:val="32"/>
        </w:rPr>
      </w:pPr>
    </w:p>
    <w:p w14:paraId="7D785556">
      <w:pPr>
        <w:tabs>
          <w:tab w:val="left" w:pos="7560"/>
          <w:tab w:val="left" w:pos="7920"/>
        </w:tabs>
        <w:ind w:firstLine="883" w:firstLineChars="200"/>
        <w:jc w:val="left"/>
        <w:rPr>
          <w:rFonts w:hint="eastAsia" w:ascii="宋体" w:hAnsi="宋体" w:cs="黑体"/>
          <w:b/>
          <w:color w:val="auto"/>
          <w:sz w:val="44"/>
          <w:szCs w:val="44"/>
        </w:rPr>
      </w:pPr>
    </w:p>
    <w:p w14:paraId="2643B011">
      <w:pPr>
        <w:tabs>
          <w:tab w:val="left" w:pos="7560"/>
          <w:tab w:val="left" w:pos="7920"/>
        </w:tabs>
        <w:ind w:firstLine="883" w:firstLineChars="200"/>
        <w:jc w:val="left"/>
        <w:rPr>
          <w:rFonts w:hint="eastAsia" w:ascii="宋体" w:hAnsi="宋体" w:cs="黑体"/>
          <w:b/>
          <w:color w:val="auto"/>
          <w:sz w:val="44"/>
          <w:szCs w:val="44"/>
        </w:rPr>
      </w:pPr>
      <w:r>
        <w:rPr>
          <w:rFonts w:hint="eastAsia" w:ascii="宋体" w:hAnsi="宋体" w:cs="黑体"/>
          <w:b/>
          <w:color w:val="auto"/>
          <w:sz w:val="44"/>
          <w:szCs w:val="44"/>
        </w:rPr>
        <w:t>国有建设用地使用权出让合同</w:t>
      </w:r>
    </w:p>
    <w:p w14:paraId="5D959A3A">
      <w:pPr>
        <w:pStyle w:val="7"/>
        <w:adjustRightInd w:val="0"/>
        <w:snapToGrid w:val="0"/>
        <w:spacing w:line="360" w:lineRule="auto"/>
        <w:jc w:val="left"/>
        <w:rPr>
          <w:rFonts w:hint="eastAsia" w:ascii="仿宋" w:hAnsi="仿宋" w:eastAsia="仿宋" w:cs="仿宋_GB2312"/>
          <w:color w:val="auto"/>
        </w:rPr>
      </w:pPr>
    </w:p>
    <w:p w14:paraId="59F959A3">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本合同双方当事人：</w:t>
      </w:r>
    </w:p>
    <w:p w14:paraId="0385A8CE">
      <w:pPr>
        <w:pStyle w:val="7"/>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_GB2312"/>
          <w:color w:val="auto"/>
          <w:u w:val="none"/>
          <w:lang w:val="en-US" w:eastAsia="zh-CN"/>
        </w:rPr>
      </w:pPr>
      <w:r>
        <w:rPr>
          <w:rFonts w:hint="eastAsia" w:ascii="仿宋" w:hAnsi="仿宋" w:eastAsia="仿宋" w:cs="仿宋_GB2312"/>
          <w:color w:val="auto"/>
          <w:lang w:eastAsia="zh-CN"/>
        </w:rPr>
        <w:t>出让人：</w:t>
      </w:r>
      <w:r>
        <w:rPr>
          <w:rFonts w:hint="eastAsia" w:ascii="仿宋" w:hAnsi="仿宋" w:eastAsia="仿宋" w:cs="仿宋_GB2312"/>
          <w:color w:val="auto"/>
          <w:u w:val="single"/>
          <w:lang w:val="en-US" w:eastAsia="zh-CN"/>
        </w:rPr>
        <w:t xml:space="preserve">                                           </w:t>
      </w:r>
      <w:r>
        <w:rPr>
          <w:rFonts w:hint="eastAsia" w:ascii="仿宋" w:hAnsi="仿宋" w:eastAsia="仿宋" w:cs="仿宋_GB2312"/>
          <w:color w:val="auto"/>
          <w:u w:val="none"/>
          <w:lang w:val="en-US" w:eastAsia="zh-CN"/>
        </w:rPr>
        <w:t>；</w:t>
      </w:r>
    </w:p>
    <w:p w14:paraId="2F0DADD3">
      <w:pPr>
        <w:pStyle w:val="7"/>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_GB2312"/>
          <w:color w:val="auto"/>
          <w:u w:val="none"/>
          <w:lang w:val="en-US" w:eastAsia="zh-CN"/>
        </w:rPr>
      </w:pPr>
      <w:r>
        <w:rPr>
          <w:rFonts w:hint="eastAsia" w:ascii="仿宋" w:hAnsi="仿宋" w:eastAsia="仿宋" w:cs="仿宋_GB2312"/>
          <w:color w:val="auto"/>
          <w:lang w:eastAsia="zh-CN"/>
        </w:rPr>
        <w:t>通讯地址：</w:t>
      </w:r>
      <w:r>
        <w:rPr>
          <w:rFonts w:hint="eastAsia" w:ascii="仿宋" w:hAnsi="仿宋" w:eastAsia="仿宋" w:cs="仿宋_GB2312"/>
          <w:color w:val="auto"/>
          <w:u w:val="single"/>
          <w:lang w:val="en-US" w:eastAsia="zh-CN"/>
        </w:rPr>
        <w:t xml:space="preserve">                                         </w:t>
      </w:r>
      <w:r>
        <w:rPr>
          <w:rFonts w:hint="eastAsia" w:ascii="仿宋" w:hAnsi="仿宋" w:eastAsia="仿宋" w:cs="仿宋_GB2312"/>
          <w:color w:val="auto"/>
          <w:u w:val="none"/>
          <w:lang w:val="en-US" w:eastAsia="zh-CN"/>
        </w:rPr>
        <w:t>；</w:t>
      </w:r>
    </w:p>
    <w:p w14:paraId="332381D7">
      <w:pPr>
        <w:pStyle w:val="7"/>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_GB2312"/>
          <w:color w:val="auto"/>
          <w:u w:val="none"/>
          <w:lang w:val="en-US" w:eastAsia="zh-CN"/>
        </w:rPr>
      </w:pPr>
      <w:r>
        <w:rPr>
          <w:rFonts w:hint="eastAsia" w:ascii="仿宋" w:hAnsi="仿宋" w:eastAsia="仿宋" w:cs="仿宋_GB2312"/>
          <w:color w:val="auto"/>
          <w:lang w:eastAsia="zh-CN"/>
        </w:rPr>
        <w:t>邮政编码：</w:t>
      </w:r>
      <w:r>
        <w:rPr>
          <w:rFonts w:hint="eastAsia" w:ascii="仿宋" w:hAnsi="仿宋" w:eastAsia="仿宋" w:cs="仿宋_GB2312"/>
          <w:color w:val="auto"/>
          <w:u w:val="single"/>
          <w:lang w:val="en-US" w:eastAsia="zh-CN"/>
        </w:rPr>
        <w:t xml:space="preserve">                                         </w:t>
      </w:r>
      <w:r>
        <w:rPr>
          <w:rFonts w:hint="eastAsia" w:ascii="仿宋" w:hAnsi="仿宋" w:eastAsia="仿宋" w:cs="仿宋_GB2312"/>
          <w:color w:val="auto"/>
          <w:u w:val="none"/>
          <w:lang w:val="en-US" w:eastAsia="zh-CN"/>
        </w:rPr>
        <w:t>；</w:t>
      </w:r>
    </w:p>
    <w:p w14:paraId="1792954A">
      <w:pPr>
        <w:pStyle w:val="7"/>
        <w:adjustRightInd w:val="0"/>
        <w:snapToGrid w:val="0"/>
        <w:spacing w:line="360" w:lineRule="auto"/>
        <w:jc w:val="left"/>
        <w:rPr>
          <w:rFonts w:hint="eastAsia" w:ascii="仿宋" w:hAnsi="仿宋" w:eastAsia="仿宋" w:cs="仿宋_GB2312"/>
          <w:color w:val="auto"/>
          <w:u w:val="none"/>
          <w:lang w:val="en-US" w:eastAsia="zh-CN"/>
        </w:rPr>
      </w:pPr>
      <w:r>
        <w:rPr>
          <w:rFonts w:hint="eastAsia" w:ascii="仿宋" w:hAnsi="仿宋" w:eastAsia="仿宋" w:cs="仿宋_GB2312"/>
          <w:color w:val="auto"/>
          <w:lang w:eastAsia="zh-CN"/>
        </w:rPr>
        <w:t>电话：</w:t>
      </w:r>
      <w:r>
        <w:rPr>
          <w:rFonts w:hint="eastAsia" w:ascii="仿宋" w:hAnsi="仿宋" w:eastAsia="仿宋" w:cs="仿宋_GB2312"/>
          <w:color w:val="auto"/>
          <w:u w:val="single"/>
          <w:lang w:val="en-US" w:eastAsia="zh-CN"/>
        </w:rPr>
        <w:t xml:space="preserve">                                             </w:t>
      </w:r>
      <w:r>
        <w:rPr>
          <w:rFonts w:hint="eastAsia" w:ascii="仿宋" w:hAnsi="仿宋" w:eastAsia="仿宋" w:cs="仿宋_GB2312"/>
          <w:color w:val="auto"/>
          <w:u w:val="none"/>
          <w:lang w:val="en-US" w:eastAsia="zh-CN"/>
        </w:rPr>
        <w:t>；</w:t>
      </w:r>
    </w:p>
    <w:p w14:paraId="1F5212DF">
      <w:pPr>
        <w:pStyle w:val="7"/>
        <w:adjustRightInd w:val="0"/>
        <w:snapToGrid w:val="0"/>
        <w:spacing w:line="360" w:lineRule="auto"/>
        <w:jc w:val="left"/>
        <w:rPr>
          <w:rFonts w:hint="default" w:ascii="仿宋" w:hAnsi="仿宋" w:eastAsia="仿宋" w:cs="仿宋_GB2312"/>
          <w:color w:val="auto"/>
          <w:u w:val="none"/>
          <w:lang w:val="en-US" w:eastAsia="zh-CN"/>
        </w:rPr>
      </w:pPr>
      <w:r>
        <w:rPr>
          <w:rFonts w:hint="eastAsia" w:ascii="仿宋" w:hAnsi="仿宋" w:eastAsia="仿宋" w:cs="仿宋_GB2312"/>
          <w:color w:val="auto"/>
          <w:u w:val="none"/>
          <w:lang w:val="en-US" w:eastAsia="zh-CN"/>
        </w:rPr>
        <w:t>传真：</w:t>
      </w:r>
      <w:r>
        <w:rPr>
          <w:rFonts w:hint="eastAsia" w:ascii="仿宋" w:hAnsi="仿宋" w:eastAsia="仿宋" w:cs="仿宋_GB2312"/>
          <w:color w:val="auto"/>
          <w:u w:val="single"/>
          <w:lang w:val="en-US" w:eastAsia="zh-CN"/>
        </w:rPr>
        <w:t xml:space="preserve">                                             </w:t>
      </w:r>
      <w:r>
        <w:rPr>
          <w:rFonts w:hint="eastAsia" w:ascii="仿宋" w:hAnsi="仿宋" w:eastAsia="仿宋" w:cs="仿宋_GB2312"/>
          <w:color w:val="auto"/>
          <w:u w:val="none"/>
          <w:lang w:val="en-US" w:eastAsia="zh-CN"/>
        </w:rPr>
        <w:t>；</w:t>
      </w:r>
    </w:p>
    <w:p w14:paraId="77BA6175">
      <w:pPr>
        <w:pStyle w:val="7"/>
        <w:adjustRightInd w:val="0"/>
        <w:snapToGrid w:val="0"/>
        <w:spacing w:line="360" w:lineRule="auto"/>
        <w:jc w:val="left"/>
        <w:rPr>
          <w:rFonts w:hint="eastAsia" w:ascii="仿宋" w:hAnsi="仿宋" w:eastAsia="仿宋" w:cs="Times New Roman"/>
          <w:color w:val="auto"/>
        </w:rPr>
      </w:pPr>
      <w:r>
        <w:rPr>
          <w:rFonts w:hint="eastAsia" w:ascii="仿宋" w:hAnsi="仿宋" w:eastAsia="仿宋" w:cs="仿宋_GB2312"/>
          <w:color w:val="auto"/>
        </w:rPr>
        <w:t>开户银行：</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77075A83">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 xml:space="preserve">账号： </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178AC4F5">
      <w:pPr>
        <w:pStyle w:val="7"/>
        <w:adjustRightInd w:val="0"/>
        <w:snapToGrid w:val="0"/>
        <w:spacing w:line="360" w:lineRule="auto"/>
        <w:jc w:val="left"/>
        <w:rPr>
          <w:rFonts w:hint="eastAsia" w:ascii="仿宋" w:hAnsi="仿宋" w:eastAsia="仿宋" w:cs="Times New Roman"/>
          <w:color w:val="auto"/>
        </w:rPr>
      </w:pPr>
      <w:r>
        <w:rPr>
          <w:rFonts w:hint="eastAsia" w:ascii="仿宋" w:hAnsi="仿宋" w:eastAsia="仿宋" w:cs="仿宋_GB2312"/>
          <w:color w:val="auto"/>
        </w:rPr>
        <w:t>受让人：</w:t>
      </w:r>
      <w:r>
        <w:rPr>
          <w:rFonts w:hint="eastAsia" w:ascii="仿宋" w:hAnsi="仿宋" w:eastAsia="仿宋" w:cs="仿宋_GB2312"/>
          <w:color w:val="auto"/>
          <w:u w:val="single"/>
        </w:rPr>
        <w:t xml:space="preserve">                                           </w:t>
      </w:r>
      <w:r>
        <w:rPr>
          <w:rFonts w:hint="eastAsia" w:ascii="仿宋" w:hAnsi="仿宋" w:eastAsia="仿宋" w:cs="Times New Roman"/>
          <w:color w:val="auto"/>
        </w:rPr>
        <w:softHyphen/>
      </w:r>
      <w:r>
        <w:rPr>
          <w:rFonts w:hint="eastAsia" w:ascii="仿宋" w:hAnsi="仿宋" w:eastAsia="仿宋" w:cs="Times New Roman"/>
          <w:color w:val="auto"/>
        </w:rPr>
        <w:t>；</w:t>
      </w:r>
    </w:p>
    <w:p w14:paraId="156367F6">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通讯地址：</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 ；</w:t>
      </w:r>
    </w:p>
    <w:p w14:paraId="350D21ED">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邮政编码：</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 ；</w:t>
      </w:r>
    </w:p>
    <w:p w14:paraId="15957764">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电话：</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4AFE1565">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传真：</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 ；</w:t>
      </w:r>
    </w:p>
    <w:p w14:paraId="0A4FAAF5">
      <w:pPr>
        <w:pStyle w:val="7"/>
        <w:adjustRightInd w:val="0"/>
        <w:snapToGrid w:val="0"/>
        <w:spacing w:line="360" w:lineRule="auto"/>
        <w:jc w:val="left"/>
        <w:rPr>
          <w:rFonts w:hint="eastAsia" w:ascii="仿宋" w:hAnsi="仿宋" w:eastAsia="仿宋" w:cs="Times New Roman"/>
          <w:color w:val="auto"/>
        </w:rPr>
      </w:pPr>
      <w:r>
        <w:rPr>
          <w:rFonts w:hint="eastAsia" w:ascii="仿宋" w:hAnsi="仿宋" w:eastAsia="仿宋" w:cs="仿宋_GB2312"/>
          <w:color w:val="auto"/>
        </w:rPr>
        <w:t>开户银行：</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68B423B6">
      <w:pPr>
        <w:pStyle w:val="7"/>
        <w:adjustRightInd w:val="0"/>
        <w:snapToGrid w:val="0"/>
        <w:spacing w:line="360" w:lineRule="auto"/>
        <w:jc w:val="left"/>
        <w:rPr>
          <w:rFonts w:hint="eastAsia" w:ascii="仿宋" w:hAnsi="仿宋" w:eastAsia="仿宋" w:cs="仿宋_GB2312"/>
          <w:color w:val="auto"/>
        </w:rPr>
      </w:pPr>
      <w:r>
        <w:rPr>
          <w:rFonts w:hint="eastAsia" w:ascii="仿宋" w:hAnsi="仿宋" w:eastAsia="仿宋" w:cs="仿宋_GB2312"/>
          <w:color w:val="auto"/>
        </w:rPr>
        <w:t>账号：</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0FB26779">
      <w:pPr>
        <w:pStyle w:val="7"/>
        <w:spacing w:line="560" w:lineRule="exact"/>
        <w:ind w:firstLine="640" w:firstLineChars="200"/>
        <w:jc w:val="center"/>
        <w:rPr>
          <w:rFonts w:hint="eastAsia" w:ascii="仿宋" w:hAnsi="仿宋" w:eastAsia="仿宋" w:cs="仿宋_GB2312"/>
          <w:color w:val="auto"/>
        </w:rPr>
      </w:pPr>
    </w:p>
    <w:p w14:paraId="72954004">
      <w:pPr>
        <w:pStyle w:val="7"/>
        <w:spacing w:line="560" w:lineRule="exact"/>
        <w:ind w:firstLine="640" w:firstLineChars="200"/>
        <w:jc w:val="center"/>
        <w:rPr>
          <w:rFonts w:hint="eastAsia" w:ascii="仿宋" w:hAnsi="仿宋" w:eastAsia="仿宋" w:cs="仿宋_GB2312"/>
          <w:color w:val="auto"/>
        </w:rPr>
      </w:pPr>
    </w:p>
    <w:p w14:paraId="02175A87">
      <w:pPr>
        <w:pStyle w:val="7"/>
        <w:spacing w:line="560" w:lineRule="exact"/>
        <w:jc w:val="center"/>
        <w:rPr>
          <w:rFonts w:hint="eastAsia" w:ascii="仿宋" w:hAnsi="仿宋" w:eastAsia="仿宋" w:cs="仿宋_GB2312"/>
          <w:b/>
          <w:color w:val="auto"/>
        </w:rPr>
      </w:pPr>
    </w:p>
    <w:p w14:paraId="7B442380">
      <w:pPr>
        <w:pStyle w:val="7"/>
        <w:spacing w:line="560" w:lineRule="exact"/>
        <w:jc w:val="center"/>
        <w:rPr>
          <w:rFonts w:hint="eastAsia" w:ascii="仿宋" w:hAnsi="仿宋" w:eastAsia="仿宋" w:cs="仿宋_GB2312"/>
          <w:b/>
          <w:color w:val="auto"/>
        </w:rPr>
      </w:pPr>
    </w:p>
    <w:p w14:paraId="21655960">
      <w:pPr>
        <w:pStyle w:val="7"/>
        <w:adjustRightInd w:val="0"/>
        <w:snapToGrid w:val="0"/>
        <w:spacing w:line="360" w:lineRule="auto"/>
        <w:jc w:val="center"/>
        <w:rPr>
          <w:rFonts w:hint="eastAsia" w:ascii="仿宋" w:hAnsi="仿宋" w:eastAsia="仿宋" w:cs="仿宋_GB2312"/>
          <w:b/>
          <w:color w:val="auto"/>
        </w:rPr>
      </w:pPr>
    </w:p>
    <w:p w14:paraId="30EA905B">
      <w:pPr>
        <w:pStyle w:val="7"/>
        <w:adjustRightInd w:val="0"/>
        <w:snapToGrid w:val="0"/>
        <w:spacing w:line="360" w:lineRule="auto"/>
        <w:jc w:val="center"/>
        <w:rPr>
          <w:rFonts w:hint="eastAsia" w:ascii="仿宋" w:hAnsi="仿宋" w:eastAsia="仿宋" w:cs="仿宋_GB2312"/>
          <w:b/>
          <w:color w:val="auto"/>
        </w:rPr>
      </w:pPr>
    </w:p>
    <w:p w14:paraId="56B5C6EC">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第一章 总   则</w:t>
      </w:r>
    </w:p>
    <w:p w14:paraId="0D755D0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第一条  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2B78E4D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 xml:space="preserve">第二条  出让土地的所有权属中华人民共和国，出让人根据法律的授权出让国有建设用地使用权，地下资源、埋藏物不属于国有建设用地使用权出让范围。   </w:t>
      </w:r>
    </w:p>
    <w:p w14:paraId="2BAD8B92">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第三条  受让人对依法取得的国有建设用地，在出让期限内享有占有、使用、收益和依法处置的权利，有权利用该土地依法建造建筑物、构筑物及其附属设施。</w:t>
      </w:r>
    </w:p>
    <w:p w14:paraId="5D78955A">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第二章 出让土地的交付与出让价款的缴纳</w:t>
      </w:r>
    </w:p>
    <w:p w14:paraId="5B31325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第四条  本合同项下出让宗地编号为</w:t>
      </w:r>
      <w:r>
        <w:rPr>
          <w:rFonts w:hint="eastAsia" w:ascii="仿宋" w:hAnsi="仿宋" w:eastAsia="仿宋" w:cs="仿宋_GB2312"/>
          <w:color w:val="auto"/>
          <w:u w:val="single"/>
        </w:rPr>
        <w:t xml:space="preserve">         </w:t>
      </w:r>
      <w:r>
        <w:rPr>
          <w:rFonts w:hint="eastAsia" w:ascii="仿宋" w:hAnsi="仿宋" w:eastAsia="仿宋" w:cs="仿宋_GB2312"/>
          <w:color w:val="auto"/>
        </w:rPr>
        <w:t>，宗地总面积大写</w:t>
      </w:r>
      <w:r>
        <w:rPr>
          <w:rFonts w:hint="eastAsia" w:ascii="仿宋" w:hAnsi="仿宋" w:eastAsia="仿宋" w:cs="仿宋_GB2312"/>
          <w:color w:val="auto"/>
          <w:u w:val="single"/>
        </w:rPr>
        <w:t xml:space="preserve">        </w:t>
      </w:r>
      <w:r>
        <w:rPr>
          <w:rFonts w:hint="eastAsia" w:ascii="仿宋" w:hAnsi="仿宋" w:eastAsia="仿宋" w:cs="仿宋_GB2312"/>
          <w:color w:val="auto"/>
        </w:rPr>
        <w:t>平方米（小写</w:t>
      </w:r>
      <w:r>
        <w:rPr>
          <w:rFonts w:hint="eastAsia" w:ascii="仿宋" w:hAnsi="仿宋" w:eastAsia="仿宋" w:cs="仿宋_GB2312"/>
          <w:color w:val="auto"/>
          <w:u w:val="single"/>
        </w:rPr>
        <w:t xml:space="preserve">                   </w:t>
      </w:r>
      <w:r>
        <w:rPr>
          <w:rFonts w:hint="eastAsia" w:ascii="仿宋" w:hAnsi="仿宋" w:eastAsia="仿宋" w:cs="仿宋_GB2312"/>
          <w:color w:val="auto"/>
        </w:rPr>
        <w:t>平方米），其中出让宗地面积为大写</w:t>
      </w:r>
      <w:r>
        <w:rPr>
          <w:rFonts w:hint="eastAsia" w:ascii="仿宋" w:hAnsi="仿宋" w:eastAsia="仿宋" w:cs="仿宋_GB2312"/>
          <w:color w:val="auto"/>
          <w:u w:val="single"/>
        </w:rPr>
        <w:t xml:space="preserve">         </w:t>
      </w:r>
      <w:r>
        <w:rPr>
          <w:rFonts w:hint="eastAsia" w:ascii="仿宋" w:hAnsi="仿宋" w:eastAsia="仿宋" w:cs="仿宋_GB2312"/>
          <w:color w:val="auto"/>
        </w:rPr>
        <w:t>平方米（小写</w:t>
      </w:r>
      <w:r>
        <w:rPr>
          <w:rFonts w:hint="eastAsia" w:ascii="仿宋" w:hAnsi="仿宋" w:eastAsia="仿宋" w:cs="仿宋_GB2312"/>
          <w:color w:val="auto"/>
          <w:u w:val="single"/>
        </w:rPr>
        <w:t xml:space="preserve">    </w:t>
      </w:r>
      <w:r>
        <w:rPr>
          <w:rFonts w:hint="eastAsia" w:ascii="仿宋" w:hAnsi="仿宋" w:eastAsia="仿宋" w:cs="仿宋_GB2312"/>
          <w:color w:val="auto"/>
        </w:rPr>
        <w:t>平方米）。</w:t>
      </w:r>
    </w:p>
    <w:p w14:paraId="01AAFC9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本合同项下的出让宗地坐落于</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 ；</w:t>
      </w:r>
    </w:p>
    <w:p w14:paraId="63D83CC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本合同项下出让宗地的平面界址为</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71894EC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出让宗地的平面界址图见附件1。</w:t>
      </w:r>
    </w:p>
    <w:p w14:paraId="0DA5378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本合同项下出让宗地的竖向界限以</w:t>
      </w:r>
      <w:r>
        <w:rPr>
          <w:rFonts w:hint="eastAsia" w:ascii="仿宋" w:hAnsi="仿宋" w:eastAsia="仿宋" w:cs="仿宋_GB2312"/>
          <w:color w:val="auto"/>
          <w:u w:val="single"/>
        </w:rPr>
        <w:t xml:space="preserve">       </w:t>
      </w:r>
      <w:r>
        <w:rPr>
          <w:rFonts w:hint="eastAsia" w:ascii="仿宋" w:hAnsi="仿宋" w:eastAsia="仿宋" w:cs="仿宋_GB2312"/>
          <w:color w:val="auto"/>
        </w:rPr>
        <w:t>为上界限，以</w:t>
      </w:r>
      <w:r>
        <w:rPr>
          <w:rFonts w:hint="eastAsia" w:ascii="仿宋" w:hAnsi="仿宋" w:eastAsia="仿宋" w:cs="仿宋_GB2312"/>
          <w:color w:val="auto"/>
          <w:u w:val="single"/>
        </w:rPr>
        <w:t xml:space="preserve">                  </w:t>
      </w:r>
      <w:r>
        <w:rPr>
          <w:rFonts w:hint="eastAsia" w:ascii="仿宋" w:hAnsi="仿宋" w:eastAsia="仿宋" w:cs="仿宋_GB2312"/>
          <w:color w:val="auto"/>
        </w:rPr>
        <w:t>为下界限，高差为</w:t>
      </w:r>
      <w:r>
        <w:rPr>
          <w:rFonts w:hint="eastAsia" w:ascii="仿宋" w:hAnsi="仿宋" w:eastAsia="仿宋" w:cs="仿宋_GB2312"/>
          <w:color w:val="auto"/>
          <w:u w:val="single"/>
        </w:rPr>
        <w:t xml:space="preserve">       </w:t>
      </w:r>
      <w:r>
        <w:rPr>
          <w:rFonts w:hint="eastAsia" w:ascii="仿宋" w:hAnsi="仿宋" w:eastAsia="仿宋" w:cs="仿宋_GB2312"/>
          <w:color w:val="auto"/>
        </w:rPr>
        <w:t>米。出让宗地竖向界限见附件2。</w:t>
      </w:r>
    </w:p>
    <w:p w14:paraId="7474AF8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出让宗地空间范围是以上述界址点所构成的垂直面和上、下界限高程平面封闭形成的空间范围。</w:t>
      </w:r>
    </w:p>
    <w:p w14:paraId="5F256059">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 xml:space="preserve">第五条  本合同项下出让宗地的用途为 </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0FCA4D3F">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第六条  出让人同意在</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日前将出让宗地交付给受让人，出让人同意在交付土地时该宗地应达到本条第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项规定的土地条件：</w:t>
      </w:r>
    </w:p>
    <w:p w14:paraId="7257C99F">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_GB2312"/>
          <w:color w:val="auto"/>
        </w:rPr>
      </w:pPr>
      <w:r>
        <w:rPr>
          <w:rFonts w:hint="eastAsia" w:ascii="仿宋" w:hAnsi="仿宋" w:eastAsia="仿宋" w:cs="仿宋_GB2312"/>
          <w:color w:val="auto"/>
        </w:rPr>
        <w:t xml:space="preserve">（一）场地平整达到 </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；周围基础设施达到 </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70ECF37D">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_GB2312"/>
          <w:color w:val="auto"/>
        </w:rPr>
      </w:pPr>
      <w:r>
        <w:rPr>
          <w:rFonts w:hint="eastAsia" w:ascii="仿宋" w:hAnsi="仿宋" w:eastAsia="仿宋" w:cs="仿宋_GB2312"/>
          <w:color w:val="auto"/>
        </w:rPr>
        <w:t>（二）现状土地条件</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281EE9B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仿宋" w:hAnsi="仿宋" w:eastAsia="仿宋" w:cs="仿宋_GB2312"/>
          <w:color w:val="auto"/>
        </w:rPr>
      </w:pPr>
      <w:r>
        <w:rPr>
          <w:rFonts w:hint="eastAsia" w:ascii="仿宋" w:hAnsi="仿宋" w:eastAsia="仿宋" w:cs="仿宋_GB2312"/>
          <w:color w:val="auto"/>
        </w:rPr>
        <w:t>第七条  本合同项下的国有建设用地使用权出让年期为</w:t>
      </w:r>
      <w:r>
        <w:rPr>
          <w:rFonts w:hint="eastAsia" w:ascii="仿宋" w:hAnsi="仿宋" w:eastAsia="仿宋" w:cs="仿宋_GB2312"/>
          <w:color w:val="auto"/>
          <w:u w:val="single"/>
        </w:rPr>
        <w:t xml:space="preserve">　　   </w:t>
      </w:r>
      <w:r>
        <w:rPr>
          <w:rFonts w:hint="eastAsia" w:ascii="仿宋" w:hAnsi="仿宋" w:eastAsia="仿宋" w:cs="仿宋_GB2312"/>
          <w:color w:val="auto"/>
        </w:rPr>
        <w:t>年，按本合同第六条约定的交付土地之日起算；原划拨（承租）国有建设用地使用权补办出让手续的，出让年期自合同签订之日起算。</w:t>
      </w:r>
    </w:p>
    <w:p w14:paraId="14A177F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第八条  本合同项下宗地的国有建设用地使用权出让价款为人民币大写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 （小写</w:t>
      </w:r>
      <w:r>
        <w:rPr>
          <w:rFonts w:hint="eastAsia" w:ascii="仿宋" w:hAnsi="仿宋" w:eastAsia="仿宋" w:cs="仿宋_GB2312"/>
          <w:color w:val="auto"/>
          <w:u w:val="single"/>
        </w:rPr>
        <w:t xml:space="preserve">        </w:t>
      </w:r>
      <w:r>
        <w:rPr>
          <w:rFonts w:hint="eastAsia" w:ascii="仿宋" w:hAnsi="仿宋" w:eastAsia="仿宋" w:cs="仿宋_GB2312"/>
          <w:color w:val="auto"/>
        </w:rPr>
        <w:t>元），每平方米人民币大写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元）。</w:t>
      </w:r>
    </w:p>
    <w:p w14:paraId="45DAA33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第九条  本合同项下宗地的定金为人民币大写</w:t>
      </w:r>
      <w:r>
        <w:rPr>
          <w:rFonts w:hint="eastAsia" w:ascii="仿宋" w:hAnsi="仿宋" w:eastAsia="仿宋" w:cs="仿宋_GB2312"/>
          <w:color w:val="auto"/>
          <w:u w:val="single"/>
        </w:rPr>
        <w:t xml:space="preserve">       　   </w:t>
      </w:r>
    </w:p>
    <w:p w14:paraId="3F497F83">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元），定金抵作土地出让价款。</w:t>
      </w:r>
    </w:p>
    <w:p w14:paraId="293CB2F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第十条  受让人同意按照本条第一款第</w:t>
      </w:r>
      <w:r>
        <w:rPr>
          <w:rFonts w:hint="eastAsia" w:ascii="仿宋" w:hAnsi="仿宋" w:eastAsia="仿宋" w:cs="仿宋_GB2312"/>
          <w:color w:val="auto"/>
          <w:u w:val="single"/>
        </w:rPr>
        <w:t xml:space="preserve">     </w:t>
      </w:r>
      <w:r>
        <w:rPr>
          <w:rFonts w:hint="eastAsia" w:ascii="仿宋" w:hAnsi="仿宋" w:eastAsia="仿宋" w:cs="仿宋_GB2312"/>
          <w:color w:val="auto"/>
        </w:rPr>
        <w:t>项的规定向出让人支付国有建设用地使用权出让价款：</w:t>
      </w:r>
    </w:p>
    <w:p w14:paraId="66DDA76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（一）本合同签订之日起</w:t>
      </w:r>
      <w:r>
        <w:rPr>
          <w:rFonts w:hint="eastAsia" w:ascii="仿宋" w:hAnsi="仿宋" w:eastAsia="仿宋" w:cs="仿宋_GB2312"/>
          <w:color w:val="auto"/>
          <w:u w:val="single"/>
        </w:rPr>
        <w:t xml:space="preserve">    </w:t>
      </w:r>
      <w:r>
        <w:rPr>
          <w:rFonts w:hint="eastAsia" w:ascii="仿宋" w:hAnsi="仿宋" w:eastAsia="仿宋" w:cs="仿宋_GB2312"/>
          <w:color w:val="auto"/>
        </w:rPr>
        <w:t>日内，一次性付清国有建设用地使用权出让价款；</w:t>
      </w:r>
    </w:p>
    <w:p w14:paraId="7F9B9FA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（二）按以下时间和金额分</w:t>
      </w:r>
      <w:r>
        <w:rPr>
          <w:rFonts w:hint="eastAsia" w:ascii="仿宋" w:hAnsi="仿宋" w:eastAsia="仿宋" w:cs="仿宋_GB2312"/>
          <w:color w:val="auto"/>
          <w:u w:val="single"/>
        </w:rPr>
        <w:t xml:space="preserve">    </w:t>
      </w:r>
      <w:r>
        <w:rPr>
          <w:rFonts w:hint="eastAsia" w:ascii="仿宋" w:hAnsi="仿宋" w:eastAsia="仿宋" w:cs="仿宋_GB2312"/>
          <w:color w:val="auto"/>
        </w:rPr>
        <w:t>期向出让人支付国有建设用地使用权出让价款。</w:t>
      </w:r>
    </w:p>
    <w:p w14:paraId="7BF1AFCF">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第一期  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），付款时间：</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w:t>
      </w:r>
    </w:p>
    <w:p w14:paraId="305EF48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第二期  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），付款时间：</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w:t>
      </w:r>
    </w:p>
    <w:p w14:paraId="1CACC099">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w:t>
      </w:r>
      <w:r>
        <w:rPr>
          <w:rFonts w:hint="eastAsia" w:ascii="仿宋" w:hAnsi="仿宋" w:eastAsia="仿宋" w:cs="仿宋_GB2312"/>
          <w:color w:val="auto"/>
          <w:u w:val="single"/>
        </w:rPr>
        <w:t xml:space="preserve">  </w:t>
      </w:r>
      <w:r>
        <w:rPr>
          <w:rFonts w:hint="eastAsia" w:ascii="仿宋" w:hAnsi="仿宋" w:eastAsia="仿宋" w:cs="仿宋_GB2312"/>
          <w:color w:val="auto"/>
        </w:rPr>
        <w:t>期  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），付款时间：</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w:t>
      </w:r>
    </w:p>
    <w:p w14:paraId="6A11138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w:t>
      </w:r>
      <w:r>
        <w:rPr>
          <w:rFonts w:hint="eastAsia" w:ascii="仿宋" w:hAnsi="仿宋" w:eastAsia="仿宋" w:cs="仿宋_GB2312"/>
          <w:color w:val="auto"/>
          <w:u w:val="single"/>
        </w:rPr>
        <w:t xml:space="preserve">  </w:t>
      </w:r>
      <w:r>
        <w:rPr>
          <w:rFonts w:hint="eastAsia" w:ascii="仿宋" w:hAnsi="仿宋" w:eastAsia="仿宋" w:cs="仿宋_GB2312"/>
          <w:color w:val="auto"/>
        </w:rPr>
        <w:t>期  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），付款时间：</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w:t>
      </w:r>
    </w:p>
    <w:p w14:paraId="62792739">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51C4D64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第十一条  受让人应在按本合同约定付清本宗地全部出让价款后，持本合同和出让价款缴纳凭证等相关证明材料，申请出让国有建设用地使用权登记。</w:t>
      </w:r>
    </w:p>
    <w:p w14:paraId="3116702F">
      <w:pPr>
        <w:pStyle w:val="7"/>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center"/>
        <w:textAlignment w:val="auto"/>
        <w:rPr>
          <w:rFonts w:hint="eastAsia" w:ascii="仿宋" w:hAnsi="仿宋" w:eastAsia="仿宋" w:cs="仿宋_GB2312"/>
          <w:b/>
          <w:color w:val="auto"/>
        </w:rPr>
      </w:pPr>
      <w:r>
        <w:rPr>
          <w:rFonts w:hint="eastAsia" w:ascii="仿宋" w:hAnsi="仿宋" w:eastAsia="仿宋" w:cs="仿宋_GB2312"/>
          <w:b/>
          <w:color w:val="auto"/>
        </w:rPr>
        <w:t>第三章  土地开发建设与利用</w:t>
      </w:r>
    </w:p>
    <w:p w14:paraId="1423D71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第十二条  受让人同意本合同项下宗地开发投资强度按本条第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项规定执行：</w:t>
      </w:r>
    </w:p>
    <w:p w14:paraId="3A476BAF">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（一）本合同项下宗地用于工业项目建设，受让人同意本合同项下宗地的项目固定资产总投资不低于经批准或登记备案的金额人民币大写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万元（小写</w:t>
      </w:r>
      <w:r>
        <w:rPr>
          <w:rFonts w:hint="eastAsia" w:ascii="仿宋" w:hAnsi="仿宋" w:eastAsia="仿宋" w:cs="仿宋_GB2312"/>
          <w:color w:val="auto"/>
          <w:u w:val="single"/>
        </w:rPr>
        <w:t xml:space="preserve">      </w:t>
      </w:r>
      <w:r>
        <w:rPr>
          <w:rFonts w:hint="eastAsia" w:ascii="仿宋" w:hAnsi="仿宋" w:eastAsia="仿宋" w:cs="仿宋_GB2312"/>
          <w:color w:val="auto"/>
        </w:rPr>
        <w:t>万元），投资强度不低于每平方米人民币大写</w:t>
      </w:r>
      <w:r>
        <w:rPr>
          <w:rFonts w:hint="eastAsia" w:ascii="仿宋" w:hAnsi="仿宋" w:eastAsia="仿宋" w:cs="仿宋_GB2312"/>
          <w:color w:val="auto"/>
          <w:u w:val="single"/>
        </w:rPr>
        <w:t xml:space="preserve">          </w:t>
      </w:r>
      <w:r>
        <w:rPr>
          <w:rFonts w:hint="eastAsia" w:ascii="仿宋" w:hAnsi="仿宋" w:eastAsia="仿宋" w:cs="仿宋_GB2312"/>
          <w:color w:val="auto"/>
        </w:rPr>
        <w:t>元（小写</w:t>
      </w:r>
      <w:r>
        <w:rPr>
          <w:rFonts w:hint="eastAsia" w:ascii="仿宋" w:hAnsi="仿宋" w:eastAsia="仿宋" w:cs="仿宋_GB2312"/>
          <w:color w:val="auto"/>
          <w:u w:val="single"/>
        </w:rPr>
        <w:t xml:space="preserve">      </w:t>
      </w:r>
      <w:r>
        <w:rPr>
          <w:rFonts w:hint="eastAsia" w:ascii="仿宋" w:hAnsi="仿宋" w:eastAsia="仿宋" w:cs="仿宋_GB2312"/>
          <w:color w:val="auto"/>
        </w:rPr>
        <w:t>元）。本合同项下宗地建设项目的固定资产总投资包括建筑物、构筑物及其附属设施、设备投资和出让价款等。</w:t>
      </w:r>
    </w:p>
    <w:p w14:paraId="6E823E59">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u w:val="single"/>
        </w:rPr>
      </w:pPr>
      <w:r>
        <w:rPr>
          <w:rFonts w:hint="eastAsia" w:ascii="仿宋" w:hAnsi="仿宋" w:eastAsia="仿宋" w:cs="仿宋_GB2312"/>
          <w:color w:val="auto"/>
        </w:rPr>
        <w:t>（二）本合同项下宗地用于非工业项目建设，受让人承诺本合同项下宗地的开发投资总额不低于人民币大写</w:t>
      </w:r>
      <w:r>
        <w:rPr>
          <w:rFonts w:hint="eastAsia" w:ascii="仿宋" w:hAnsi="仿宋" w:eastAsia="仿宋" w:cs="仿宋_GB2312"/>
          <w:color w:val="auto"/>
          <w:u w:val="single"/>
        </w:rPr>
        <w:t xml:space="preserve">      　 　 　   </w:t>
      </w:r>
    </w:p>
    <w:p w14:paraId="60095C25">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u w:val="single"/>
        </w:rPr>
        <w:t xml:space="preserve">     </w:t>
      </w:r>
      <w:r>
        <w:rPr>
          <w:rFonts w:hint="eastAsia" w:ascii="仿宋" w:hAnsi="仿宋" w:eastAsia="仿宋" w:cs="仿宋_GB2312"/>
          <w:color w:val="auto"/>
        </w:rPr>
        <w:t>万元（小写</w:t>
      </w:r>
      <w:r>
        <w:rPr>
          <w:rFonts w:hint="eastAsia" w:ascii="仿宋" w:hAnsi="仿宋" w:eastAsia="仿宋" w:cs="仿宋_GB2312"/>
          <w:color w:val="auto"/>
          <w:u w:val="single"/>
        </w:rPr>
        <w:t xml:space="preserve">        </w:t>
      </w:r>
      <w:r>
        <w:rPr>
          <w:rFonts w:hint="eastAsia" w:ascii="仿宋" w:hAnsi="仿宋" w:eastAsia="仿宋" w:cs="仿宋_GB2312"/>
          <w:color w:val="auto"/>
        </w:rPr>
        <w:t>万元）。</w:t>
      </w:r>
    </w:p>
    <w:p w14:paraId="32A96E0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第十三条  受让人在本合同项下宗地范围内新建建筑物、构筑物及其附属设施的，应符合市（县）政府规划管理部门确定的出让宗地规划条件（见附件3）。其中：</w:t>
      </w:r>
    </w:p>
    <w:p w14:paraId="7FC98190">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主体建筑物性质</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05FC0FDE">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附属建筑物性质</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3724FEE3">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建筑总面积</w:t>
      </w:r>
      <w:r>
        <w:rPr>
          <w:rFonts w:hint="eastAsia" w:ascii="仿宋" w:hAnsi="仿宋" w:eastAsia="仿宋" w:cs="仿宋_GB2312"/>
          <w:color w:val="auto"/>
          <w:u w:val="single"/>
        </w:rPr>
        <w:t xml:space="preserve">                                  </w:t>
      </w:r>
      <w:r>
        <w:rPr>
          <w:rFonts w:hint="eastAsia" w:ascii="仿宋" w:hAnsi="仿宋" w:eastAsia="仿宋" w:cs="仿宋_GB2312"/>
          <w:color w:val="auto"/>
        </w:rPr>
        <w:t xml:space="preserve">平方米； </w:t>
      </w:r>
    </w:p>
    <w:p w14:paraId="3A771BAF">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建筑容积率不高于</w:t>
      </w:r>
      <w:r>
        <w:rPr>
          <w:rFonts w:hint="eastAsia" w:ascii="仿宋" w:hAnsi="仿宋" w:eastAsia="仿宋" w:cs="仿宋_GB2312"/>
          <w:color w:val="auto"/>
          <w:u w:val="single"/>
        </w:rPr>
        <w:t xml:space="preserve">       </w:t>
      </w:r>
      <w:r>
        <w:rPr>
          <w:rFonts w:hint="eastAsia" w:ascii="仿宋" w:hAnsi="仿宋" w:eastAsia="仿宋" w:cs="仿宋_GB2312"/>
          <w:color w:val="auto"/>
        </w:rPr>
        <w:t>不低于</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1E82B157">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建筑限高</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1EBCEFE1">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建筑密度不高于</w:t>
      </w:r>
      <w:r>
        <w:rPr>
          <w:rFonts w:hint="eastAsia" w:ascii="仿宋" w:hAnsi="仿宋" w:eastAsia="仿宋" w:cs="仿宋_GB2312"/>
          <w:color w:val="auto"/>
          <w:u w:val="single"/>
        </w:rPr>
        <w:t xml:space="preserve">          </w:t>
      </w:r>
      <w:r>
        <w:rPr>
          <w:rFonts w:hint="eastAsia" w:ascii="仿宋" w:hAnsi="仿宋" w:eastAsia="仿宋" w:cs="仿宋_GB2312"/>
          <w:color w:val="auto"/>
        </w:rPr>
        <w:t>不低于</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36D529DD">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绿地率不高于</w:t>
      </w:r>
      <w:r>
        <w:rPr>
          <w:rFonts w:hint="eastAsia" w:ascii="仿宋" w:hAnsi="仿宋" w:eastAsia="仿宋" w:cs="仿宋_GB2312"/>
          <w:color w:val="auto"/>
          <w:u w:val="single"/>
        </w:rPr>
        <w:t xml:space="preserve">              </w:t>
      </w:r>
      <w:r>
        <w:rPr>
          <w:rFonts w:hint="eastAsia" w:ascii="仿宋" w:hAnsi="仿宋" w:eastAsia="仿宋" w:cs="仿宋_GB2312"/>
          <w:color w:val="auto"/>
        </w:rPr>
        <w:t>不低于</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2DCEA35E">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rPr>
        <w:t>其他土地利用要求</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5BE4DF1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第十四条  受让人同意本合同项下宗地建设配套按本条第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项规定执行：</w:t>
      </w:r>
    </w:p>
    <w:p w14:paraId="3A5B66D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u w:val="single"/>
        </w:rPr>
      </w:pPr>
      <w:r>
        <w:rPr>
          <w:rFonts w:hint="eastAsia" w:ascii="仿宋" w:hAnsi="仿宋" w:eastAsia="仿宋" w:cs="仿宋_GB2312"/>
          <w:color w:val="auto"/>
        </w:rPr>
        <w:t>（一）本合同项下宗地用于工业项目建设，根据规划部门确定的规划设计条件，本合同受让宗地范围内用于企业内部行政办公及生活服务设施的占地面积不超过受让宗地面积的</w:t>
      </w:r>
      <w:r>
        <w:rPr>
          <w:rFonts w:hint="eastAsia" w:ascii="仿宋" w:hAnsi="仿宋" w:eastAsia="仿宋" w:cs="仿宋_GB2312"/>
          <w:color w:val="auto"/>
          <w:u w:val="single"/>
        </w:rPr>
        <w:t xml:space="preserve">  　　　 </w:t>
      </w:r>
    </w:p>
    <w:p w14:paraId="63EFEBBE">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u w:val="single"/>
        </w:rPr>
        <w:t xml:space="preserve">     </w:t>
      </w:r>
      <w:r>
        <w:rPr>
          <w:rFonts w:hint="eastAsia" w:ascii="仿宋" w:hAnsi="仿宋" w:eastAsia="仿宋" w:cs="仿宋_GB2312"/>
          <w:color w:val="auto"/>
        </w:rPr>
        <w:t>％，即不超过</w:t>
      </w:r>
      <w:r>
        <w:rPr>
          <w:rFonts w:hint="eastAsia" w:ascii="仿宋" w:hAnsi="仿宋" w:eastAsia="仿宋" w:cs="仿宋_GB2312"/>
          <w:color w:val="auto"/>
          <w:u w:val="single"/>
        </w:rPr>
        <w:t xml:space="preserve">       </w:t>
      </w:r>
      <w:r>
        <w:rPr>
          <w:rFonts w:hint="eastAsia" w:ascii="仿宋" w:hAnsi="仿宋" w:eastAsia="仿宋" w:cs="仿宋_GB2312"/>
          <w:color w:val="auto"/>
        </w:rPr>
        <w:t>平方米, 建筑面积不超过</w:t>
      </w:r>
      <w:r>
        <w:rPr>
          <w:rFonts w:hint="eastAsia" w:ascii="仿宋" w:hAnsi="仿宋" w:eastAsia="仿宋" w:cs="仿宋_GB2312"/>
          <w:color w:val="auto"/>
          <w:u w:val="single"/>
        </w:rPr>
        <w:t xml:space="preserve">       </w:t>
      </w:r>
      <w:r>
        <w:rPr>
          <w:rFonts w:hint="eastAsia" w:ascii="仿宋" w:hAnsi="仿宋" w:eastAsia="仿宋" w:cs="仿宋_GB2312"/>
          <w:color w:val="auto"/>
        </w:rPr>
        <w:t>平方米。受让人同意不在受让宗地范围内建造成套住宅、专家楼、宾馆、招待所和培训中心等非生产性设施；</w:t>
      </w:r>
    </w:p>
    <w:p w14:paraId="030A9A7D">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（二）本合同项下宗地用于住宅项目建设，根据规划建设管理部门确定的规划建设条件，本合同受让宗地范围内住宅建设总套数不少于</w:t>
      </w:r>
      <w:r>
        <w:rPr>
          <w:rFonts w:hint="eastAsia" w:ascii="仿宋" w:hAnsi="仿宋" w:eastAsia="仿宋" w:cs="仿宋_GB2312"/>
          <w:color w:val="auto"/>
          <w:u w:val="single"/>
        </w:rPr>
        <w:t xml:space="preserve">         </w:t>
      </w:r>
      <w:r>
        <w:rPr>
          <w:rFonts w:hint="eastAsia" w:ascii="仿宋" w:hAnsi="仿宋" w:eastAsia="仿宋" w:cs="仿宋_GB2312"/>
          <w:color w:val="auto"/>
        </w:rPr>
        <w:t>套。其中，套型建筑面积90平方米以下住房套数不少于</w:t>
      </w:r>
      <w:r>
        <w:rPr>
          <w:rFonts w:hint="eastAsia" w:ascii="仿宋" w:hAnsi="仿宋" w:eastAsia="仿宋" w:cs="仿宋_GB2312"/>
          <w:color w:val="auto"/>
          <w:u w:val="single"/>
        </w:rPr>
        <w:t xml:space="preserve">              </w:t>
      </w:r>
      <w:r>
        <w:rPr>
          <w:rFonts w:hint="eastAsia" w:ascii="仿宋" w:hAnsi="仿宋" w:eastAsia="仿宋" w:cs="仿宋_GB2312"/>
          <w:color w:val="auto"/>
        </w:rPr>
        <w:t>套，住宅建设套型要求为</w:t>
      </w:r>
      <w:r>
        <w:rPr>
          <w:rFonts w:hint="eastAsia" w:ascii="仿宋" w:hAnsi="仿宋" w:eastAsia="仿宋" w:cs="仿宋_GB2312"/>
          <w:color w:val="auto"/>
          <w:u w:val="single"/>
        </w:rPr>
        <w:t xml:space="preserve">                            </w:t>
      </w:r>
      <w:r>
        <w:rPr>
          <w:rFonts w:hint="eastAsia" w:ascii="仿宋" w:hAnsi="仿宋" w:eastAsia="仿宋" w:cs="仿宋_GB2312"/>
          <w:color w:val="auto"/>
        </w:rPr>
        <w:t>。本合同项下宗地范围内套型建筑面积90平方米以下住房面积占宗地开发建设总面积的比例不低于</w:t>
      </w:r>
      <w:r>
        <w:rPr>
          <w:rFonts w:hint="eastAsia" w:ascii="仿宋" w:hAnsi="仿宋" w:eastAsia="仿宋" w:cs="仿宋_GB2312"/>
          <w:color w:val="auto"/>
          <w:u w:val="single"/>
        </w:rPr>
        <w:t xml:space="preserve">    </w:t>
      </w:r>
      <w:r>
        <w:rPr>
          <w:rFonts w:hint="eastAsia" w:ascii="仿宋" w:hAnsi="仿宋" w:eastAsia="仿宋" w:cs="仿宋_GB2312"/>
          <w:color w:val="auto"/>
        </w:rPr>
        <w:t>％。本合同项下宗地范围内配套建设的经济适用住房、廉租住房等政府保障性住房，受让人同意建成后按本项下第</w:t>
      </w:r>
      <w:r>
        <w:rPr>
          <w:rFonts w:hint="eastAsia" w:ascii="仿宋" w:hAnsi="仿宋" w:eastAsia="仿宋" w:cs="仿宋_GB2312"/>
          <w:color w:val="auto"/>
          <w:u w:val="single"/>
        </w:rPr>
        <w:t xml:space="preserve">     </w:t>
      </w:r>
      <w:r>
        <w:rPr>
          <w:rFonts w:hint="eastAsia" w:ascii="仿宋" w:hAnsi="仿宋" w:eastAsia="仿宋" w:cs="仿宋_GB2312"/>
          <w:color w:val="auto"/>
        </w:rPr>
        <w:t>种方式履行：</w:t>
      </w:r>
    </w:p>
    <w:p w14:paraId="1648BF9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1．移交给政府；</w:t>
      </w:r>
    </w:p>
    <w:p w14:paraId="5571C82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2．由政府回购；</w:t>
      </w:r>
    </w:p>
    <w:p w14:paraId="1088219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3．按政府经济适用住房建设和销售管理的有关规定执行；</w:t>
      </w:r>
    </w:p>
    <w:p w14:paraId="454347D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第十五条  受让人同意在本合同项下宗地范围内同步修建下列工程配套项目，并在建成后无偿移交给政府：</w:t>
      </w:r>
    </w:p>
    <w:p w14:paraId="5590EC8D">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_GB2312"/>
          <w:color w:val="auto"/>
        </w:rPr>
      </w:pPr>
      <w:r>
        <w:rPr>
          <w:rFonts w:hint="eastAsia" w:ascii="仿宋" w:hAnsi="仿宋" w:eastAsia="仿宋" w:cs="仿宋_GB2312"/>
          <w:color w:val="auto"/>
        </w:rPr>
        <w:t>（一）</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2FB66F12">
      <w:pPr>
        <w:pStyle w:val="7"/>
        <w:keepNext w:val="0"/>
        <w:keepLines w:val="0"/>
        <w:pageBreakBefore w:val="0"/>
        <w:widowControl w:val="0"/>
        <w:kinsoku/>
        <w:wordWrap/>
        <w:overflowPunct/>
        <w:topLinePunct w:val="0"/>
        <w:autoSpaceDE/>
        <w:autoSpaceDN/>
        <w:bidi w:val="0"/>
        <w:adjustRightInd w:val="0"/>
        <w:snapToGrid w:val="0"/>
        <w:spacing w:line="560" w:lineRule="exact"/>
        <w:ind w:left="638" w:leftChars="304"/>
        <w:jc w:val="left"/>
        <w:textAlignment w:val="auto"/>
        <w:rPr>
          <w:rFonts w:hint="eastAsia" w:ascii="仿宋" w:hAnsi="仿宋" w:eastAsia="仿宋" w:cs="仿宋_GB2312"/>
          <w:color w:val="auto"/>
        </w:rPr>
      </w:pPr>
      <w:r>
        <w:rPr>
          <w:rFonts w:hint="eastAsia" w:ascii="仿宋" w:hAnsi="仿宋" w:eastAsia="仿宋" w:cs="仿宋_GB2312"/>
          <w:color w:val="auto"/>
        </w:rPr>
        <w:t>（二）</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528AFF6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_GB2312"/>
          <w:color w:val="auto"/>
        </w:rPr>
      </w:pPr>
      <w:r>
        <w:rPr>
          <w:rFonts w:hint="eastAsia" w:ascii="仿宋" w:hAnsi="仿宋" w:eastAsia="仿宋" w:cs="仿宋_GB2312"/>
          <w:color w:val="auto"/>
        </w:rPr>
        <w:t>（三）</w:t>
      </w:r>
      <w:r>
        <w:rPr>
          <w:rFonts w:hint="eastAsia" w:ascii="仿宋" w:hAnsi="仿宋" w:eastAsia="仿宋" w:cs="仿宋_GB2312"/>
          <w:color w:val="auto"/>
          <w:u w:val="single"/>
        </w:rPr>
        <w:t xml:space="preserve">        　　　　　　　　　   　   </w:t>
      </w:r>
      <w:r>
        <w:rPr>
          <w:rFonts w:hint="eastAsia" w:ascii="仿宋" w:hAnsi="仿宋" w:eastAsia="仿宋" w:cs="仿宋_GB2312"/>
          <w:color w:val="auto"/>
        </w:rPr>
        <w:t>；</w:t>
      </w:r>
    </w:p>
    <w:p w14:paraId="146F89F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u w:val="single"/>
        </w:rPr>
      </w:pPr>
      <w:r>
        <w:rPr>
          <w:rFonts w:hint="eastAsia" w:ascii="仿宋" w:hAnsi="仿宋" w:eastAsia="仿宋" w:cs="仿宋_GB2312"/>
          <w:color w:val="auto"/>
        </w:rPr>
        <w:t>第十六条  受让人同意本合同项下宗地建设项目在</w:t>
      </w:r>
      <w:r>
        <w:rPr>
          <w:rFonts w:hint="eastAsia" w:ascii="仿宋" w:hAnsi="仿宋" w:eastAsia="仿宋" w:cs="仿宋_GB2312"/>
          <w:color w:val="auto"/>
          <w:u w:val="single"/>
        </w:rPr>
        <w:t xml:space="preserve">        </w:t>
      </w:r>
    </w:p>
    <w:p w14:paraId="553E9747">
      <w:pPr>
        <w:pStyle w:val="7"/>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_GB2312"/>
          <w:color w:val="auto"/>
        </w:rPr>
      </w:pP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日之前开工，在</w:t>
      </w:r>
      <w:r>
        <w:rPr>
          <w:rFonts w:hint="eastAsia" w:ascii="仿宋" w:hAnsi="仿宋" w:eastAsia="仿宋" w:cs="仿宋_GB2312"/>
          <w:color w:val="auto"/>
          <w:u w:val="single"/>
        </w:rPr>
        <w:t xml:space="preserve">      </w:t>
      </w:r>
      <w:r>
        <w:rPr>
          <w:rFonts w:hint="eastAsia" w:ascii="仿宋" w:hAnsi="仿宋" w:eastAsia="仿宋" w:cs="仿宋_GB2312"/>
          <w:color w:val="auto"/>
        </w:rPr>
        <w:t>年</w:t>
      </w:r>
      <w:r>
        <w:rPr>
          <w:rFonts w:hint="eastAsia" w:ascii="仿宋" w:hAnsi="仿宋" w:eastAsia="仿宋" w:cs="仿宋_GB2312"/>
          <w:color w:val="auto"/>
          <w:u w:val="single"/>
        </w:rPr>
        <w:t xml:space="preserve">   </w:t>
      </w:r>
      <w:r>
        <w:rPr>
          <w:rFonts w:hint="eastAsia" w:ascii="仿宋" w:hAnsi="仿宋" w:eastAsia="仿宋" w:cs="仿宋_GB2312"/>
          <w:color w:val="auto"/>
        </w:rPr>
        <w:t>月</w:t>
      </w:r>
      <w:r>
        <w:rPr>
          <w:rFonts w:hint="eastAsia" w:ascii="仿宋" w:hAnsi="仿宋" w:eastAsia="仿宋" w:cs="仿宋_GB2312"/>
          <w:color w:val="auto"/>
          <w:u w:val="single"/>
        </w:rPr>
        <w:t xml:space="preserve">    </w:t>
      </w:r>
      <w:r>
        <w:rPr>
          <w:rFonts w:hint="eastAsia" w:ascii="仿宋" w:hAnsi="仿宋" w:eastAsia="仿宋" w:cs="仿宋_GB2312"/>
          <w:color w:val="auto"/>
        </w:rPr>
        <w:t>日之前竣工。</w:t>
      </w:r>
    </w:p>
    <w:p w14:paraId="4ABE812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受让人不能按期开工，应提前30日向出让人提出延建申请，经出让人同意延建的，其项目竣工时间相应顺延，但延建期限不得超过一年。</w:t>
      </w:r>
    </w:p>
    <w:p w14:paraId="71B47B44">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第十七条  受让人在本合同项下宗地内进行建设时，有关用水、用气、污水及其他设施与宗地外主管线、用电变电站接口和引入工程，应按有关规定办理。</w:t>
      </w:r>
    </w:p>
    <w:p w14:paraId="49B1F44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受让人同意政府为公用事业需要而敷设的各种管道与管线进出、通过、穿越受让宗地，但由此影响受让宗地使用功能的，政府或公用事业营建主体应当给予合理补偿。</w:t>
      </w:r>
    </w:p>
    <w:p w14:paraId="04E6B54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第十八条  受让人应当按照本合同约定的土地用途、容积率利用土地，不得擅自改变。在出让期限内，需要改变本合同约定的土地用途的，双方同意按照本条第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项规定办理：</w:t>
      </w:r>
    </w:p>
    <w:p w14:paraId="72B6BA0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（一）由出让人有偿收回建设用地使用权；</w:t>
      </w:r>
    </w:p>
    <w:p w14:paraId="0163A10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1E39C082">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第十九条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4E891E7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65936543">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第四章  国有建设用地使用权转让、出租、抵押</w:t>
      </w:r>
    </w:p>
    <w:p w14:paraId="5843693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第二十一条 受让人按照本合同约定支付全部国有建设用地使用权出让价款，领取国有土地使用证后，有权将本合同项下的全部或部分国有建设用地使用权转让、出租、抵押。首次转让的，应当符合本条第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项规定的条件：</w:t>
      </w:r>
    </w:p>
    <w:p w14:paraId="198D89A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（一）按照本合同约定进行投资开发，完成开发投资总额的百分之二十五以上；</w:t>
      </w:r>
    </w:p>
    <w:p w14:paraId="23B7496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（二）按照本合同约定进行投资开发，已形成</w:t>
      </w:r>
      <w:r>
        <w:rPr>
          <w:rFonts w:hint="eastAsia" w:ascii="仿宋" w:hAnsi="仿宋" w:eastAsia="仿宋" w:cs="仿宋_GB2312"/>
          <w:color w:val="auto"/>
          <w:lang w:eastAsia="zh-CN"/>
        </w:rPr>
        <w:t>工业用地(新型工业)</w:t>
      </w:r>
      <w:r>
        <w:rPr>
          <w:rFonts w:hint="eastAsia" w:ascii="仿宋" w:hAnsi="仿宋" w:eastAsia="仿宋" w:cs="仿宋_GB2312"/>
          <w:color w:val="auto"/>
        </w:rPr>
        <w:t>或其他建设用地条件。</w:t>
      </w:r>
    </w:p>
    <w:p w14:paraId="7304D48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第二十二条  国有建设用地使用权的转让、出租及抵押合同，不得违背国家法律、法规规定和本合同约定。</w:t>
      </w:r>
    </w:p>
    <w:p w14:paraId="09D89A6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第二十三条  国有建设用地使用权全部或部分转让后，本合同和土地登记文件中载明的权利、义务随之转移，国有建设用地使用权的使用年限为本合同约定的使用年限减去已经使用年限后的剩余年限。</w:t>
      </w:r>
    </w:p>
    <w:p w14:paraId="67FA705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本合同项下的全部或部分国有建设用地使用权出租后，本合同和土地登记文件中载明的权利、义务仍由受让人承担。</w:t>
      </w:r>
    </w:p>
    <w:p w14:paraId="407950F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第二十四条  国有建设用地使用权转让、抵押的，转让、抵押双方应持本合同和相应的转让、抵押合同及国有土地使用证，到国土资源管理部门申请办理土地变更登记。</w:t>
      </w:r>
    </w:p>
    <w:p w14:paraId="04575083">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第五章 期限届满</w:t>
      </w:r>
    </w:p>
    <w:p w14:paraId="373A4DC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第二十五条  本合同约定的使用年限届满，土地使用者需要继续使用本合同项下宗地的，应当至迟于届满前一年向出让人提交续期申请书，除根据社会公共利益需要收回本合同项下宗地的，出让人应当予以批准。</w:t>
      </w:r>
    </w:p>
    <w:p w14:paraId="4D769FC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住宅建设用地使用权期限届满的，自动续期。</w:t>
      </w:r>
    </w:p>
    <w:p w14:paraId="7D47F80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出让人同意续期的，土地使用者应当依法办理出让、租赁等有偿用地手续，重新签订出让、租赁等土地有偿使用合同，支付土地出让价款、租金等土地有偿使用费。</w:t>
      </w:r>
    </w:p>
    <w:p w14:paraId="0DD8F89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第二十六条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项约定履行：</w:t>
      </w:r>
    </w:p>
    <w:p w14:paraId="27EFAAC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（一）由出让人收回地上建筑物、构筑物及其附属设施，并根据收回时地上建筑物、构筑物及其附属设施的残余价值，给予土地使用者相应补偿；</w:t>
      </w:r>
    </w:p>
    <w:p w14:paraId="2E1DF7D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（二）由出让人无偿收回地上建筑物、构筑物及其附属设施。</w:t>
      </w:r>
    </w:p>
    <w:p w14:paraId="52F72BB4">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 w:hAnsi="仿宋" w:eastAsia="仿宋" w:cs="仿宋_GB2312"/>
          <w:color w:val="auto"/>
        </w:rPr>
      </w:pPr>
      <w:r>
        <w:rPr>
          <w:rFonts w:hint="eastAsia" w:ascii="仿宋" w:hAnsi="仿宋" w:eastAsia="仿宋" w:cs="仿宋_GB2312"/>
          <w:color w:val="auto"/>
        </w:rPr>
        <w:t>第二十七条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14:paraId="64E757A3">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第六章 不可抗力</w:t>
      </w:r>
    </w:p>
    <w:p w14:paraId="1BB966C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第二十八条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784B3DC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 xml:space="preserve">第二十九条 遇有不可抗力的一方，应在7日内将不可抗力情况以信函、电报、传真等书面形式通知另一方，并在不可抗力发生后15日内，向另一方提交本合同部分或全部不能履行或需要延期履行的报告及证明。   </w:t>
      </w:r>
    </w:p>
    <w:p w14:paraId="3D3FE465">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_GB2312"/>
          <w:b/>
          <w:color w:val="auto"/>
        </w:rPr>
      </w:pPr>
      <w:r>
        <w:rPr>
          <w:rFonts w:hint="eastAsia" w:ascii="仿宋" w:hAnsi="仿宋" w:eastAsia="仿宋" w:cs="仿宋_GB2312"/>
          <w:b/>
          <w:color w:val="auto"/>
        </w:rPr>
        <w:t>第七章 违约责任</w:t>
      </w:r>
    </w:p>
    <w:p w14:paraId="5B97EF4C">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第三十条  受让人应当按照本合同约定，按时支付国有建设用地使用权出让价款。受让人不能按时支付国有建设用地使用权出让价款的，自滞纳之日起，每日按迟延支付款项的</w:t>
      </w:r>
      <w:r>
        <w:rPr>
          <w:rFonts w:hint="eastAsia" w:ascii="仿宋" w:hAnsi="仿宋" w:eastAsia="仿宋" w:cs="仿宋_GB2312"/>
          <w:color w:val="auto"/>
          <w:u w:val="single"/>
        </w:rPr>
        <w:t xml:space="preserve">       </w:t>
      </w:r>
      <w:r>
        <w:rPr>
          <w:rFonts w:hint="eastAsia" w:ascii="仿宋" w:hAnsi="仿宋" w:eastAsia="仿宋" w:cs="仿宋_GB2312"/>
          <w:color w:val="auto"/>
        </w:rPr>
        <w:t>‰向出让人缴纳违约金，延期付款超过60日，经出让人催交后仍不能支付国有建设用地使用权出让价款的，出让人有权解除合同，受让人无权要求返还定金，出让人并可请求受让人赔偿损失。</w:t>
      </w:r>
    </w:p>
    <w:p w14:paraId="527A650B">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第三十一条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78EF9E6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（一）受让人在本合同约定的开工建设日期届满一年前不少于60日向出让人提出申请的，出让人在扣除定金后退还受让人已支付的国有建设用地使用权出让价款；</w:t>
      </w:r>
    </w:p>
    <w:p w14:paraId="07E62C7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1FCF5B2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第三十二条  受让人造成土地闲置，闲置满一年不满两年的，应依法缴纳土地闲置费；土地闲置满两年且未开工建设的，出让人有权无偿收回国有建设用地使用权。</w:t>
      </w:r>
    </w:p>
    <w:p w14:paraId="43538E5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第三十三条　受让人未能按照本合同约定日期或同意延建所另行约定日期开工建设的，每延期一日，应向出让人支付相当于国有建设用地使用权出让价款总额</w:t>
      </w:r>
      <w:r>
        <w:rPr>
          <w:rFonts w:hint="eastAsia" w:ascii="仿宋" w:hAnsi="仿宋" w:eastAsia="仿宋" w:cs="仿宋_GB2312"/>
          <w:color w:val="auto"/>
          <w:u w:val="single"/>
        </w:rPr>
        <w:t xml:space="preserve">    </w:t>
      </w:r>
      <w:r>
        <w:rPr>
          <w:rFonts w:hint="eastAsia" w:ascii="仿宋" w:hAnsi="仿宋" w:eastAsia="仿宋" w:cs="仿宋_GB2312"/>
          <w:color w:val="auto"/>
        </w:rPr>
        <w:t>‰的违约金，出让人有权要求受让人继续履约。</w:t>
      </w:r>
    </w:p>
    <w:p w14:paraId="03D00E2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受让人未能按照本合同约定日期或同意延建所另行约定日期竣工的，每延期一日，应向出让人支付相当于国有建设用地使用权出让价款总额</w:t>
      </w:r>
      <w:r>
        <w:rPr>
          <w:rFonts w:hint="eastAsia" w:ascii="仿宋" w:hAnsi="仿宋" w:eastAsia="仿宋" w:cs="仿宋_GB2312"/>
          <w:color w:val="auto"/>
          <w:u w:val="single"/>
        </w:rPr>
        <w:t xml:space="preserve">    </w:t>
      </w:r>
      <w:r>
        <w:rPr>
          <w:rFonts w:hint="eastAsia" w:ascii="仿宋" w:hAnsi="仿宋" w:eastAsia="仿宋" w:cs="仿宋_GB2312"/>
          <w:color w:val="auto"/>
        </w:rPr>
        <w:t>‰的违约金。</w:t>
      </w:r>
    </w:p>
    <w:p w14:paraId="3A01B92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第三十四条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3F4FC427">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第三十五条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6ACDF81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_GB2312"/>
          <w:color w:val="auto"/>
        </w:rPr>
      </w:pPr>
      <w:r>
        <w:rPr>
          <w:rFonts w:hint="eastAsia" w:ascii="仿宋" w:hAnsi="仿宋" w:eastAsia="仿宋" w:cs="仿宋_GB2312"/>
          <w:color w:val="auto"/>
        </w:rPr>
        <w:t>第三十六条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hAnsi="仿宋" w:eastAsia="仿宋" w:cs="仿宋_GB2312"/>
          <w:color w:val="auto"/>
          <w:u w:val="single"/>
        </w:rPr>
        <w:t xml:space="preserve">     </w:t>
      </w:r>
      <w:r>
        <w:rPr>
          <w:rFonts w:hint="eastAsia" w:ascii="仿宋" w:hAnsi="仿宋" w:eastAsia="仿宋" w:cs="仿宋_GB2312"/>
          <w:color w:val="auto"/>
        </w:rPr>
        <w:t>‰的违约金，并自行拆除相应的绿化和建筑设施。</w:t>
      </w:r>
    </w:p>
    <w:p w14:paraId="16E12D1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第三十七条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hAnsi="仿宋" w:eastAsia="仿宋" w:cs="仿宋_GB2312"/>
          <w:color w:val="auto"/>
          <w:u w:val="single"/>
        </w:rPr>
        <w:t xml:space="preserve">      </w:t>
      </w:r>
      <w:r>
        <w:rPr>
          <w:rFonts w:hint="eastAsia" w:ascii="仿宋" w:hAnsi="仿宋" w:eastAsia="仿宋" w:cs="仿宋_GB2312"/>
          <w:color w:val="auto"/>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226C90D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第三十八条  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1743D5D3">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 w:hAnsi="仿宋" w:eastAsia="仿宋" w:cs="仿宋_GB2312"/>
          <w:b/>
          <w:color w:val="auto"/>
        </w:rPr>
      </w:pPr>
      <w:r>
        <w:rPr>
          <w:rFonts w:hint="eastAsia" w:ascii="仿宋" w:hAnsi="仿宋" w:eastAsia="仿宋" w:cs="仿宋_GB2312"/>
          <w:b/>
          <w:color w:val="auto"/>
        </w:rPr>
        <w:t>第八章 适用法律及争议解决</w:t>
      </w:r>
    </w:p>
    <w:p w14:paraId="4AC24406">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第三十九条  本合同订立、效力、解释、履行及争议的解决，适用中华人民共和国法律。</w:t>
      </w:r>
    </w:p>
    <w:p w14:paraId="43FF88E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第四十条  因履行本合同发生争议，由争议双方协商解决，协商不成的，按本条第</w:t>
      </w:r>
      <w:r>
        <w:rPr>
          <w:rFonts w:hint="eastAsia" w:ascii="仿宋" w:hAnsi="仿宋" w:eastAsia="仿宋" w:cs="仿宋_GB2312"/>
          <w:color w:val="auto"/>
          <w:u w:val="single"/>
        </w:rPr>
        <w:t xml:space="preserve">     </w:t>
      </w:r>
      <w:r>
        <w:rPr>
          <w:rFonts w:hint="eastAsia" w:ascii="仿宋" w:hAnsi="仿宋" w:eastAsia="仿宋" w:cs="仿宋_GB2312"/>
          <w:color w:val="auto"/>
        </w:rPr>
        <w:t>项约定的方式解决：</w:t>
      </w:r>
    </w:p>
    <w:p w14:paraId="66E92A8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（一）提交</w:t>
      </w:r>
      <w:r>
        <w:rPr>
          <w:rFonts w:hint="eastAsia" w:ascii="仿宋" w:hAnsi="仿宋" w:eastAsia="仿宋" w:cs="仿宋_GB2312"/>
          <w:color w:val="auto"/>
          <w:u w:val="single"/>
        </w:rPr>
        <w:t xml:space="preserve">          </w:t>
      </w:r>
      <w:r>
        <w:rPr>
          <w:rFonts w:hint="eastAsia" w:ascii="仿宋" w:hAnsi="仿宋" w:eastAsia="仿宋" w:cs="仿宋_GB2312"/>
          <w:color w:val="auto"/>
        </w:rPr>
        <w:t>仲裁委员会仲裁；</w:t>
      </w:r>
    </w:p>
    <w:p w14:paraId="74A41AE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（二）依法向人民法院起诉。</w:t>
      </w:r>
    </w:p>
    <w:p w14:paraId="7082247D">
      <w:pPr>
        <w:pStyle w:val="7"/>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 w:hAnsi="仿宋" w:eastAsia="仿宋" w:cs="仿宋_GB2312"/>
          <w:b/>
          <w:color w:val="auto"/>
        </w:rPr>
      </w:pPr>
      <w:r>
        <w:rPr>
          <w:rFonts w:hint="eastAsia" w:ascii="仿宋" w:hAnsi="仿宋" w:eastAsia="仿宋" w:cs="仿宋_GB2312"/>
          <w:b/>
          <w:color w:val="auto"/>
        </w:rPr>
        <w:t>第九章 附 则</w:t>
      </w:r>
    </w:p>
    <w:p w14:paraId="46E4112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第四十一条 本合同项下宗地出让方案业经</w:t>
      </w:r>
      <w:r>
        <w:rPr>
          <w:rFonts w:hint="eastAsia" w:ascii="仿宋" w:hAnsi="仿宋" w:eastAsia="仿宋" w:cs="仿宋_GB2312"/>
          <w:color w:val="auto"/>
          <w:u w:val="single"/>
        </w:rPr>
        <w:t xml:space="preserve">       </w:t>
      </w:r>
      <w:r>
        <w:rPr>
          <w:rFonts w:hint="eastAsia" w:ascii="仿宋" w:hAnsi="仿宋" w:eastAsia="仿宋" w:cs="仿宋_GB2312"/>
          <w:color w:val="auto"/>
        </w:rPr>
        <w:t>人民政府批准，本合同自双方签订之日起生效。</w:t>
      </w:r>
    </w:p>
    <w:p w14:paraId="465294E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第四十二条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14:paraId="5DF52BEE">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第四十三条  本合同和附件共</w:t>
      </w:r>
      <w:r>
        <w:rPr>
          <w:rFonts w:hint="eastAsia" w:ascii="仿宋" w:hAnsi="仿宋" w:eastAsia="仿宋" w:cs="仿宋_GB2312"/>
          <w:color w:val="auto"/>
          <w:u w:val="single"/>
        </w:rPr>
        <w:t xml:space="preserve">    </w:t>
      </w:r>
      <w:r>
        <w:rPr>
          <w:rFonts w:hint="eastAsia" w:ascii="仿宋" w:hAnsi="仿宋" w:eastAsia="仿宋" w:cs="仿宋_GB2312"/>
          <w:color w:val="auto"/>
        </w:rPr>
        <w:t>页整，以中文书写为准。</w:t>
      </w:r>
    </w:p>
    <w:p w14:paraId="39CD37E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第四十四条  本合同的价款、金额、面积等项应当同时以大、小写表示，大小写数额应当一致，不一致的，以大写为准。</w:t>
      </w:r>
    </w:p>
    <w:p w14:paraId="381D4AC5">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第四十五条  本合同未尽事宜，可由双方约定后作为合同附件，与本合同具有同等法律效力。</w:t>
      </w:r>
    </w:p>
    <w:p w14:paraId="71834138">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 xml:space="preserve">第四十六条  本合同一式 </w:t>
      </w:r>
      <w:r>
        <w:rPr>
          <w:rFonts w:hint="eastAsia" w:ascii="仿宋" w:hAnsi="仿宋" w:eastAsia="仿宋" w:cs="仿宋_GB2312"/>
          <w:color w:val="auto"/>
          <w:u w:val="single"/>
        </w:rPr>
        <w:t xml:space="preserve">    </w:t>
      </w:r>
      <w:r>
        <w:rPr>
          <w:rFonts w:hint="eastAsia" w:ascii="仿宋" w:hAnsi="仿宋" w:eastAsia="仿宋" w:cs="仿宋_GB2312"/>
          <w:color w:val="auto"/>
        </w:rPr>
        <w:t>份，出让人</w:t>
      </w:r>
      <w:r>
        <w:rPr>
          <w:rFonts w:hint="eastAsia" w:ascii="仿宋" w:hAnsi="仿宋" w:eastAsia="仿宋" w:cs="仿宋_GB2312"/>
          <w:color w:val="auto"/>
          <w:u w:val="single"/>
        </w:rPr>
        <w:t xml:space="preserve">     </w:t>
      </w:r>
      <w:r>
        <w:rPr>
          <w:rFonts w:hint="eastAsia" w:ascii="仿宋" w:hAnsi="仿宋" w:eastAsia="仿宋" w:cs="仿宋_GB2312"/>
          <w:color w:val="auto"/>
        </w:rPr>
        <w:t>份,受让人</w:t>
      </w:r>
      <w:r>
        <w:rPr>
          <w:rFonts w:hint="eastAsia" w:ascii="仿宋" w:hAnsi="仿宋" w:eastAsia="仿宋" w:cs="仿宋_GB2312"/>
          <w:color w:val="auto"/>
          <w:u w:val="single"/>
        </w:rPr>
        <w:t xml:space="preserve">     </w:t>
      </w:r>
      <w:r>
        <w:rPr>
          <w:rFonts w:hint="eastAsia" w:ascii="仿宋" w:hAnsi="仿宋" w:eastAsia="仿宋" w:cs="仿宋_GB2312"/>
          <w:color w:val="auto"/>
        </w:rPr>
        <w:t>份，具有同等法律效力。</w:t>
      </w:r>
    </w:p>
    <w:p w14:paraId="32C3BB83">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出让人（章）：               受让人（章）：</w:t>
      </w:r>
    </w:p>
    <w:p w14:paraId="7BCECD19">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p>
    <w:p w14:paraId="3983917A">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_GB2312"/>
          <w:color w:val="auto"/>
        </w:rPr>
      </w:pPr>
      <w:r>
        <w:rPr>
          <w:rFonts w:hint="eastAsia" w:ascii="仿宋" w:hAnsi="仿宋" w:eastAsia="仿宋" w:cs="仿宋_GB2312"/>
          <w:color w:val="auto"/>
        </w:rPr>
        <w:t>法定代表人（委托代理人）    法定代表人(委托代理人)：</w:t>
      </w:r>
    </w:p>
    <w:p w14:paraId="1197E6E4">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olor w:val="auto"/>
        </w:rPr>
      </w:pPr>
      <w:r>
        <w:rPr>
          <w:rFonts w:hint="eastAsia" w:ascii="仿宋" w:hAnsi="仿宋" w:eastAsia="仿宋" w:cs="仿宋_GB2312"/>
          <w:color w:val="auto"/>
        </w:rPr>
        <w:t>（签字）：                  （签字）：</w:t>
      </w:r>
      <w:r>
        <w:rPr>
          <w:rFonts w:hint="eastAsia" w:ascii="仿宋" w:hAnsi="仿宋" w:eastAsia="仿宋"/>
          <w:color w:val="auto"/>
        </w:rPr>
        <w:t xml:space="preserve">          </w:t>
      </w:r>
    </w:p>
    <w:p w14:paraId="7EF7AC26">
      <w:pPr>
        <w:pStyle w:val="7"/>
        <w:adjustRightInd w:val="0"/>
        <w:snapToGrid w:val="0"/>
        <w:spacing w:line="360" w:lineRule="auto"/>
        <w:rPr>
          <w:rFonts w:hint="eastAsia" w:ascii="仿宋" w:hAnsi="仿宋" w:eastAsia="仿宋"/>
          <w:color w:val="auto"/>
        </w:rPr>
      </w:pPr>
    </w:p>
    <w:p w14:paraId="16D92ABA">
      <w:pPr>
        <w:pStyle w:val="7"/>
        <w:adjustRightInd w:val="0"/>
        <w:snapToGrid w:val="0"/>
        <w:spacing w:line="360" w:lineRule="auto"/>
        <w:rPr>
          <w:rFonts w:hint="eastAsia" w:ascii="仿宋" w:hAnsi="仿宋" w:eastAsia="仿宋"/>
          <w:color w:val="auto"/>
          <w:lang w:val="en-US" w:eastAsia="zh-CN"/>
        </w:rPr>
      </w:pPr>
    </w:p>
    <w:p w14:paraId="26D29861">
      <w:pPr>
        <w:pStyle w:val="7"/>
        <w:adjustRightInd w:val="0"/>
        <w:snapToGrid w:val="0"/>
        <w:spacing w:line="360" w:lineRule="auto"/>
        <w:rPr>
          <w:rFonts w:hint="eastAsia" w:ascii="仿宋" w:hAnsi="仿宋" w:eastAsia="仿宋"/>
          <w:color w:val="auto"/>
          <w:lang w:eastAsia="zh-CN"/>
        </w:rPr>
      </w:pPr>
    </w:p>
    <w:p w14:paraId="47161942">
      <w:pPr>
        <w:rPr>
          <w:rFonts w:hint="eastAsia" w:eastAsia="宋体"/>
          <w:lang w:eastAsia="zh-CN"/>
        </w:rPr>
      </w:pPr>
    </w:p>
    <w:p w14:paraId="6852296C">
      <w:pPr>
        <w:pStyle w:val="3"/>
        <w:rPr>
          <w:rFonts w:hint="eastAsia" w:eastAsia="宋体"/>
          <w:lang w:eastAsia="zh-CN"/>
        </w:rPr>
      </w:pPr>
    </w:p>
    <w:p w14:paraId="721DF522">
      <w:pPr>
        <w:pStyle w:val="3"/>
        <w:rPr>
          <w:rFonts w:hint="eastAsia" w:eastAsia="宋体"/>
          <w:lang w:eastAsia="zh-CN"/>
        </w:rPr>
      </w:pPr>
    </w:p>
    <w:p w14:paraId="36319C15">
      <w:pPr>
        <w:pStyle w:val="3"/>
        <w:rPr>
          <w:rFonts w:hint="eastAsia" w:eastAsia="宋体"/>
          <w:lang w:eastAsia="zh-CN"/>
        </w:rPr>
      </w:pPr>
    </w:p>
    <w:p w14:paraId="1B8EDA6E">
      <w:pPr>
        <w:rPr>
          <w:rFonts w:hint="eastAsia"/>
          <w:lang w:eastAsia="zh-CN"/>
        </w:rPr>
      </w:pPr>
    </w:p>
    <w:p w14:paraId="2AAFECB7">
      <w:pPr>
        <w:pStyle w:val="7"/>
        <w:adjustRightInd w:val="0"/>
        <w:snapToGrid w:val="0"/>
        <w:spacing w:line="360" w:lineRule="auto"/>
        <w:jc w:val="left"/>
        <w:rPr>
          <w:rFonts w:hint="eastAsia" w:ascii="仿宋" w:hAnsi="仿宋" w:eastAsia="仿宋_GB2312"/>
          <w:color w:val="auto"/>
          <w:lang w:eastAsia="zh-CN"/>
        </w:rPr>
      </w:pPr>
    </w:p>
    <w:p w14:paraId="3CBBF257">
      <w:pPr>
        <w:spacing w:line="720" w:lineRule="auto"/>
        <w:jc w:val="both"/>
        <w:rPr>
          <w:rFonts w:hint="eastAsia" w:ascii="方正小标宋_GBK" w:hAnsi="方正小标宋_GBK" w:eastAsia="方正小标宋_GBK" w:cs="方正小标宋_GBK"/>
          <w:sz w:val="84"/>
          <w:szCs w:val="84"/>
          <w:lang w:eastAsia="zh-CN"/>
        </w:rPr>
      </w:pPr>
    </w:p>
    <w:p w14:paraId="7F2EEC32">
      <w:pPr>
        <w:pStyle w:val="2"/>
        <w:rPr>
          <w:rFonts w:hint="eastAsia" w:eastAsia="黑体"/>
          <w:lang w:eastAsia="zh-CN"/>
        </w:rPr>
      </w:pPr>
      <w:r>
        <w:rPr>
          <w:rFonts w:hint="eastAsia"/>
          <w:lang w:eastAsia="zh-CN"/>
        </w:rPr>
        <w:br w:type="page"/>
      </w:r>
    </w:p>
    <w:p w14:paraId="702CCDF7">
      <w:pPr>
        <w:autoSpaceDE w:val="0"/>
        <w:autoSpaceDN w:val="0"/>
        <w:adjustRightInd w:val="0"/>
        <w:spacing w:line="240" w:lineRule="auto"/>
        <w:ind w:right="186"/>
        <w:jc w:val="both"/>
        <w:rPr>
          <w:rFonts w:hint="eastAsia" w:eastAsia="仿宋_GB2312"/>
          <w:lang w:eastAsia="zh-CN"/>
        </w:rPr>
      </w:pPr>
      <w:r>
        <w:rPr>
          <w:rFonts w:hint="eastAsia" w:ascii="仿宋_GB2312" w:hAnsi="宋体" w:eastAsia="仿宋_GB2312" w:cs="Times New Roman"/>
          <w:sz w:val="32"/>
          <w:szCs w:val="32"/>
          <w:lang w:val="en-GB"/>
        </w:rPr>
        <w:drawing>
          <wp:inline distT="0" distB="0" distL="114300" distR="114300">
            <wp:extent cx="5829935" cy="8261350"/>
            <wp:effectExtent l="0" t="0" r="18415" b="6350"/>
            <wp:docPr id="14" name="图片 14" descr="宗地图：郑港储2025-035-1（比亚迪四期333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宗地图：郑港储2025-035-1（比亚迪四期333亩）"/>
                    <pic:cNvPicPr>
                      <a:picLocks noChangeAspect="1"/>
                    </pic:cNvPicPr>
                  </pic:nvPicPr>
                  <pic:blipFill>
                    <a:blip r:embed="rId8"/>
                    <a:stretch>
                      <a:fillRect/>
                    </a:stretch>
                  </pic:blipFill>
                  <pic:spPr>
                    <a:xfrm>
                      <a:off x="0" y="0"/>
                      <a:ext cx="5829935" cy="8261350"/>
                    </a:xfrm>
                    <a:prstGeom prst="rect">
                      <a:avLst/>
                    </a:prstGeom>
                  </pic:spPr>
                </pic:pic>
              </a:graphicData>
            </a:graphic>
          </wp:inline>
        </w:drawing>
      </w:r>
      <w:r>
        <w:rPr>
          <w:rFonts w:hint="eastAsia" w:ascii="仿宋_GB2312" w:hAnsi="宋体" w:eastAsia="仿宋_GB2312" w:cs="Times New Roman"/>
          <w:sz w:val="32"/>
          <w:szCs w:val="32"/>
          <w:lang w:val="en-GB"/>
        </w:rPr>
        <w:br w:type="page"/>
      </w:r>
    </w:p>
    <w:p w14:paraId="70A41992">
      <w:pPr>
        <w:pStyle w:val="2"/>
        <w:rPr>
          <w:rFonts w:hint="eastAsia"/>
          <w:lang w:eastAsia="zh-CN"/>
        </w:rPr>
      </w:pPr>
      <w:r>
        <w:rPr>
          <w:rFonts w:hint="eastAsia"/>
          <w:lang w:eastAsia="zh-CN"/>
        </w:rPr>
        <w:drawing>
          <wp:inline distT="0" distB="0" distL="114300" distR="114300">
            <wp:extent cx="5830570" cy="8248650"/>
            <wp:effectExtent l="0" t="0" r="17780" b="0"/>
            <wp:docPr id="6" name="图片 6" descr="20250804154337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0804154337_页面_1"/>
                    <pic:cNvPicPr>
                      <a:picLocks noChangeAspect="1"/>
                    </pic:cNvPicPr>
                  </pic:nvPicPr>
                  <pic:blipFill>
                    <a:blip r:embed="rId9"/>
                    <a:stretch>
                      <a:fillRect/>
                    </a:stretch>
                  </pic:blipFill>
                  <pic:spPr>
                    <a:xfrm>
                      <a:off x="0" y="0"/>
                      <a:ext cx="5830570" cy="8248650"/>
                    </a:xfrm>
                    <a:prstGeom prst="rect">
                      <a:avLst/>
                    </a:prstGeom>
                  </pic:spPr>
                </pic:pic>
              </a:graphicData>
            </a:graphic>
          </wp:inline>
        </w:drawing>
      </w:r>
    </w:p>
    <w:p w14:paraId="297EF67F">
      <w:pPr>
        <w:autoSpaceDE w:val="0"/>
        <w:autoSpaceDN w:val="0"/>
        <w:adjustRightInd w:val="0"/>
        <w:spacing w:line="600" w:lineRule="exact"/>
        <w:ind w:right="186"/>
        <w:jc w:val="center"/>
        <w:rPr>
          <w:rFonts w:hint="eastAsia"/>
          <w:lang w:eastAsia="zh-CN"/>
        </w:rPr>
      </w:pPr>
      <w:r>
        <w:rPr>
          <w:rFonts w:hint="eastAsia"/>
          <w:lang w:eastAsia="zh-CN"/>
        </w:rPr>
        <w:drawing>
          <wp:inline distT="0" distB="0" distL="114300" distR="114300">
            <wp:extent cx="5830570" cy="8248650"/>
            <wp:effectExtent l="0" t="0" r="17780" b="0"/>
            <wp:docPr id="5" name="图片 5" descr="20250804154337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804154337_页面_1"/>
                    <pic:cNvPicPr>
                      <a:picLocks noChangeAspect="1"/>
                    </pic:cNvPicPr>
                  </pic:nvPicPr>
                  <pic:blipFill>
                    <a:blip r:embed="rId9"/>
                    <a:stretch>
                      <a:fillRect/>
                    </a:stretch>
                  </pic:blipFill>
                  <pic:spPr>
                    <a:xfrm>
                      <a:off x="0" y="0"/>
                      <a:ext cx="5830570" cy="8248650"/>
                    </a:xfrm>
                    <a:prstGeom prst="rect">
                      <a:avLst/>
                    </a:prstGeom>
                  </pic:spPr>
                </pic:pic>
              </a:graphicData>
            </a:graphic>
          </wp:inline>
        </w:drawing>
      </w:r>
    </w:p>
    <w:p w14:paraId="2D5BD90F">
      <w:pPr>
        <w:autoSpaceDE w:val="0"/>
        <w:autoSpaceDN w:val="0"/>
        <w:adjustRightInd w:val="0"/>
        <w:spacing w:line="600" w:lineRule="exact"/>
        <w:ind w:right="186"/>
        <w:jc w:val="center"/>
        <w:rPr>
          <w:rFonts w:hint="eastAsia"/>
          <w:lang w:eastAsia="zh-CN"/>
        </w:rPr>
      </w:pPr>
    </w:p>
    <w:p w14:paraId="79C00DCF">
      <w:pPr>
        <w:autoSpaceDE w:val="0"/>
        <w:autoSpaceDN w:val="0"/>
        <w:adjustRightInd w:val="0"/>
        <w:spacing w:line="600" w:lineRule="exact"/>
        <w:ind w:right="186"/>
        <w:jc w:val="center"/>
        <w:rPr>
          <w:rFonts w:hint="eastAsia"/>
          <w:lang w:eastAsia="zh-CN"/>
        </w:rPr>
        <w:sectPr>
          <w:footerReference r:id="rId4" w:type="default"/>
          <w:footerReference r:id="rId5" w:type="even"/>
          <w:pgSz w:w="11906" w:h="16838"/>
          <w:pgMar w:top="1304" w:right="1361" w:bottom="1191" w:left="1361" w:header="851" w:footer="992" w:gutter="0"/>
          <w:pgNumType w:fmt="decimal"/>
          <w:cols w:space="720" w:num="1"/>
          <w:docGrid w:type="lines" w:linePitch="312" w:charSpace="0"/>
        </w:sectPr>
      </w:pPr>
    </w:p>
    <w:p w14:paraId="3D2AA74B">
      <w:pPr>
        <w:rPr>
          <w:rFonts w:hint="eastAsia"/>
          <w:lang w:eastAsia="zh-CN"/>
        </w:rPr>
      </w:pPr>
      <w:r>
        <w:rPr>
          <w:rFonts w:hint="eastAsia"/>
          <w:lang w:eastAsia="zh-CN"/>
        </w:rPr>
        <w:drawing>
          <wp:inline distT="0" distB="0" distL="114300" distR="114300">
            <wp:extent cx="5830570" cy="8248650"/>
            <wp:effectExtent l="0" t="0" r="17780" b="0"/>
            <wp:docPr id="19" name="图片 19" descr="20250804154337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804154337_页面_2"/>
                    <pic:cNvPicPr>
                      <a:picLocks noChangeAspect="1"/>
                    </pic:cNvPicPr>
                  </pic:nvPicPr>
                  <pic:blipFill>
                    <a:blip r:embed="rId10"/>
                    <a:stretch>
                      <a:fillRect/>
                    </a:stretch>
                  </pic:blipFill>
                  <pic:spPr>
                    <a:xfrm>
                      <a:off x="0" y="0"/>
                      <a:ext cx="5830570" cy="8248650"/>
                    </a:xfrm>
                    <a:prstGeom prst="rect">
                      <a:avLst/>
                    </a:prstGeom>
                  </pic:spPr>
                </pic:pic>
              </a:graphicData>
            </a:graphic>
          </wp:inline>
        </w:drawing>
      </w:r>
    </w:p>
    <w:p w14:paraId="44A732C2">
      <w:pPr>
        <w:pStyle w:val="2"/>
        <w:rPr>
          <w:rFonts w:hint="eastAsia"/>
          <w:lang w:eastAsia="zh-CN"/>
        </w:rPr>
      </w:pPr>
    </w:p>
    <w:p w14:paraId="0C32A0D1">
      <w:pPr>
        <w:rPr>
          <w:rFonts w:hint="eastAsia"/>
          <w:lang w:eastAsia="zh-CN"/>
        </w:rPr>
      </w:pPr>
    </w:p>
    <w:p w14:paraId="68F6F5D4">
      <w:pPr>
        <w:pStyle w:val="2"/>
        <w:rPr>
          <w:rFonts w:hint="eastAsia"/>
          <w:lang w:eastAsia="zh-CN"/>
        </w:rPr>
      </w:pPr>
      <w:r>
        <w:rPr>
          <w:rFonts w:hint="eastAsia"/>
          <w:lang w:eastAsia="zh-CN"/>
        </w:rPr>
        <w:drawing>
          <wp:inline distT="0" distB="0" distL="114300" distR="114300">
            <wp:extent cx="5828030" cy="8242935"/>
            <wp:effectExtent l="0" t="0" r="1270" b="5715"/>
            <wp:docPr id="7" name="图片 7" descr="20250804关于郑港储2025—035—1号等2宗国有建设用地环保用地条件的情况说明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0804关于郑港储2025—035—1号等2宗国有建设用地环保用地条件的情况说明_页面_1"/>
                    <pic:cNvPicPr>
                      <a:picLocks noChangeAspect="1"/>
                    </pic:cNvPicPr>
                  </pic:nvPicPr>
                  <pic:blipFill>
                    <a:blip r:embed="rId11"/>
                    <a:stretch>
                      <a:fillRect/>
                    </a:stretch>
                  </pic:blipFill>
                  <pic:spPr>
                    <a:xfrm>
                      <a:off x="0" y="0"/>
                      <a:ext cx="5828030" cy="8242935"/>
                    </a:xfrm>
                    <a:prstGeom prst="rect">
                      <a:avLst/>
                    </a:prstGeom>
                  </pic:spPr>
                </pic:pic>
              </a:graphicData>
            </a:graphic>
          </wp:inline>
        </w:drawing>
      </w:r>
    </w:p>
    <w:p w14:paraId="3D07BD5B">
      <w:pPr>
        <w:rPr>
          <w:rFonts w:hint="eastAsia"/>
          <w:lang w:eastAsia="zh-CN"/>
        </w:rPr>
      </w:pPr>
    </w:p>
    <w:p w14:paraId="677B8DDE">
      <w:pPr>
        <w:pStyle w:val="2"/>
        <w:rPr>
          <w:rFonts w:hint="eastAsia"/>
          <w:lang w:eastAsia="zh-CN"/>
        </w:rPr>
      </w:pPr>
    </w:p>
    <w:p w14:paraId="1A2B85C7">
      <w:pPr>
        <w:rPr>
          <w:rFonts w:hint="eastAsia"/>
          <w:lang w:eastAsia="zh-CN"/>
        </w:rPr>
      </w:pPr>
    </w:p>
    <w:p w14:paraId="3BE81010">
      <w:pPr>
        <w:pStyle w:val="2"/>
        <w:rPr>
          <w:rFonts w:hint="eastAsia"/>
          <w:lang w:eastAsia="zh-CN"/>
        </w:rPr>
      </w:pPr>
    </w:p>
    <w:p w14:paraId="320396B5">
      <w:pPr>
        <w:rPr>
          <w:rFonts w:hint="eastAsia"/>
          <w:lang w:eastAsia="zh-CN"/>
        </w:rPr>
      </w:pPr>
    </w:p>
    <w:p w14:paraId="459CCC11">
      <w:pPr>
        <w:pStyle w:val="2"/>
        <w:rPr>
          <w:rFonts w:hint="eastAsia"/>
          <w:lang w:eastAsia="zh-CN"/>
        </w:rPr>
      </w:pPr>
      <w:r>
        <w:rPr>
          <w:rFonts w:hint="eastAsia"/>
          <w:lang w:eastAsia="zh-CN"/>
        </w:rPr>
        <w:drawing>
          <wp:inline distT="0" distB="0" distL="114300" distR="114300">
            <wp:extent cx="5828030" cy="8242935"/>
            <wp:effectExtent l="0" t="0" r="1270" b="5715"/>
            <wp:docPr id="8" name="图片 8" descr="20250804关于郑港储2025—035—1号等2宗国有建设用地环保用地条件的情况说明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0804关于郑港储2025—035—1号等2宗国有建设用地环保用地条件的情况说明_页面_2"/>
                    <pic:cNvPicPr>
                      <a:picLocks noChangeAspect="1"/>
                    </pic:cNvPicPr>
                  </pic:nvPicPr>
                  <pic:blipFill>
                    <a:blip r:embed="rId12"/>
                    <a:stretch>
                      <a:fillRect/>
                    </a:stretch>
                  </pic:blipFill>
                  <pic:spPr>
                    <a:xfrm>
                      <a:off x="0" y="0"/>
                      <a:ext cx="5828030" cy="8242935"/>
                    </a:xfrm>
                    <a:prstGeom prst="rect">
                      <a:avLst/>
                    </a:prstGeom>
                  </pic:spPr>
                </pic:pic>
              </a:graphicData>
            </a:graphic>
          </wp:inline>
        </w:drawing>
      </w:r>
    </w:p>
    <w:p w14:paraId="4121C455">
      <w:pPr>
        <w:rPr>
          <w:rFonts w:hint="eastAsia"/>
          <w:lang w:eastAsia="zh-CN"/>
        </w:rPr>
      </w:pPr>
    </w:p>
    <w:p w14:paraId="701DCD09">
      <w:pPr>
        <w:pStyle w:val="2"/>
        <w:rPr>
          <w:rFonts w:hint="eastAsia"/>
          <w:lang w:eastAsia="zh-CN"/>
        </w:rPr>
      </w:pPr>
      <w:r>
        <w:rPr>
          <w:rFonts w:hint="eastAsia"/>
          <w:lang w:eastAsia="zh-CN"/>
        </w:rPr>
        <w:drawing>
          <wp:inline distT="0" distB="0" distL="114300" distR="114300">
            <wp:extent cx="5828030" cy="8218805"/>
            <wp:effectExtent l="0" t="0" r="1270" b="10795"/>
            <wp:docPr id="15" name="图片 15" descr="组合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组合 1_页面_2"/>
                    <pic:cNvPicPr>
                      <a:picLocks noChangeAspect="1"/>
                    </pic:cNvPicPr>
                  </pic:nvPicPr>
                  <pic:blipFill>
                    <a:blip r:embed="rId13"/>
                    <a:stretch>
                      <a:fillRect/>
                    </a:stretch>
                  </pic:blipFill>
                  <pic:spPr>
                    <a:xfrm>
                      <a:off x="0" y="0"/>
                      <a:ext cx="5828030" cy="8218805"/>
                    </a:xfrm>
                    <a:prstGeom prst="rect">
                      <a:avLst/>
                    </a:prstGeom>
                  </pic:spPr>
                </pic:pic>
              </a:graphicData>
            </a:graphic>
          </wp:inline>
        </w:drawing>
      </w:r>
    </w:p>
    <w:p w14:paraId="1968DA74">
      <w:pPr>
        <w:rPr>
          <w:rFonts w:hint="eastAsia"/>
          <w:lang w:eastAsia="zh-CN"/>
        </w:rPr>
      </w:pPr>
    </w:p>
    <w:p w14:paraId="3058DA1A">
      <w:pPr>
        <w:pStyle w:val="2"/>
        <w:rPr>
          <w:rFonts w:hint="eastAsia"/>
          <w:lang w:eastAsia="zh-CN"/>
        </w:rPr>
      </w:pPr>
    </w:p>
    <w:p w14:paraId="2752F378">
      <w:pPr>
        <w:rPr>
          <w:rFonts w:hint="eastAsia"/>
          <w:lang w:eastAsia="zh-CN"/>
        </w:rPr>
      </w:pPr>
    </w:p>
    <w:p w14:paraId="37A25A68">
      <w:pPr>
        <w:pStyle w:val="2"/>
        <w:rPr>
          <w:rFonts w:hint="eastAsia"/>
          <w:lang w:eastAsia="zh-CN"/>
        </w:rPr>
      </w:pPr>
      <w:r>
        <w:rPr>
          <w:rFonts w:hint="eastAsia"/>
          <w:lang w:eastAsia="zh-CN"/>
        </w:rPr>
        <w:drawing>
          <wp:inline distT="0" distB="0" distL="114300" distR="114300">
            <wp:extent cx="5828030" cy="8225155"/>
            <wp:effectExtent l="0" t="0" r="1270" b="4445"/>
            <wp:docPr id="16" name="图片 16" descr="组合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组合 1_页面_3"/>
                    <pic:cNvPicPr>
                      <a:picLocks noChangeAspect="1"/>
                    </pic:cNvPicPr>
                  </pic:nvPicPr>
                  <pic:blipFill>
                    <a:blip r:embed="rId14"/>
                    <a:stretch>
                      <a:fillRect/>
                    </a:stretch>
                  </pic:blipFill>
                  <pic:spPr>
                    <a:xfrm rot="10800000">
                      <a:off x="0" y="0"/>
                      <a:ext cx="5828030" cy="8225155"/>
                    </a:xfrm>
                    <a:prstGeom prst="rect">
                      <a:avLst/>
                    </a:prstGeom>
                  </pic:spPr>
                </pic:pic>
              </a:graphicData>
            </a:graphic>
          </wp:inline>
        </w:drawing>
      </w:r>
    </w:p>
    <w:p w14:paraId="42FADE44">
      <w:pPr>
        <w:rPr>
          <w:rFonts w:hint="eastAsia"/>
          <w:lang w:eastAsia="zh-CN"/>
        </w:rPr>
      </w:pPr>
    </w:p>
    <w:p w14:paraId="0DD8B60D">
      <w:pPr>
        <w:pStyle w:val="2"/>
        <w:rPr>
          <w:rFonts w:hint="eastAsia"/>
          <w:lang w:eastAsia="zh-CN"/>
        </w:rPr>
      </w:pPr>
    </w:p>
    <w:p w14:paraId="714CDA54">
      <w:pPr>
        <w:rPr>
          <w:rFonts w:hint="eastAsia"/>
          <w:lang w:eastAsia="zh-CN"/>
        </w:rPr>
      </w:pPr>
    </w:p>
    <w:p w14:paraId="39D15D50">
      <w:pPr>
        <w:pStyle w:val="2"/>
        <w:rPr>
          <w:rFonts w:hint="eastAsia"/>
          <w:lang w:eastAsia="zh-CN"/>
        </w:rPr>
      </w:pPr>
      <w:r>
        <w:rPr>
          <w:rFonts w:hint="eastAsia"/>
          <w:lang w:eastAsia="zh-CN"/>
        </w:rPr>
        <w:drawing>
          <wp:inline distT="0" distB="0" distL="114300" distR="114300">
            <wp:extent cx="5824855" cy="8248650"/>
            <wp:effectExtent l="0" t="0" r="4445" b="0"/>
            <wp:docPr id="10" name="图片 10" descr="组合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合 1_页面_1"/>
                    <pic:cNvPicPr>
                      <a:picLocks noChangeAspect="1"/>
                    </pic:cNvPicPr>
                  </pic:nvPicPr>
                  <pic:blipFill>
                    <a:blip r:embed="rId15"/>
                    <a:stretch>
                      <a:fillRect/>
                    </a:stretch>
                  </pic:blipFill>
                  <pic:spPr>
                    <a:xfrm>
                      <a:off x="0" y="0"/>
                      <a:ext cx="5824855" cy="8248650"/>
                    </a:xfrm>
                    <a:prstGeom prst="rect">
                      <a:avLst/>
                    </a:prstGeom>
                  </pic:spPr>
                </pic:pic>
              </a:graphicData>
            </a:graphic>
          </wp:inline>
        </w:drawing>
      </w:r>
    </w:p>
    <w:p w14:paraId="2C32D163">
      <w:pPr>
        <w:rPr>
          <w:rFonts w:hint="eastAsia"/>
          <w:lang w:eastAsia="zh-CN"/>
        </w:rPr>
      </w:pPr>
    </w:p>
    <w:p w14:paraId="1C849F03">
      <w:pPr>
        <w:pStyle w:val="2"/>
        <w:rPr>
          <w:rFonts w:hint="eastAsia"/>
          <w:lang w:eastAsia="zh-CN"/>
        </w:rPr>
      </w:pPr>
    </w:p>
    <w:p w14:paraId="1D2E475B">
      <w:pPr>
        <w:rPr>
          <w:rFonts w:hint="eastAsia"/>
          <w:lang w:eastAsia="zh-CN"/>
        </w:rPr>
      </w:pPr>
    </w:p>
    <w:p w14:paraId="525ACD69">
      <w:pPr>
        <w:pStyle w:val="2"/>
        <w:rPr>
          <w:rFonts w:hint="eastAsia"/>
          <w:lang w:eastAsia="zh-CN"/>
        </w:rPr>
      </w:pPr>
      <w:r>
        <w:rPr>
          <w:rFonts w:hint="eastAsia"/>
          <w:lang w:eastAsia="zh-CN"/>
        </w:rPr>
        <w:drawing>
          <wp:inline distT="0" distB="0" distL="114300" distR="114300">
            <wp:extent cx="8199755" cy="5796280"/>
            <wp:effectExtent l="0" t="0" r="13970" b="10795"/>
            <wp:docPr id="20" name="图片 20" descr="郑港储2025-035-1、2025-035-4等2宗地产业准入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郑港储2025-035-1、2025-035-4等2宗地产业准入意见"/>
                    <pic:cNvPicPr>
                      <a:picLocks noChangeAspect="1"/>
                    </pic:cNvPicPr>
                  </pic:nvPicPr>
                  <pic:blipFill>
                    <a:blip r:embed="rId16"/>
                    <a:stretch>
                      <a:fillRect/>
                    </a:stretch>
                  </pic:blipFill>
                  <pic:spPr>
                    <a:xfrm rot="16200000">
                      <a:off x="0" y="0"/>
                      <a:ext cx="8199755" cy="5796280"/>
                    </a:xfrm>
                    <a:prstGeom prst="rect">
                      <a:avLst/>
                    </a:prstGeom>
                  </pic:spPr>
                </pic:pic>
              </a:graphicData>
            </a:graphic>
          </wp:inline>
        </w:drawing>
      </w:r>
    </w:p>
    <w:p w14:paraId="3EB1B51B">
      <w:pPr>
        <w:rPr>
          <w:rFonts w:hint="eastAsia"/>
          <w:lang w:eastAsia="zh-CN"/>
        </w:rPr>
      </w:pPr>
    </w:p>
    <w:p w14:paraId="7298CDCC">
      <w:pPr>
        <w:pStyle w:val="2"/>
        <w:rPr>
          <w:rFonts w:hint="eastAsia"/>
          <w:lang w:eastAsia="zh-CN"/>
        </w:rPr>
      </w:pPr>
    </w:p>
    <w:p w14:paraId="6ED418DC">
      <w:pPr>
        <w:rPr>
          <w:rFonts w:hint="eastAsia"/>
          <w:lang w:eastAsia="zh-CN"/>
        </w:rPr>
      </w:pPr>
    </w:p>
    <w:p w14:paraId="2D4603C5">
      <w:pPr>
        <w:autoSpaceDE w:val="0"/>
        <w:autoSpaceDN w:val="0"/>
        <w:adjustRightInd w:val="0"/>
        <w:spacing w:line="600" w:lineRule="exact"/>
        <w:ind w:right="186"/>
        <w:jc w:val="center"/>
        <w:rPr>
          <w:rFonts w:ascii="方正小标宋简体" w:hAnsi="宋体" w:eastAsia="方正小标宋简体" w:cs="Times New Roman"/>
          <w:b/>
          <w:color w:val="000000"/>
          <w:sz w:val="44"/>
        </w:rPr>
      </w:pPr>
      <w:r>
        <w:rPr>
          <w:rFonts w:hint="eastAsia" w:ascii="方正小标宋简体" w:hAnsi="华文中宋" w:eastAsia="方正小标宋简体" w:cs="Times New Roman"/>
          <w:b/>
          <w:sz w:val="44"/>
          <w:szCs w:val="44"/>
        </w:rPr>
        <w:t>地块瑕疵说明</w:t>
      </w:r>
    </w:p>
    <w:p w14:paraId="649C0365">
      <w:pPr>
        <w:ind w:firstLine="420" w:firstLineChars="200"/>
        <w:rPr>
          <w:rFonts w:ascii="仿宋_GB2312" w:hAnsi="宋体" w:eastAsia="仿宋_GB2312" w:cs="Times New Roman"/>
          <w:color w:val="000000"/>
        </w:rPr>
      </w:pPr>
    </w:p>
    <w:p w14:paraId="1DB7FFB6">
      <w:pPr>
        <w:numPr>
          <w:ilvl w:val="0"/>
          <w:numId w:val="0"/>
        </w:numPr>
        <w:ind w:firstLine="640" w:firstLineChars="200"/>
        <w:rPr>
          <w:rFonts w:hint="eastAsia" w:ascii="仿宋_GB2312" w:hAnsi="仿宋_GB2312" w:eastAsia="仿宋_GB2312" w:cs="仿宋_GB2312"/>
          <w:color w:val="auto"/>
          <w:sz w:val="32"/>
          <w:szCs w:val="32"/>
          <w:highlight w:val="none"/>
          <w:lang w:eastAsia="zh-CN"/>
        </w:rPr>
      </w:pPr>
      <w:bookmarkStart w:id="6" w:name="OLE_LINK4"/>
      <w:r>
        <w:rPr>
          <w:rFonts w:hint="eastAsia" w:ascii="仿宋_GB2312" w:hAnsi="仿宋_GB2312" w:eastAsia="仿宋_GB2312" w:cs="仿宋_GB2312"/>
          <w:color w:val="auto"/>
          <w:kern w:val="2"/>
          <w:sz w:val="32"/>
          <w:szCs w:val="32"/>
          <w:lang w:val="en-US" w:eastAsia="zh-CN" w:bidi="ar-SA"/>
        </w:rPr>
        <w:t>一、</w:t>
      </w:r>
      <w:r>
        <w:rPr>
          <w:rFonts w:hint="eastAsia" w:ascii="仿宋_GB2312" w:hAnsi="仿宋_GB2312" w:eastAsia="仿宋_GB2312" w:cs="仿宋_GB2312"/>
          <w:color w:val="auto"/>
          <w:sz w:val="32"/>
          <w:szCs w:val="32"/>
          <w:highlight w:val="none"/>
          <w:lang w:eastAsia="zh-CN"/>
        </w:rPr>
        <w:t>该宗地</w:t>
      </w:r>
      <w:r>
        <w:rPr>
          <w:rFonts w:hint="eastAsia" w:ascii="仿宋_GB2312" w:hAnsi="仿宋_GB2312" w:eastAsia="仿宋_GB2312" w:cs="仿宋_GB2312"/>
          <w:color w:val="auto"/>
          <w:sz w:val="32"/>
          <w:szCs w:val="32"/>
          <w:highlight w:val="none"/>
          <w:lang w:val="en-US" w:eastAsia="zh-CN"/>
        </w:rPr>
        <w:t>目前暂不具备外部五通条件，土地交付时具备临水、临电、临路建设条件</w:t>
      </w:r>
      <w:r>
        <w:rPr>
          <w:rFonts w:hint="eastAsia" w:ascii="仿宋_GB2312" w:hAnsi="仿宋_GB2312" w:eastAsia="仿宋_GB2312" w:cs="仿宋_GB2312"/>
          <w:color w:val="auto"/>
          <w:sz w:val="32"/>
          <w:szCs w:val="32"/>
          <w:highlight w:val="none"/>
          <w:lang w:eastAsia="zh-CN"/>
        </w:rPr>
        <w:t>；</w:t>
      </w:r>
    </w:p>
    <w:bookmarkEnd w:id="6"/>
    <w:p w14:paraId="30C59398">
      <w:pPr>
        <w:numPr>
          <w:ilvl w:val="0"/>
          <w:numId w:val="0"/>
        </w:numP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二、有关详细情况请向郑州航空港经济综合实验区土地储备中心咨询。</w:t>
      </w:r>
    </w:p>
    <w:p w14:paraId="15CDE83B">
      <w:pPr>
        <w:numPr>
          <w:ilvl w:val="0"/>
          <w:numId w:val="0"/>
        </w:numPr>
        <w:ind w:firstLine="960" w:firstLineChars="3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联系电话：0371-</w:t>
      </w:r>
      <w:r>
        <w:rPr>
          <w:rFonts w:hint="eastAsia" w:ascii="仿宋_GB2312" w:hAnsi="仿宋_GB2312" w:eastAsia="仿宋_GB2312" w:cs="仿宋_GB2312"/>
          <w:color w:val="auto"/>
          <w:sz w:val="32"/>
          <w:szCs w:val="32"/>
          <w:highlight w:val="none"/>
          <w:lang w:val="en-US" w:eastAsia="zh-CN"/>
        </w:rPr>
        <w:t>58551653</w:t>
      </w:r>
    </w:p>
    <w:p w14:paraId="2BBB0FB9">
      <w:pPr>
        <w:pStyle w:val="2"/>
        <w:ind w:firstLine="960" w:firstLineChars="300"/>
        <w:rPr>
          <w:rFonts w:hint="eastAsia" w:cs="Times New Roman"/>
          <w:lang w:eastAsia="zh-CN"/>
        </w:rPr>
      </w:pPr>
      <w:r>
        <w:rPr>
          <w:rFonts w:hint="eastAsia" w:ascii="仿宋_GB2312" w:hAnsi="仿宋_GB2312" w:eastAsia="仿宋_GB2312" w:cs="仿宋_GB2312"/>
          <w:b w:val="0"/>
          <w:color w:val="auto"/>
          <w:kern w:val="2"/>
          <w:sz w:val="32"/>
          <w:szCs w:val="32"/>
          <w:highlight w:val="none"/>
          <w:lang w:val="zh-CN" w:eastAsia="zh-CN" w:bidi="ar-SA"/>
        </w:rPr>
        <w:t>联 系 人：</w:t>
      </w:r>
      <w:r>
        <w:rPr>
          <w:rFonts w:hint="eastAsia" w:ascii="仿宋_GB2312" w:hAnsi="仿宋_GB2312" w:eastAsia="仿宋_GB2312" w:cs="仿宋_GB2312"/>
          <w:b w:val="0"/>
          <w:color w:val="auto"/>
          <w:kern w:val="2"/>
          <w:sz w:val="32"/>
          <w:szCs w:val="32"/>
          <w:highlight w:val="none"/>
          <w:lang w:val="en-US" w:eastAsia="zh-CN" w:bidi="ar-SA"/>
        </w:rPr>
        <w:t>张</w:t>
      </w:r>
      <w:r>
        <w:rPr>
          <w:rFonts w:hint="eastAsia" w:ascii="仿宋_GB2312" w:hAnsi="仿宋_GB2312" w:eastAsia="仿宋_GB2312" w:cs="仿宋_GB2312"/>
          <w:b w:val="0"/>
          <w:color w:val="auto"/>
          <w:kern w:val="2"/>
          <w:sz w:val="32"/>
          <w:szCs w:val="32"/>
          <w:highlight w:val="none"/>
          <w:lang w:val="zh-CN" w:eastAsia="zh-CN" w:bidi="ar-SA"/>
        </w:rPr>
        <w:t>先生</w:t>
      </w:r>
      <w:r>
        <w:rPr>
          <w:rFonts w:hint="eastAsia" w:ascii="仿宋_GB2312" w:hAnsi="仿宋_GB2312" w:eastAsia="仿宋_GB2312" w:cs="仿宋_GB2312"/>
          <w:b w:val="0"/>
          <w:color w:val="auto"/>
          <w:kern w:val="2"/>
          <w:sz w:val="32"/>
          <w:szCs w:val="32"/>
          <w:highlight w:val="none"/>
          <w:lang w:val="en-GB" w:eastAsia="zh-CN" w:bidi="ar-SA"/>
        </w:rPr>
        <w:t xml:space="preserve"> </w:t>
      </w:r>
      <w:r>
        <w:rPr>
          <w:rFonts w:hint="eastAsia" w:ascii="仿宋_GB2312" w:hAnsi="仿宋_GB2312" w:eastAsia="仿宋_GB2312" w:cs="仿宋_GB2312"/>
          <w:color w:val="auto"/>
          <w:sz w:val="32"/>
          <w:szCs w:val="32"/>
          <w:highlight w:val="none"/>
          <w:lang w:val="en-GB" w:eastAsia="zh-CN"/>
        </w:rPr>
        <w:t xml:space="preserve">      </w:t>
      </w:r>
    </w:p>
    <w:p w14:paraId="17555673">
      <w:pPr>
        <w:pStyle w:val="2"/>
        <w:rPr>
          <w:rFonts w:hint="eastAsia"/>
          <w:lang w:eastAsia="zh-CN"/>
        </w:rPr>
      </w:pPr>
    </w:p>
    <w:p w14:paraId="212FE5E6">
      <w:pPr>
        <w:rPr>
          <w:rFonts w:hint="eastAsia"/>
          <w:lang w:eastAsia="zh-CN"/>
        </w:rPr>
      </w:pPr>
    </w:p>
    <w:sectPr>
      <w:footerReference r:id="rId6" w:type="default"/>
      <w:pgSz w:w="11906" w:h="16838"/>
      <w:pgMar w:top="1304" w:right="1361" w:bottom="1191" w:left="136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99F673-E8B5-447F-BA18-82AA040BA0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2" w:fontKey="{50BB3B7E-3343-4E4F-B52F-08DBAD905792}"/>
  </w:font>
  <w:font w:name="仿宋_GB2312">
    <w:panose1 w:val="02010609030101010101"/>
    <w:charset w:val="86"/>
    <w:family w:val="auto"/>
    <w:pitch w:val="default"/>
    <w:sig w:usb0="00000001" w:usb1="080E0000" w:usb2="00000000" w:usb3="00000000" w:csb0="00040000" w:csb1="00000000"/>
    <w:embedRegular r:id="rId3" w:fontKey="{421AFB4D-B033-4AD2-BC3C-1C256DF7D1F4}"/>
  </w:font>
  <w:font w:name="楷体_GB2312">
    <w:panose1 w:val="02010609030101010101"/>
    <w:charset w:val="86"/>
    <w:family w:val="auto"/>
    <w:pitch w:val="default"/>
    <w:sig w:usb0="00000001" w:usb1="080E0000" w:usb2="00000000" w:usb3="00000000" w:csb0="00040000" w:csb1="00000000"/>
  </w:font>
  <w:font w:name="方正仿宋">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B475BCF0-743F-4A34-BB91-6C43D9C90AC2}"/>
  </w:font>
  <w:font w:name="方正小标宋简体">
    <w:panose1 w:val="03000509000000000000"/>
    <w:charset w:val="86"/>
    <w:family w:val="script"/>
    <w:pitch w:val="default"/>
    <w:sig w:usb0="00000001" w:usb1="080E0000" w:usb2="00000000" w:usb3="00000000" w:csb0="00040000" w:csb1="00000000"/>
    <w:embedRegular r:id="rId5" w:fontKey="{AFA17867-DCBC-4996-9B32-C97FC83F8839}"/>
  </w:font>
  <w:font w:name="楷体">
    <w:panose1 w:val="02010609060101010101"/>
    <w:charset w:val="86"/>
    <w:family w:val="modern"/>
    <w:pitch w:val="default"/>
    <w:sig w:usb0="800002BF" w:usb1="38CF7CFA" w:usb2="00000016" w:usb3="00000000" w:csb0="00040001" w:csb1="00000000"/>
    <w:embedRegular r:id="rId6" w:fontKey="{21B04047-9385-4DA8-82D3-08E500FF37BB}"/>
  </w:font>
  <w:font w:name="华文中宋">
    <w:panose1 w:val="02010600040101010101"/>
    <w:charset w:val="86"/>
    <w:family w:val="auto"/>
    <w:pitch w:val="default"/>
    <w:sig w:usb0="00000287" w:usb1="080F0000" w:usb2="00000000" w:usb3="00000000" w:csb0="0004009F" w:csb1="DFD70000"/>
    <w:embedRegular r:id="rId7" w:fontKey="{EED164D7-6E09-4618-8D4F-3C5513A70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A5B3">
    <w:pPr>
      <w:pStyle w:val="11"/>
      <w:jc w:val="both"/>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C4C1F">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6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xDxc/gAQAAwgMAAA4AAAAA&#10;AAAAAQAgAAAAHgEAAGRycy9lMm9Eb2MueG1sUEsFBgAAAAAGAAYAWQEAAHAFAAAAAA==&#10;">
              <v:fill on="f" focussize="0,0"/>
              <v:stroke on="f"/>
              <v:imagedata o:title=""/>
              <o:lock v:ext="edit" aspectratio="f"/>
              <v:textbox inset="0mm,0mm,0mm,0mm" style="mso-fit-shape-to-text:t;">
                <w:txbxContent>
                  <w:p w14:paraId="49EC4C1F">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5C1DE126">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7AB0E">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56A4E5">
                          <w:pPr>
                            <w:pStyle w:val="11"/>
                            <w:rPr>
                              <w:rStyle w:val="17"/>
                            </w:rPr>
                          </w:pPr>
                          <w:r>
                            <w:fldChar w:fldCharType="begin"/>
                          </w:r>
                          <w:r>
                            <w:rPr>
                              <w:rStyle w:val="17"/>
                            </w:rPr>
                            <w:instrText xml:space="preserve">PAGE  </w:instrText>
                          </w:r>
                          <w:r>
                            <w:fldChar w:fldCharType="separate"/>
                          </w:r>
                          <w:r>
                            <w:rPr>
                              <w:rStyle w:val="17"/>
                            </w:rPr>
                            <w:t>7</w:t>
                          </w:r>
                          <w:r>
                            <w:fldChar w:fldCharType="end"/>
                          </w:r>
                        </w:p>
                      </w:txbxContent>
                    </wps:txbx>
                    <wps:bodyPr wrap="none" lIns="0" tIns="0" rIns="0" bIns="0" upright="0">
                      <a:spAutoFit/>
                    </wps:bodyPr>
                  </wps:wsp>
                </a:graphicData>
              </a:graphic>
            </wp:anchor>
          </w:drawing>
        </mc:Choice>
        <mc:Fallback>
          <w:pict>
            <v:shape id="文本框 206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0h3gXLAQAAnQMAAA4AAAAAAAAAAQAgAAAAHgEAAGRycy9lMm9E&#10;b2MueG1sUEsFBgAAAAAGAAYAWQEAAFsFAAAAAA==&#10;">
              <v:fill on="f" focussize="0,0"/>
              <v:stroke on="f"/>
              <v:imagedata o:title=""/>
              <o:lock v:ext="edit" aspectratio="f"/>
              <v:textbox inset="0mm,0mm,0mm,0mm" style="mso-fit-shape-to-text:t;">
                <w:txbxContent>
                  <w:p w14:paraId="1F56A4E5">
                    <w:pPr>
                      <w:pStyle w:val="11"/>
                      <w:rPr>
                        <w:rStyle w:val="17"/>
                      </w:rPr>
                    </w:pPr>
                    <w:r>
                      <w:fldChar w:fldCharType="begin"/>
                    </w:r>
                    <w:r>
                      <w:rPr>
                        <w:rStyle w:val="17"/>
                      </w:rPr>
                      <w:instrText xml:space="preserve">PAGE  </w:instrText>
                    </w:r>
                    <w:r>
                      <w:fldChar w:fldCharType="separate"/>
                    </w:r>
                    <w:r>
                      <w:rPr>
                        <w:rStyle w:val="17"/>
                      </w:rP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D9A36">
    <w:pPr>
      <w:pStyle w:val="11"/>
      <w:framePr w:wrap="around" w:vAnchor="text" w:hAnchor="margin" w:xAlign="center" w:y="1"/>
      <w:rPr>
        <w:rStyle w:val="17"/>
      </w:rPr>
    </w:pPr>
    <w:r>
      <w:fldChar w:fldCharType="begin"/>
    </w:r>
    <w:r>
      <w:rPr>
        <w:rStyle w:val="17"/>
      </w:rPr>
      <w:instrText xml:space="preserve">PAGE  </w:instrText>
    </w:r>
    <w:r>
      <w:fldChar w:fldCharType="end"/>
    </w:r>
  </w:p>
  <w:p w14:paraId="4BAFEAC4">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4D0A">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C032AC">
                          <w:pPr>
                            <w:pStyle w:val="11"/>
                            <w:rPr>
                              <w:rStyle w:val="17"/>
                            </w:rPr>
                          </w:pPr>
                          <w:r>
                            <w:fldChar w:fldCharType="begin"/>
                          </w:r>
                          <w:r>
                            <w:rPr>
                              <w:rStyle w:val="17"/>
                            </w:rPr>
                            <w:instrText xml:space="preserve">PAGE  </w:instrText>
                          </w:r>
                          <w:r>
                            <w:fldChar w:fldCharType="separate"/>
                          </w:r>
                          <w:r>
                            <w:rPr>
                              <w:rStyle w:val="17"/>
                            </w:rPr>
                            <w:t>7</w:t>
                          </w:r>
                          <w: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k9+RX4QEAAMIDAAAOAAAA&#10;AAAAAAEAIAAAAB4BAABkcnMvZTJvRG9jLnhtbFBLBQYAAAAABgAGAFkBAABxBQAAAAA=&#10;">
              <v:fill on="f" focussize="0,0"/>
              <v:stroke on="f"/>
              <v:imagedata o:title=""/>
              <o:lock v:ext="edit" aspectratio="f"/>
              <v:textbox inset="0mm,0mm,0mm,0mm" style="mso-fit-shape-to-text:t;">
                <w:txbxContent>
                  <w:p w14:paraId="1BC032AC">
                    <w:pPr>
                      <w:pStyle w:val="11"/>
                      <w:rPr>
                        <w:rStyle w:val="17"/>
                      </w:rPr>
                    </w:pPr>
                    <w:r>
                      <w:fldChar w:fldCharType="begin"/>
                    </w:r>
                    <w:r>
                      <w:rPr>
                        <w:rStyle w:val="17"/>
                      </w:rPr>
                      <w:instrText xml:space="preserve">PAGE  </w:instrText>
                    </w:r>
                    <w:r>
                      <w:fldChar w:fldCharType="separate"/>
                    </w:r>
                    <w:r>
                      <w:rPr>
                        <w:rStyle w:val="17"/>
                      </w:rP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3,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lYTdhM2RjNjYxZjQ1MzhlOTM4NTk0ODVjMDE2M2UifQ=="/>
  </w:docVars>
  <w:rsids>
    <w:rsidRoot w:val="0013791D"/>
    <w:rsid w:val="0000044F"/>
    <w:rsid w:val="00000DB3"/>
    <w:rsid w:val="00004093"/>
    <w:rsid w:val="0000438E"/>
    <w:rsid w:val="00005613"/>
    <w:rsid w:val="00010976"/>
    <w:rsid w:val="00011D44"/>
    <w:rsid w:val="00012E41"/>
    <w:rsid w:val="0001410F"/>
    <w:rsid w:val="000147EE"/>
    <w:rsid w:val="000150F7"/>
    <w:rsid w:val="0001526E"/>
    <w:rsid w:val="00015D06"/>
    <w:rsid w:val="0001739B"/>
    <w:rsid w:val="00017B1A"/>
    <w:rsid w:val="00021F0D"/>
    <w:rsid w:val="00027D8D"/>
    <w:rsid w:val="00030D77"/>
    <w:rsid w:val="000311C9"/>
    <w:rsid w:val="00031997"/>
    <w:rsid w:val="00031ABF"/>
    <w:rsid w:val="00034CEA"/>
    <w:rsid w:val="000350B3"/>
    <w:rsid w:val="00036630"/>
    <w:rsid w:val="00036D8A"/>
    <w:rsid w:val="000375DE"/>
    <w:rsid w:val="000405F3"/>
    <w:rsid w:val="000411F3"/>
    <w:rsid w:val="00043586"/>
    <w:rsid w:val="00043679"/>
    <w:rsid w:val="0004370E"/>
    <w:rsid w:val="000449A3"/>
    <w:rsid w:val="00045909"/>
    <w:rsid w:val="00050786"/>
    <w:rsid w:val="00051A65"/>
    <w:rsid w:val="00052C15"/>
    <w:rsid w:val="000530EE"/>
    <w:rsid w:val="00053338"/>
    <w:rsid w:val="00056C94"/>
    <w:rsid w:val="00056CD1"/>
    <w:rsid w:val="000614EF"/>
    <w:rsid w:val="0006315E"/>
    <w:rsid w:val="00063CC4"/>
    <w:rsid w:val="00064975"/>
    <w:rsid w:val="00065BA6"/>
    <w:rsid w:val="00071B7D"/>
    <w:rsid w:val="00072535"/>
    <w:rsid w:val="00072DDF"/>
    <w:rsid w:val="000733AA"/>
    <w:rsid w:val="00073662"/>
    <w:rsid w:val="0007398D"/>
    <w:rsid w:val="000765EA"/>
    <w:rsid w:val="00076A6C"/>
    <w:rsid w:val="00082852"/>
    <w:rsid w:val="00082D06"/>
    <w:rsid w:val="000830DE"/>
    <w:rsid w:val="00083BC7"/>
    <w:rsid w:val="00083F94"/>
    <w:rsid w:val="000849E5"/>
    <w:rsid w:val="00092D17"/>
    <w:rsid w:val="00093E36"/>
    <w:rsid w:val="00095DA3"/>
    <w:rsid w:val="000962C2"/>
    <w:rsid w:val="000971AC"/>
    <w:rsid w:val="000A3F2A"/>
    <w:rsid w:val="000A709D"/>
    <w:rsid w:val="000B0EC3"/>
    <w:rsid w:val="000B17B4"/>
    <w:rsid w:val="000B18BA"/>
    <w:rsid w:val="000C7CA1"/>
    <w:rsid w:val="000D022E"/>
    <w:rsid w:val="000D30E8"/>
    <w:rsid w:val="000D31D0"/>
    <w:rsid w:val="000D54BB"/>
    <w:rsid w:val="000D7D24"/>
    <w:rsid w:val="000E47E1"/>
    <w:rsid w:val="000E5480"/>
    <w:rsid w:val="000E5BB1"/>
    <w:rsid w:val="000F0AA2"/>
    <w:rsid w:val="000F0E5B"/>
    <w:rsid w:val="000F1694"/>
    <w:rsid w:val="000F4DD1"/>
    <w:rsid w:val="000F5278"/>
    <w:rsid w:val="000F5BE9"/>
    <w:rsid w:val="000F6B2F"/>
    <w:rsid w:val="000F6B92"/>
    <w:rsid w:val="000F7B3F"/>
    <w:rsid w:val="00101445"/>
    <w:rsid w:val="0010493D"/>
    <w:rsid w:val="00104D9E"/>
    <w:rsid w:val="001056F5"/>
    <w:rsid w:val="00105A19"/>
    <w:rsid w:val="0010629E"/>
    <w:rsid w:val="00107C77"/>
    <w:rsid w:val="00111685"/>
    <w:rsid w:val="00111B91"/>
    <w:rsid w:val="0011466D"/>
    <w:rsid w:val="001155B7"/>
    <w:rsid w:val="00121B0F"/>
    <w:rsid w:val="00122EE4"/>
    <w:rsid w:val="001241E0"/>
    <w:rsid w:val="00125B6D"/>
    <w:rsid w:val="00126181"/>
    <w:rsid w:val="00127FEE"/>
    <w:rsid w:val="00130C78"/>
    <w:rsid w:val="0013456F"/>
    <w:rsid w:val="00134A19"/>
    <w:rsid w:val="00134B0A"/>
    <w:rsid w:val="00135476"/>
    <w:rsid w:val="0013791D"/>
    <w:rsid w:val="00140D09"/>
    <w:rsid w:val="00141943"/>
    <w:rsid w:val="00143050"/>
    <w:rsid w:val="00143299"/>
    <w:rsid w:val="00143DBA"/>
    <w:rsid w:val="0015528B"/>
    <w:rsid w:val="00156B31"/>
    <w:rsid w:val="00160712"/>
    <w:rsid w:val="00160E17"/>
    <w:rsid w:val="00160E72"/>
    <w:rsid w:val="00163975"/>
    <w:rsid w:val="001644EC"/>
    <w:rsid w:val="0016478A"/>
    <w:rsid w:val="00164EB0"/>
    <w:rsid w:val="00165813"/>
    <w:rsid w:val="001705CC"/>
    <w:rsid w:val="001708C5"/>
    <w:rsid w:val="00170915"/>
    <w:rsid w:val="00171760"/>
    <w:rsid w:val="00172533"/>
    <w:rsid w:val="00172A69"/>
    <w:rsid w:val="001744A2"/>
    <w:rsid w:val="00176086"/>
    <w:rsid w:val="001761A2"/>
    <w:rsid w:val="00176C8F"/>
    <w:rsid w:val="0017733B"/>
    <w:rsid w:val="001804E2"/>
    <w:rsid w:val="0018195E"/>
    <w:rsid w:val="001828D0"/>
    <w:rsid w:val="00183EDB"/>
    <w:rsid w:val="00185BA0"/>
    <w:rsid w:val="00186285"/>
    <w:rsid w:val="00187CDA"/>
    <w:rsid w:val="00187EDC"/>
    <w:rsid w:val="00190AD6"/>
    <w:rsid w:val="00190EF0"/>
    <w:rsid w:val="00191A6A"/>
    <w:rsid w:val="00191E18"/>
    <w:rsid w:val="0019238A"/>
    <w:rsid w:val="0019301C"/>
    <w:rsid w:val="00194AE8"/>
    <w:rsid w:val="00195C50"/>
    <w:rsid w:val="00197E2C"/>
    <w:rsid w:val="00197F7C"/>
    <w:rsid w:val="001A0529"/>
    <w:rsid w:val="001A1F91"/>
    <w:rsid w:val="001A3C52"/>
    <w:rsid w:val="001A508F"/>
    <w:rsid w:val="001A5A35"/>
    <w:rsid w:val="001A60FF"/>
    <w:rsid w:val="001B0DAC"/>
    <w:rsid w:val="001B2E83"/>
    <w:rsid w:val="001B41C1"/>
    <w:rsid w:val="001B4F43"/>
    <w:rsid w:val="001B556D"/>
    <w:rsid w:val="001B55F6"/>
    <w:rsid w:val="001B5CC1"/>
    <w:rsid w:val="001B6615"/>
    <w:rsid w:val="001B6B4C"/>
    <w:rsid w:val="001C0FC3"/>
    <w:rsid w:val="001C101A"/>
    <w:rsid w:val="001C1D01"/>
    <w:rsid w:val="001C3CCC"/>
    <w:rsid w:val="001D05CF"/>
    <w:rsid w:val="001D21D0"/>
    <w:rsid w:val="001D3969"/>
    <w:rsid w:val="001D4064"/>
    <w:rsid w:val="001D52D4"/>
    <w:rsid w:val="001D5484"/>
    <w:rsid w:val="001D63A5"/>
    <w:rsid w:val="001E0DBC"/>
    <w:rsid w:val="001E2205"/>
    <w:rsid w:val="001E2742"/>
    <w:rsid w:val="001E2B03"/>
    <w:rsid w:val="001F1629"/>
    <w:rsid w:val="001F1A42"/>
    <w:rsid w:val="001F359A"/>
    <w:rsid w:val="001F3749"/>
    <w:rsid w:val="001F4513"/>
    <w:rsid w:val="001F5A2A"/>
    <w:rsid w:val="001F7551"/>
    <w:rsid w:val="00200284"/>
    <w:rsid w:val="002008EA"/>
    <w:rsid w:val="002067BB"/>
    <w:rsid w:val="00210E6E"/>
    <w:rsid w:val="0021130B"/>
    <w:rsid w:val="0021425F"/>
    <w:rsid w:val="00214623"/>
    <w:rsid w:val="002204E1"/>
    <w:rsid w:val="00220BDD"/>
    <w:rsid w:val="002213BD"/>
    <w:rsid w:val="002233A9"/>
    <w:rsid w:val="002237CD"/>
    <w:rsid w:val="00223CA6"/>
    <w:rsid w:val="002247B9"/>
    <w:rsid w:val="002251DF"/>
    <w:rsid w:val="00226FDC"/>
    <w:rsid w:val="00227D6C"/>
    <w:rsid w:val="00230683"/>
    <w:rsid w:val="00230C18"/>
    <w:rsid w:val="00230C8D"/>
    <w:rsid w:val="0023135E"/>
    <w:rsid w:val="00233294"/>
    <w:rsid w:val="002332E3"/>
    <w:rsid w:val="00233C20"/>
    <w:rsid w:val="00234B27"/>
    <w:rsid w:val="00241202"/>
    <w:rsid w:val="00243341"/>
    <w:rsid w:val="00244177"/>
    <w:rsid w:val="00250E1E"/>
    <w:rsid w:val="002525F4"/>
    <w:rsid w:val="002536C1"/>
    <w:rsid w:val="00253B59"/>
    <w:rsid w:val="00254E63"/>
    <w:rsid w:val="00255C78"/>
    <w:rsid w:val="002576BA"/>
    <w:rsid w:val="002611B5"/>
    <w:rsid w:val="00262287"/>
    <w:rsid w:val="002630BC"/>
    <w:rsid w:val="00263A81"/>
    <w:rsid w:val="00263CDA"/>
    <w:rsid w:val="00263E70"/>
    <w:rsid w:val="0026404A"/>
    <w:rsid w:val="002643CB"/>
    <w:rsid w:val="002645CE"/>
    <w:rsid w:val="00266AC4"/>
    <w:rsid w:val="00267207"/>
    <w:rsid w:val="00270619"/>
    <w:rsid w:val="00273089"/>
    <w:rsid w:val="00273166"/>
    <w:rsid w:val="00277106"/>
    <w:rsid w:val="00280263"/>
    <w:rsid w:val="002843CA"/>
    <w:rsid w:val="002860A5"/>
    <w:rsid w:val="00287338"/>
    <w:rsid w:val="00290282"/>
    <w:rsid w:val="00290C2A"/>
    <w:rsid w:val="00292CC1"/>
    <w:rsid w:val="0029332A"/>
    <w:rsid w:val="00295872"/>
    <w:rsid w:val="00295A47"/>
    <w:rsid w:val="00297905"/>
    <w:rsid w:val="00297D11"/>
    <w:rsid w:val="002A3B49"/>
    <w:rsid w:val="002A58BA"/>
    <w:rsid w:val="002A7176"/>
    <w:rsid w:val="002A77A8"/>
    <w:rsid w:val="002B0505"/>
    <w:rsid w:val="002B1D14"/>
    <w:rsid w:val="002B21AC"/>
    <w:rsid w:val="002B4F7B"/>
    <w:rsid w:val="002C0932"/>
    <w:rsid w:val="002C0B4F"/>
    <w:rsid w:val="002C118F"/>
    <w:rsid w:val="002C2351"/>
    <w:rsid w:val="002C3005"/>
    <w:rsid w:val="002C3276"/>
    <w:rsid w:val="002C39F7"/>
    <w:rsid w:val="002C3D88"/>
    <w:rsid w:val="002C4175"/>
    <w:rsid w:val="002C430E"/>
    <w:rsid w:val="002C6551"/>
    <w:rsid w:val="002D02D0"/>
    <w:rsid w:val="002D05FE"/>
    <w:rsid w:val="002D0AAC"/>
    <w:rsid w:val="002D0B08"/>
    <w:rsid w:val="002D0EB6"/>
    <w:rsid w:val="002D4778"/>
    <w:rsid w:val="002D59C4"/>
    <w:rsid w:val="002D5F0B"/>
    <w:rsid w:val="002E5C9A"/>
    <w:rsid w:val="002E6354"/>
    <w:rsid w:val="002F00EC"/>
    <w:rsid w:val="002F0173"/>
    <w:rsid w:val="002F0820"/>
    <w:rsid w:val="002F2FD6"/>
    <w:rsid w:val="002F504F"/>
    <w:rsid w:val="002F6228"/>
    <w:rsid w:val="002F77C0"/>
    <w:rsid w:val="003049A9"/>
    <w:rsid w:val="00304A3B"/>
    <w:rsid w:val="00305FFA"/>
    <w:rsid w:val="00306AF4"/>
    <w:rsid w:val="00306C68"/>
    <w:rsid w:val="0030778C"/>
    <w:rsid w:val="00310047"/>
    <w:rsid w:val="0031110E"/>
    <w:rsid w:val="003120F1"/>
    <w:rsid w:val="003123DE"/>
    <w:rsid w:val="00313602"/>
    <w:rsid w:val="0031626E"/>
    <w:rsid w:val="003200EF"/>
    <w:rsid w:val="0032068F"/>
    <w:rsid w:val="003215C0"/>
    <w:rsid w:val="00321685"/>
    <w:rsid w:val="003221DB"/>
    <w:rsid w:val="00322D98"/>
    <w:rsid w:val="00323E24"/>
    <w:rsid w:val="00324CF9"/>
    <w:rsid w:val="00324EB6"/>
    <w:rsid w:val="00326A8E"/>
    <w:rsid w:val="00332A44"/>
    <w:rsid w:val="003332DB"/>
    <w:rsid w:val="003339AF"/>
    <w:rsid w:val="00335C3F"/>
    <w:rsid w:val="003368F8"/>
    <w:rsid w:val="0034152B"/>
    <w:rsid w:val="00342246"/>
    <w:rsid w:val="0034281A"/>
    <w:rsid w:val="003431AE"/>
    <w:rsid w:val="0034462E"/>
    <w:rsid w:val="00344D24"/>
    <w:rsid w:val="00346BAE"/>
    <w:rsid w:val="0035057E"/>
    <w:rsid w:val="0035720C"/>
    <w:rsid w:val="0035773E"/>
    <w:rsid w:val="0035780E"/>
    <w:rsid w:val="00360A01"/>
    <w:rsid w:val="00361031"/>
    <w:rsid w:val="00362964"/>
    <w:rsid w:val="003656D1"/>
    <w:rsid w:val="00373B98"/>
    <w:rsid w:val="0037622F"/>
    <w:rsid w:val="003764B6"/>
    <w:rsid w:val="00380578"/>
    <w:rsid w:val="003808AA"/>
    <w:rsid w:val="00381ED4"/>
    <w:rsid w:val="003822D3"/>
    <w:rsid w:val="003831BB"/>
    <w:rsid w:val="00385DA5"/>
    <w:rsid w:val="003860F6"/>
    <w:rsid w:val="00386D92"/>
    <w:rsid w:val="00390A6D"/>
    <w:rsid w:val="0039155F"/>
    <w:rsid w:val="003964AC"/>
    <w:rsid w:val="00396D8D"/>
    <w:rsid w:val="003A500B"/>
    <w:rsid w:val="003A602F"/>
    <w:rsid w:val="003B052D"/>
    <w:rsid w:val="003B4DD0"/>
    <w:rsid w:val="003B531C"/>
    <w:rsid w:val="003B57DA"/>
    <w:rsid w:val="003B6BE2"/>
    <w:rsid w:val="003B6CFC"/>
    <w:rsid w:val="003C0BD2"/>
    <w:rsid w:val="003C39E9"/>
    <w:rsid w:val="003C56A4"/>
    <w:rsid w:val="003C6208"/>
    <w:rsid w:val="003D5F0D"/>
    <w:rsid w:val="003D646D"/>
    <w:rsid w:val="003D681E"/>
    <w:rsid w:val="003D6D19"/>
    <w:rsid w:val="003D6E5B"/>
    <w:rsid w:val="003D70C2"/>
    <w:rsid w:val="003D73BC"/>
    <w:rsid w:val="003E0551"/>
    <w:rsid w:val="003E20B6"/>
    <w:rsid w:val="003E2417"/>
    <w:rsid w:val="003E5E5A"/>
    <w:rsid w:val="003E74DA"/>
    <w:rsid w:val="003E7EBF"/>
    <w:rsid w:val="003F192F"/>
    <w:rsid w:val="003F272A"/>
    <w:rsid w:val="003F53A5"/>
    <w:rsid w:val="003F5445"/>
    <w:rsid w:val="0040087D"/>
    <w:rsid w:val="00402921"/>
    <w:rsid w:val="004030FD"/>
    <w:rsid w:val="0040482B"/>
    <w:rsid w:val="00405F4C"/>
    <w:rsid w:val="004102B2"/>
    <w:rsid w:val="004124AF"/>
    <w:rsid w:val="0041372E"/>
    <w:rsid w:val="004201B5"/>
    <w:rsid w:val="00420CA8"/>
    <w:rsid w:val="004229B4"/>
    <w:rsid w:val="0042403D"/>
    <w:rsid w:val="004301B2"/>
    <w:rsid w:val="00430ECC"/>
    <w:rsid w:val="00430FB4"/>
    <w:rsid w:val="00432817"/>
    <w:rsid w:val="00436134"/>
    <w:rsid w:val="00436E42"/>
    <w:rsid w:val="004374DE"/>
    <w:rsid w:val="004404F6"/>
    <w:rsid w:val="00441057"/>
    <w:rsid w:val="00441EE5"/>
    <w:rsid w:val="004431BC"/>
    <w:rsid w:val="00443720"/>
    <w:rsid w:val="004457BC"/>
    <w:rsid w:val="00450E0C"/>
    <w:rsid w:val="004520F2"/>
    <w:rsid w:val="00452B7A"/>
    <w:rsid w:val="00452CC2"/>
    <w:rsid w:val="00453803"/>
    <w:rsid w:val="00454261"/>
    <w:rsid w:val="00461052"/>
    <w:rsid w:val="0046264C"/>
    <w:rsid w:val="00462726"/>
    <w:rsid w:val="004650ED"/>
    <w:rsid w:val="00465A5E"/>
    <w:rsid w:val="0047144A"/>
    <w:rsid w:val="0047312B"/>
    <w:rsid w:val="004773BF"/>
    <w:rsid w:val="00477DAF"/>
    <w:rsid w:val="00481265"/>
    <w:rsid w:val="00481E22"/>
    <w:rsid w:val="004833E0"/>
    <w:rsid w:val="004841D4"/>
    <w:rsid w:val="00485771"/>
    <w:rsid w:val="00486B27"/>
    <w:rsid w:val="0049087C"/>
    <w:rsid w:val="0049495F"/>
    <w:rsid w:val="00494ED4"/>
    <w:rsid w:val="00494F8D"/>
    <w:rsid w:val="00495204"/>
    <w:rsid w:val="00495C1D"/>
    <w:rsid w:val="00495DDC"/>
    <w:rsid w:val="00495FF5"/>
    <w:rsid w:val="00496CBD"/>
    <w:rsid w:val="0049766C"/>
    <w:rsid w:val="004A2172"/>
    <w:rsid w:val="004A24B9"/>
    <w:rsid w:val="004A3185"/>
    <w:rsid w:val="004A34A2"/>
    <w:rsid w:val="004A5836"/>
    <w:rsid w:val="004A6C04"/>
    <w:rsid w:val="004A6FEB"/>
    <w:rsid w:val="004B1EBD"/>
    <w:rsid w:val="004B2D3F"/>
    <w:rsid w:val="004B3556"/>
    <w:rsid w:val="004B48DF"/>
    <w:rsid w:val="004B4EFF"/>
    <w:rsid w:val="004B569F"/>
    <w:rsid w:val="004B5EE7"/>
    <w:rsid w:val="004B6BCA"/>
    <w:rsid w:val="004C1BA3"/>
    <w:rsid w:val="004C26D8"/>
    <w:rsid w:val="004C3881"/>
    <w:rsid w:val="004C52AD"/>
    <w:rsid w:val="004C5814"/>
    <w:rsid w:val="004C59FD"/>
    <w:rsid w:val="004C725B"/>
    <w:rsid w:val="004C7541"/>
    <w:rsid w:val="004D4E35"/>
    <w:rsid w:val="004D5667"/>
    <w:rsid w:val="004D649A"/>
    <w:rsid w:val="004D7442"/>
    <w:rsid w:val="004D7D0A"/>
    <w:rsid w:val="004E1539"/>
    <w:rsid w:val="004E3A3D"/>
    <w:rsid w:val="004E5E39"/>
    <w:rsid w:val="004F20DC"/>
    <w:rsid w:val="004F2977"/>
    <w:rsid w:val="004F758C"/>
    <w:rsid w:val="0050036C"/>
    <w:rsid w:val="00500607"/>
    <w:rsid w:val="00501DE7"/>
    <w:rsid w:val="00505A08"/>
    <w:rsid w:val="00505C3D"/>
    <w:rsid w:val="00510C8C"/>
    <w:rsid w:val="00512194"/>
    <w:rsid w:val="00514FDE"/>
    <w:rsid w:val="00516C5E"/>
    <w:rsid w:val="00516F76"/>
    <w:rsid w:val="00522070"/>
    <w:rsid w:val="0052399E"/>
    <w:rsid w:val="00524DDC"/>
    <w:rsid w:val="0052628E"/>
    <w:rsid w:val="005274E5"/>
    <w:rsid w:val="00527754"/>
    <w:rsid w:val="00527FB4"/>
    <w:rsid w:val="00532687"/>
    <w:rsid w:val="005347DD"/>
    <w:rsid w:val="00540188"/>
    <w:rsid w:val="005420DF"/>
    <w:rsid w:val="00542FD2"/>
    <w:rsid w:val="005430DE"/>
    <w:rsid w:val="00543E10"/>
    <w:rsid w:val="00544291"/>
    <w:rsid w:val="00544F4F"/>
    <w:rsid w:val="00546349"/>
    <w:rsid w:val="005467A3"/>
    <w:rsid w:val="00547B6D"/>
    <w:rsid w:val="005526A6"/>
    <w:rsid w:val="005530C7"/>
    <w:rsid w:val="00554F50"/>
    <w:rsid w:val="005609A0"/>
    <w:rsid w:val="00563421"/>
    <w:rsid w:val="00563E81"/>
    <w:rsid w:val="00565E99"/>
    <w:rsid w:val="0056782A"/>
    <w:rsid w:val="005678FC"/>
    <w:rsid w:val="00567C31"/>
    <w:rsid w:val="005708B6"/>
    <w:rsid w:val="00570DBE"/>
    <w:rsid w:val="0057202C"/>
    <w:rsid w:val="0057384D"/>
    <w:rsid w:val="00574ABA"/>
    <w:rsid w:val="005752FC"/>
    <w:rsid w:val="005754FF"/>
    <w:rsid w:val="00575F55"/>
    <w:rsid w:val="00577FCD"/>
    <w:rsid w:val="0058044C"/>
    <w:rsid w:val="00581210"/>
    <w:rsid w:val="00582B3B"/>
    <w:rsid w:val="0058526B"/>
    <w:rsid w:val="0058629F"/>
    <w:rsid w:val="005927D1"/>
    <w:rsid w:val="005931DA"/>
    <w:rsid w:val="005946C3"/>
    <w:rsid w:val="00594D71"/>
    <w:rsid w:val="00595980"/>
    <w:rsid w:val="005A07C9"/>
    <w:rsid w:val="005A121E"/>
    <w:rsid w:val="005A3707"/>
    <w:rsid w:val="005A3FDD"/>
    <w:rsid w:val="005A4001"/>
    <w:rsid w:val="005A60CC"/>
    <w:rsid w:val="005A640C"/>
    <w:rsid w:val="005A6D81"/>
    <w:rsid w:val="005B1348"/>
    <w:rsid w:val="005B1D5C"/>
    <w:rsid w:val="005B21F4"/>
    <w:rsid w:val="005B5DB2"/>
    <w:rsid w:val="005B6CB9"/>
    <w:rsid w:val="005C268C"/>
    <w:rsid w:val="005C2905"/>
    <w:rsid w:val="005C5A05"/>
    <w:rsid w:val="005C617F"/>
    <w:rsid w:val="005C6E2B"/>
    <w:rsid w:val="005C6F00"/>
    <w:rsid w:val="005C77A7"/>
    <w:rsid w:val="005C7B6A"/>
    <w:rsid w:val="005E2AAB"/>
    <w:rsid w:val="005E3152"/>
    <w:rsid w:val="005E5180"/>
    <w:rsid w:val="005E6DFF"/>
    <w:rsid w:val="005E707D"/>
    <w:rsid w:val="005E7C56"/>
    <w:rsid w:val="005F0A5E"/>
    <w:rsid w:val="005F1C78"/>
    <w:rsid w:val="005F2EBC"/>
    <w:rsid w:val="005F320F"/>
    <w:rsid w:val="005F3847"/>
    <w:rsid w:val="005F425B"/>
    <w:rsid w:val="005F52D7"/>
    <w:rsid w:val="005F5B4D"/>
    <w:rsid w:val="005F6008"/>
    <w:rsid w:val="005F6274"/>
    <w:rsid w:val="006011E6"/>
    <w:rsid w:val="00601603"/>
    <w:rsid w:val="0060240C"/>
    <w:rsid w:val="0060318B"/>
    <w:rsid w:val="006031CF"/>
    <w:rsid w:val="00604088"/>
    <w:rsid w:val="0060423A"/>
    <w:rsid w:val="006046C4"/>
    <w:rsid w:val="006052D2"/>
    <w:rsid w:val="00605929"/>
    <w:rsid w:val="00606B41"/>
    <w:rsid w:val="0061129C"/>
    <w:rsid w:val="006176E3"/>
    <w:rsid w:val="0062073A"/>
    <w:rsid w:val="006217D6"/>
    <w:rsid w:val="00621992"/>
    <w:rsid w:val="00625E79"/>
    <w:rsid w:val="00630155"/>
    <w:rsid w:val="00630216"/>
    <w:rsid w:val="006317F8"/>
    <w:rsid w:val="006324B6"/>
    <w:rsid w:val="00632BAE"/>
    <w:rsid w:val="00632D5A"/>
    <w:rsid w:val="006345E8"/>
    <w:rsid w:val="00634E9B"/>
    <w:rsid w:val="00635A72"/>
    <w:rsid w:val="006367A5"/>
    <w:rsid w:val="006371B2"/>
    <w:rsid w:val="00640B30"/>
    <w:rsid w:val="00642471"/>
    <w:rsid w:val="00642BE3"/>
    <w:rsid w:val="00643266"/>
    <w:rsid w:val="00643D26"/>
    <w:rsid w:val="006453DC"/>
    <w:rsid w:val="00646A8F"/>
    <w:rsid w:val="006470D2"/>
    <w:rsid w:val="006506D9"/>
    <w:rsid w:val="00651CD5"/>
    <w:rsid w:val="00655155"/>
    <w:rsid w:val="00655192"/>
    <w:rsid w:val="00655352"/>
    <w:rsid w:val="006574BA"/>
    <w:rsid w:val="00657F6A"/>
    <w:rsid w:val="00660BA3"/>
    <w:rsid w:val="00662537"/>
    <w:rsid w:val="00662FD9"/>
    <w:rsid w:val="0066364D"/>
    <w:rsid w:val="00664D2F"/>
    <w:rsid w:val="00664E2A"/>
    <w:rsid w:val="00667D86"/>
    <w:rsid w:val="00670A72"/>
    <w:rsid w:val="00672094"/>
    <w:rsid w:val="00672168"/>
    <w:rsid w:val="00674568"/>
    <w:rsid w:val="00674E5B"/>
    <w:rsid w:val="006770AA"/>
    <w:rsid w:val="00677410"/>
    <w:rsid w:val="006800E9"/>
    <w:rsid w:val="00682B72"/>
    <w:rsid w:val="006831D2"/>
    <w:rsid w:val="00683AC6"/>
    <w:rsid w:val="006873D2"/>
    <w:rsid w:val="00687D98"/>
    <w:rsid w:val="00687FEF"/>
    <w:rsid w:val="0069338F"/>
    <w:rsid w:val="0069556C"/>
    <w:rsid w:val="00697576"/>
    <w:rsid w:val="006A082E"/>
    <w:rsid w:val="006A13CE"/>
    <w:rsid w:val="006A25C7"/>
    <w:rsid w:val="006A3B67"/>
    <w:rsid w:val="006A4B55"/>
    <w:rsid w:val="006A5771"/>
    <w:rsid w:val="006B1122"/>
    <w:rsid w:val="006B2D4F"/>
    <w:rsid w:val="006B3109"/>
    <w:rsid w:val="006B3CB2"/>
    <w:rsid w:val="006B51B3"/>
    <w:rsid w:val="006C0C7B"/>
    <w:rsid w:val="006C11FE"/>
    <w:rsid w:val="006C13F0"/>
    <w:rsid w:val="006C2413"/>
    <w:rsid w:val="006C378E"/>
    <w:rsid w:val="006C5FA3"/>
    <w:rsid w:val="006C71FD"/>
    <w:rsid w:val="006C730B"/>
    <w:rsid w:val="006C7A21"/>
    <w:rsid w:val="006D2BDB"/>
    <w:rsid w:val="006D2EA2"/>
    <w:rsid w:val="006D3B64"/>
    <w:rsid w:val="006E04FD"/>
    <w:rsid w:val="006E3D39"/>
    <w:rsid w:val="006E3EF5"/>
    <w:rsid w:val="006F0CF0"/>
    <w:rsid w:val="006F1F64"/>
    <w:rsid w:val="006F3A50"/>
    <w:rsid w:val="006F3F90"/>
    <w:rsid w:val="006F4480"/>
    <w:rsid w:val="006F6BAF"/>
    <w:rsid w:val="006F6D86"/>
    <w:rsid w:val="006F743E"/>
    <w:rsid w:val="006F7721"/>
    <w:rsid w:val="00703CB3"/>
    <w:rsid w:val="00704A22"/>
    <w:rsid w:val="007107CF"/>
    <w:rsid w:val="00712E29"/>
    <w:rsid w:val="00715184"/>
    <w:rsid w:val="007164C2"/>
    <w:rsid w:val="00721F9A"/>
    <w:rsid w:val="00722AE8"/>
    <w:rsid w:val="007249F7"/>
    <w:rsid w:val="00724EF5"/>
    <w:rsid w:val="00726398"/>
    <w:rsid w:val="007268E7"/>
    <w:rsid w:val="00726928"/>
    <w:rsid w:val="0073133F"/>
    <w:rsid w:val="00731E07"/>
    <w:rsid w:val="00732236"/>
    <w:rsid w:val="00732F67"/>
    <w:rsid w:val="007358E7"/>
    <w:rsid w:val="00741E1D"/>
    <w:rsid w:val="007440C1"/>
    <w:rsid w:val="00744AC2"/>
    <w:rsid w:val="007464DF"/>
    <w:rsid w:val="00747E01"/>
    <w:rsid w:val="00747F95"/>
    <w:rsid w:val="00751ECB"/>
    <w:rsid w:val="00752E27"/>
    <w:rsid w:val="00755943"/>
    <w:rsid w:val="00761753"/>
    <w:rsid w:val="0076298A"/>
    <w:rsid w:val="00767E20"/>
    <w:rsid w:val="00767FF8"/>
    <w:rsid w:val="00773201"/>
    <w:rsid w:val="00773D30"/>
    <w:rsid w:val="00774630"/>
    <w:rsid w:val="00774BDE"/>
    <w:rsid w:val="00780545"/>
    <w:rsid w:val="007808F6"/>
    <w:rsid w:val="0078143B"/>
    <w:rsid w:val="00781750"/>
    <w:rsid w:val="00781D10"/>
    <w:rsid w:val="00783FF5"/>
    <w:rsid w:val="00786044"/>
    <w:rsid w:val="00787520"/>
    <w:rsid w:val="0079229B"/>
    <w:rsid w:val="007941E5"/>
    <w:rsid w:val="007954B3"/>
    <w:rsid w:val="00795A23"/>
    <w:rsid w:val="00797088"/>
    <w:rsid w:val="007A02F4"/>
    <w:rsid w:val="007A1871"/>
    <w:rsid w:val="007A2BD5"/>
    <w:rsid w:val="007A3B5F"/>
    <w:rsid w:val="007A4F28"/>
    <w:rsid w:val="007B0681"/>
    <w:rsid w:val="007B1FB9"/>
    <w:rsid w:val="007B242D"/>
    <w:rsid w:val="007B75E0"/>
    <w:rsid w:val="007C02DC"/>
    <w:rsid w:val="007C07BE"/>
    <w:rsid w:val="007C0BB9"/>
    <w:rsid w:val="007C3061"/>
    <w:rsid w:val="007C3C84"/>
    <w:rsid w:val="007C792C"/>
    <w:rsid w:val="007D1D5D"/>
    <w:rsid w:val="007D2895"/>
    <w:rsid w:val="007D3E2A"/>
    <w:rsid w:val="007D5D00"/>
    <w:rsid w:val="007D6541"/>
    <w:rsid w:val="007D6E19"/>
    <w:rsid w:val="007D7874"/>
    <w:rsid w:val="007E15E7"/>
    <w:rsid w:val="007E1B0A"/>
    <w:rsid w:val="007E2382"/>
    <w:rsid w:val="007E2F81"/>
    <w:rsid w:val="007E340F"/>
    <w:rsid w:val="007E5CD3"/>
    <w:rsid w:val="007E6551"/>
    <w:rsid w:val="007E658C"/>
    <w:rsid w:val="007E673B"/>
    <w:rsid w:val="007E74AD"/>
    <w:rsid w:val="007E7C00"/>
    <w:rsid w:val="007F115B"/>
    <w:rsid w:val="007F16B8"/>
    <w:rsid w:val="007F3F26"/>
    <w:rsid w:val="007F55D1"/>
    <w:rsid w:val="007F6CD6"/>
    <w:rsid w:val="0080388F"/>
    <w:rsid w:val="00803EE6"/>
    <w:rsid w:val="00804550"/>
    <w:rsid w:val="00805CE3"/>
    <w:rsid w:val="00806443"/>
    <w:rsid w:val="00806E46"/>
    <w:rsid w:val="008079EF"/>
    <w:rsid w:val="0081089F"/>
    <w:rsid w:val="00811846"/>
    <w:rsid w:val="00813494"/>
    <w:rsid w:val="008150A4"/>
    <w:rsid w:val="008169A1"/>
    <w:rsid w:val="008203B6"/>
    <w:rsid w:val="00820460"/>
    <w:rsid w:val="00820B94"/>
    <w:rsid w:val="00821958"/>
    <w:rsid w:val="00821D9E"/>
    <w:rsid w:val="00822A95"/>
    <w:rsid w:val="00825F94"/>
    <w:rsid w:val="00827629"/>
    <w:rsid w:val="00831578"/>
    <w:rsid w:val="00832C5D"/>
    <w:rsid w:val="0083322F"/>
    <w:rsid w:val="00833705"/>
    <w:rsid w:val="008343BD"/>
    <w:rsid w:val="00834792"/>
    <w:rsid w:val="00834C4E"/>
    <w:rsid w:val="00835CEB"/>
    <w:rsid w:val="0083691B"/>
    <w:rsid w:val="00840309"/>
    <w:rsid w:val="0084074E"/>
    <w:rsid w:val="00841A54"/>
    <w:rsid w:val="008422B0"/>
    <w:rsid w:val="00842497"/>
    <w:rsid w:val="00842CE7"/>
    <w:rsid w:val="00842DC9"/>
    <w:rsid w:val="008436C1"/>
    <w:rsid w:val="00843DB5"/>
    <w:rsid w:val="008442FD"/>
    <w:rsid w:val="00844C6B"/>
    <w:rsid w:val="00847475"/>
    <w:rsid w:val="00847A8E"/>
    <w:rsid w:val="00847E79"/>
    <w:rsid w:val="00850169"/>
    <w:rsid w:val="00851C0C"/>
    <w:rsid w:val="008531DB"/>
    <w:rsid w:val="008531E5"/>
    <w:rsid w:val="00857BAD"/>
    <w:rsid w:val="00857CDC"/>
    <w:rsid w:val="00860672"/>
    <w:rsid w:val="00862225"/>
    <w:rsid w:val="00864E92"/>
    <w:rsid w:val="00865885"/>
    <w:rsid w:val="00865D68"/>
    <w:rsid w:val="008672A1"/>
    <w:rsid w:val="00867CCF"/>
    <w:rsid w:val="00871028"/>
    <w:rsid w:val="0087143B"/>
    <w:rsid w:val="00873BB8"/>
    <w:rsid w:val="00875E02"/>
    <w:rsid w:val="008764C5"/>
    <w:rsid w:val="00877A47"/>
    <w:rsid w:val="00877F3B"/>
    <w:rsid w:val="00880B22"/>
    <w:rsid w:val="00881494"/>
    <w:rsid w:val="008836BC"/>
    <w:rsid w:val="008842CC"/>
    <w:rsid w:val="00884994"/>
    <w:rsid w:val="00884E49"/>
    <w:rsid w:val="0088561E"/>
    <w:rsid w:val="00893270"/>
    <w:rsid w:val="00894FB9"/>
    <w:rsid w:val="0089716C"/>
    <w:rsid w:val="008978BC"/>
    <w:rsid w:val="008A081B"/>
    <w:rsid w:val="008A3831"/>
    <w:rsid w:val="008A5C9F"/>
    <w:rsid w:val="008A778B"/>
    <w:rsid w:val="008A7A1A"/>
    <w:rsid w:val="008B0254"/>
    <w:rsid w:val="008B13BD"/>
    <w:rsid w:val="008B307D"/>
    <w:rsid w:val="008B7DB7"/>
    <w:rsid w:val="008C0B83"/>
    <w:rsid w:val="008C1C2D"/>
    <w:rsid w:val="008C37E3"/>
    <w:rsid w:val="008C3ABD"/>
    <w:rsid w:val="008C5674"/>
    <w:rsid w:val="008C5876"/>
    <w:rsid w:val="008C61D5"/>
    <w:rsid w:val="008C7F18"/>
    <w:rsid w:val="008D31BA"/>
    <w:rsid w:val="008D33BF"/>
    <w:rsid w:val="008D4CA0"/>
    <w:rsid w:val="008D4DCC"/>
    <w:rsid w:val="008D501D"/>
    <w:rsid w:val="008D60CA"/>
    <w:rsid w:val="008D6911"/>
    <w:rsid w:val="008D6EF0"/>
    <w:rsid w:val="008D6F7E"/>
    <w:rsid w:val="008E25D5"/>
    <w:rsid w:val="008E6A2E"/>
    <w:rsid w:val="008F10F4"/>
    <w:rsid w:val="008F33D3"/>
    <w:rsid w:val="008F5327"/>
    <w:rsid w:val="008F612F"/>
    <w:rsid w:val="008F7D54"/>
    <w:rsid w:val="0090072E"/>
    <w:rsid w:val="009016BB"/>
    <w:rsid w:val="00901E04"/>
    <w:rsid w:val="009020A0"/>
    <w:rsid w:val="009023D3"/>
    <w:rsid w:val="00902992"/>
    <w:rsid w:val="009046DB"/>
    <w:rsid w:val="00905CAA"/>
    <w:rsid w:val="00905FE8"/>
    <w:rsid w:val="009067F8"/>
    <w:rsid w:val="00910170"/>
    <w:rsid w:val="00912142"/>
    <w:rsid w:val="0091299F"/>
    <w:rsid w:val="009136F4"/>
    <w:rsid w:val="00916D4F"/>
    <w:rsid w:val="00917037"/>
    <w:rsid w:val="009201D9"/>
    <w:rsid w:val="009217A0"/>
    <w:rsid w:val="00921AF6"/>
    <w:rsid w:val="0092275C"/>
    <w:rsid w:val="00924019"/>
    <w:rsid w:val="00924D41"/>
    <w:rsid w:val="00924F47"/>
    <w:rsid w:val="009257B3"/>
    <w:rsid w:val="00925E62"/>
    <w:rsid w:val="0093172F"/>
    <w:rsid w:val="0093328B"/>
    <w:rsid w:val="00941BEE"/>
    <w:rsid w:val="00941C6E"/>
    <w:rsid w:val="00941FE3"/>
    <w:rsid w:val="00943191"/>
    <w:rsid w:val="009442BE"/>
    <w:rsid w:val="00945DE7"/>
    <w:rsid w:val="0094660F"/>
    <w:rsid w:val="009468B1"/>
    <w:rsid w:val="00947E34"/>
    <w:rsid w:val="00950A18"/>
    <w:rsid w:val="00951C73"/>
    <w:rsid w:val="00955CD2"/>
    <w:rsid w:val="00957345"/>
    <w:rsid w:val="009578A9"/>
    <w:rsid w:val="0096198A"/>
    <w:rsid w:val="009639D9"/>
    <w:rsid w:val="009662CC"/>
    <w:rsid w:val="009709F0"/>
    <w:rsid w:val="0097127C"/>
    <w:rsid w:val="0097303C"/>
    <w:rsid w:val="0097351A"/>
    <w:rsid w:val="00976592"/>
    <w:rsid w:val="00976F78"/>
    <w:rsid w:val="0097784F"/>
    <w:rsid w:val="009829CD"/>
    <w:rsid w:val="00982D49"/>
    <w:rsid w:val="00983F1C"/>
    <w:rsid w:val="009845C8"/>
    <w:rsid w:val="00990D83"/>
    <w:rsid w:val="00991655"/>
    <w:rsid w:val="0099339E"/>
    <w:rsid w:val="00993830"/>
    <w:rsid w:val="0099405C"/>
    <w:rsid w:val="0099471A"/>
    <w:rsid w:val="009949C3"/>
    <w:rsid w:val="009951CC"/>
    <w:rsid w:val="009970F6"/>
    <w:rsid w:val="00997898"/>
    <w:rsid w:val="00997A89"/>
    <w:rsid w:val="00997A9E"/>
    <w:rsid w:val="009A128C"/>
    <w:rsid w:val="009A13B2"/>
    <w:rsid w:val="009A23EB"/>
    <w:rsid w:val="009A2EC8"/>
    <w:rsid w:val="009A4A98"/>
    <w:rsid w:val="009A7480"/>
    <w:rsid w:val="009B047F"/>
    <w:rsid w:val="009B3029"/>
    <w:rsid w:val="009B7630"/>
    <w:rsid w:val="009C1AC9"/>
    <w:rsid w:val="009C6073"/>
    <w:rsid w:val="009C63A6"/>
    <w:rsid w:val="009C648B"/>
    <w:rsid w:val="009C732B"/>
    <w:rsid w:val="009D3114"/>
    <w:rsid w:val="009D374F"/>
    <w:rsid w:val="009D4B9A"/>
    <w:rsid w:val="009D510B"/>
    <w:rsid w:val="009D6024"/>
    <w:rsid w:val="009E1326"/>
    <w:rsid w:val="009E25C8"/>
    <w:rsid w:val="009E7E8B"/>
    <w:rsid w:val="009F1061"/>
    <w:rsid w:val="009F2DCE"/>
    <w:rsid w:val="009F320B"/>
    <w:rsid w:val="009F4A11"/>
    <w:rsid w:val="009F53B9"/>
    <w:rsid w:val="009F5A84"/>
    <w:rsid w:val="009F6AAC"/>
    <w:rsid w:val="009F76EF"/>
    <w:rsid w:val="009F7A75"/>
    <w:rsid w:val="00A003E7"/>
    <w:rsid w:val="00A00612"/>
    <w:rsid w:val="00A01CCB"/>
    <w:rsid w:val="00A070CB"/>
    <w:rsid w:val="00A11BB9"/>
    <w:rsid w:val="00A11C46"/>
    <w:rsid w:val="00A11F7C"/>
    <w:rsid w:val="00A14B86"/>
    <w:rsid w:val="00A14C3D"/>
    <w:rsid w:val="00A14EC5"/>
    <w:rsid w:val="00A16900"/>
    <w:rsid w:val="00A1709D"/>
    <w:rsid w:val="00A2019D"/>
    <w:rsid w:val="00A21188"/>
    <w:rsid w:val="00A214F7"/>
    <w:rsid w:val="00A22C8E"/>
    <w:rsid w:val="00A2410B"/>
    <w:rsid w:val="00A24474"/>
    <w:rsid w:val="00A25231"/>
    <w:rsid w:val="00A27438"/>
    <w:rsid w:val="00A27AFF"/>
    <w:rsid w:val="00A33166"/>
    <w:rsid w:val="00A33C27"/>
    <w:rsid w:val="00A34568"/>
    <w:rsid w:val="00A350AA"/>
    <w:rsid w:val="00A36A5A"/>
    <w:rsid w:val="00A4060F"/>
    <w:rsid w:val="00A419C9"/>
    <w:rsid w:val="00A42F7E"/>
    <w:rsid w:val="00A43DB3"/>
    <w:rsid w:val="00A505EA"/>
    <w:rsid w:val="00A50F1A"/>
    <w:rsid w:val="00A54817"/>
    <w:rsid w:val="00A5505F"/>
    <w:rsid w:val="00A55A46"/>
    <w:rsid w:val="00A57715"/>
    <w:rsid w:val="00A61265"/>
    <w:rsid w:val="00A61E61"/>
    <w:rsid w:val="00A62EFE"/>
    <w:rsid w:val="00A62FA2"/>
    <w:rsid w:val="00A63AD7"/>
    <w:rsid w:val="00A647F0"/>
    <w:rsid w:val="00A657CD"/>
    <w:rsid w:val="00A65F95"/>
    <w:rsid w:val="00A70A76"/>
    <w:rsid w:val="00A71AD0"/>
    <w:rsid w:val="00A72119"/>
    <w:rsid w:val="00A7573F"/>
    <w:rsid w:val="00A75B0A"/>
    <w:rsid w:val="00A802D5"/>
    <w:rsid w:val="00A81A7A"/>
    <w:rsid w:val="00A81E8A"/>
    <w:rsid w:val="00A836BB"/>
    <w:rsid w:val="00A84805"/>
    <w:rsid w:val="00A848D8"/>
    <w:rsid w:val="00A84C11"/>
    <w:rsid w:val="00A85F76"/>
    <w:rsid w:val="00A8610F"/>
    <w:rsid w:val="00A901E7"/>
    <w:rsid w:val="00A91104"/>
    <w:rsid w:val="00A925EF"/>
    <w:rsid w:val="00A92B20"/>
    <w:rsid w:val="00A94658"/>
    <w:rsid w:val="00A97557"/>
    <w:rsid w:val="00AA0662"/>
    <w:rsid w:val="00AA0D51"/>
    <w:rsid w:val="00AA1263"/>
    <w:rsid w:val="00AA1281"/>
    <w:rsid w:val="00AA1B24"/>
    <w:rsid w:val="00AA2A15"/>
    <w:rsid w:val="00AA6A5B"/>
    <w:rsid w:val="00AB0954"/>
    <w:rsid w:val="00AB1390"/>
    <w:rsid w:val="00AB2AC7"/>
    <w:rsid w:val="00AB2B14"/>
    <w:rsid w:val="00AB2CA5"/>
    <w:rsid w:val="00AB5737"/>
    <w:rsid w:val="00AB6BD6"/>
    <w:rsid w:val="00AB7037"/>
    <w:rsid w:val="00AB74DD"/>
    <w:rsid w:val="00AC0262"/>
    <w:rsid w:val="00AC04F8"/>
    <w:rsid w:val="00AC0F28"/>
    <w:rsid w:val="00AD4A04"/>
    <w:rsid w:val="00AD785F"/>
    <w:rsid w:val="00AD7B02"/>
    <w:rsid w:val="00AE1658"/>
    <w:rsid w:val="00AE4AF3"/>
    <w:rsid w:val="00AE6EBB"/>
    <w:rsid w:val="00AF19D0"/>
    <w:rsid w:val="00AF1D72"/>
    <w:rsid w:val="00AF2953"/>
    <w:rsid w:val="00AF3268"/>
    <w:rsid w:val="00AF33EF"/>
    <w:rsid w:val="00AF363B"/>
    <w:rsid w:val="00AF3746"/>
    <w:rsid w:val="00AF709B"/>
    <w:rsid w:val="00AF7169"/>
    <w:rsid w:val="00B02308"/>
    <w:rsid w:val="00B02F14"/>
    <w:rsid w:val="00B0475E"/>
    <w:rsid w:val="00B049AB"/>
    <w:rsid w:val="00B057E6"/>
    <w:rsid w:val="00B1305C"/>
    <w:rsid w:val="00B13674"/>
    <w:rsid w:val="00B14A9D"/>
    <w:rsid w:val="00B152CC"/>
    <w:rsid w:val="00B169ED"/>
    <w:rsid w:val="00B21307"/>
    <w:rsid w:val="00B21693"/>
    <w:rsid w:val="00B21EE8"/>
    <w:rsid w:val="00B22C52"/>
    <w:rsid w:val="00B23CCB"/>
    <w:rsid w:val="00B263B9"/>
    <w:rsid w:val="00B31B4A"/>
    <w:rsid w:val="00B32FE4"/>
    <w:rsid w:val="00B343AE"/>
    <w:rsid w:val="00B36790"/>
    <w:rsid w:val="00B405ED"/>
    <w:rsid w:val="00B43587"/>
    <w:rsid w:val="00B438B9"/>
    <w:rsid w:val="00B45DB9"/>
    <w:rsid w:val="00B45EF9"/>
    <w:rsid w:val="00B46626"/>
    <w:rsid w:val="00B475BA"/>
    <w:rsid w:val="00B5062E"/>
    <w:rsid w:val="00B51469"/>
    <w:rsid w:val="00B54ABA"/>
    <w:rsid w:val="00B55C38"/>
    <w:rsid w:val="00B57D15"/>
    <w:rsid w:val="00B616D6"/>
    <w:rsid w:val="00B61E13"/>
    <w:rsid w:val="00B6270A"/>
    <w:rsid w:val="00B62ABE"/>
    <w:rsid w:val="00B62D1D"/>
    <w:rsid w:val="00B63975"/>
    <w:rsid w:val="00B64FCB"/>
    <w:rsid w:val="00B7001E"/>
    <w:rsid w:val="00B70256"/>
    <w:rsid w:val="00B71305"/>
    <w:rsid w:val="00B71CF9"/>
    <w:rsid w:val="00B75AED"/>
    <w:rsid w:val="00B763DD"/>
    <w:rsid w:val="00B769EA"/>
    <w:rsid w:val="00B77F55"/>
    <w:rsid w:val="00B802EC"/>
    <w:rsid w:val="00B80536"/>
    <w:rsid w:val="00B81594"/>
    <w:rsid w:val="00B825F7"/>
    <w:rsid w:val="00B83DF9"/>
    <w:rsid w:val="00B855CA"/>
    <w:rsid w:val="00B85810"/>
    <w:rsid w:val="00B86582"/>
    <w:rsid w:val="00B86A1F"/>
    <w:rsid w:val="00B876FE"/>
    <w:rsid w:val="00B914F2"/>
    <w:rsid w:val="00B92065"/>
    <w:rsid w:val="00B932B5"/>
    <w:rsid w:val="00B93D6D"/>
    <w:rsid w:val="00B95A54"/>
    <w:rsid w:val="00B965B4"/>
    <w:rsid w:val="00BA0123"/>
    <w:rsid w:val="00BA2123"/>
    <w:rsid w:val="00BA2E66"/>
    <w:rsid w:val="00BA5DB4"/>
    <w:rsid w:val="00BA6FA4"/>
    <w:rsid w:val="00BA7784"/>
    <w:rsid w:val="00BB3C1C"/>
    <w:rsid w:val="00BB57CD"/>
    <w:rsid w:val="00BC113F"/>
    <w:rsid w:val="00BC185F"/>
    <w:rsid w:val="00BC43D1"/>
    <w:rsid w:val="00BC45B6"/>
    <w:rsid w:val="00BC4BC7"/>
    <w:rsid w:val="00BC5A99"/>
    <w:rsid w:val="00BC739C"/>
    <w:rsid w:val="00BD1697"/>
    <w:rsid w:val="00BD688D"/>
    <w:rsid w:val="00BD7724"/>
    <w:rsid w:val="00BE016E"/>
    <w:rsid w:val="00BE0342"/>
    <w:rsid w:val="00BE125B"/>
    <w:rsid w:val="00BE1671"/>
    <w:rsid w:val="00BE19EC"/>
    <w:rsid w:val="00BE218F"/>
    <w:rsid w:val="00BE34AA"/>
    <w:rsid w:val="00BE3AB3"/>
    <w:rsid w:val="00BE6961"/>
    <w:rsid w:val="00BE79EF"/>
    <w:rsid w:val="00BF069B"/>
    <w:rsid w:val="00BF0B94"/>
    <w:rsid w:val="00BF3593"/>
    <w:rsid w:val="00BF48B9"/>
    <w:rsid w:val="00BF530B"/>
    <w:rsid w:val="00BF78BC"/>
    <w:rsid w:val="00C03930"/>
    <w:rsid w:val="00C06245"/>
    <w:rsid w:val="00C0665B"/>
    <w:rsid w:val="00C06EC7"/>
    <w:rsid w:val="00C070BF"/>
    <w:rsid w:val="00C10A1C"/>
    <w:rsid w:val="00C11300"/>
    <w:rsid w:val="00C11D2B"/>
    <w:rsid w:val="00C11F5B"/>
    <w:rsid w:val="00C1689E"/>
    <w:rsid w:val="00C2112A"/>
    <w:rsid w:val="00C25811"/>
    <w:rsid w:val="00C31559"/>
    <w:rsid w:val="00C3264E"/>
    <w:rsid w:val="00C339E6"/>
    <w:rsid w:val="00C351BA"/>
    <w:rsid w:val="00C366BF"/>
    <w:rsid w:val="00C36EAE"/>
    <w:rsid w:val="00C4259B"/>
    <w:rsid w:val="00C43ADC"/>
    <w:rsid w:val="00C51B6C"/>
    <w:rsid w:val="00C51E0E"/>
    <w:rsid w:val="00C53D0A"/>
    <w:rsid w:val="00C54DA1"/>
    <w:rsid w:val="00C54F9D"/>
    <w:rsid w:val="00C55F0A"/>
    <w:rsid w:val="00C56380"/>
    <w:rsid w:val="00C6055D"/>
    <w:rsid w:val="00C60C7C"/>
    <w:rsid w:val="00C61979"/>
    <w:rsid w:val="00C625E3"/>
    <w:rsid w:val="00C62712"/>
    <w:rsid w:val="00C6461E"/>
    <w:rsid w:val="00C66B25"/>
    <w:rsid w:val="00C768F0"/>
    <w:rsid w:val="00C80FFB"/>
    <w:rsid w:val="00C90555"/>
    <w:rsid w:val="00C94B0C"/>
    <w:rsid w:val="00C960DC"/>
    <w:rsid w:val="00C965DA"/>
    <w:rsid w:val="00CA174D"/>
    <w:rsid w:val="00CA2669"/>
    <w:rsid w:val="00CA26B2"/>
    <w:rsid w:val="00CA6835"/>
    <w:rsid w:val="00CB2767"/>
    <w:rsid w:val="00CC14EF"/>
    <w:rsid w:val="00CC255C"/>
    <w:rsid w:val="00CC4FA6"/>
    <w:rsid w:val="00CC52B9"/>
    <w:rsid w:val="00CD29E9"/>
    <w:rsid w:val="00CD2DD0"/>
    <w:rsid w:val="00CD328D"/>
    <w:rsid w:val="00CD5C6D"/>
    <w:rsid w:val="00CE0AE6"/>
    <w:rsid w:val="00CE1A45"/>
    <w:rsid w:val="00CE1CCE"/>
    <w:rsid w:val="00CE1E8D"/>
    <w:rsid w:val="00CF0744"/>
    <w:rsid w:val="00CF08F6"/>
    <w:rsid w:val="00CF242C"/>
    <w:rsid w:val="00CF6D94"/>
    <w:rsid w:val="00CF6E71"/>
    <w:rsid w:val="00CF72B3"/>
    <w:rsid w:val="00D01D9B"/>
    <w:rsid w:val="00D0472A"/>
    <w:rsid w:val="00D05AEA"/>
    <w:rsid w:val="00D0685D"/>
    <w:rsid w:val="00D06A9A"/>
    <w:rsid w:val="00D100E2"/>
    <w:rsid w:val="00D10D91"/>
    <w:rsid w:val="00D12076"/>
    <w:rsid w:val="00D13D6A"/>
    <w:rsid w:val="00D152CF"/>
    <w:rsid w:val="00D153CB"/>
    <w:rsid w:val="00D200B2"/>
    <w:rsid w:val="00D2127D"/>
    <w:rsid w:val="00D222ED"/>
    <w:rsid w:val="00D22B03"/>
    <w:rsid w:val="00D23038"/>
    <w:rsid w:val="00D237F8"/>
    <w:rsid w:val="00D23D3D"/>
    <w:rsid w:val="00D241B2"/>
    <w:rsid w:val="00D24218"/>
    <w:rsid w:val="00D24665"/>
    <w:rsid w:val="00D24E55"/>
    <w:rsid w:val="00D24F81"/>
    <w:rsid w:val="00D25449"/>
    <w:rsid w:val="00D27F5C"/>
    <w:rsid w:val="00D33148"/>
    <w:rsid w:val="00D35CD0"/>
    <w:rsid w:val="00D374AD"/>
    <w:rsid w:val="00D41FAC"/>
    <w:rsid w:val="00D43834"/>
    <w:rsid w:val="00D43AFD"/>
    <w:rsid w:val="00D448F1"/>
    <w:rsid w:val="00D4583D"/>
    <w:rsid w:val="00D45E1F"/>
    <w:rsid w:val="00D46540"/>
    <w:rsid w:val="00D5054D"/>
    <w:rsid w:val="00D50C62"/>
    <w:rsid w:val="00D510E9"/>
    <w:rsid w:val="00D51A9C"/>
    <w:rsid w:val="00D5232C"/>
    <w:rsid w:val="00D52979"/>
    <w:rsid w:val="00D53C68"/>
    <w:rsid w:val="00D54E00"/>
    <w:rsid w:val="00D57017"/>
    <w:rsid w:val="00D632DB"/>
    <w:rsid w:val="00D63840"/>
    <w:rsid w:val="00D646CF"/>
    <w:rsid w:val="00D65427"/>
    <w:rsid w:val="00D660B7"/>
    <w:rsid w:val="00D722C3"/>
    <w:rsid w:val="00D7292F"/>
    <w:rsid w:val="00D72A4C"/>
    <w:rsid w:val="00D75761"/>
    <w:rsid w:val="00D75CDE"/>
    <w:rsid w:val="00D8691D"/>
    <w:rsid w:val="00D903C4"/>
    <w:rsid w:val="00D92E45"/>
    <w:rsid w:val="00D9603A"/>
    <w:rsid w:val="00D96199"/>
    <w:rsid w:val="00D964AB"/>
    <w:rsid w:val="00DA34F6"/>
    <w:rsid w:val="00DA44FE"/>
    <w:rsid w:val="00DA451D"/>
    <w:rsid w:val="00DA4B1F"/>
    <w:rsid w:val="00DB0F88"/>
    <w:rsid w:val="00DB11AF"/>
    <w:rsid w:val="00DB1D53"/>
    <w:rsid w:val="00DB663A"/>
    <w:rsid w:val="00DC058C"/>
    <w:rsid w:val="00DC095C"/>
    <w:rsid w:val="00DC2214"/>
    <w:rsid w:val="00DC483A"/>
    <w:rsid w:val="00DC4D6E"/>
    <w:rsid w:val="00DC70C0"/>
    <w:rsid w:val="00DD3A1A"/>
    <w:rsid w:val="00DD55EA"/>
    <w:rsid w:val="00DE01F7"/>
    <w:rsid w:val="00DE03CC"/>
    <w:rsid w:val="00DE0C3C"/>
    <w:rsid w:val="00DE1133"/>
    <w:rsid w:val="00DE1D2D"/>
    <w:rsid w:val="00DE4154"/>
    <w:rsid w:val="00DE5E28"/>
    <w:rsid w:val="00DE7114"/>
    <w:rsid w:val="00DF1113"/>
    <w:rsid w:val="00DF1B76"/>
    <w:rsid w:val="00DF217F"/>
    <w:rsid w:val="00DF4338"/>
    <w:rsid w:val="00DF6EAE"/>
    <w:rsid w:val="00E052A4"/>
    <w:rsid w:val="00E05955"/>
    <w:rsid w:val="00E0625F"/>
    <w:rsid w:val="00E06E61"/>
    <w:rsid w:val="00E07244"/>
    <w:rsid w:val="00E11E28"/>
    <w:rsid w:val="00E12732"/>
    <w:rsid w:val="00E1478F"/>
    <w:rsid w:val="00E2283D"/>
    <w:rsid w:val="00E22D2D"/>
    <w:rsid w:val="00E235CA"/>
    <w:rsid w:val="00E24172"/>
    <w:rsid w:val="00E25169"/>
    <w:rsid w:val="00E25277"/>
    <w:rsid w:val="00E26AE9"/>
    <w:rsid w:val="00E3118B"/>
    <w:rsid w:val="00E31746"/>
    <w:rsid w:val="00E319EF"/>
    <w:rsid w:val="00E32E86"/>
    <w:rsid w:val="00E32FD7"/>
    <w:rsid w:val="00E33DCC"/>
    <w:rsid w:val="00E3408B"/>
    <w:rsid w:val="00E34584"/>
    <w:rsid w:val="00E346D8"/>
    <w:rsid w:val="00E348A3"/>
    <w:rsid w:val="00E35787"/>
    <w:rsid w:val="00E371C5"/>
    <w:rsid w:val="00E375FE"/>
    <w:rsid w:val="00E40D54"/>
    <w:rsid w:val="00E452B2"/>
    <w:rsid w:val="00E46944"/>
    <w:rsid w:val="00E50BC2"/>
    <w:rsid w:val="00E51B8E"/>
    <w:rsid w:val="00E5223F"/>
    <w:rsid w:val="00E55040"/>
    <w:rsid w:val="00E60173"/>
    <w:rsid w:val="00E60579"/>
    <w:rsid w:val="00E613BD"/>
    <w:rsid w:val="00E618B3"/>
    <w:rsid w:val="00E619F1"/>
    <w:rsid w:val="00E62BF1"/>
    <w:rsid w:val="00E64455"/>
    <w:rsid w:val="00E657E5"/>
    <w:rsid w:val="00E661D1"/>
    <w:rsid w:val="00E6647F"/>
    <w:rsid w:val="00E66C03"/>
    <w:rsid w:val="00E67981"/>
    <w:rsid w:val="00E70A0B"/>
    <w:rsid w:val="00E70A87"/>
    <w:rsid w:val="00E71B0E"/>
    <w:rsid w:val="00E72431"/>
    <w:rsid w:val="00E72D95"/>
    <w:rsid w:val="00E754BF"/>
    <w:rsid w:val="00E7620A"/>
    <w:rsid w:val="00E77324"/>
    <w:rsid w:val="00E826C5"/>
    <w:rsid w:val="00E8528A"/>
    <w:rsid w:val="00E85670"/>
    <w:rsid w:val="00E876CC"/>
    <w:rsid w:val="00E92CBE"/>
    <w:rsid w:val="00E936CF"/>
    <w:rsid w:val="00EA0148"/>
    <w:rsid w:val="00EA0390"/>
    <w:rsid w:val="00EA0BEC"/>
    <w:rsid w:val="00EB12F7"/>
    <w:rsid w:val="00EB41B6"/>
    <w:rsid w:val="00EB4298"/>
    <w:rsid w:val="00EB557C"/>
    <w:rsid w:val="00EB5B11"/>
    <w:rsid w:val="00EB5C22"/>
    <w:rsid w:val="00EC6BCF"/>
    <w:rsid w:val="00EC7FBE"/>
    <w:rsid w:val="00ED126D"/>
    <w:rsid w:val="00ED304D"/>
    <w:rsid w:val="00ED39C8"/>
    <w:rsid w:val="00ED480A"/>
    <w:rsid w:val="00ED4B4E"/>
    <w:rsid w:val="00ED4E75"/>
    <w:rsid w:val="00ED7139"/>
    <w:rsid w:val="00EE111C"/>
    <w:rsid w:val="00EE5820"/>
    <w:rsid w:val="00EE730B"/>
    <w:rsid w:val="00EE761E"/>
    <w:rsid w:val="00EE7E92"/>
    <w:rsid w:val="00EF26CB"/>
    <w:rsid w:val="00EF27B2"/>
    <w:rsid w:val="00EF3822"/>
    <w:rsid w:val="00EF41A8"/>
    <w:rsid w:val="00EF673D"/>
    <w:rsid w:val="00EF6D68"/>
    <w:rsid w:val="00EF7342"/>
    <w:rsid w:val="00F00060"/>
    <w:rsid w:val="00F00E9D"/>
    <w:rsid w:val="00F01196"/>
    <w:rsid w:val="00F01F2E"/>
    <w:rsid w:val="00F052D4"/>
    <w:rsid w:val="00F0781E"/>
    <w:rsid w:val="00F12D12"/>
    <w:rsid w:val="00F13503"/>
    <w:rsid w:val="00F158AC"/>
    <w:rsid w:val="00F15927"/>
    <w:rsid w:val="00F16023"/>
    <w:rsid w:val="00F1647F"/>
    <w:rsid w:val="00F20B2B"/>
    <w:rsid w:val="00F217B0"/>
    <w:rsid w:val="00F222B6"/>
    <w:rsid w:val="00F26BD7"/>
    <w:rsid w:val="00F3010C"/>
    <w:rsid w:val="00F31F1E"/>
    <w:rsid w:val="00F34FC0"/>
    <w:rsid w:val="00F35B9D"/>
    <w:rsid w:val="00F35EAE"/>
    <w:rsid w:val="00F363A7"/>
    <w:rsid w:val="00F372E8"/>
    <w:rsid w:val="00F3744C"/>
    <w:rsid w:val="00F37C75"/>
    <w:rsid w:val="00F37D92"/>
    <w:rsid w:val="00F42707"/>
    <w:rsid w:val="00F431F8"/>
    <w:rsid w:val="00F436EB"/>
    <w:rsid w:val="00F4370C"/>
    <w:rsid w:val="00F44D3A"/>
    <w:rsid w:val="00F510BE"/>
    <w:rsid w:val="00F51437"/>
    <w:rsid w:val="00F53018"/>
    <w:rsid w:val="00F535C0"/>
    <w:rsid w:val="00F53999"/>
    <w:rsid w:val="00F543B2"/>
    <w:rsid w:val="00F6173D"/>
    <w:rsid w:val="00F62666"/>
    <w:rsid w:val="00F6602B"/>
    <w:rsid w:val="00F6781C"/>
    <w:rsid w:val="00F71DB6"/>
    <w:rsid w:val="00F720A5"/>
    <w:rsid w:val="00F72787"/>
    <w:rsid w:val="00F7307E"/>
    <w:rsid w:val="00F7664D"/>
    <w:rsid w:val="00F76C5D"/>
    <w:rsid w:val="00F779C3"/>
    <w:rsid w:val="00F80CCA"/>
    <w:rsid w:val="00F81261"/>
    <w:rsid w:val="00F83D1D"/>
    <w:rsid w:val="00F8510D"/>
    <w:rsid w:val="00F85FE4"/>
    <w:rsid w:val="00F86B39"/>
    <w:rsid w:val="00F9299F"/>
    <w:rsid w:val="00F94AEE"/>
    <w:rsid w:val="00F95CBB"/>
    <w:rsid w:val="00F97563"/>
    <w:rsid w:val="00FA286F"/>
    <w:rsid w:val="00FA65BD"/>
    <w:rsid w:val="00FA677B"/>
    <w:rsid w:val="00FA77B1"/>
    <w:rsid w:val="00FB21BE"/>
    <w:rsid w:val="00FB2729"/>
    <w:rsid w:val="00FB3414"/>
    <w:rsid w:val="00FB378D"/>
    <w:rsid w:val="00FB4D51"/>
    <w:rsid w:val="00FB6F0D"/>
    <w:rsid w:val="00FB7CBB"/>
    <w:rsid w:val="00FC3968"/>
    <w:rsid w:val="00FC3DD1"/>
    <w:rsid w:val="00FC3FDF"/>
    <w:rsid w:val="00FC53BD"/>
    <w:rsid w:val="00FC64AB"/>
    <w:rsid w:val="00FC655D"/>
    <w:rsid w:val="00FC67BC"/>
    <w:rsid w:val="00FC6C2B"/>
    <w:rsid w:val="00FC7647"/>
    <w:rsid w:val="00FD04C1"/>
    <w:rsid w:val="00FD18FC"/>
    <w:rsid w:val="00FD2778"/>
    <w:rsid w:val="00FD4729"/>
    <w:rsid w:val="00FD5646"/>
    <w:rsid w:val="00FD6B16"/>
    <w:rsid w:val="00FE1622"/>
    <w:rsid w:val="00FE1693"/>
    <w:rsid w:val="00FE1D6A"/>
    <w:rsid w:val="00FE3678"/>
    <w:rsid w:val="00FE3E1B"/>
    <w:rsid w:val="00FE5462"/>
    <w:rsid w:val="00FE5D89"/>
    <w:rsid w:val="00FF034C"/>
    <w:rsid w:val="00FF0542"/>
    <w:rsid w:val="00FF28D2"/>
    <w:rsid w:val="00FF4036"/>
    <w:rsid w:val="00FF5C8E"/>
    <w:rsid w:val="00FF69CF"/>
    <w:rsid w:val="011E1909"/>
    <w:rsid w:val="012770FF"/>
    <w:rsid w:val="012F1D99"/>
    <w:rsid w:val="01302610"/>
    <w:rsid w:val="01507E4A"/>
    <w:rsid w:val="01613944"/>
    <w:rsid w:val="016E73F0"/>
    <w:rsid w:val="019E2698"/>
    <w:rsid w:val="01A17ED7"/>
    <w:rsid w:val="01B40DA4"/>
    <w:rsid w:val="01B70F12"/>
    <w:rsid w:val="01BE03F4"/>
    <w:rsid w:val="01CF33D6"/>
    <w:rsid w:val="01E52B01"/>
    <w:rsid w:val="01F8284F"/>
    <w:rsid w:val="02007086"/>
    <w:rsid w:val="020A1681"/>
    <w:rsid w:val="02173FF4"/>
    <w:rsid w:val="0220498B"/>
    <w:rsid w:val="022E6707"/>
    <w:rsid w:val="027A486D"/>
    <w:rsid w:val="027F3DCF"/>
    <w:rsid w:val="0283388D"/>
    <w:rsid w:val="028933AF"/>
    <w:rsid w:val="02A17ECF"/>
    <w:rsid w:val="02EA44E2"/>
    <w:rsid w:val="03152384"/>
    <w:rsid w:val="03164D7E"/>
    <w:rsid w:val="031F63B2"/>
    <w:rsid w:val="033940CA"/>
    <w:rsid w:val="033C669A"/>
    <w:rsid w:val="033D6C7E"/>
    <w:rsid w:val="0342746E"/>
    <w:rsid w:val="0348540A"/>
    <w:rsid w:val="0357025F"/>
    <w:rsid w:val="03762BF5"/>
    <w:rsid w:val="037912B7"/>
    <w:rsid w:val="03826FAF"/>
    <w:rsid w:val="039E653A"/>
    <w:rsid w:val="03AD42F1"/>
    <w:rsid w:val="03B2654B"/>
    <w:rsid w:val="03B27BA8"/>
    <w:rsid w:val="03E60525"/>
    <w:rsid w:val="04042C6E"/>
    <w:rsid w:val="04045895"/>
    <w:rsid w:val="042E1E0F"/>
    <w:rsid w:val="043434FA"/>
    <w:rsid w:val="04387DBA"/>
    <w:rsid w:val="043B032D"/>
    <w:rsid w:val="044038C6"/>
    <w:rsid w:val="045A60AD"/>
    <w:rsid w:val="045F691B"/>
    <w:rsid w:val="04603C8C"/>
    <w:rsid w:val="047F6F67"/>
    <w:rsid w:val="04A41BE5"/>
    <w:rsid w:val="04C901EC"/>
    <w:rsid w:val="04CA5F0B"/>
    <w:rsid w:val="04D125B5"/>
    <w:rsid w:val="04DE6F2B"/>
    <w:rsid w:val="04E85302"/>
    <w:rsid w:val="04EF4F3D"/>
    <w:rsid w:val="05086929"/>
    <w:rsid w:val="05195B8E"/>
    <w:rsid w:val="051E2EA8"/>
    <w:rsid w:val="051F0353"/>
    <w:rsid w:val="053C36FF"/>
    <w:rsid w:val="053D161C"/>
    <w:rsid w:val="05466858"/>
    <w:rsid w:val="054D0E98"/>
    <w:rsid w:val="0569045F"/>
    <w:rsid w:val="057C41C1"/>
    <w:rsid w:val="05A80FEF"/>
    <w:rsid w:val="05AA5DAD"/>
    <w:rsid w:val="05AB184E"/>
    <w:rsid w:val="05DB3762"/>
    <w:rsid w:val="05E93CDB"/>
    <w:rsid w:val="05ED1E46"/>
    <w:rsid w:val="0625146A"/>
    <w:rsid w:val="06374AFF"/>
    <w:rsid w:val="06450ACB"/>
    <w:rsid w:val="06490B1B"/>
    <w:rsid w:val="06517CD8"/>
    <w:rsid w:val="065D47DE"/>
    <w:rsid w:val="065E3E5B"/>
    <w:rsid w:val="06870E31"/>
    <w:rsid w:val="069412C5"/>
    <w:rsid w:val="06953B0B"/>
    <w:rsid w:val="06A11315"/>
    <w:rsid w:val="06A26EC1"/>
    <w:rsid w:val="06B6574A"/>
    <w:rsid w:val="06B87031"/>
    <w:rsid w:val="06D12FA0"/>
    <w:rsid w:val="06D95735"/>
    <w:rsid w:val="06E20EC2"/>
    <w:rsid w:val="06E7751F"/>
    <w:rsid w:val="07061D20"/>
    <w:rsid w:val="072E07B9"/>
    <w:rsid w:val="0739163F"/>
    <w:rsid w:val="073E4293"/>
    <w:rsid w:val="074A468F"/>
    <w:rsid w:val="074C45DD"/>
    <w:rsid w:val="075E7C42"/>
    <w:rsid w:val="0786011A"/>
    <w:rsid w:val="07896940"/>
    <w:rsid w:val="078C4382"/>
    <w:rsid w:val="078C51B5"/>
    <w:rsid w:val="07914EDC"/>
    <w:rsid w:val="07A2466C"/>
    <w:rsid w:val="07E65F0C"/>
    <w:rsid w:val="07E82D14"/>
    <w:rsid w:val="08150F29"/>
    <w:rsid w:val="081F0DDD"/>
    <w:rsid w:val="081F4083"/>
    <w:rsid w:val="082F5497"/>
    <w:rsid w:val="08334E67"/>
    <w:rsid w:val="085D4BD2"/>
    <w:rsid w:val="08602B59"/>
    <w:rsid w:val="08741256"/>
    <w:rsid w:val="08771867"/>
    <w:rsid w:val="08782CE4"/>
    <w:rsid w:val="0887579C"/>
    <w:rsid w:val="088F4EBD"/>
    <w:rsid w:val="089B46BF"/>
    <w:rsid w:val="089B5224"/>
    <w:rsid w:val="08A54338"/>
    <w:rsid w:val="08B43D73"/>
    <w:rsid w:val="08C70A52"/>
    <w:rsid w:val="08D340AE"/>
    <w:rsid w:val="08EB4CE1"/>
    <w:rsid w:val="08F9328A"/>
    <w:rsid w:val="093C0ACF"/>
    <w:rsid w:val="09413B57"/>
    <w:rsid w:val="095278AC"/>
    <w:rsid w:val="09743113"/>
    <w:rsid w:val="097B45E3"/>
    <w:rsid w:val="097F3E0A"/>
    <w:rsid w:val="09871759"/>
    <w:rsid w:val="09886881"/>
    <w:rsid w:val="099112B0"/>
    <w:rsid w:val="09912CD0"/>
    <w:rsid w:val="099D6474"/>
    <w:rsid w:val="099F1250"/>
    <w:rsid w:val="09BF7148"/>
    <w:rsid w:val="09F1006D"/>
    <w:rsid w:val="09F914BF"/>
    <w:rsid w:val="09FE7416"/>
    <w:rsid w:val="0A10499E"/>
    <w:rsid w:val="0A133DCB"/>
    <w:rsid w:val="0A1916F2"/>
    <w:rsid w:val="0A425790"/>
    <w:rsid w:val="0A67735A"/>
    <w:rsid w:val="0A683424"/>
    <w:rsid w:val="0AA61D03"/>
    <w:rsid w:val="0AA9447B"/>
    <w:rsid w:val="0AB61A96"/>
    <w:rsid w:val="0AD13C48"/>
    <w:rsid w:val="0AEF5140"/>
    <w:rsid w:val="0B290558"/>
    <w:rsid w:val="0B3D0F68"/>
    <w:rsid w:val="0B5311B7"/>
    <w:rsid w:val="0B543AED"/>
    <w:rsid w:val="0B5C5D58"/>
    <w:rsid w:val="0B630BA3"/>
    <w:rsid w:val="0B6A7B5E"/>
    <w:rsid w:val="0B6D04DC"/>
    <w:rsid w:val="0B6F5AF9"/>
    <w:rsid w:val="0B883127"/>
    <w:rsid w:val="0B92410F"/>
    <w:rsid w:val="0BB77BCB"/>
    <w:rsid w:val="0BD446E5"/>
    <w:rsid w:val="0BE41488"/>
    <w:rsid w:val="0BF14E0F"/>
    <w:rsid w:val="0BF575A3"/>
    <w:rsid w:val="0C182CA0"/>
    <w:rsid w:val="0C2A18B4"/>
    <w:rsid w:val="0C2E626B"/>
    <w:rsid w:val="0C3079C0"/>
    <w:rsid w:val="0C3A7F90"/>
    <w:rsid w:val="0C6A257F"/>
    <w:rsid w:val="0C7134EA"/>
    <w:rsid w:val="0C742858"/>
    <w:rsid w:val="0C8211BE"/>
    <w:rsid w:val="0CA43BA5"/>
    <w:rsid w:val="0CB10CA1"/>
    <w:rsid w:val="0CCE40C6"/>
    <w:rsid w:val="0CCF7496"/>
    <w:rsid w:val="0CD640A1"/>
    <w:rsid w:val="0D311FEA"/>
    <w:rsid w:val="0D483879"/>
    <w:rsid w:val="0D496385"/>
    <w:rsid w:val="0D582580"/>
    <w:rsid w:val="0D7212C0"/>
    <w:rsid w:val="0D9F311E"/>
    <w:rsid w:val="0DA40DFC"/>
    <w:rsid w:val="0DA52841"/>
    <w:rsid w:val="0DD55B5C"/>
    <w:rsid w:val="0DD7676B"/>
    <w:rsid w:val="0DDC1500"/>
    <w:rsid w:val="0DE30813"/>
    <w:rsid w:val="0E0242FC"/>
    <w:rsid w:val="0E2D3D5B"/>
    <w:rsid w:val="0E3E356D"/>
    <w:rsid w:val="0E416AEB"/>
    <w:rsid w:val="0E4B4019"/>
    <w:rsid w:val="0E5252B5"/>
    <w:rsid w:val="0E755280"/>
    <w:rsid w:val="0E766FF7"/>
    <w:rsid w:val="0E826ADB"/>
    <w:rsid w:val="0E91355A"/>
    <w:rsid w:val="0E95764C"/>
    <w:rsid w:val="0E9C6326"/>
    <w:rsid w:val="0EA35ABB"/>
    <w:rsid w:val="0EA44132"/>
    <w:rsid w:val="0EB0258C"/>
    <w:rsid w:val="0EC90ABB"/>
    <w:rsid w:val="0EC96BE1"/>
    <w:rsid w:val="0F003B21"/>
    <w:rsid w:val="0F0B7549"/>
    <w:rsid w:val="0F0C36D1"/>
    <w:rsid w:val="0F155FC9"/>
    <w:rsid w:val="0F2E3195"/>
    <w:rsid w:val="0F4B3A89"/>
    <w:rsid w:val="0F622E31"/>
    <w:rsid w:val="0FC33ABA"/>
    <w:rsid w:val="0FC93870"/>
    <w:rsid w:val="0FDB1CFF"/>
    <w:rsid w:val="0FE07027"/>
    <w:rsid w:val="0FEA6C61"/>
    <w:rsid w:val="0FED2694"/>
    <w:rsid w:val="0FFC4AA9"/>
    <w:rsid w:val="10061C6D"/>
    <w:rsid w:val="100D0786"/>
    <w:rsid w:val="1019610F"/>
    <w:rsid w:val="10305D59"/>
    <w:rsid w:val="10336EE4"/>
    <w:rsid w:val="106F2786"/>
    <w:rsid w:val="10701989"/>
    <w:rsid w:val="10712AAD"/>
    <w:rsid w:val="107159EF"/>
    <w:rsid w:val="10822B58"/>
    <w:rsid w:val="10C41149"/>
    <w:rsid w:val="10E1159D"/>
    <w:rsid w:val="10E65E3E"/>
    <w:rsid w:val="10EC25F1"/>
    <w:rsid w:val="10FA63FC"/>
    <w:rsid w:val="11023258"/>
    <w:rsid w:val="112F6367"/>
    <w:rsid w:val="114D693B"/>
    <w:rsid w:val="115A1E98"/>
    <w:rsid w:val="1183141E"/>
    <w:rsid w:val="11A21090"/>
    <w:rsid w:val="11A54BB2"/>
    <w:rsid w:val="11EB645B"/>
    <w:rsid w:val="11EC6763"/>
    <w:rsid w:val="11F62929"/>
    <w:rsid w:val="11FF594D"/>
    <w:rsid w:val="12147FB8"/>
    <w:rsid w:val="123508D5"/>
    <w:rsid w:val="12407897"/>
    <w:rsid w:val="12426DF2"/>
    <w:rsid w:val="1245792F"/>
    <w:rsid w:val="12497B5A"/>
    <w:rsid w:val="124C32EC"/>
    <w:rsid w:val="125A5615"/>
    <w:rsid w:val="12776274"/>
    <w:rsid w:val="1298296A"/>
    <w:rsid w:val="12B44FA2"/>
    <w:rsid w:val="12CA2947"/>
    <w:rsid w:val="12D77804"/>
    <w:rsid w:val="12E628F1"/>
    <w:rsid w:val="12F10400"/>
    <w:rsid w:val="12F7013A"/>
    <w:rsid w:val="130C0AB1"/>
    <w:rsid w:val="132540C9"/>
    <w:rsid w:val="133476B5"/>
    <w:rsid w:val="13382B00"/>
    <w:rsid w:val="137264DB"/>
    <w:rsid w:val="13877B8E"/>
    <w:rsid w:val="13A51A34"/>
    <w:rsid w:val="13EF7392"/>
    <w:rsid w:val="13FE0A53"/>
    <w:rsid w:val="140739FF"/>
    <w:rsid w:val="142005F0"/>
    <w:rsid w:val="14555A88"/>
    <w:rsid w:val="14730F26"/>
    <w:rsid w:val="14A04952"/>
    <w:rsid w:val="14A16565"/>
    <w:rsid w:val="14A62FF6"/>
    <w:rsid w:val="14B27506"/>
    <w:rsid w:val="14BF43CF"/>
    <w:rsid w:val="14CC7B57"/>
    <w:rsid w:val="151D381C"/>
    <w:rsid w:val="151F59E3"/>
    <w:rsid w:val="152568F3"/>
    <w:rsid w:val="15345731"/>
    <w:rsid w:val="154A37CC"/>
    <w:rsid w:val="155811F9"/>
    <w:rsid w:val="155C47E8"/>
    <w:rsid w:val="15747058"/>
    <w:rsid w:val="157F1957"/>
    <w:rsid w:val="158A75EE"/>
    <w:rsid w:val="158B28A3"/>
    <w:rsid w:val="15AE774C"/>
    <w:rsid w:val="15B65AEC"/>
    <w:rsid w:val="15C61B3B"/>
    <w:rsid w:val="15C70C56"/>
    <w:rsid w:val="15D75446"/>
    <w:rsid w:val="15D96B06"/>
    <w:rsid w:val="15EF3ADF"/>
    <w:rsid w:val="15F52A8F"/>
    <w:rsid w:val="15F700A2"/>
    <w:rsid w:val="15F84F17"/>
    <w:rsid w:val="160412B2"/>
    <w:rsid w:val="16194A1F"/>
    <w:rsid w:val="1645155A"/>
    <w:rsid w:val="16615F3E"/>
    <w:rsid w:val="168B2798"/>
    <w:rsid w:val="16925DB4"/>
    <w:rsid w:val="16A23DDD"/>
    <w:rsid w:val="16A362AA"/>
    <w:rsid w:val="16AF1459"/>
    <w:rsid w:val="16E342D7"/>
    <w:rsid w:val="16E64F7E"/>
    <w:rsid w:val="16FD713E"/>
    <w:rsid w:val="17132B9C"/>
    <w:rsid w:val="171F41BB"/>
    <w:rsid w:val="17230B2A"/>
    <w:rsid w:val="17306441"/>
    <w:rsid w:val="17582681"/>
    <w:rsid w:val="176609FC"/>
    <w:rsid w:val="1770211E"/>
    <w:rsid w:val="1777584C"/>
    <w:rsid w:val="1799420B"/>
    <w:rsid w:val="179D6665"/>
    <w:rsid w:val="17C643CE"/>
    <w:rsid w:val="17C90272"/>
    <w:rsid w:val="182850D4"/>
    <w:rsid w:val="1829145D"/>
    <w:rsid w:val="18495516"/>
    <w:rsid w:val="185B59B0"/>
    <w:rsid w:val="187462BF"/>
    <w:rsid w:val="187F343E"/>
    <w:rsid w:val="189062F0"/>
    <w:rsid w:val="18BC5AF7"/>
    <w:rsid w:val="18D536AE"/>
    <w:rsid w:val="18DA5A91"/>
    <w:rsid w:val="18E31FD3"/>
    <w:rsid w:val="19100E04"/>
    <w:rsid w:val="191141E7"/>
    <w:rsid w:val="191803B2"/>
    <w:rsid w:val="19246FE7"/>
    <w:rsid w:val="192E2FE0"/>
    <w:rsid w:val="19510772"/>
    <w:rsid w:val="1965720D"/>
    <w:rsid w:val="196B4C7C"/>
    <w:rsid w:val="196F537D"/>
    <w:rsid w:val="19753C07"/>
    <w:rsid w:val="197957BA"/>
    <w:rsid w:val="198A6BF6"/>
    <w:rsid w:val="198C27C6"/>
    <w:rsid w:val="199309A1"/>
    <w:rsid w:val="19961E7B"/>
    <w:rsid w:val="19B612DC"/>
    <w:rsid w:val="19C163BF"/>
    <w:rsid w:val="19D338C7"/>
    <w:rsid w:val="19DA4750"/>
    <w:rsid w:val="19E419B5"/>
    <w:rsid w:val="19E561B8"/>
    <w:rsid w:val="19ED3055"/>
    <w:rsid w:val="19FE1F28"/>
    <w:rsid w:val="1A1F3D78"/>
    <w:rsid w:val="1A234436"/>
    <w:rsid w:val="1A3E11DF"/>
    <w:rsid w:val="1A5314C5"/>
    <w:rsid w:val="1A550E72"/>
    <w:rsid w:val="1A67103A"/>
    <w:rsid w:val="1A8138EF"/>
    <w:rsid w:val="1AA468A5"/>
    <w:rsid w:val="1AAC6571"/>
    <w:rsid w:val="1ACE4623"/>
    <w:rsid w:val="1AD81ED6"/>
    <w:rsid w:val="1AE822ED"/>
    <w:rsid w:val="1AFB1EFD"/>
    <w:rsid w:val="1B017B9C"/>
    <w:rsid w:val="1B053BDF"/>
    <w:rsid w:val="1B1340EB"/>
    <w:rsid w:val="1B1E0B5A"/>
    <w:rsid w:val="1B2340D6"/>
    <w:rsid w:val="1B2C01F0"/>
    <w:rsid w:val="1B2C6E79"/>
    <w:rsid w:val="1B2D3FF5"/>
    <w:rsid w:val="1B2D4C3D"/>
    <w:rsid w:val="1B303C43"/>
    <w:rsid w:val="1B3B2AC1"/>
    <w:rsid w:val="1B3F6D95"/>
    <w:rsid w:val="1B4A2FEF"/>
    <w:rsid w:val="1B5132EB"/>
    <w:rsid w:val="1B5133BF"/>
    <w:rsid w:val="1B5928FF"/>
    <w:rsid w:val="1B610230"/>
    <w:rsid w:val="1B8C3653"/>
    <w:rsid w:val="1B916653"/>
    <w:rsid w:val="1B922303"/>
    <w:rsid w:val="1B94026F"/>
    <w:rsid w:val="1BA33F9F"/>
    <w:rsid w:val="1BA824D1"/>
    <w:rsid w:val="1BAC220A"/>
    <w:rsid w:val="1C0454A3"/>
    <w:rsid w:val="1C0A1AC7"/>
    <w:rsid w:val="1C273DC9"/>
    <w:rsid w:val="1C336B7D"/>
    <w:rsid w:val="1C5C4DFA"/>
    <w:rsid w:val="1C6B47CB"/>
    <w:rsid w:val="1C6D3824"/>
    <w:rsid w:val="1C7B60E4"/>
    <w:rsid w:val="1C7D3986"/>
    <w:rsid w:val="1C9C3114"/>
    <w:rsid w:val="1CB42D65"/>
    <w:rsid w:val="1CDC3BC7"/>
    <w:rsid w:val="1CDE547B"/>
    <w:rsid w:val="1CE20AA2"/>
    <w:rsid w:val="1CFD4E24"/>
    <w:rsid w:val="1D0E3AB7"/>
    <w:rsid w:val="1D5A7304"/>
    <w:rsid w:val="1D5F1685"/>
    <w:rsid w:val="1D7005BD"/>
    <w:rsid w:val="1D77530B"/>
    <w:rsid w:val="1D973FAA"/>
    <w:rsid w:val="1DA477F6"/>
    <w:rsid w:val="1DAA2DF4"/>
    <w:rsid w:val="1DB549FB"/>
    <w:rsid w:val="1DBE6E6C"/>
    <w:rsid w:val="1DC145E8"/>
    <w:rsid w:val="1DC374A4"/>
    <w:rsid w:val="1DEE0ABB"/>
    <w:rsid w:val="1E067842"/>
    <w:rsid w:val="1E0E17C9"/>
    <w:rsid w:val="1E13223C"/>
    <w:rsid w:val="1E3B43E0"/>
    <w:rsid w:val="1E3B6280"/>
    <w:rsid w:val="1E4436C2"/>
    <w:rsid w:val="1E7F2213"/>
    <w:rsid w:val="1E9A1AF0"/>
    <w:rsid w:val="1EA94105"/>
    <w:rsid w:val="1EBE251C"/>
    <w:rsid w:val="1ECD7D61"/>
    <w:rsid w:val="1EE14651"/>
    <w:rsid w:val="1EE94645"/>
    <w:rsid w:val="1EFF4C59"/>
    <w:rsid w:val="1F010F36"/>
    <w:rsid w:val="1F0B0923"/>
    <w:rsid w:val="1F36242D"/>
    <w:rsid w:val="1F6454D2"/>
    <w:rsid w:val="1F70352F"/>
    <w:rsid w:val="1F773AB4"/>
    <w:rsid w:val="1F81716B"/>
    <w:rsid w:val="1F884083"/>
    <w:rsid w:val="1F9900CE"/>
    <w:rsid w:val="1FA2179E"/>
    <w:rsid w:val="1FAA16FD"/>
    <w:rsid w:val="1FAB68E4"/>
    <w:rsid w:val="1FB865C8"/>
    <w:rsid w:val="1FC83BE0"/>
    <w:rsid w:val="1FC864C7"/>
    <w:rsid w:val="1FD04023"/>
    <w:rsid w:val="1FDF3966"/>
    <w:rsid w:val="20195D5F"/>
    <w:rsid w:val="205448B6"/>
    <w:rsid w:val="2056236F"/>
    <w:rsid w:val="206113E2"/>
    <w:rsid w:val="207E3EF2"/>
    <w:rsid w:val="208634C4"/>
    <w:rsid w:val="20987289"/>
    <w:rsid w:val="209B2F64"/>
    <w:rsid w:val="209C4AFA"/>
    <w:rsid w:val="20A0436C"/>
    <w:rsid w:val="20D51B4F"/>
    <w:rsid w:val="20D87696"/>
    <w:rsid w:val="20DD4504"/>
    <w:rsid w:val="20EC2305"/>
    <w:rsid w:val="212B7877"/>
    <w:rsid w:val="213E6FAC"/>
    <w:rsid w:val="21503333"/>
    <w:rsid w:val="21895523"/>
    <w:rsid w:val="21943B43"/>
    <w:rsid w:val="21A1245A"/>
    <w:rsid w:val="21AA4380"/>
    <w:rsid w:val="21B45E4D"/>
    <w:rsid w:val="21B651EC"/>
    <w:rsid w:val="21BA208E"/>
    <w:rsid w:val="21C778B1"/>
    <w:rsid w:val="21CC29EA"/>
    <w:rsid w:val="21D709C5"/>
    <w:rsid w:val="21E3346B"/>
    <w:rsid w:val="21E37BC7"/>
    <w:rsid w:val="21FC5679"/>
    <w:rsid w:val="22133750"/>
    <w:rsid w:val="2217593A"/>
    <w:rsid w:val="221B1221"/>
    <w:rsid w:val="222F7093"/>
    <w:rsid w:val="22472954"/>
    <w:rsid w:val="225240AE"/>
    <w:rsid w:val="225E054E"/>
    <w:rsid w:val="22686ACA"/>
    <w:rsid w:val="226A7DB4"/>
    <w:rsid w:val="226E48A0"/>
    <w:rsid w:val="227A2CA7"/>
    <w:rsid w:val="22A819E2"/>
    <w:rsid w:val="22BC44BE"/>
    <w:rsid w:val="22CE214A"/>
    <w:rsid w:val="22F21873"/>
    <w:rsid w:val="23116D09"/>
    <w:rsid w:val="23223FDC"/>
    <w:rsid w:val="23256DAA"/>
    <w:rsid w:val="2331789B"/>
    <w:rsid w:val="234F503E"/>
    <w:rsid w:val="235E1EA4"/>
    <w:rsid w:val="23853714"/>
    <w:rsid w:val="239949A2"/>
    <w:rsid w:val="239F6BEC"/>
    <w:rsid w:val="23CD3DCD"/>
    <w:rsid w:val="23D00127"/>
    <w:rsid w:val="23D2792F"/>
    <w:rsid w:val="23D95795"/>
    <w:rsid w:val="23DE4FF8"/>
    <w:rsid w:val="23EB36EE"/>
    <w:rsid w:val="23F23DD4"/>
    <w:rsid w:val="23FA68CE"/>
    <w:rsid w:val="24067F13"/>
    <w:rsid w:val="240F5F2B"/>
    <w:rsid w:val="242628EF"/>
    <w:rsid w:val="24333097"/>
    <w:rsid w:val="24392550"/>
    <w:rsid w:val="24526744"/>
    <w:rsid w:val="24600623"/>
    <w:rsid w:val="24696BBE"/>
    <w:rsid w:val="2472494F"/>
    <w:rsid w:val="247545A3"/>
    <w:rsid w:val="24A16FA7"/>
    <w:rsid w:val="24A41FEA"/>
    <w:rsid w:val="24B7447A"/>
    <w:rsid w:val="24BE51BC"/>
    <w:rsid w:val="24C04D6C"/>
    <w:rsid w:val="24C25A6F"/>
    <w:rsid w:val="24CC7CAE"/>
    <w:rsid w:val="24E234C2"/>
    <w:rsid w:val="24E325CE"/>
    <w:rsid w:val="24E842BA"/>
    <w:rsid w:val="24EB5575"/>
    <w:rsid w:val="24EB6EE6"/>
    <w:rsid w:val="24F15344"/>
    <w:rsid w:val="24F230C2"/>
    <w:rsid w:val="24F54684"/>
    <w:rsid w:val="25047DF5"/>
    <w:rsid w:val="25147DEF"/>
    <w:rsid w:val="252A32CA"/>
    <w:rsid w:val="252B337F"/>
    <w:rsid w:val="25374E31"/>
    <w:rsid w:val="254B66B9"/>
    <w:rsid w:val="2562004E"/>
    <w:rsid w:val="256E73D9"/>
    <w:rsid w:val="25812877"/>
    <w:rsid w:val="258C2CAA"/>
    <w:rsid w:val="259B55D3"/>
    <w:rsid w:val="25A41AF6"/>
    <w:rsid w:val="25A62AE4"/>
    <w:rsid w:val="25CE4AEB"/>
    <w:rsid w:val="25E85200"/>
    <w:rsid w:val="25E92272"/>
    <w:rsid w:val="25F57EB5"/>
    <w:rsid w:val="25F963C9"/>
    <w:rsid w:val="25FB62F2"/>
    <w:rsid w:val="260773CD"/>
    <w:rsid w:val="26113874"/>
    <w:rsid w:val="2631358B"/>
    <w:rsid w:val="2639052A"/>
    <w:rsid w:val="263A7C21"/>
    <w:rsid w:val="2653124F"/>
    <w:rsid w:val="26560B08"/>
    <w:rsid w:val="26574AA9"/>
    <w:rsid w:val="26835242"/>
    <w:rsid w:val="26836443"/>
    <w:rsid w:val="268D26E0"/>
    <w:rsid w:val="26B1638A"/>
    <w:rsid w:val="26B270BC"/>
    <w:rsid w:val="26C523F8"/>
    <w:rsid w:val="26C637E8"/>
    <w:rsid w:val="26CB190B"/>
    <w:rsid w:val="26CF7F8D"/>
    <w:rsid w:val="26D10531"/>
    <w:rsid w:val="26E61AE5"/>
    <w:rsid w:val="2731422D"/>
    <w:rsid w:val="27353AB9"/>
    <w:rsid w:val="273E43B6"/>
    <w:rsid w:val="27400656"/>
    <w:rsid w:val="27440342"/>
    <w:rsid w:val="27563863"/>
    <w:rsid w:val="27711E98"/>
    <w:rsid w:val="27715175"/>
    <w:rsid w:val="27783F4A"/>
    <w:rsid w:val="278D72E3"/>
    <w:rsid w:val="27A80FED"/>
    <w:rsid w:val="27F50A8B"/>
    <w:rsid w:val="28076AF4"/>
    <w:rsid w:val="28362C67"/>
    <w:rsid w:val="283E0605"/>
    <w:rsid w:val="284D5797"/>
    <w:rsid w:val="287011A4"/>
    <w:rsid w:val="288D1C9F"/>
    <w:rsid w:val="28936332"/>
    <w:rsid w:val="28A60143"/>
    <w:rsid w:val="28AC0CD7"/>
    <w:rsid w:val="28C167EB"/>
    <w:rsid w:val="28C24BC7"/>
    <w:rsid w:val="28CA08E0"/>
    <w:rsid w:val="28F36485"/>
    <w:rsid w:val="29215D62"/>
    <w:rsid w:val="29352F76"/>
    <w:rsid w:val="295472DD"/>
    <w:rsid w:val="296E3495"/>
    <w:rsid w:val="29827E95"/>
    <w:rsid w:val="29952820"/>
    <w:rsid w:val="299F33B6"/>
    <w:rsid w:val="29B635C5"/>
    <w:rsid w:val="29C16794"/>
    <w:rsid w:val="29CA15F1"/>
    <w:rsid w:val="29CD6C6C"/>
    <w:rsid w:val="29DA71EC"/>
    <w:rsid w:val="29DE387A"/>
    <w:rsid w:val="29E35FE8"/>
    <w:rsid w:val="29F12909"/>
    <w:rsid w:val="29F31FE3"/>
    <w:rsid w:val="29F910A6"/>
    <w:rsid w:val="2A09711A"/>
    <w:rsid w:val="2A1109A7"/>
    <w:rsid w:val="2A277ED4"/>
    <w:rsid w:val="2A6A34C6"/>
    <w:rsid w:val="2A7268BD"/>
    <w:rsid w:val="2A88325E"/>
    <w:rsid w:val="2A9F1775"/>
    <w:rsid w:val="2AAB720E"/>
    <w:rsid w:val="2AF279F9"/>
    <w:rsid w:val="2AF55DE7"/>
    <w:rsid w:val="2B037CDC"/>
    <w:rsid w:val="2B080BB8"/>
    <w:rsid w:val="2B1B1CCE"/>
    <w:rsid w:val="2B64746A"/>
    <w:rsid w:val="2B6C183C"/>
    <w:rsid w:val="2B951C8C"/>
    <w:rsid w:val="2B9751B4"/>
    <w:rsid w:val="2BB53F91"/>
    <w:rsid w:val="2BC040AF"/>
    <w:rsid w:val="2BD1322E"/>
    <w:rsid w:val="2BE942CB"/>
    <w:rsid w:val="2BEB6360"/>
    <w:rsid w:val="2BED56D8"/>
    <w:rsid w:val="2BF26D2D"/>
    <w:rsid w:val="2C081DBF"/>
    <w:rsid w:val="2C0F3F7B"/>
    <w:rsid w:val="2C15622B"/>
    <w:rsid w:val="2C1A3EEF"/>
    <w:rsid w:val="2C3206F7"/>
    <w:rsid w:val="2C47289B"/>
    <w:rsid w:val="2C4E2B7C"/>
    <w:rsid w:val="2C6C0C5E"/>
    <w:rsid w:val="2C890F99"/>
    <w:rsid w:val="2C951172"/>
    <w:rsid w:val="2C9B223E"/>
    <w:rsid w:val="2C9C5546"/>
    <w:rsid w:val="2CB85A39"/>
    <w:rsid w:val="2CB961B6"/>
    <w:rsid w:val="2CD23DC7"/>
    <w:rsid w:val="2CEF53AA"/>
    <w:rsid w:val="2CF30116"/>
    <w:rsid w:val="2D035DF0"/>
    <w:rsid w:val="2D104C0D"/>
    <w:rsid w:val="2D1275B7"/>
    <w:rsid w:val="2D2F3B4E"/>
    <w:rsid w:val="2D306C47"/>
    <w:rsid w:val="2D71277C"/>
    <w:rsid w:val="2D7C0589"/>
    <w:rsid w:val="2D8B7F57"/>
    <w:rsid w:val="2DA63971"/>
    <w:rsid w:val="2DB20C2C"/>
    <w:rsid w:val="2DCC0B83"/>
    <w:rsid w:val="2DD12FEA"/>
    <w:rsid w:val="2DEE3480"/>
    <w:rsid w:val="2E017BAC"/>
    <w:rsid w:val="2E037DE5"/>
    <w:rsid w:val="2E08332C"/>
    <w:rsid w:val="2E1565D6"/>
    <w:rsid w:val="2E236B89"/>
    <w:rsid w:val="2E32789C"/>
    <w:rsid w:val="2E514873"/>
    <w:rsid w:val="2E596919"/>
    <w:rsid w:val="2E8A4920"/>
    <w:rsid w:val="2E981FC2"/>
    <w:rsid w:val="2E996B0C"/>
    <w:rsid w:val="2EF50575"/>
    <w:rsid w:val="2EF527AF"/>
    <w:rsid w:val="2EFA232E"/>
    <w:rsid w:val="2F0A72B8"/>
    <w:rsid w:val="2F3B3057"/>
    <w:rsid w:val="2F3B477C"/>
    <w:rsid w:val="2F3C24C0"/>
    <w:rsid w:val="2F3F4176"/>
    <w:rsid w:val="2F49048F"/>
    <w:rsid w:val="2F4D46AD"/>
    <w:rsid w:val="2F5C7FED"/>
    <w:rsid w:val="2F8074AB"/>
    <w:rsid w:val="2FA82DD8"/>
    <w:rsid w:val="2FD23B43"/>
    <w:rsid w:val="2FDB28DE"/>
    <w:rsid w:val="2FF17AE3"/>
    <w:rsid w:val="2FF31572"/>
    <w:rsid w:val="30127997"/>
    <w:rsid w:val="30136C4F"/>
    <w:rsid w:val="30181753"/>
    <w:rsid w:val="301C4A8D"/>
    <w:rsid w:val="30594EE9"/>
    <w:rsid w:val="305A0073"/>
    <w:rsid w:val="30623208"/>
    <w:rsid w:val="30637BE2"/>
    <w:rsid w:val="309308A8"/>
    <w:rsid w:val="30A7618C"/>
    <w:rsid w:val="30AD4F6F"/>
    <w:rsid w:val="30CB378D"/>
    <w:rsid w:val="30D45B27"/>
    <w:rsid w:val="30FC3022"/>
    <w:rsid w:val="310B5A7E"/>
    <w:rsid w:val="31141045"/>
    <w:rsid w:val="312D65BC"/>
    <w:rsid w:val="313144CB"/>
    <w:rsid w:val="3132144A"/>
    <w:rsid w:val="313E4B63"/>
    <w:rsid w:val="313F0033"/>
    <w:rsid w:val="315A3EE8"/>
    <w:rsid w:val="31611997"/>
    <w:rsid w:val="31AC2F31"/>
    <w:rsid w:val="31AE4476"/>
    <w:rsid w:val="31D83347"/>
    <w:rsid w:val="31E0602E"/>
    <w:rsid w:val="31E50AE8"/>
    <w:rsid w:val="320C55EC"/>
    <w:rsid w:val="321F7E1D"/>
    <w:rsid w:val="322146D7"/>
    <w:rsid w:val="3223407C"/>
    <w:rsid w:val="32342C4F"/>
    <w:rsid w:val="324666B5"/>
    <w:rsid w:val="324C3AD4"/>
    <w:rsid w:val="324C57D6"/>
    <w:rsid w:val="32510692"/>
    <w:rsid w:val="325C2BCB"/>
    <w:rsid w:val="325D289A"/>
    <w:rsid w:val="326D2E4A"/>
    <w:rsid w:val="327A0795"/>
    <w:rsid w:val="327C30AB"/>
    <w:rsid w:val="327D1AE4"/>
    <w:rsid w:val="32935E83"/>
    <w:rsid w:val="329B2D49"/>
    <w:rsid w:val="32E967D1"/>
    <w:rsid w:val="32F82015"/>
    <w:rsid w:val="32F85F70"/>
    <w:rsid w:val="33052192"/>
    <w:rsid w:val="33065C90"/>
    <w:rsid w:val="33147B6B"/>
    <w:rsid w:val="33187DB2"/>
    <w:rsid w:val="33233059"/>
    <w:rsid w:val="33272987"/>
    <w:rsid w:val="332A77D9"/>
    <w:rsid w:val="33332DE2"/>
    <w:rsid w:val="33481352"/>
    <w:rsid w:val="338F7CE6"/>
    <w:rsid w:val="3390429C"/>
    <w:rsid w:val="33923B90"/>
    <w:rsid w:val="33A02F50"/>
    <w:rsid w:val="33A56454"/>
    <w:rsid w:val="33F453F7"/>
    <w:rsid w:val="33FB5EFE"/>
    <w:rsid w:val="34082DCC"/>
    <w:rsid w:val="34142F79"/>
    <w:rsid w:val="34151B9E"/>
    <w:rsid w:val="341A3B58"/>
    <w:rsid w:val="34376B25"/>
    <w:rsid w:val="34412ADE"/>
    <w:rsid w:val="34586784"/>
    <w:rsid w:val="349412E3"/>
    <w:rsid w:val="3494311B"/>
    <w:rsid w:val="34961B40"/>
    <w:rsid w:val="34C83D94"/>
    <w:rsid w:val="34D456D4"/>
    <w:rsid w:val="34D70D2D"/>
    <w:rsid w:val="34F0604F"/>
    <w:rsid w:val="34F97C1C"/>
    <w:rsid w:val="35062CBB"/>
    <w:rsid w:val="350A08EA"/>
    <w:rsid w:val="351D3A3C"/>
    <w:rsid w:val="352A2BAC"/>
    <w:rsid w:val="353A62B6"/>
    <w:rsid w:val="353C3077"/>
    <w:rsid w:val="35417D17"/>
    <w:rsid w:val="35473665"/>
    <w:rsid w:val="35592082"/>
    <w:rsid w:val="356C1143"/>
    <w:rsid w:val="35A13AEE"/>
    <w:rsid w:val="35C56DF6"/>
    <w:rsid w:val="35CD04FC"/>
    <w:rsid w:val="35D75A6C"/>
    <w:rsid w:val="35E64833"/>
    <w:rsid w:val="35E83EA6"/>
    <w:rsid w:val="35F84E07"/>
    <w:rsid w:val="361444CC"/>
    <w:rsid w:val="362B5A02"/>
    <w:rsid w:val="362D6FEF"/>
    <w:rsid w:val="363F6160"/>
    <w:rsid w:val="36412EB2"/>
    <w:rsid w:val="364A55FB"/>
    <w:rsid w:val="365562B6"/>
    <w:rsid w:val="36574888"/>
    <w:rsid w:val="366E5385"/>
    <w:rsid w:val="367329E4"/>
    <w:rsid w:val="367F3A03"/>
    <w:rsid w:val="3683490D"/>
    <w:rsid w:val="36B15014"/>
    <w:rsid w:val="36C44191"/>
    <w:rsid w:val="36E05561"/>
    <w:rsid w:val="36EF0F8A"/>
    <w:rsid w:val="370115B2"/>
    <w:rsid w:val="37383E81"/>
    <w:rsid w:val="373934B9"/>
    <w:rsid w:val="37764169"/>
    <w:rsid w:val="377B250E"/>
    <w:rsid w:val="37861BC6"/>
    <w:rsid w:val="379019E5"/>
    <w:rsid w:val="37D04BEF"/>
    <w:rsid w:val="37D37B92"/>
    <w:rsid w:val="37DC131F"/>
    <w:rsid w:val="37EC7440"/>
    <w:rsid w:val="38043D43"/>
    <w:rsid w:val="380873BF"/>
    <w:rsid w:val="380A4DCD"/>
    <w:rsid w:val="381370B6"/>
    <w:rsid w:val="385D4E70"/>
    <w:rsid w:val="386C575F"/>
    <w:rsid w:val="38871C17"/>
    <w:rsid w:val="38935A05"/>
    <w:rsid w:val="38A01413"/>
    <w:rsid w:val="38A0332A"/>
    <w:rsid w:val="38AE24AE"/>
    <w:rsid w:val="38B51F19"/>
    <w:rsid w:val="38B613BC"/>
    <w:rsid w:val="38C81CBE"/>
    <w:rsid w:val="38DD5AEB"/>
    <w:rsid w:val="38DE65B4"/>
    <w:rsid w:val="3908190D"/>
    <w:rsid w:val="3912235E"/>
    <w:rsid w:val="39434994"/>
    <w:rsid w:val="394B276C"/>
    <w:rsid w:val="39643F47"/>
    <w:rsid w:val="39661859"/>
    <w:rsid w:val="398D148D"/>
    <w:rsid w:val="399E159B"/>
    <w:rsid w:val="39A5091D"/>
    <w:rsid w:val="39B134F7"/>
    <w:rsid w:val="39B147F6"/>
    <w:rsid w:val="39EF5287"/>
    <w:rsid w:val="39FC04A5"/>
    <w:rsid w:val="3A017AD9"/>
    <w:rsid w:val="3A0F64A9"/>
    <w:rsid w:val="3A13045F"/>
    <w:rsid w:val="3A381DF8"/>
    <w:rsid w:val="3A3C1030"/>
    <w:rsid w:val="3A624366"/>
    <w:rsid w:val="3A6F76FC"/>
    <w:rsid w:val="3AB04AC1"/>
    <w:rsid w:val="3AB40909"/>
    <w:rsid w:val="3AD95E50"/>
    <w:rsid w:val="3ADD0C3B"/>
    <w:rsid w:val="3B122CDC"/>
    <w:rsid w:val="3B144AF9"/>
    <w:rsid w:val="3B2F1DD2"/>
    <w:rsid w:val="3B32710F"/>
    <w:rsid w:val="3B3A4F11"/>
    <w:rsid w:val="3B432D89"/>
    <w:rsid w:val="3B5D62A1"/>
    <w:rsid w:val="3B6271BC"/>
    <w:rsid w:val="3B663E02"/>
    <w:rsid w:val="3B7B6CF9"/>
    <w:rsid w:val="3B8C7100"/>
    <w:rsid w:val="3BA16CD0"/>
    <w:rsid w:val="3BAE42BD"/>
    <w:rsid w:val="3BB6498B"/>
    <w:rsid w:val="3BCF51F2"/>
    <w:rsid w:val="3BDC5D19"/>
    <w:rsid w:val="3BDE36D6"/>
    <w:rsid w:val="3BF13356"/>
    <w:rsid w:val="3BF95863"/>
    <w:rsid w:val="3BFC2317"/>
    <w:rsid w:val="3C036DA7"/>
    <w:rsid w:val="3C1F18AC"/>
    <w:rsid w:val="3C257BF9"/>
    <w:rsid w:val="3C2D5B50"/>
    <w:rsid w:val="3C3C761B"/>
    <w:rsid w:val="3C3F6563"/>
    <w:rsid w:val="3C54395F"/>
    <w:rsid w:val="3C545F45"/>
    <w:rsid w:val="3C6426FC"/>
    <w:rsid w:val="3C665BAA"/>
    <w:rsid w:val="3C67034C"/>
    <w:rsid w:val="3C706704"/>
    <w:rsid w:val="3C76169C"/>
    <w:rsid w:val="3C8331B8"/>
    <w:rsid w:val="3C8A077F"/>
    <w:rsid w:val="3CA940A2"/>
    <w:rsid w:val="3CAE0250"/>
    <w:rsid w:val="3CB21257"/>
    <w:rsid w:val="3CE41A6C"/>
    <w:rsid w:val="3CEA12B8"/>
    <w:rsid w:val="3CF10806"/>
    <w:rsid w:val="3CFD16B0"/>
    <w:rsid w:val="3D1D5996"/>
    <w:rsid w:val="3D226525"/>
    <w:rsid w:val="3D282FC8"/>
    <w:rsid w:val="3D41425B"/>
    <w:rsid w:val="3D6D2AB6"/>
    <w:rsid w:val="3D8B0BD1"/>
    <w:rsid w:val="3D946DF6"/>
    <w:rsid w:val="3D985CC8"/>
    <w:rsid w:val="3DA51406"/>
    <w:rsid w:val="3DA652A6"/>
    <w:rsid w:val="3DB131AA"/>
    <w:rsid w:val="3DD177E5"/>
    <w:rsid w:val="3DD64272"/>
    <w:rsid w:val="3DE44BC5"/>
    <w:rsid w:val="3DFB7A9E"/>
    <w:rsid w:val="3E1C0612"/>
    <w:rsid w:val="3E2D29FE"/>
    <w:rsid w:val="3E2F1087"/>
    <w:rsid w:val="3E554C57"/>
    <w:rsid w:val="3E81659C"/>
    <w:rsid w:val="3E977D39"/>
    <w:rsid w:val="3E9B3011"/>
    <w:rsid w:val="3E9B59F1"/>
    <w:rsid w:val="3E9D0D16"/>
    <w:rsid w:val="3EAD3631"/>
    <w:rsid w:val="3EB779A9"/>
    <w:rsid w:val="3ED46237"/>
    <w:rsid w:val="3EF86DEC"/>
    <w:rsid w:val="3EF9284C"/>
    <w:rsid w:val="3F2B6466"/>
    <w:rsid w:val="3F3C4286"/>
    <w:rsid w:val="3F3F5F32"/>
    <w:rsid w:val="3F521A72"/>
    <w:rsid w:val="3F822064"/>
    <w:rsid w:val="3F885FCB"/>
    <w:rsid w:val="3FAC699C"/>
    <w:rsid w:val="3FB21DA6"/>
    <w:rsid w:val="3FB3114D"/>
    <w:rsid w:val="3FCB646F"/>
    <w:rsid w:val="3FD575B3"/>
    <w:rsid w:val="3FDC022A"/>
    <w:rsid w:val="3FF80501"/>
    <w:rsid w:val="401A16DE"/>
    <w:rsid w:val="401C4610"/>
    <w:rsid w:val="402976B9"/>
    <w:rsid w:val="403162EE"/>
    <w:rsid w:val="403F6C5E"/>
    <w:rsid w:val="40410E88"/>
    <w:rsid w:val="40467F85"/>
    <w:rsid w:val="40591D2C"/>
    <w:rsid w:val="405B1487"/>
    <w:rsid w:val="406B286B"/>
    <w:rsid w:val="40785AE8"/>
    <w:rsid w:val="40802ABB"/>
    <w:rsid w:val="40860A27"/>
    <w:rsid w:val="408A5BF5"/>
    <w:rsid w:val="409E53B3"/>
    <w:rsid w:val="409F3B14"/>
    <w:rsid w:val="40C24EDC"/>
    <w:rsid w:val="40CC1CB6"/>
    <w:rsid w:val="40CD134D"/>
    <w:rsid w:val="40EC1510"/>
    <w:rsid w:val="410C1AC9"/>
    <w:rsid w:val="4124485F"/>
    <w:rsid w:val="412C631E"/>
    <w:rsid w:val="412E5CFF"/>
    <w:rsid w:val="413057CC"/>
    <w:rsid w:val="41310B2E"/>
    <w:rsid w:val="4146699C"/>
    <w:rsid w:val="414C4905"/>
    <w:rsid w:val="415A6993"/>
    <w:rsid w:val="4165431C"/>
    <w:rsid w:val="416755AC"/>
    <w:rsid w:val="416F5830"/>
    <w:rsid w:val="417F5CEF"/>
    <w:rsid w:val="419B6704"/>
    <w:rsid w:val="41BE32AF"/>
    <w:rsid w:val="41C35C15"/>
    <w:rsid w:val="41CF2C90"/>
    <w:rsid w:val="41D6310C"/>
    <w:rsid w:val="41EA79A4"/>
    <w:rsid w:val="420D64FB"/>
    <w:rsid w:val="4211053C"/>
    <w:rsid w:val="422C2131"/>
    <w:rsid w:val="42347127"/>
    <w:rsid w:val="42561F8D"/>
    <w:rsid w:val="425E6579"/>
    <w:rsid w:val="42854D38"/>
    <w:rsid w:val="429A3AD5"/>
    <w:rsid w:val="42BC5353"/>
    <w:rsid w:val="42BE6578"/>
    <w:rsid w:val="42DD1819"/>
    <w:rsid w:val="42FB40C4"/>
    <w:rsid w:val="430F267D"/>
    <w:rsid w:val="43196531"/>
    <w:rsid w:val="43266D19"/>
    <w:rsid w:val="432E4FB1"/>
    <w:rsid w:val="4335234D"/>
    <w:rsid w:val="433C3510"/>
    <w:rsid w:val="43456E48"/>
    <w:rsid w:val="435C3FA4"/>
    <w:rsid w:val="436E3794"/>
    <w:rsid w:val="4370111B"/>
    <w:rsid w:val="43703846"/>
    <w:rsid w:val="43780E01"/>
    <w:rsid w:val="438C493B"/>
    <w:rsid w:val="43BB4F30"/>
    <w:rsid w:val="43D316FA"/>
    <w:rsid w:val="43D92F70"/>
    <w:rsid w:val="43FD54EC"/>
    <w:rsid w:val="44102497"/>
    <w:rsid w:val="44116AE9"/>
    <w:rsid w:val="441B6A60"/>
    <w:rsid w:val="441E231A"/>
    <w:rsid w:val="44350257"/>
    <w:rsid w:val="4448228C"/>
    <w:rsid w:val="444E41B9"/>
    <w:rsid w:val="44515031"/>
    <w:rsid w:val="445F3734"/>
    <w:rsid w:val="44664161"/>
    <w:rsid w:val="446C3E4D"/>
    <w:rsid w:val="44A20C8C"/>
    <w:rsid w:val="44A30FCB"/>
    <w:rsid w:val="44CD3337"/>
    <w:rsid w:val="44D65650"/>
    <w:rsid w:val="44D74780"/>
    <w:rsid w:val="44E946D0"/>
    <w:rsid w:val="45036B48"/>
    <w:rsid w:val="450D7808"/>
    <w:rsid w:val="45376418"/>
    <w:rsid w:val="45455A09"/>
    <w:rsid w:val="45474974"/>
    <w:rsid w:val="455C7902"/>
    <w:rsid w:val="455E14B2"/>
    <w:rsid w:val="456237AD"/>
    <w:rsid w:val="45776BC2"/>
    <w:rsid w:val="457A17CE"/>
    <w:rsid w:val="458607F2"/>
    <w:rsid w:val="45C64A5A"/>
    <w:rsid w:val="45E503B4"/>
    <w:rsid w:val="45FC1E66"/>
    <w:rsid w:val="46191D86"/>
    <w:rsid w:val="461D42CC"/>
    <w:rsid w:val="4625118A"/>
    <w:rsid w:val="46546089"/>
    <w:rsid w:val="4655599B"/>
    <w:rsid w:val="466D2875"/>
    <w:rsid w:val="466F6C3F"/>
    <w:rsid w:val="46750300"/>
    <w:rsid w:val="46BA7E18"/>
    <w:rsid w:val="46C51DB6"/>
    <w:rsid w:val="46C97F86"/>
    <w:rsid w:val="46D27A5E"/>
    <w:rsid w:val="46F8569E"/>
    <w:rsid w:val="46FD230A"/>
    <w:rsid w:val="4700110C"/>
    <w:rsid w:val="47086E9B"/>
    <w:rsid w:val="470D7056"/>
    <w:rsid w:val="471F78EB"/>
    <w:rsid w:val="47412135"/>
    <w:rsid w:val="474927A4"/>
    <w:rsid w:val="476A7684"/>
    <w:rsid w:val="4778251B"/>
    <w:rsid w:val="478C729A"/>
    <w:rsid w:val="47993DFF"/>
    <w:rsid w:val="47AE6C52"/>
    <w:rsid w:val="47C0572A"/>
    <w:rsid w:val="47C419A8"/>
    <w:rsid w:val="47F75122"/>
    <w:rsid w:val="47FF5595"/>
    <w:rsid w:val="47FF6989"/>
    <w:rsid w:val="480339C0"/>
    <w:rsid w:val="48043531"/>
    <w:rsid w:val="48146398"/>
    <w:rsid w:val="48236392"/>
    <w:rsid w:val="48313AAD"/>
    <w:rsid w:val="485B58B7"/>
    <w:rsid w:val="485C2EC3"/>
    <w:rsid w:val="48653E4B"/>
    <w:rsid w:val="487A3E92"/>
    <w:rsid w:val="48823E8B"/>
    <w:rsid w:val="488B2778"/>
    <w:rsid w:val="48905F78"/>
    <w:rsid w:val="48BE6F93"/>
    <w:rsid w:val="48C758AF"/>
    <w:rsid w:val="48EB3F34"/>
    <w:rsid w:val="48F10996"/>
    <w:rsid w:val="48FC78FB"/>
    <w:rsid w:val="490909C2"/>
    <w:rsid w:val="494B324C"/>
    <w:rsid w:val="495B60DA"/>
    <w:rsid w:val="495D1726"/>
    <w:rsid w:val="496E1E69"/>
    <w:rsid w:val="499C3A63"/>
    <w:rsid w:val="49D10329"/>
    <w:rsid w:val="49F625B4"/>
    <w:rsid w:val="49FB7308"/>
    <w:rsid w:val="4A1426FE"/>
    <w:rsid w:val="4A187C14"/>
    <w:rsid w:val="4A2751BF"/>
    <w:rsid w:val="4A2D4763"/>
    <w:rsid w:val="4A377A12"/>
    <w:rsid w:val="4A3F14A8"/>
    <w:rsid w:val="4A4C6349"/>
    <w:rsid w:val="4A6532E0"/>
    <w:rsid w:val="4A927E23"/>
    <w:rsid w:val="4A9A0035"/>
    <w:rsid w:val="4AA1018F"/>
    <w:rsid w:val="4AA761BF"/>
    <w:rsid w:val="4AB71969"/>
    <w:rsid w:val="4AFD556C"/>
    <w:rsid w:val="4B223EAE"/>
    <w:rsid w:val="4B302DB8"/>
    <w:rsid w:val="4B587D3B"/>
    <w:rsid w:val="4B813A1E"/>
    <w:rsid w:val="4B8F592F"/>
    <w:rsid w:val="4BD0684C"/>
    <w:rsid w:val="4BD326F6"/>
    <w:rsid w:val="4BDF34F7"/>
    <w:rsid w:val="4BE82FC1"/>
    <w:rsid w:val="4BF12F92"/>
    <w:rsid w:val="4C0F5ED0"/>
    <w:rsid w:val="4C1C6E78"/>
    <w:rsid w:val="4C400498"/>
    <w:rsid w:val="4C5D1F4C"/>
    <w:rsid w:val="4C682445"/>
    <w:rsid w:val="4C682DEA"/>
    <w:rsid w:val="4C9F3958"/>
    <w:rsid w:val="4CAB3EF8"/>
    <w:rsid w:val="4CB11801"/>
    <w:rsid w:val="4CBE5255"/>
    <w:rsid w:val="4CD444DE"/>
    <w:rsid w:val="4CDA46BC"/>
    <w:rsid w:val="4D035117"/>
    <w:rsid w:val="4D162C2A"/>
    <w:rsid w:val="4D402343"/>
    <w:rsid w:val="4D6F71EE"/>
    <w:rsid w:val="4D7020EB"/>
    <w:rsid w:val="4D893B26"/>
    <w:rsid w:val="4D8F2744"/>
    <w:rsid w:val="4D9A3329"/>
    <w:rsid w:val="4D9C4F43"/>
    <w:rsid w:val="4DCA1467"/>
    <w:rsid w:val="4DCC20BF"/>
    <w:rsid w:val="4DCC4490"/>
    <w:rsid w:val="4DD22C54"/>
    <w:rsid w:val="4DE64113"/>
    <w:rsid w:val="4DF83BED"/>
    <w:rsid w:val="4DFA3134"/>
    <w:rsid w:val="4E064EE1"/>
    <w:rsid w:val="4E2A1096"/>
    <w:rsid w:val="4E426BFD"/>
    <w:rsid w:val="4E455E46"/>
    <w:rsid w:val="4E7B4FA9"/>
    <w:rsid w:val="4E9C749E"/>
    <w:rsid w:val="4EA22D82"/>
    <w:rsid w:val="4EC45545"/>
    <w:rsid w:val="4EF8666A"/>
    <w:rsid w:val="4F0D2A9C"/>
    <w:rsid w:val="4F2B296D"/>
    <w:rsid w:val="4F320685"/>
    <w:rsid w:val="4F396CA2"/>
    <w:rsid w:val="4F3B7507"/>
    <w:rsid w:val="4F470191"/>
    <w:rsid w:val="4F5427A3"/>
    <w:rsid w:val="4F560203"/>
    <w:rsid w:val="4F602195"/>
    <w:rsid w:val="4F621860"/>
    <w:rsid w:val="4F83488E"/>
    <w:rsid w:val="4F8C3F18"/>
    <w:rsid w:val="4F9B5B52"/>
    <w:rsid w:val="4FAF3442"/>
    <w:rsid w:val="500D1FEB"/>
    <w:rsid w:val="5011200C"/>
    <w:rsid w:val="501F0647"/>
    <w:rsid w:val="503A6812"/>
    <w:rsid w:val="504C75E5"/>
    <w:rsid w:val="504E766D"/>
    <w:rsid w:val="505000B2"/>
    <w:rsid w:val="50627CBE"/>
    <w:rsid w:val="507176A7"/>
    <w:rsid w:val="50757D9A"/>
    <w:rsid w:val="507E5685"/>
    <w:rsid w:val="50831D6B"/>
    <w:rsid w:val="50832E79"/>
    <w:rsid w:val="50860DA8"/>
    <w:rsid w:val="50DE2339"/>
    <w:rsid w:val="5100348C"/>
    <w:rsid w:val="51031F06"/>
    <w:rsid w:val="510674A0"/>
    <w:rsid w:val="510A7F03"/>
    <w:rsid w:val="511314F9"/>
    <w:rsid w:val="511753B5"/>
    <w:rsid w:val="511D1FB2"/>
    <w:rsid w:val="51317353"/>
    <w:rsid w:val="51326274"/>
    <w:rsid w:val="5136717C"/>
    <w:rsid w:val="51495F59"/>
    <w:rsid w:val="515E5C58"/>
    <w:rsid w:val="515F4499"/>
    <w:rsid w:val="51834FA7"/>
    <w:rsid w:val="51961733"/>
    <w:rsid w:val="519848A2"/>
    <w:rsid w:val="51A87B36"/>
    <w:rsid w:val="51BD1C43"/>
    <w:rsid w:val="51F16B56"/>
    <w:rsid w:val="51FC5954"/>
    <w:rsid w:val="520019C0"/>
    <w:rsid w:val="52185829"/>
    <w:rsid w:val="522168F3"/>
    <w:rsid w:val="52615F63"/>
    <w:rsid w:val="52657E1A"/>
    <w:rsid w:val="5267266C"/>
    <w:rsid w:val="52927709"/>
    <w:rsid w:val="529E2D5C"/>
    <w:rsid w:val="52CE5322"/>
    <w:rsid w:val="52D657B4"/>
    <w:rsid w:val="52D75AAD"/>
    <w:rsid w:val="52DE310B"/>
    <w:rsid w:val="52E04802"/>
    <w:rsid w:val="52E374C5"/>
    <w:rsid w:val="53083717"/>
    <w:rsid w:val="531140F3"/>
    <w:rsid w:val="531260C2"/>
    <w:rsid w:val="533A1A3C"/>
    <w:rsid w:val="534130DE"/>
    <w:rsid w:val="537B062C"/>
    <w:rsid w:val="537C32E9"/>
    <w:rsid w:val="537C7FFD"/>
    <w:rsid w:val="53831B1B"/>
    <w:rsid w:val="538C568B"/>
    <w:rsid w:val="538E1010"/>
    <w:rsid w:val="539B59CE"/>
    <w:rsid w:val="53AD713A"/>
    <w:rsid w:val="53B746F8"/>
    <w:rsid w:val="53BA2B87"/>
    <w:rsid w:val="53CC7343"/>
    <w:rsid w:val="53CF3CD4"/>
    <w:rsid w:val="53D13E06"/>
    <w:rsid w:val="53F474C7"/>
    <w:rsid w:val="53F75F62"/>
    <w:rsid w:val="54152DD7"/>
    <w:rsid w:val="541602E3"/>
    <w:rsid w:val="541C1B23"/>
    <w:rsid w:val="54213E42"/>
    <w:rsid w:val="54244E4A"/>
    <w:rsid w:val="54265AB6"/>
    <w:rsid w:val="542C410A"/>
    <w:rsid w:val="542F2C1C"/>
    <w:rsid w:val="5430760A"/>
    <w:rsid w:val="543F286D"/>
    <w:rsid w:val="544A13F8"/>
    <w:rsid w:val="547445B2"/>
    <w:rsid w:val="54774378"/>
    <w:rsid w:val="5478070B"/>
    <w:rsid w:val="54841655"/>
    <w:rsid w:val="548916CD"/>
    <w:rsid w:val="54CB78DB"/>
    <w:rsid w:val="54CD25B2"/>
    <w:rsid w:val="54CE35F5"/>
    <w:rsid w:val="552320F8"/>
    <w:rsid w:val="55260173"/>
    <w:rsid w:val="552D365A"/>
    <w:rsid w:val="55502E57"/>
    <w:rsid w:val="555D0819"/>
    <w:rsid w:val="556407AD"/>
    <w:rsid w:val="55664E91"/>
    <w:rsid w:val="558136F0"/>
    <w:rsid w:val="55833DA2"/>
    <w:rsid w:val="558A01BA"/>
    <w:rsid w:val="55A32287"/>
    <w:rsid w:val="55A66D9C"/>
    <w:rsid w:val="55B90F2D"/>
    <w:rsid w:val="55C76794"/>
    <w:rsid w:val="55DA5F3A"/>
    <w:rsid w:val="560C40D4"/>
    <w:rsid w:val="56436A38"/>
    <w:rsid w:val="565D58A1"/>
    <w:rsid w:val="5661130A"/>
    <w:rsid w:val="567535F7"/>
    <w:rsid w:val="56A16D7A"/>
    <w:rsid w:val="56AC02D4"/>
    <w:rsid w:val="56BD2F69"/>
    <w:rsid w:val="56C00646"/>
    <w:rsid w:val="56C9096B"/>
    <w:rsid w:val="56CD76C4"/>
    <w:rsid w:val="56D57295"/>
    <w:rsid w:val="57011715"/>
    <w:rsid w:val="57097481"/>
    <w:rsid w:val="570C63F7"/>
    <w:rsid w:val="57102699"/>
    <w:rsid w:val="574045D9"/>
    <w:rsid w:val="5742303D"/>
    <w:rsid w:val="57460D6A"/>
    <w:rsid w:val="575971FC"/>
    <w:rsid w:val="57747D86"/>
    <w:rsid w:val="577A1C68"/>
    <w:rsid w:val="579B4D09"/>
    <w:rsid w:val="579F1504"/>
    <w:rsid w:val="579F1F67"/>
    <w:rsid w:val="57A418B9"/>
    <w:rsid w:val="57A8393C"/>
    <w:rsid w:val="57C96BEA"/>
    <w:rsid w:val="57D02998"/>
    <w:rsid w:val="57DE4A5A"/>
    <w:rsid w:val="57EB7DDB"/>
    <w:rsid w:val="57F54D9C"/>
    <w:rsid w:val="57F87ABB"/>
    <w:rsid w:val="57FB2627"/>
    <w:rsid w:val="581D540A"/>
    <w:rsid w:val="58233D8B"/>
    <w:rsid w:val="58363EFF"/>
    <w:rsid w:val="583C643C"/>
    <w:rsid w:val="583E0C02"/>
    <w:rsid w:val="587E7ED5"/>
    <w:rsid w:val="58BA12B4"/>
    <w:rsid w:val="58C64EEC"/>
    <w:rsid w:val="58CE444E"/>
    <w:rsid w:val="58E0239C"/>
    <w:rsid w:val="58E82BFC"/>
    <w:rsid w:val="58F929C1"/>
    <w:rsid w:val="58FF347E"/>
    <w:rsid w:val="59044BE4"/>
    <w:rsid w:val="590716C8"/>
    <w:rsid w:val="59196F19"/>
    <w:rsid w:val="591E24FB"/>
    <w:rsid w:val="594B089B"/>
    <w:rsid w:val="597A02AB"/>
    <w:rsid w:val="59F6294A"/>
    <w:rsid w:val="5A015ACA"/>
    <w:rsid w:val="5A056946"/>
    <w:rsid w:val="5A0A3C28"/>
    <w:rsid w:val="5A17689B"/>
    <w:rsid w:val="5A220699"/>
    <w:rsid w:val="5A234221"/>
    <w:rsid w:val="5A3D16A6"/>
    <w:rsid w:val="5A502760"/>
    <w:rsid w:val="5A877DBB"/>
    <w:rsid w:val="5A9D77F9"/>
    <w:rsid w:val="5AA1581E"/>
    <w:rsid w:val="5AA71BF1"/>
    <w:rsid w:val="5AAA3D23"/>
    <w:rsid w:val="5AC66E35"/>
    <w:rsid w:val="5ACA7553"/>
    <w:rsid w:val="5AD345C5"/>
    <w:rsid w:val="5AE83AB2"/>
    <w:rsid w:val="5B023158"/>
    <w:rsid w:val="5B0F5E3A"/>
    <w:rsid w:val="5B2316BB"/>
    <w:rsid w:val="5B2F3921"/>
    <w:rsid w:val="5B3F47B8"/>
    <w:rsid w:val="5B796F26"/>
    <w:rsid w:val="5B805FAE"/>
    <w:rsid w:val="5B850747"/>
    <w:rsid w:val="5B87175C"/>
    <w:rsid w:val="5B9012E4"/>
    <w:rsid w:val="5B913CBC"/>
    <w:rsid w:val="5BA37C52"/>
    <w:rsid w:val="5BB17A46"/>
    <w:rsid w:val="5BD8618B"/>
    <w:rsid w:val="5BE406BF"/>
    <w:rsid w:val="5BEC38F6"/>
    <w:rsid w:val="5C004B69"/>
    <w:rsid w:val="5C25362E"/>
    <w:rsid w:val="5C301DE0"/>
    <w:rsid w:val="5C3703F9"/>
    <w:rsid w:val="5C401C69"/>
    <w:rsid w:val="5C4A56A1"/>
    <w:rsid w:val="5C4C15DC"/>
    <w:rsid w:val="5C572AF8"/>
    <w:rsid w:val="5C65616E"/>
    <w:rsid w:val="5C760542"/>
    <w:rsid w:val="5C7E5448"/>
    <w:rsid w:val="5C902677"/>
    <w:rsid w:val="5CA3338F"/>
    <w:rsid w:val="5CB867AB"/>
    <w:rsid w:val="5CCA73E6"/>
    <w:rsid w:val="5CD6607C"/>
    <w:rsid w:val="5CF000A5"/>
    <w:rsid w:val="5CF644B0"/>
    <w:rsid w:val="5D0E16C8"/>
    <w:rsid w:val="5D423E47"/>
    <w:rsid w:val="5D5E0DC0"/>
    <w:rsid w:val="5D8B0284"/>
    <w:rsid w:val="5D9056A5"/>
    <w:rsid w:val="5DAC0502"/>
    <w:rsid w:val="5DB268C2"/>
    <w:rsid w:val="5DC9552D"/>
    <w:rsid w:val="5DE11775"/>
    <w:rsid w:val="5E0451FF"/>
    <w:rsid w:val="5E250332"/>
    <w:rsid w:val="5E2B61CD"/>
    <w:rsid w:val="5E580E19"/>
    <w:rsid w:val="5E6F3B8B"/>
    <w:rsid w:val="5E9B132F"/>
    <w:rsid w:val="5E9F3DD1"/>
    <w:rsid w:val="5EC13D31"/>
    <w:rsid w:val="5EDE486C"/>
    <w:rsid w:val="5F0755C2"/>
    <w:rsid w:val="5F1D0EC1"/>
    <w:rsid w:val="5F597796"/>
    <w:rsid w:val="5F6335A9"/>
    <w:rsid w:val="5F7E4038"/>
    <w:rsid w:val="5F877825"/>
    <w:rsid w:val="5FB41042"/>
    <w:rsid w:val="5FB964DB"/>
    <w:rsid w:val="5FC538EB"/>
    <w:rsid w:val="5FD46EFE"/>
    <w:rsid w:val="5FEC3AE4"/>
    <w:rsid w:val="5FFC5B12"/>
    <w:rsid w:val="6018732D"/>
    <w:rsid w:val="603F07EF"/>
    <w:rsid w:val="60705D10"/>
    <w:rsid w:val="607502AC"/>
    <w:rsid w:val="607B63D6"/>
    <w:rsid w:val="607E2509"/>
    <w:rsid w:val="608E557A"/>
    <w:rsid w:val="60A40C18"/>
    <w:rsid w:val="60B66E77"/>
    <w:rsid w:val="60B747F1"/>
    <w:rsid w:val="60C50C43"/>
    <w:rsid w:val="60C76244"/>
    <w:rsid w:val="60CD4B4E"/>
    <w:rsid w:val="60E01703"/>
    <w:rsid w:val="60E16BBE"/>
    <w:rsid w:val="61080BE9"/>
    <w:rsid w:val="612325CC"/>
    <w:rsid w:val="612E34EA"/>
    <w:rsid w:val="61327277"/>
    <w:rsid w:val="61365AF4"/>
    <w:rsid w:val="61375310"/>
    <w:rsid w:val="617307F6"/>
    <w:rsid w:val="61815A11"/>
    <w:rsid w:val="61870630"/>
    <w:rsid w:val="61A46291"/>
    <w:rsid w:val="61A66FD7"/>
    <w:rsid w:val="61C048FC"/>
    <w:rsid w:val="61D06C17"/>
    <w:rsid w:val="61EC0381"/>
    <w:rsid w:val="61F57883"/>
    <w:rsid w:val="620F35A1"/>
    <w:rsid w:val="621E4205"/>
    <w:rsid w:val="62277659"/>
    <w:rsid w:val="62414F72"/>
    <w:rsid w:val="624865B4"/>
    <w:rsid w:val="62524CF5"/>
    <w:rsid w:val="625E7FC4"/>
    <w:rsid w:val="627A4EDA"/>
    <w:rsid w:val="62867773"/>
    <w:rsid w:val="62A1493C"/>
    <w:rsid w:val="62A41494"/>
    <w:rsid w:val="62A9168F"/>
    <w:rsid w:val="62C41CFB"/>
    <w:rsid w:val="62D96696"/>
    <w:rsid w:val="62DF06AB"/>
    <w:rsid w:val="62E84464"/>
    <w:rsid w:val="62EE08A4"/>
    <w:rsid w:val="630C26F6"/>
    <w:rsid w:val="633856AF"/>
    <w:rsid w:val="633F437D"/>
    <w:rsid w:val="63467CB4"/>
    <w:rsid w:val="63547011"/>
    <w:rsid w:val="636A1635"/>
    <w:rsid w:val="638E2A41"/>
    <w:rsid w:val="63B61D28"/>
    <w:rsid w:val="63DF612A"/>
    <w:rsid w:val="640E1AE8"/>
    <w:rsid w:val="64141EB0"/>
    <w:rsid w:val="641913BD"/>
    <w:rsid w:val="64232F52"/>
    <w:rsid w:val="643064E5"/>
    <w:rsid w:val="64702C7B"/>
    <w:rsid w:val="648C1C69"/>
    <w:rsid w:val="648D1983"/>
    <w:rsid w:val="64916577"/>
    <w:rsid w:val="64AA2511"/>
    <w:rsid w:val="64AF6024"/>
    <w:rsid w:val="64B47145"/>
    <w:rsid w:val="64C26286"/>
    <w:rsid w:val="64CD2D3B"/>
    <w:rsid w:val="64D0058A"/>
    <w:rsid w:val="64D2641B"/>
    <w:rsid w:val="64EA0597"/>
    <w:rsid w:val="64EA22C9"/>
    <w:rsid w:val="64FD1E30"/>
    <w:rsid w:val="651249F5"/>
    <w:rsid w:val="65222983"/>
    <w:rsid w:val="65721349"/>
    <w:rsid w:val="6574054D"/>
    <w:rsid w:val="65771A30"/>
    <w:rsid w:val="658D47DF"/>
    <w:rsid w:val="65C410C7"/>
    <w:rsid w:val="65D83AE5"/>
    <w:rsid w:val="65E65D29"/>
    <w:rsid w:val="65EC3DBA"/>
    <w:rsid w:val="660144FE"/>
    <w:rsid w:val="660521F9"/>
    <w:rsid w:val="66196315"/>
    <w:rsid w:val="661B27F7"/>
    <w:rsid w:val="66473E56"/>
    <w:rsid w:val="66484ED9"/>
    <w:rsid w:val="664D6D59"/>
    <w:rsid w:val="6652794C"/>
    <w:rsid w:val="6669606C"/>
    <w:rsid w:val="668024E2"/>
    <w:rsid w:val="668B789E"/>
    <w:rsid w:val="66A75FC9"/>
    <w:rsid w:val="66BA3430"/>
    <w:rsid w:val="66CE0A8B"/>
    <w:rsid w:val="66CE6BEF"/>
    <w:rsid w:val="66E17E7B"/>
    <w:rsid w:val="671C24B2"/>
    <w:rsid w:val="67314D0F"/>
    <w:rsid w:val="6731615B"/>
    <w:rsid w:val="67342CCA"/>
    <w:rsid w:val="67464885"/>
    <w:rsid w:val="676E46C2"/>
    <w:rsid w:val="67745EE5"/>
    <w:rsid w:val="67766FEA"/>
    <w:rsid w:val="67796493"/>
    <w:rsid w:val="677D7507"/>
    <w:rsid w:val="678A79F8"/>
    <w:rsid w:val="678D29DB"/>
    <w:rsid w:val="678F66DE"/>
    <w:rsid w:val="67A17883"/>
    <w:rsid w:val="67AA7099"/>
    <w:rsid w:val="67AB4D6A"/>
    <w:rsid w:val="67BC6193"/>
    <w:rsid w:val="67CC18F9"/>
    <w:rsid w:val="67F065C0"/>
    <w:rsid w:val="67F97B85"/>
    <w:rsid w:val="67FB5031"/>
    <w:rsid w:val="68234A2E"/>
    <w:rsid w:val="682B05A4"/>
    <w:rsid w:val="682E48D4"/>
    <w:rsid w:val="686B6192"/>
    <w:rsid w:val="68984EC1"/>
    <w:rsid w:val="68AC26AD"/>
    <w:rsid w:val="68AC4DB1"/>
    <w:rsid w:val="68B10A1B"/>
    <w:rsid w:val="68E2619C"/>
    <w:rsid w:val="68EF7C7C"/>
    <w:rsid w:val="68F522D7"/>
    <w:rsid w:val="68FF4910"/>
    <w:rsid w:val="69197AE5"/>
    <w:rsid w:val="691D1246"/>
    <w:rsid w:val="692973DE"/>
    <w:rsid w:val="693578D7"/>
    <w:rsid w:val="694546E2"/>
    <w:rsid w:val="694F2ED9"/>
    <w:rsid w:val="69513F13"/>
    <w:rsid w:val="69557991"/>
    <w:rsid w:val="69843DF8"/>
    <w:rsid w:val="69963E99"/>
    <w:rsid w:val="699666D5"/>
    <w:rsid w:val="699B7B62"/>
    <w:rsid w:val="69B16CB8"/>
    <w:rsid w:val="69B5342B"/>
    <w:rsid w:val="69F82A2A"/>
    <w:rsid w:val="6A0B6CC7"/>
    <w:rsid w:val="6A1822B8"/>
    <w:rsid w:val="6A2040A6"/>
    <w:rsid w:val="6A214665"/>
    <w:rsid w:val="6A220731"/>
    <w:rsid w:val="6A2D2BE6"/>
    <w:rsid w:val="6A344F08"/>
    <w:rsid w:val="6A485D78"/>
    <w:rsid w:val="6A550C02"/>
    <w:rsid w:val="6A653E76"/>
    <w:rsid w:val="6A7662AE"/>
    <w:rsid w:val="6A8E12A3"/>
    <w:rsid w:val="6AB914E6"/>
    <w:rsid w:val="6AD63E75"/>
    <w:rsid w:val="6ADA42BD"/>
    <w:rsid w:val="6AE8783B"/>
    <w:rsid w:val="6AE97B56"/>
    <w:rsid w:val="6AEE78D1"/>
    <w:rsid w:val="6AF04CDF"/>
    <w:rsid w:val="6B223DEA"/>
    <w:rsid w:val="6B22687F"/>
    <w:rsid w:val="6B400590"/>
    <w:rsid w:val="6B435CCB"/>
    <w:rsid w:val="6B4C2BA1"/>
    <w:rsid w:val="6B6D4E2B"/>
    <w:rsid w:val="6B763911"/>
    <w:rsid w:val="6B963A02"/>
    <w:rsid w:val="6BA80736"/>
    <w:rsid w:val="6BA9662D"/>
    <w:rsid w:val="6BC229B5"/>
    <w:rsid w:val="6BF67890"/>
    <w:rsid w:val="6C142CC2"/>
    <w:rsid w:val="6C3B7BF1"/>
    <w:rsid w:val="6C4675E6"/>
    <w:rsid w:val="6C4B6599"/>
    <w:rsid w:val="6C553829"/>
    <w:rsid w:val="6C756F95"/>
    <w:rsid w:val="6C9163E4"/>
    <w:rsid w:val="6C9A2898"/>
    <w:rsid w:val="6CA6106A"/>
    <w:rsid w:val="6CC031A9"/>
    <w:rsid w:val="6CCE05AD"/>
    <w:rsid w:val="6CCF059E"/>
    <w:rsid w:val="6CDC6AFA"/>
    <w:rsid w:val="6CDD4C8E"/>
    <w:rsid w:val="6CDD6A1E"/>
    <w:rsid w:val="6D01130D"/>
    <w:rsid w:val="6D0542EE"/>
    <w:rsid w:val="6D086B2F"/>
    <w:rsid w:val="6D0971A5"/>
    <w:rsid w:val="6D222282"/>
    <w:rsid w:val="6D2F2BC8"/>
    <w:rsid w:val="6D577BA4"/>
    <w:rsid w:val="6D654A80"/>
    <w:rsid w:val="6D702F08"/>
    <w:rsid w:val="6D77430F"/>
    <w:rsid w:val="6D793962"/>
    <w:rsid w:val="6D985524"/>
    <w:rsid w:val="6D9D16D6"/>
    <w:rsid w:val="6DBE0FE9"/>
    <w:rsid w:val="6DC5143E"/>
    <w:rsid w:val="6DC83553"/>
    <w:rsid w:val="6DD3735A"/>
    <w:rsid w:val="6DDD5335"/>
    <w:rsid w:val="6DEB3A52"/>
    <w:rsid w:val="6DEE4A77"/>
    <w:rsid w:val="6E140305"/>
    <w:rsid w:val="6E145E7D"/>
    <w:rsid w:val="6E2F2B25"/>
    <w:rsid w:val="6E5156CE"/>
    <w:rsid w:val="6E533965"/>
    <w:rsid w:val="6E6E58AC"/>
    <w:rsid w:val="6E72799D"/>
    <w:rsid w:val="6E7428E3"/>
    <w:rsid w:val="6E761636"/>
    <w:rsid w:val="6E863A1A"/>
    <w:rsid w:val="6E8B3D60"/>
    <w:rsid w:val="6E96786C"/>
    <w:rsid w:val="6E9A114F"/>
    <w:rsid w:val="6E9A154C"/>
    <w:rsid w:val="6EAA15A0"/>
    <w:rsid w:val="6EB50D3C"/>
    <w:rsid w:val="6EC66FAD"/>
    <w:rsid w:val="6EE818B3"/>
    <w:rsid w:val="6EEE15A9"/>
    <w:rsid w:val="6F082DD5"/>
    <w:rsid w:val="6F327949"/>
    <w:rsid w:val="6F346896"/>
    <w:rsid w:val="6F5807F5"/>
    <w:rsid w:val="6F650DDA"/>
    <w:rsid w:val="6F6D3B02"/>
    <w:rsid w:val="6FC3150B"/>
    <w:rsid w:val="6FC44F8E"/>
    <w:rsid w:val="6FCA3A81"/>
    <w:rsid w:val="6FD46AE1"/>
    <w:rsid w:val="6FE14AD7"/>
    <w:rsid w:val="700561C3"/>
    <w:rsid w:val="700653C4"/>
    <w:rsid w:val="700A5CF7"/>
    <w:rsid w:val="70397254"/>
    <w:rsid w:val="70495A3B"/>
    <w:rsid w:val="706B46C3"/>
    <w:rsid w:val="706D6EA2"/>
    <w:rsid w:val="708F2492"/>
    <w:rsid w:val="709051D8"/>
    <w:rsid w:val="70BD0398"/>
    <w:rsid w:val="70C54E7A"/>
    <w:rsid w:val="70D23E54"/>
    <w:rsid w:val="70EA05ED"/>
    <w:rsid w:val="70EA1499"/>
    <w:rsid w:val="70FA44E2"/>
    <w:rsid w:val="71357CDC"/>
    <w:rsid w:val="71362991"/>
    <w:rsid w:val="7137444C"/>
    <w:rsid w:val="716D1D1E"/>
    <w:rsid w:val="71781396"/>
    <w:rsid w:val="71957FF7"/>
    <w:rsid w:val="71BA17A1"/>
    <w:rsid w:val="71C702A8"/>
    <w:rsid w:val="71D03ED1"/>
    <w:rsid w:val="71DC1EB3"/>
    <w:rsid w:val="71E13740"/>
    <w:rsid w:val="71E14D48"/>
    <w:rsid w:val="72083C09"/>
    <w:rsid w:val="722703C0"/>
    <w:rsid w:val="722A4EF0"/>
    <w:rsid w:val="72422889"/>
    <w:rsid w:val="724D6982"/>
    <w:rsid w:val="725F6FD0"/>
    <w:rsid w:val="72621771"/>
    <w:rsid w:val="728C1EE6"/>
    <w:rsid w:val="72933548"/>
    <w:rsid w:val="72A5756C"/>
    <w:rsid w:val="72AD3522"/>
    <w:rsid w:val="72BA5833"/>
    <w:rsid w:val="72DA7579"/>
    <w:rsid w:val="72EC0C8A"/>
    <w:rsid w:val="72F4481D"/>
    <w:rsid w:val="72F51383"/>
    <w:rsid w:val="72F5435B"/>
    <w:rsid w:val="72F95098"/>
    <w:rsid w:val="72FC34F7"/>
    <w:rsid w:val="732D1F20"/>
    <w:rsid w:val="733801E5"/>
    <w:rsid w:val="73486225"/>
    <w:rsid w:val="7351684E"/>
    <w:rsid w:val="73531861"/>
    <w:rsid w:val="73592C2F"/>
    <w:rsid w:val="735B2B9D"/>
    <w:rsid w:val="737039CE"/>
    <w:rsid w:val="73766776"/>
    <w:rsid w:val="7377386A"/>
    <w:rsid w:val="738226B5"/>
    <w:rsid w:val="73DF65D5"/>
    <w:rsid w:val="73E35066"/>
    <w:rsid w:val="74020F70"/>
    <w:rsid w:val="74191FC7"/>
    <w:rsid w:val="743C39F2"/>
    <w:rsid w:val="74443A65"/>
    <w:rsid w:val="744C3EBC"/>
    <w:rsid w:val="744D6CD5"/>
    <w:rsid w:val="748953F0"/>
    <w:rsid w:val="748A363A"/>
    <w:rsid w:val="74973726"/>
    <w:rsid w:val="74C26ACD"/>
    <w:rsid w:val="74E75411"/>
    <w:rsid w:val="74F601B1"/>
    <w:rsid w:val="75546E6C"/>
    <w:rsid w:val="75587CC9"/>
    <w:rsid w:val="756E2F06"/>
    <w:rsid w:val="75833273"/>
    <w:rsid w:val="75833F9F"/>
    <w:rsid w:val="759F2604"/>
    <w:rsid w:val="75AE6D51"/>
    <w:rsid w:val="75BD0A38"/>
    <w:rsid w:val="75BF3EE4"/>
    <w:rsid w:val="75C25568"/>
    <w:rsid w:val="75EB3A46"/>
    <w:rsid w:val="75ED5222"/>
    <w:rsid w:val="75F12889"/>
    <w:rsid w:val="75F94D9B"/>
    <w:rsid w:val="75FE25AB"/>
    <w:rsid w:val="762A3646"/>
    <w:rsid w:val="76365485"/>
    <w:rsid w:val="763871E6"/>
    <w:rsid w:val="763B4768"/>
    <w:rsid w:val="763D056F"/>
    <w:rsid w:val="765D774F"/>
    <w:rsid w:val="769910B1"/>
    <w:rsid w:val="769E4A71"/>
    <w:rsid w:val="76B40078"/>
    <w:rsid w:val="76D44064"/>
    <w:rsid w:val="76E61DD2"/>
    <w:rsid w:val="76E968E3"/>
    <w:rsid w:val="771F0E36"/>
    <w:rsid w:val="772A7A68"/>
    <w:rsid w:val="77393AB9"/>
    <w:rsid w:val="774A45B1"/>
    <w:rsid w:val="778D0109"/>
    <w:rsid w:val="77981BC9"/>
    <w:rsid w:val="77A31DF2"/>
    <w:rsid w:val="77AB4F16"/>
    <w:rsid w:val="77B8477D"/>
    <w:rsid w:val="77BB3FDE"/>
    <w:rsid w:val="77D250BF"/>
    <w:rsid w:val="77D57502"/>
    <w:rsid w:val="77E26334"/>
    <w:rsid w:val="780D75B9"/>
    <w:rsid w:val="782B074C"/>
    <w:rsid w:val="789226BA"/>
    <w:rsid w:val="78D1055E"/>
    <w:rsid w:val="78D57F08"/>
    <w:rsid w:val="78D704D3"/>
    <w:rsid w:val="78E13750"/>
    <w:rsid w:val="78EB48BB"/>
    <w:rsid w:val="78F30C5E"/>
    <w:rsid w:val="79065723"/>
    <w:rsid w:val="790A643C"/>
    <w:rsid w:val="792E7950"/>
    <w:rsid w:val="79316EF3"/>
    <w:rsid w:val="79477D85"/>
    <w:rsid w:val="79484E84"/>
    <w:rsid w:val="79572732"/>
    <w:rsid w:val="79674E69"/>
    <w:rsid w:val="79911465"/>
    <w:rsid w:val="799C58AA"/>
    <w:rsid w:val="79AA3C23"/>
    <w:rsid w:val="79B16DAC"/>
    <w:rsid w:val="79B22E53"/>
    <w:rsid w:val="79CC2C0C"/>
    <w:rsid w:val="79CC62B2"/>
    <w:rsid w:val="79CC7FC1"/>
    <w:rsid w:val="7A0831FD"/>
    <w:rsid w:val="7A0E67A0"/>
    <w:rsid w:val="7A0F6BE8"/>
    <w:rsid w:val="7A2D0C56"/>
    <w:rsid w:val="7A315122"/>
    <w:rsid w:val="7A640933"/>
    <w:rsid w:val="7A716BB1"/>
    <w:rsid w:val="7A802F48"/>
    <w:rsid w:val="7A840E53"/>
    <w:rsid w:val="7AD623A9"/>
    <w:rsid w:val="7ADB6253"/>
    <w:rsid w:val="7AEE4E59"/>
    <w:rsid w:val="7AF334AA"/>
    <w:rsid w:val="7B014679"/>
    <w:rsid w:val="7B2347CB"/>
    <w:rsid w:val="7B2E178A"/>
    <w:rsid w:val="7B374C0B"/>
    <w:rsid w:val="7B3B7BB8"/>
    <w:rsid w:val="7B543C43"/>
    <w:rsid w:val="7B6807A7"/>
    <w:rsid w:val="7B751C48"/>
    <w:rsid w:val="7BA423AA"/>
    <w:rsid w:val="7BB02E2F"/>
    <w:rsid w:val="7BB51187"/>
    <w:rsid w:val="7BC5774F"/>
    <w:rsid w:val="7BDC14DA"/>
    <w:rsid w:val="7BF85FDE"/>
    <w:rsid w:val="7BFA185F"/>
    <w:rsid w:val="7C1221F2"/>
    <w:rsid w:val="7C36004B"/>
    <w:rsid w:val="7C4A56A0"/>
    <w:rsid w:val="7C552126"/>
    <w:rsid w:val="7C5769FF"/>
    <w:rsid w:val="7C5B4AF7"/>
    <w:rsid w:val="7C6600C9"/>
    <w:rsid w:val="7C692D1B"/>
    <w:rsid w:val="7C7E5AB7"/>
    <w:rsid w:val="7C865A36"/>
    <w:rsid w:val="7CA60674"/>
    <w:rsid w:val="7CA770A8"/>
    <w:rsid w:val="7CBF62BF"/>
    <w:rsid w:val="7CC32BF7"/>
    <w:rsid w:val="7D2433F5"/>
    <w:rsid w:val="7D4E05DE"/>
    <w:rsid w:val="7D5A0CD3"/>
    <w:rsid w:val="7D625E96"/>
    <w:rsid w:val="7D6A217F"/>
    <w:rsid w:val="7D887841"/>
    <w:rsid w:val="7D900B6E"/>
    <w:rsid w:val="7DA622F5"/>
    <w:rsid w:val="7DC52E68"/>
    <w:rsid w:val="7DD6788C"/>
    <w:rsid w:val="7DDD66A4"/>
    <w:rsid w:val="7E082700"/>
    <w:rsid w:val="7E160ACB"/>
    <w:rsid w:val="7E162AC9"/>
    <w:rsid w:val="7E1B7131"/>
    <w:rsid w:val="7E226F1F"/>
    <w:rsid w:val="7E276C6F"/>
    <w:rsid w:val="7E2C4497"/>
    <w:rsid w:val="7E4279CC"/>
    <w:rsid w:val="7E4D7842"/>
    <w:rsid w:val="7E5E4FEF"/>
    <w:rsid w:val="7E64121C"/>
    <w:rsid w:val="7E6A3926"/>
    <w:rsid w:val="7E824C3A"/>
    <w:rsid w:val="7EB4627A"/>
    <w:rsid w:val="7EBC1A46"/>
    <w:rsid w:val="7ED343EF"/>
    <w:rsid w:val="7EF320D6"/>
    <w:rsid w:val="7F231EE0"/>
    <w:rsid w:val="7F2E7C0C"/>
    <w:rsid w:val="7F4C55BE"/>
    <w:rsid w:val="7F501551"/>
    <w:rsid w:val="7F550625"/>
    <w:rsid w:val="7F69171D"/>
    <w:rsid w:val="7F737093"/>
    <w:rsid w:val="7F8D4C8E"/>
    <w:rsid w:val="7FA633A1"/>
    <w:rsid w:val="7FB31B90"/>
    <w:rsid w:val="7FC2144C"/>
    <w:rsid w:val="7FC31A59"/>
    <w:rsid w:val="7FCF47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sz w:val="32"/>
    </w:rPr>
  </w:style>
  <w:style w:type="paragraph" w:styleId="2">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semiHidden/>
    <w:qFormat/>
    <w:uiPriority w:val="0"/>
    <w:pPr>
      <w:jc w:val="left"/>
    </w:pPr>
  </w:style>
  <w:style w:type="paragraph" w:styleId="5">
    <w:name w:val="Body Text"/>
    <w:basedOn w:val="1"/>
    <w:qFormat/>
    <w:uiPriority w:val="0"/>
    <w:pPr>
      <w:autoSpaceDE w:val="0"/>
      <w:autoSpaceDN w:val="0"/>
      <w:adjustRightInd w:val="0"/>
      <w:spacing w:line="360" w:lineRule="auto"/>
      <w:ind w:right="216"/>
    </w:pPr>
    <w:rPr>
      <w:rFonts w:ascii="宋体" w:hAnsi="宋体"/>
      <w:kern w:val="0"/>
      <w:sz w:val="32"/>
      <w:szCs w:val="21"/>
    </w:rPr>
  </w:style>
  <w:style w:type="paragraph" w:styleId="6">
    <w:name w:val="Body Text Indent"/>
    <w:basedOn w:val="1"/>
    <w:qFormat/>
    <w:uiPriority w:val="0"/>
    <w:pPr>
      <w:ind w:firstLine="640" w:firstLineChars="200"/>
    </w:pPr>
    <w:rPr>
      <w:rFonts w:eastAsia="仿宋_GB2312"/>
      <w:sz w:val="32"/>
    </w:rPr>
  </w:style>
  <w:style w:type="paragraph" w:styleId="7">
    <w:name w:val="Plain Text"/>
    <w:basedOn w:val="1"/>
    <w:link w:val="19"/>
    <w:qFormat/>
    <w:uiPriority w:val="0"/>
    <w:rPr>
      <w:rFonts w:ascii="宋体" w:hAnsi="Courier New" w:cs="宋体"/>
      <w:sz w:val="32"/>
      <w:szCs w:val="32"/>
    </w:rPr>
  </w:style>
  <w:style w:type="paragraph" w:styleId="8">
    <w:name w:val="Date"/>
    <w:basedOn w:val="1"/>
    <w:next w:val="1"/>
    <w:qFormat/>
    <w:uiPriority w:val="0"/>
    <w:pPr>
      <w:ind w:left="100" w:leftChars="2500"/>
    </w:pPr>
    <w:rPr>
      <w:rFonts w:ascii="宋体" w:hAnsi="宋体"/>
      <w:kern w:val="0"/>
      <w:sz w:val="32"/>
      <w:szCs w:val="18"/>
    </w:rPr>
  </w:style>
  <w:style w:type="paragraph" w:styleId="9">
    <w:name w:val="Body Text Indent 2"/>
    <w:basedOn w:val="1"/>
    <w:qFormat/>
    <w:uiPriority w:val="0"/>
    <w:pPr>
      <w:spacing w:after="120" w:line="480" w:lineRule="auto"/>
      <w:ind w:left="420" w:leftChars="200"/>
    </w:pPr>
  </w:style>
  <w:style w:type="paragraph" w:styleId="10">
    <w:name w:val="Balloon Text"/>
    <w:basedOn w:val="1"/>
    <w:semiHidden/>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qFormat/>
    <w:uiPriority w:val="0"/>
    <w:pPr>
      <w:ind w:firstLine="660"/>
    </w:pPr>
    <w:rPr>
      <w:rFonts w:ascii="方正仿宋" w:eastAsia="方正仿宋"/>
      <w:sz w:val="32"/>
    </w:rPr>
  </w:style>
  <w:style w:type="paragraph" w:styleId="14">
    <w:name w:val="annotation subject"/>
    <w:basedOn w:val="4"/>
    <w:next w:val="4"/>
    <w:semiHidden/>
    <w:qFormat/>
    <w:uiPriority w:val="0"/>
    <w:rPr>
      <w:b/>
      <w:bCs/>
    </w:rPr>
  </w:style>
  <w:style w:type="character" w:styleId="17">
    <w:name w:val="page number"/>
    <w:basedOn w:val="16"/>
    <w:qFormat/>
    <w:uiPriority w:val="0"/>
  </w:style>
  <w:style w:type="character" w:styleId="18">
    <w:name w:val="annotation reference"/>
    <w:semiHidden/>
    <w:qFormat/>
    <w:uiPriority w:val="0"/>
    <w:rPr>
      <w:sz w:val="21"/>
      <w:szCs w:val="21"/>
    </w:rPr>
  </w:style>
  <w:style w:type="character" w:customStyle="1" w:styleId="19">
    <w:name w:val="纯文本 Char"/>
    <w:link w:val="7"/>
    <w:qFormat/>
    <w:uiPriority w:val="0"/>
    <w:rPr>
      <w:rFonts w:ascii="宋体" w:hAnsi="Courier New" w:eastAsia="宋体" w:cs="宋体"/>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15905</Words>
  <Characters>16401</Characters>
  <Lines>148</Lines>
  <Paragraphs>41</Paragraphs>
  <TotalTime>17</TotalTime>
  <ScaleCrop>false</ScaleCrop>
  <LinksUpToDate>false</LinksUpToDate>
  <CharactersWithSpaces>19211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2018-01-31T00:54:00Z</dcterms:created>
  <dc:creator>gtj</dc:creator>
  <cp:lastModifiedBy>NTKO</cp:lastModifiedBy>
  <cp:lastPrinted>2025-06-11T09:38:00Z</cp:lastPrinted>
  <dcterms:modified xsi:type="dcterms:W3CDTF">2025-08-06T08:34:48Z</dcterms:modified>
  <dc:title>国有土地使用权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A8631843BC3A4AABA1C9439529C1E792_13</vt:lpwstr>
  </property>
  <property fmtid="{D5CDD505-2E9C-101B-9397-08002B2CF9AE}" pid="4" name="KSOTemplateDocerSaveRecord">
    <vt:lpwstr>eyJoZGlkIjoiOWZmYWI0N2FkNWMwMDMwYjg0MzdmZmQ0YzFjMDQwZjUiLCJ1c2VySWQiOiIzMTg0MDA2NTcifQ==</vt:lpwstr>
  </property>
</Properties>
</file>