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CA0024">
      <w:pPr>
        <w:pStyle w:val="3"/>
        <w:spacing w:line="248" w:lineRule="auto"/>
        <w:rPr>
          <w:color w:val="auto"/>
          <w:highlight w:val="none"/>
        </w:rPr>
      </w:pPr>
    </w:p>
    <w:p w14:paraId="68D27108">
      <w:pPr>
        <w:pStyle w:val="3"/>
        <w:spacing w:line="248" w:lineRule="auto"/>
        <w:rPr>
          <w:color w:val="auto"/>
          <w:highlight w:val="none"/>
        </w:rPr>
      </w:pPr>
    </w:p>
    <w:p w14:paraId="5A3BBF3C">
      <w:pPr>
        <w:pStyle w:val="3"/>
        <w:spacing w:line="248" w:lineRule="auto"/>
        <w:rPr>
          <w:color w:val="auto"/>
          <w:highlight w:val="none"/>
        </w:rPr>
      </w:pPr>
    </w:p>
    <w:p w14:paraId="37AD88A6">
      <w:pPr>
        <w:pStyle w:val="3"/>
        <w:spacing w:line="248" w:lineRule="auto"/>
        <w:rPr>
          <w:color w:val="auto"/>
          <w:highlight w:val="none"/>
        </w:rPr>
      </w:pPr>
    </w:p>
    <w:p w14:paraId="1BAE57E3">
      <w:pPr>
        <w:pStyle w:val="12"/>
        <w:spacing w:line="360" w:lineRule="auto"/>
        <w:ind w:left="0" w:leftChars="0" w:firstLine="0" w:firstLineChars="0"/>
        <w:jc w:val="center"/>
        <w:rPr>
          <w:rFonts w:hint="eastAsia" w:ascii="宋体" w:hAnsi="宋体" w:eastAsia="宋体" w:cs="宋体"/>
          <w:b/>
          <w:bCs/>
          <w:color w:val="auto"/>
          <w:spacing w:val="-23"/>
          <w:sz w:val="44"/>
          <w:szCs w:val="44"/>
          <w:highlight w:val="none"/>
          <w:lang w:eastAsia="zh-CN"/>
        </w:rPr>
      </w:pPr>
      <w:r>
        <w:rPr>
          <w:rFonts w:hint="eastAsia" w:ascii="宋体" w:hAnsi="宋体" w:eastAsia="宋体" w:cs="宋体"/>
          <w:b/>
          <w:bCs/>
          <w:color w:val="auto"/>
          <w:spacing w:val="-23"/>
          <w:sz w:val="44"/>
          <w:szCs w:val="44"/>
          <w:highlight w:val="none"/>
          <w:lang w:eastAsia="zh-CN"/>
        </w:rPr>
        <w:t>2025年嵊州市浦口街道高标准农田建设项目(I标)</w:t>
      </w:r>
    </w:p>
    <w:p w14:paraId="616BF5F1">
      <w:pPr>
        <w:pStyle w:val="3"/>
        <w:spacing w:line="339" w:lineRule="auto"/>
        <w:rPr>
          <w:color w:val="auto"/>
          <w:highlight w:val="none"/>
        </w:rPr>
      </w:pPr>
    </w:p>
    <w:p w14:paraId="545A082A">
      <w:pPr>
        <w:pStyle w:val="3"/>
        <w:spacing w:line="340" w:lineRule="auto"/>
        <w:rPr>
          <w:color w:val="auto"/>
          <w:highlight w:val="none"/>
        </w:rPr>
      </w:pPr>
    </w:p>
    <w:p w14:paraId="450FBF93">
      <w:pPr>
        <w:spacing w:before="234" w:line="220" w:lineRule="auto"/>
        <w:ind w:left="2238"/>
        <w:rPr>
          <w:rFonts w:ascii="宋体" w:hAnsi="宋体" w:eastAsia="宋体" w:cs="宋体"/>
          <w:color w:val="auto"/>
          <w:sz w:val="72"/>
          <w:szCs w:val="72"/>
          <w:highlight w:val="none"/>
        </w:rPr>
      </w:pPr>
      <w:r>
        <w:rPr>
          <w:rFonts w:ascii="宋体" w:hAnsi="宋体" w:eastAsia="宋体" w:cs="宋体"/>
          <w:b/>
          <w:bCs/>
          <w:color w:val="auto"/>
          <w:spacing w:val="-32"/>
          <w:sz w:val="72"/>
          <w:szCs w:val="72"/>
          <w:highlight w:val="none"/>
        </w:rPr>
        <w:t>招</w:t>
      </w:r>
      <w:r>
        <w:rPr>
          <w:rFonts w:ascii="宋体" w:hAnsi="宋体" w:eastAsia="宋体" w:cs="宋体"/>
          <w:color w:val="auto"/>
          <w:spacing w:val="36"/>
          <w:sz w:val="72"/>
          <w:szCs w:val="72"/>
          <w:highlight w:val="none"/>
        </w:rPr>
        <w:t xml:space="preserve"> </w:t>
      </w:r>
      <w:r>
        <w:rPr>
          <w:rFonts w:ascii="宋体" w:hAnsi="宋体" w:eastAsia="宋体" w:cs="宋体"/>
          <w:b/>
          <w:bCs/>
          <w:color w:val="auto"/>
          <w:spacing w:val="-32"/>
          <w:sz w:val="72"/>
          <w:szCs w:val="72"/>
          <w:highlight w:val="none"/>
        </w:rPr>
        <w:t>标</w:t>
      </w:r>
      <w:r>
        <w:rPr>
          <w:rFonts w:ascii="宋体" w:hAnsi="宋体" w:eastAsia="宋体" w:cs="宋体"/>
          <w:color w:val="auto"/>
          <w:spacing w:val="39"/>
          <w:sz w:val="72"/>
          <w:szCs w:val="72"/>
          <w:highlight w:val="none"/>
        </w:rPr>
        <w:t xml:space="preserve"> </w:t>
      </w:r>
      <w:r>
        <w:rPr>
          <w:rFonts w:ascii="宋体" w:hAnsi="宋体" w:eastAsia="宋体" w:cs="宋体"/>
          <w:b/>
          <w:bCs/>
          <w:color w:val="auto"/>
          <w:spacing w:val="-32"/>
          <w:sz w:val="72"/>
          <w:szCs w:val="72"/>
          <w:highlight w:val="none"/>
        </w:rPr>
        <w:t>文</w:t>
      </w:r>
      <w:r>
        <w:rPr>
          <w:rFonts w:ascii="宋体" w:hAnsi="宋体" w:eastAsia="宋体" w:cs="宋体"/>
          <w:color w:val="auto"/>
          <w:spacing w:val="30"/>
          <w:sz w:val="72"/>
          <w:szCs w:val="72"/>
          <w:highlight w:val="none"/>
        </w:rPr>
        <w:t xml:space="preserve"> </w:t>
      </w:r>
      <w:r>
        <w:rPr>
          <w:rFonts w:ascii="宋体" w:hAnsi="宋体" w:eastAsia="宋体" w:cs="宋体"/>
          <w:b/>
          <w:bCs/>
          <w:color w:val="auto"/>
          <w:spacing w:val="-32"/>
          <w:sz w:val="72"/>
          <w:szCs w:val="72"/>
          <w:highlight w:val="none"/>
        </w:rPr>
        <w:t>件</w:t>
      </w:r>
    </w:p>
    <w:p w14:paraId="4CFC7022">
      <w:pPr>
        <w:pStyle w:val="3"/>
        <w:spacing w:line="281" w:lineRule="auto"/>
        <w:rPr>
          <w:color w:val="auto"/>
          <w:highlight w:val="none"/>
        </w:rPr>
      </w:pPr>
    </w:p>
    <w:p w14:paraId="731E12F4">
      <w:pPr>
        <w:pStyle w:val="3"/>
        <w:spacing w:line="281" w:lineRule="auto"/>
        <w:rPr>
          <w:color w:val="auto"/>
          <w:highlight w:val="none"/>
        </w:rPr>
      </w:pPr>
    </w:p>
    <w:p w14:paraId="2784FC32">
      <w:pPr>
        <w:spacing w:before="91" w:line="220" w:lineRule="auto"/>
        <w:ind w:left="2745"/>
        <w:rPr>
          <w:rFonts w:ascii="宋体" w:hAnsi="宋体" w:eastAsia="宋体" w:cs="宋体"/>
          <w:color w:val="auto"/>
          <w:spacing w:val="-8"/>
          <w:sz w:val="28"/>
          <w:szCs w:val="28"/>
          <w:highlight w:val="none"/>
        </w:rPr>
      </w:pPr>
    </w:p>
    <w:p w14:paraId="2A736635">
      <w:pPr>
        <w:keepNext w:val="0"/>
        <w:keepLines w:val="0"/>
        <w:widowControl/>
        <w:suppressLineNumbers w:val="0"/>
        <w:spacing w:line="450" w:lineRule="atLeast"/>
        <w:jc w:val="center"/>
        <w:rPr>
          <w:rFonts w:ascii="宋体" w:hAnsi="宋体" w:eastAsia="宋体" w:cs="宋体"/>
          <w:color w:val="auto"/>
          <w:sz w:val="28"/>
          <w:szCs w:val="28"/>
          <w:highlight w:val="none"/>
        </w:rPr>
      </w:pPr>
      <w:r>
        <w:rPr>
          <w:rFonts w:ascii="宋体" w:hAnsi="宋体" w:eastAsia="宋体" w:cs="宋体"/>
          <w:color w:val="auto"/>
          <w:spacing w:val="-8"/>
          <w:sz w:val="28"/>
          <w:szCs w:val="28"/>
          <w:highlight w:val="none"/>
        </w:rPr>
        <w:t>（招标编号：</w:t>
      </w:r>
      <w:r>
        <w:rPr>
          <w:rFonts w:hint="eastAsia" w:ascii="宋体" w:hAnsi="宋体" w:eastAsia="宋体" w:cs="宋体"/>
          <w:color w:val="auto"/>
          <w:spacing w:val="-8"/>
          <w:sz w:val="28"/>
          <w:szCs w:val="28"/>
          <w:highlight w:val="none"/>
          <w:lang w:val="en-US" w:eastAsia="zh-CN"/>
        </w:rPr>
        <w:t>A3306830770000623001</w:t>
      </w:r>
      <w:r>
        <w:rPr>
          <w:rFonts w:ascii="宋体" w:hAnsi="宋体" w:eastAsia="宋体" w:cs="宋体"/>
          <w:color w:val="auto"/>
          <w:spacing w:val="1"/>
          <w:sz w:val="28"/>
          <w:szCs w:val="28"/>
          <w:highlight w:val="none"/>
        </w:rPr>
        <w:t>）</w:t>
      </w:r>
    </w:p>
    <w:p w14:paraId="14BA8956">
      <w:pPr>
        <w:pStyle w:val="3"/>
        <w:spacing w:line="250" w:lineRule="auto"/>
        <w:rPr>
          <w:color w:val="auto"/>
          <w:highlight w:val="none"/>
        </w:rPr>
      </w:pPr>
    </w:p>
    <w:p w14:paraId="0016AD23">
      <w:pPr>
        <w:pStyle w:val="3"/>
        <w:spacing w:line="250" w:lineRule="auto"/>
        <w:rPr>
          <w:color w:val="auto"/>
          <w:highlight w:val="none"/>
        </w:rPr>
      </w:pPr>
    </w:p>
    <w:p w14:paraId="6601E395">
      <w:pPr>
        <w:pStyle w:val="3"/>
        <w:spacing w:line="250" w:lineRule="auto"/>
        <w:rPr>
          <w:color w:val="auto"/>
          <w:highlight w:val="none"/>
        </w:rPr>
      </w:pPr>
    </w:p>
    <w:p w14:paraId="24165A4E">
      <w:pPr>
        <w:pStyle w:val="3"/>
        <w:spacing w:line="250" w:lineRule="auto"/>
        <w:rPr>
          <w:color w:val="auto"/>
          <w:highlight w:val="none"/>
        </w:rPr>
      </w:pPr>
    </w:p>
    <w:p w14:paraId="5355D150">
      <w:pPr>
        <w:pStyle w:val="3"/>
        <w:spacing w:line="250" w:lineRule="auto"/>
        <w:rPr>
          <w:color w:val="auto"/>
          <w:highlight w:val="none"/>
        </w:rPr>
      </w:pPr>
    </w:p>
    <w:p w14:paraId="6E20E61D">
      <w:pPr>
        <w:pStyle w:val="3"/>
        <w:spacing w:line="250" w:lineRule="auto"/>
        <w:rPr>
          <w:color w:val="auto"/>
          <w:highlight w:val="none"/>
        </w:rPr>
      </w:pPr>
    </w:p>
    <w:p w14:paraId="4BE24A2F">
      <w:pPr>
        <w:pStyle w:val="3"/>
        <w:spacing w:line="250" w:lineRule="auto"/>
        <w:rPr>
          <w:color w:val="auto"/>
          <w:highlight w:val="none"/>
        </w:rPr>
      </w:pPr>
    </w:p>
    <w:p w14:paraId="6EA99935">
      <w:pPr>
        <w:pStyle w:val="3"/>
        <w:spacing w:line="250" w:lineRule="auto"/>
        <w:rPr>
          <w:color w:val="auto"/>
          <w:highlight w:val="none"/>
        </w:rPr>
      </w:pPr>
    </w:p>
    <w:p w14:paraId="7C3DDC75">
      <w:pPr>
        <w:pStyle w:val="3"/>
        <w:spacing w:line="250" w:lineRule="auto"/>
        <w:rPr>
          <w:color w:val="auto"/>
          <w:highlight w:val="none"/>
        </w:rPr>
      </w:pPr>
    </w:p>
    <w:p w14:paraId="447413C0">
      <w:pPr>
        <w:pStyle w:val="3"/>
        <w:spacing w:line="250" w:lineRule="auto"/>
        <w:rPr>
          <w:color w:val="auto"/>
          <w:highlight w:val="none"/>
        </w:rPr>
      </w:pPr>
    </w:p>
    <w:p w14:paraId="0192F4EC">
      <w:pPr>
        <w:pStyle w:val="3"/>
        <w:spacing w:line="250" w:lineRule="auto"/>
        <w:rPr>
          <w:color w:val="auto"/>
          <w:highlight w:val="none"/>
        </w:rPr>
      </w:pPr>
    </w:p>
    <w:p w14:paraId="5E58605B">
      <w:pPr>
        <w:pStyle w:val="3"/>
        <w:spacing w:line="250" w:lineRule="auto"/>
        <w:rPr>
          <w:color w:val="auto"/>
          <w:highlight w:val="none"/>
        </w:rPr>
      </w:pPr>
    </w:p>
    <w:p w14:paraId="3FF92A66">
      <w:pPr>
        <w:pStyle w:val="3"/>
        <w:spacing w:line="250" w:lineRule="auto"/>
        <w:rPr>
          <w:color w:val="auto"/>
          <w:highlight w:val="none"/>
        </w:rPr>
      </w:pPr>
    </w:p>
    <w:p w14:paraId="4BFA5756">
      <w:pPr>
        <w:pStyle w:val="3"/>
        <w:spacing w:line="250" w:lineRule="auto"/>
        <w:rPr>
          <w:color w:val="auto"/>
          <w:highlight w:val="none"/>
        </w:rPr>
      </w:pPr>
    </w:p>
    <w:p w14:paraId="5C867B55">
      <w:pPr>
        <w:pStyle w:val="3"/>
        <w:spacing w:line="250" w:lineRule="auto"/>
        <w:rPr>
          <w:color w:val="auto"/>
          <w:highlight w:val="none"/>
        </w:rPr>
      </w:pPr>
    </w:p>
    <w:p w14:paraId="30965D98">
      <w:pPr>
        <w:pStyle w:val="3"/>
        <w:spacing w:line="250" w:lineRule="auto"/>
        <w:rPr>
          <w:color w:val="auto"/>
          <w:highlight w:val="none"/>
        </w:rPr>
      </w:pPr>
    </w:p>
    <w:p w14:paraId="7B739CC0">
      <w:pPr>
        <w:pStyle w:val="3"/>
        <w:spacing w:line="250" w:lineRule="auto"/>
        <w:rPr>
          <w:color w:val="auto"/>
          <w:highlight w:val="none"/>
        </w:rPr>
      </w:pPr>
    </w:p>
    <w:p w14:paraId="2D1680E5">
      <w:pPr>
        <w:pStyle w:val="3"/>
        <w:spacing w:line="250" w:lineRule="auto"/>
        <w:rPr>
          <w:color w:val="auto"/>
          <w:highlight w:val="none"/>
        </w:rPr>
      </w:pPr>
    </w:p>
    <w:p w14:paraId="52BDB919">
      <w:pPr>
        <w:pStyle w:val="3"/>
        <w:spacing w:line="250" w:lineRule="auto"/>
        <w:rPr>
          <w:color w:val="auto"/>
          <w:highlight w:val="none"/>
        </w:rPr>
      </w:pPr>
    </w:p>
    <w:p w14:paraId="3E8AD164">
      <w:pPr>
        <w:pStyle w:val="3"/>
        <w:spacing w:line="250" w:lineRule="auto"/>
        <w:rPr>
          <w:color w:val="auto"/>
          <w:highlight w:val="none"/>
        </w:rPr>
      </w:pPr>
    </w:p>
    <w:p w14:paraId="2298FC5D">
      <w:pPr>
        <w:pStyle w:val="3"/>
        <w:spacing w:line="250" w:lineRule="auto"/>
        <w:rPr>
          <w:color w:val="auto"/>
          <w:highlight w:val="none"/>
        </w:rPr>
      </w:pPr>
    </w:p>
    <w:p w14:paraId="29A31139">
      <w:pPr>
        <w:pStyle w:val="3"/>
        <w:spacing w:line="250" w:lineRule="auto"/>
        <w:rPr>
          <w:color w:val="auto"/>
          <w:highlight w:val="none"/>
        </w:rPr>
      </w:pPr>
    </w:p>
    <w:p w14:paraId="2931DEF4">
      <w:pPr>
        <w:tabs>
          <w:tab w:val="left" w:pos="3268"/>
        </w:tabs>
        <w:spacing w:line="720" w:lineRule="exact"/>
        <w:ind w:right="325" w:rightChars="0" w:firstLine="732" w:firstLineChars="200"/>
        <w:jc w:val="both"/>
        <w:rPr>
          <w:rFonts w:hint="eastAsia" w:ascii="宋体" w:hAnsi="宋体" w:eastAsia="宋体" w:cs="宋体"/>
          <w:color w:val="auto"/>
          <w:spacing w:val="-11"/>
          <w:sz w:val="30"/>
          <w:szCs w:val="30"/>
          <w:highlight w:val="none"/>
        </w:rPr>
      </w:pPr>
      <w:r>
        <w:rPr>
          <w:rFonts w:ascii="黑体" w:hAnsi="黑体" w:eastAsia="黑体" w:cs="黑体"/>
          <w:color w:val="auto"/>
          <w:spacing w:val="3"/>
          <w:sz w:val="36"/>
          <w:szCs w:val="36"/>
          <w:highlight w:val="none"/>
        </w:rPr>
        <w:t xml:space="preserve"> </w:t>
      </w:r>
      <w:r>
        <w:rPr>
          <w:rFonts w:hint="eastAsia" w:ascii="宋体" w:hAnsi="宋体" w:eastAsia="宋体" w:cs="宋体"/>
          <w:color w:val="auto"/>
          <w:sz w:val="30"/>
          <w:szCs w:val="30"/>
          <w:highlight w:val="none"/>
        </w:rPr>
        <w:t>招标人：</w:t>
      </w:r>
      <w:r>
        <w:rPr>
          <w:rFonts w:hint="eastAsia" w:ascii="宋体" w:hAnsi="宋体" w:eastAsia="宋体" w:cs="宋体"/>
          <w:color w:val="auto"/>
          <w:spacing w:val="0"/>
          <w:sz w:val="30"/>
          <w:szCs w:val="30"/>
          <w:highlight w:val="none"/>
          <w:u w:val="single"/>
          <w:lang w:eastAsia="zh-CN"/>
        </w:rPr>
        <w:t>嵊州市现代农业园区建设有限公司</w:t>
      </w:r>
      <w:r>
        <w:rPr>
          <w:rFonts w:hint="eastAsia" w:ascii="宋体" w:hAnsi="宋体" w:eastAsia="宋体" w:cs="宋体"/>
          <w:color w:val="auto"/>
          <w:spacing w:val="0"/>
          <w:sz w:val="30"/>
          <w:szCs w:val="30"/>
          <w:highlight w:val="none"/>
        </w:rPr>
        <w:t>（盖单位章）</w:t>
      </w:r>
    </w:p>
    <w:p w14:paraId="33AB9F8C">
      <w:pPr>
        <w:pStyle w:val="12"/>
        <w:spacing w:line="720" w:lineRule="exact"/>
        <w:ind w:left="0" w:leftChars="0" w:firstLine="900" w:firstLineChars="300"/>
        <w:jc w:val="both"/>
        <w:rPr>
          <w:rFonts w:hint="eastAsia" w:ascii="宋体" w:hAnsi="宋体" w:eastAsia="宋体" w:cs="宋体"/>
          <w:color w:val="auto"/>
          <w:spacing w:val="-20"/>
          <w:sz w:val="30"/>
          <w:szCs w:val="30"/>
          <w:highlight w:val="none"/>
          <w:lang w:eastAsia="zh-CN"/>
        </w:rPr>
      </w:pPr>
      <w:r>
        <w:rPr>
          <w:rFonts w:hint="eastAsia" w:ascii="宋体" w:hAnsi="宋体" w:eastAsia="宋体" w:cs="宋体"/>
          <w:color w:val="auto"/>
          <w:sz w:val="30"/>
          <w:szCs w:val="30"/>
          <w:highlight w:val="none"/>
        </w:rPr>
        <w:t>招标代理机构：</w:t>
      </w:r>
      <w:r>
        <w:rPr>
          <w:rFonts w:hint="eastAsia" w:ascii="宋体" w:hAnsi="宋体" w:eastAsia="宋体" w:cs="宋体"/>
          <w:color w:val="auto"/>
          <w:spacing w:val="-20"/>
          <w:sz w:val="30"/>
          <w:szCs w:val="30"/>
          <w:highlight w:val="none"/>
          <w:u w:val="single"/>
          <w:lang w:eastAsia="zh-CN"/>
        </w:rPr>
        <w:t>禾泽都林设计集团有限公司</w:t>
      </w:r>
      <w:r>
        <w:rPr>
          <w:rFonts w:hint="eastAsia" w:ascii="宋体" w:hAnsi="宋体" w:eastAsia="宋体" w:cs="宋体"/>
          <w:color w:val="auto"/>
          <w:spacing w:val="-20"/>
          <w:sz w:val="30"/>
          <w:szCs w:val="30"/>
          <w:highlight w:val="none"/>
        </w:rPr>
        <w:t>（盖单位章</w:t>
      </w:r>
      <w:r>
        <w:rPr>
          <w:rFonts w:hint="eastAsia" w:ascii="宋体" w:hAnsi="宋体" w:eastAsia="宋体" w:cs="宋体"/>
          <w:color w:val="auto"/>
          <w:spacing w:val="-20"/>
          <w:sz w:val="30"/>
          <w:szCs w:val="30"/>
          <w:highlight w:val="none"/>
          <w:lang w:eastAsia="zh-CN"/>
        </w:rPr>
        <w:t>）</w:t>
      </w:r>
    </w:p>
    <w:p w14:paraId="1593922D">
      <w:pPr>
        <w:pStyle w:val="12"/>
        <w:spacing w:line="720" w:lineRule="exact"/>
        <w:ind w:left="0" w:leftChars="0" w:firstLine="900" w:firstLineChars="300"/>
        <w:jc w:val="both"/>
        <w:rPr>
          <w:rFonts w:hint="eastAsia" w:ascii="宋体" w:hAnsi="宋体" w:eastAsia="宋体" w:cs="宋体"/>
          <w:color w:val="auto"/>
          <w:sz w:val="30"/>
          <w:szCs w:val="30"/>
          <w:highlight w:val="none"/>
          <w:u w:val="none"/>
        </w:rPr>
      </w:pPr>
      <w:r>
        <w:rPr>
          <w:rFonts w:hint="eastAsia" w:ascii="宋体" w:hAnsi="宋体" w:eastAsia="宋体" w:cs="宋体"/>
          <w:color w:val="auto"/>
          <w:sz w:val="30"/>
          <w:szCs w:val="30"/>
          <w:highlight w:val="none"/>
          <w:u w:val="none"/>
          <w:lang w:val="en-US" w:eastAsia="zh-CN"/>
        </w:rPr>
        <w:t>日       期：</w:t>
      </w:r>
      <w:r>
        <w:rPr>
          <w:rFonts w:hint="eastAsia" w:ascii="宋体" w:hAnsi="宋体" w:eastAsia="宋体" w:cs="宋体"/>
          <w:color w:val="auto"/>
          <w:sz w:val="30"/>
          <w:szCs w:val="30"/>
          <w:highlight w:val="none"/>
          <w:u w:val="none"/>
          <w:lang w:eastAsia="zh-CN"/>
        </w:rPr>
        <w:t>2026</w:t>
      </w:r>
      <w:r>
        <w:rPr>
          <w:rFonts w:hint="eastAsia" w:ascii="宋体" w:hAnsi="宋体" w:eastAsia="宋体" w:cs="宋体"/>
          <w:color w:val="auto"/>
          <w:sz w:val="30"/>
          <w:szCs w:val="30"/>
          <w:highlight w:val="none"/>
          <w:u w:val="none"/>
        </w:rPr>
        <w:t xml:space="preserve">年 </w:t>
      </w:r>
      <w:r>
        <w:rPr>
          <w:rFonts w:hint="eastAsia" w:ascii="宋体" w:hAnsi="宋体" w:eastAsia="宋体" w:cs="宋体"/>
          <w:color w:val="auto"/>
          <w:sz w:val="30"/>
          <w:szCs w:val="30"/>
          <w:highlight w:val="none"/>
          <w:u w:val="none"/>
          <w:lang w:val="en-US" w:eastAsia="zh-CN"/>
        </w:rPr>
        <w:t>01</w:t>
      </w:r>
      <w:r>
        <w:rPr>
          <w:rFonts w:hint="eastAsia" w:ascii="宋体" w:hAnsi="宋体" w:eastAsia="宋体" w:cs="宋体"/>
          <w:color w:val="auto"/>
          <w:sz w:val="30"/>
          <w:szCs w:val="30"/>
          <w:highlight w:val="none"/>
          <w:u w:val="none"/>
        </w:rPr>
        <w:t>月</w:t>
      </w:r>
    </w:p>
    <w:p w14:paraId="55597EC3">
      <w:pPr>
        <w:tabs>
          <w:tab w:val="left" w:pos="3968"/>
        </w:tabs>
        <w:spacing w:before="98" w:line="223" w:lineRule="auto"/>
        <w:ind w:left="2771"/>
        <w:rPr>
          <w:rFonts w:ascii="黑体" w:hAnsi="黑体" w:eastAsia="黑体" w:cs="黑体"/>
          <w:color w:val="auto"/>
          <w:sz w:val="30"/>
          <w:szCs w:val="30"/>
          <w:highlight w:val="none"/>
        </w:rPr>
      </w:pPr>
    </w:p>
    <w:p w14:paraId="3DCDBF1C">
      <w:pPr>
        <w:spacing w:line="223" w:lineRule="auto"/>
        <w:rPr>
          <w:rFonts w:ascii="黑体" w:hAnsi="黑体" w:eastAsia="黑体" w:cs="黑体"/>
          <w:color w:val="auto"/>
          <w:sz w:val="30"/>
          <w:szCs w:val="30"/>
          <w:highlight w:val="none"/>
        </w:rPr>
        <w:sectPr>
          <w:footerReference r:id="rId5" w:type="default"/>
          <w:pgSz w:w="11907" w:h="16841"/>
          <w:pgMar w:top="1431" w:right="1530" w:bottom="1254" w:left="1559" w:header="0" w:footer="1093" w:gutter="0"/>
          <w:cols w:space="720" w:num="1"/>
        </w:sectPr>
      </w:pPr>
    </w:p>
    <w:p w14:paraId="7CB2760B">
      <w:pPr>
        <w:pStyle w:val="3"/>
        <w:spacing w:line="252" w:lineRule="auto"/>
        <w:rPr>
          <w:color w:val="auto"/>
          <w:highlight w:val="none"/>
        </w:rPr>
      </w:pPr>
    </w:p>
    <w:sdt>
      <w:sdtPr>
        <w:rPr>
          <w:rFonts w:ascii="宋体" w:hAnsi="宋体" w:eastAsia="宋体" w:cs="Arial"/>
          <w:snapToGrid w:val="0"/>
          <w:color w:val="auto"/>
          <w:kern w:val="0"/>
          <w:sz w:val="22"/>
          <w:szCs w:val="22"/>
          <w:highlight w:val="none"/>
          <w:lang w:val="en-US" w:eastAsia="en-US" w:bidi="ar-SA"/>
        </w:rPr>
        <w:id w:val="147459869"/>
        <w15:color w:val="DBDBDB"/>
        <w:docPartObj>
          <w:docPartGallery w:val="Table of Contents"/>
          <w:docPartUnique/>
        </w:docPartObj>
      </w:sdtPr>
      <w:sdtEndPr>
        <w:rPr>
          <w:rFonts w:ascii="Times New Roman" w:hAnsi="Times New Roman" w:eastAsia="Times New Roman" w:cs="Times New Roman"/>
          <w:snapToGrid w:val="0"/>
          <w:color w:val="auto"/>
          <w:kern w:val="0"/>
          <w:sz w:val="21"/>
          <w:szCs w:val="21"/>
          <w:highlight w:val="none"/>
          <w:lang w:val="en-US" w:eastAsia="en-US" w:bidi="ar-SA"/>
        </w:rPr>
      </w:sdtEndPr>
      <w:sdtContent>
        <w:p w14:paraId="0FAD2A14">
          <w:pPr>
            <w:spacing w:before="0" w:beforeLines="0" w:after="0" w:afterLines="0" w:line="240" w:lineRule="auto"/>
            <w:ind w:left="0" w:leftChars="0" w:right="0" w:rightChars="0" w:firstLine="0" w:firstLineChars="0"/>
            <w:jc w:val="center"/>
            <w:rPr>
              <w:color w:val="auto"/>
              <w:sz w:val="22"/>
              <w:szCs w:val="22"/>
              <w:highlight w:val="none"/>
            </w:rPr>
          </w:pPr>
          <w:r>
            <w:rPr>
              <w:rFonts w:ascii="宋体" w:hAnsi="宋体" w:eastAsia="宋体"/>
              <w:color w:val="auto"/>
              <w:sz w:val="40"/>
              <w:szCs w:val="40"/>
              <w:highlight w:val="none"/>
            </w:rPr>
            <w:t>目</w:t>
          </w:r>
          <w:r>
            <w:rPr>
              <w:rFonts w:hint="eastAsia" w:ascii="宋体" w:hAnsi="宋体" w:eastAsia="宋体"/>
              <w:color w:val="auto"/>
              <w:sz w:val="40"/>
              <w:szCs w:val="40"/>
              <w:highlight w:val="none"/>
              <w:lang w:val="en-US" w:eastAsia="zh-CN"/>
            </w:rPr>
            <w:t xml:space="preserve">   </w:t>
          </w:r>
          <w:r>
            <w:rPr>
              <w:rFonts w:ascii="宋体" w:hAnsi="宋体" w:eastAsia="宋体"/>
              <w:color w:val="auto"/>
              <w:sz w:val="40"/>
              <w:szCs w:val="40"/>
              <w:highlight w:val="none"/>
            </w:rPr>
            <w:t>录</w:t>
          </w:r>
        </w:p>
        <w:p w14:paraId="16CCCCC3">
          <w:pPr>
            <w:pStyle w:val="9"/>
            <w:keepNext w:val="0"/>
            <w:keepLines w:val="0"/>
            <w:pageBreakBefore w:val="0"/>
            <w:widowControl/>
            <w:tabs>
              <w:tab w:val="right" w:leader="dot" w:pos="8778"/>
            </w:tabs>
            <w:kinsoku w:val="0"/>
            <w:wordWrap/>
            <w:overflowPunct/>
            <w:topLinePunct w:val="0"/>
            <w:autoSpaceDE w:val="0"/>
            <w:autoSpaceDN w:val="0"/>
            <w:bidi w:val="0"/>
            <w:adjustRightInd w:val="0"/>
            <w:snapToGrid w:val="0"/>
            <w:spacing w:line="700" w:lineRule="atLeast"/>
            <w:textAlignment w:val="baseline"/>
            <w:rPr>
              <w:color w:val="auto"/>
              <w:sz w:val="24"/>
              <w:szCs w:val="24"/>
              <w:highlight w:val="none"/>
            </w:rPr>
          </w:pPr>
          <w:r>
            <w:rPr>
              <w:rFonts w:ascii="Times New Roman" w:hAnsi="Times New Roman" w:eastAsia="Times New Roman" w:cs="Times New Roman"/>
              <w:color w:val="auto"/>
              <w:sz w:val="22"/>
              <w:szCs w:val="22"/>
              <w:highlight w:val="none"/>
            </w:rPr>
            <w:fldChar w:fldCharType="begin"/>
          </w:r>
          <w:r>
            <w:rPr>
              <w:rFonts w:ascii="Times New Roman" w:hAnsi="Times New Roman" w:eastAsia="Times New Roman" w:cs="Times New Roman"/>
              <w:color w:val="auto"/>
              <w:sz w:val="22"/>
              <w:szCs w:val="22"/>
              <w:highlight w:val="none"/>
            </w:rPr>
            <w:instrText xml:space="preserve">TOC \o "1-3" \h \u </w:instrText>
          </w:r>
          <w:r>
            <w:rPr>
              <w:rFonts w:ascii="Times New Roman" w:hAnsi="Times New Roman" w:eastAsia="Times New Roman" w:cs="Times New Roman"/>
              <w:color w:val="auto"/>
              <w:sz w:val="22"/>
              <w:szCs w:val="22"/>
              <w:highlight w:val="none"/>
            </w:rPr>
            <w:fldChar w:fldCharType="separate"/>
          </w:r>
          <w:r>
            <w:rPr>
              <w:rFonts w:ascii="Times New Roman" w:hAnsi="Times New Roman" w:eastAsia="Times New Roman" w:cs="Times New Roman"/>
              <w:color w:val="auto"/>
              <w:sz w:val="24"/>
              <w:szCs w:val="24"/>
              <w:highlight w:val="none"/>
            </w:rPr>
            <w:fldChar w:fldCharType="begin"/>
          </w:r>
          <w:r>
            <w:rPr>
              <w:rFonts w:ascii="Times New Roman" w:hAnsi="Times New Roman" w:eastAsia="Times New Roman" w:cs="Times New Roman"/>
              <w:color w:val="auto"/>
              <w:sz w:val="24"/>
              <w:szCs w:val="24"/>
              <w:highlight w:val="none"/>
            </w:rPr>
            <w:instrText xml:space="preserve"> HYPERLINK \l _Toc12854 </w:instrText>
          </w:r>
          <w:r>
            <w:rPr>
              <w:rFonts w:ascii="Times New Roman" w:hAnsi="Times New Roman" w:eastAsia="Times New Roman" w:cs="Times New Roman"/>
              <w:color w:val="auto"/>
              <w:sz w:val="24"/>
              <w:szCs w:val="24"/>
              <w:highlight w:val="none"/>
            </w:rPr>
            <w:fldChar w:fldCharType="separate"/>
          </w:r>
          <w:r>
            <w:rPr>
              <w:rFonts w:ascii="宋体" w:hAnsi="宋体" w:eastAsia="宋体" w:cs="宋体"/>
              <w:bCs/>
              <w:color w:val="auto"/>
              <w:spacing w:val="-3"/>
              <w:sz w:val="24"/>
              <w:szCs w:val="44"/>
              <w:highlight w:val="none"/>
            </w:rPr>
            <w:t>第一章</w:t>
          </w:r>
          <w:r>
            <w:rPr>
              <w:rFonts w:ascii="宋体" w:hAnsi="宋体" w:eastAsia="宋体" w:cs="宋体"/>
              <w:color w:val="auto"/>
              <w:spacing w:val="-3"/>
              <w:sz w:val="24"/>
              <w:szCs w:val="44"/>
              <w:highlight w:val="none"/>
            </w:rPr>
            <w:t xml:space="preserve">  </w:t>
          </w:r>
          <w:r>
            <w:rPr>
              <w:rFonts w:ascii="宋体" w:hAnsi="宋体" w:eastAsia="宋体" w:cs="宋体"/>
              <w:bCs/>
              <w:color w:val="auto"/>
              <w:spacing w:val="-3"/>
              <w:sz w:val="24"/>
              <w:szCs w:val="44"/>
              <w:highlight w:val="none"/>
            </w:rPr>
            <w:t>招标公告（适用于资格后审招标）</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_Toc12854 \h </w:instrText>
          </w:r>
          <w:r>
            <w:rPr>
              <w:color w:val="auto"/>
              <w:sz w:val="24"/>
              <w:szCs w:val="24"/>
              <w:highlight w:val="none"/>
            </w:rPr>
            <w:fldChar w:fldCharType="separate"/>
          </w:r>
          <w:r>
            <w:rPr>
              <w:color w:val="auto"/>
              <w:sz w:val="24"/>
              <w:szCs w:val="24"/>
              <w:highlight w:val="none"/>
            </w:rPr>
            <w:t>2</w:t>
          </w:r>
          <w:r>
            <w:rPr>
              <w:color w:val="auto"/>
              <w:sz w:val="24"/>
              <w:szCs w:val="24"/>
              <w:highlight w:val="none"/>
            </w:rPr>
            <w:fldChar w:fldCharType="end"/>
          </w:r>
          <w:r>
            <w:rPr>
              <w:rFonts w:ascii="Times New Roman" w:hAnsi="Times New Roman" w:eastAsia="Times New Roman" w:cs="Times New Roman"/>
              <w:color w:val="auto"/>
              <w:sz w:val="24"/>
              <w:szCs w:val="24"/>
              <w:highlight w:val="none"/>
            </w:rPr>
            <w:fldChar w:fldCharType="end"/>
          </w:r>
        </w:p>
        <w:p w14:paraId="76DC8662">
          <w:pPr>
            <w:pStyle w:val="9"/>
            <w:keepNext w:val="0"/>
            <w:keepLines w:val="0"/>
            <w:pageBreakBefore w:val="0"/>
            <w:widowControl/>
            <w:tabs>
              <w:tab w:val="right" w:leader="dot" w:pos="8778"/>
            </w:tabs>
            <w:kinsoku w:val="0"/>
            <w:wordWrap/>
            <w:overflowPunct/>
            <w:topLinePunct w:val="0"/>
            <w:autoSpaceDE w:val="0"/>
            <w:autoSpaceDN w:val="0"/>
            <w:bidi w:val="0"/>
            <w:adjustRightInd w:val="0"/>
            <w:snapToGrid w:val="0"/>
            <w:spacing w:line="700" w:lineRule="atLeast"/>
            <w:textAlignment w:val="baseline"/>
            <w:rPr>
              <w:color w:val="auto"/>
              <w:sz w:val="24"/>
              <w:szCs w:val="24"/>
              <w:highlight w:val="none"/>
            </w:rPr>
          </w:pPr>
          <w:r>
            <w:rPr>
              <w:rFonts w:ascii="Times New Roman" w:hAnsi="Times New Roman" w:eastAsia="Times New Roman" w:cs="Times New Roman"/>
              <w:color w:val="auto"/>
              <w:sz w:val="24"/>
              <w:szCs w:val="24"/>
              <w:highlight w:val="none"/>
            </w:rPr>
            <w:fldChar w:fldCharType="begin"/>
          </w:r>
          <w:r>
            <w:rPr>
              <w:rFonts w:ascii="Times New Roman" w:hAnsi="Times New Roman" w:eastAsia="Times New Roman" w:cs="Times New Roman"/>
              <w:color w:val="auto"/>
              <w:sz w:val="24"/>
              <w:szCs w:val="24"/>
              <w:highlight w:val="none"/>
            </w:rPr>
            <w:instrText xml:space="preserve"> HYPERLINK \l _Toc15945 </w:instrText>
          </w:r>
          <w:r>
            <w:rPr>
              <w:rFonts w:ascii="Times New Roman" w:hAnsi="Times New Roman" w:eastAsia="Times New Roman" w:cs="Times New Roman"/>
              <w:color w:val="auto"/>
              <w:sz w:val="24"/>
              <w:szCs w:val="24"/>
              <w:highlight w:val="none"/>
            </w:rPr>
            <w:fldChar w:fldCharType="separate"/>
          </w:r>
          <w:r>
            <w:rPr>
              <w:rFonts w:ascii="宋体" w:hAnsi="宋体" w:eastAsia="宋体" w:cs="宋体"/>
              <w:bCs/>
              <w:color w:val="auto"/>
              <w:spacing w:val="-4"/>
              <w:sz w:val="24"/>
              <w:szCs w:val="44"/>
              <w:highlight w:val="none"/>
            </w:rPr>
            <w:t>第二章</w:t>
          </w:r>
          <w:r>
            <w:rPr>
              <w:rFonts w:ascii="宋体" w:hAnsi="宋体" w:eastAsia="宋体" w:cs="宋体"/>
              <w:color w:val="auto"/>
              <w:spacing w:val="-4"/>
              <w:sz w:val="24"/>
              <w:szCs w:val="44"/>
              <w:highlight w:val="none"/>
            </w:rPr>
            <w:t xml:space="preserve"> </w:t>
          </w:r>
          <w:r>
            <w:rPr>
              <w:rFonts w:ascii="宋体" w:hAnsi="宋体" w:eastAsia="宋体" w:cs="宋体"/>
              <w:bCs/>
              <w:color w:val="auto"/>
              <w:spacing w:val="-4"/>
              <w:sz w:val="24"/>
              <w:szCs w:val="44"/>
              <w:highlight w:val="none"/>
            </w:rPr>
            <w:t>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_Toc15945 \h </w:instrText>
          </w:r>
          <w:r>
            <w:rPr>
              <w:color w:val="auto"/>
              <w:sz w:val="24"/>
              <w:szCs w:val="24"/>
              <w:highlight w:val="none"/>
            </w:rPr>
            <w:fldChar w:fldCharType="separate"/>
          </w:r>
          <w:r>
            <w:rPr>
              <w:color w:val="auto"/>
              <w:sz w:val="24"/>
              <w:szCs w:val="24"/>
              <w:highlight w:val="none"/>
            </w:rPr>
            <w:t>7</w:t>
          </w:r>
          <w:r>
            <w:rPr>
              <w:color w:val="auto"/>
              <w:sz w:val="24"/>
              <w:szCs w:val="24"/>
              <w:highlight w:val="none"/>
            </w:rPr>
            <w:fldChar w:fldCharType="end"/>
          </w:r>
          <w:r>
            <w:rPr>
              <w:rFonts w:ascii="Times New Roman" w:hAnsi="Times New Roman" w:eastAsia="Times New Roman" w:cs="Times New Roman"/>
              <w:color w:val="auto"/>
              <w:sz w:val="24"/>
              <w:szCs w:val="24"/>
              <w:highlight w:val="none"/>
            </w:rPr>
            <w:fldChar w:fldCharType="end"/>
          </w:r>
        </w:p>
        <w:p w14:paraId="451142DC">
          <w:pPr>
            <w:pStyle w:val="9"/>
            <w:keepNext w:val="0"/>
            <w:keepLines w:val="0"/>
            <w:pageBreakBefore w:val="0"/>
            <w:widowControl/>
            <w:tabs>
              <w:tab w:val="right" w:leader="dot" w:pos="8778"/>
            </w:tabs>
            <w:kinsoku w:val="0"/>
            <w:wordWrap/>
            <w:overflowPunct/>
            <w:topLinePunct w:val="0"/>
            <w:autoSpaceDE w:val="0"/>
            <w:autoSpaceDN w:val="0"/>
            <w:bidi w:val="0"/>
            <w:adjustRightInd w:val="0"/>
            <w:snapToGrid w:val="0"/>
            <w:spacing w:line="700" w:lineRule="atLeast"/>
            <w:textAlignment w:val="baseline"/>
            <w:rPr>
              <w:rFonts w:hint="eastAsia" w:eastAsia="宋体"/>
              <w:color w:val="auto"/>
              <w:sz w:val="24"/>
              <w:szCs w:val="24"/>
              <w:highlight w:val="none"/>
              <w:lang w:val="en-US" w:eastAsia="zh-CN"/>
            </w:rPr>
          </w:pPr>
          <w:r>
            <w:rPr>
              <w:rFonts w:ascii="Times New Roman" w:hAnsi="Times New Roman" w:eastAsia="Times New Roman" w:cs="Times New Roman"/>
              <w:color w:val="auto"/>
              <w:sz w:val="24"/>
              <w:szCs w:val="24"/>
              <w:highlight w:val="none"/>
            </w:rPr>
            <w:fldChar w:fldCharType="begin"/>
          </w:r>
          <w:r>
            <w:rPr>
              <w:rFonts w:ascii="Times New Roman" w:hAnsi="Times New Roman" w:eastAsia="Times New Roman" w:cs="Times New Roman"/>
              <w:color w:val="auto"/>
              <w:sz w:val="24"/>
              <w:szCs w:val="24"/>
              <w:highlight w:val="none"/>
            </w:rPr>
            <w:instrText xml:space="preserve"> HYPERLINK \l _Toc30602 </w:instrText>
          </w:r>
          <w:r>
            <w:rPr>
              <w:rFonts w:ascii="Times New Roman" w:hAnsi="Times New Roman" w:eastAsia="Times New Roman" w:cs="Times New Roman"/>
              <w:color w:val="auto"/>
              <w:sz w:val="24"/>
              <w:szCs w:val="24"/>
              <w:highlight w:val="none"/>
            </w:rPr>
            <w:fldChar w:fldCharType="separate"/>
          </w:r>
          <w:r>
            <w:rPr>
              <w:rFonts w:ascii="宋体" w:hAnsi="宋体" w:eastAsia="宋体" w:cs="宋体"/>
              <w:bCs/>
              <w:color w:val="auto"/>
              <w:spacing w:val="-3"/>
              <w:sz w:val="24"/>
              <w:szCs w:val="44"/>
              <w:highlight w:val="none"/>
            </w:rPr>
            <w:t>第三章</w:t>
          </w:r>
          <w:r>
            <w:rPr>
              <w:rFonts w:ascii="宋体" w:hAnsi="宋体" w:eastAsia="宋体" w:cs="宋体"/>
              <w:color w:val="auto"/>
              <w:spacing w:val="-3"/>
              <w:sz w:val="24"/>
              <w:szCs w:val="44"/>
              <w:highlight w:val="none"/>
            </w:rPr>
            <w:t xml:space="preserve"> </w:t>
          </w:r>
          <w:r>
            <w:rPr>
              <w:rFonts w:ascii="宋体" w:hAnsi="宋体" w:eastAsia="宋体" w:cs="宋体"/>
              <w:bCs/>
              <w:color w:val="auto"/>
              <w:spacing w:val="-3"/>
              <w:sz w:val="24"/>
              <w:szCs w:val="44"/>
              <w:highlight w:val="none"/>
            </w:rPr>
            <w:t>评标定标办法（综合评估法）</w:t>
          </w:r>
          <w:r>
            <w:rPr>
              <w:color w:val="auto"/>
              <w:sz w:val="24"/>
              <w:szCs w:val="24"/>
              <w:highlight w:val="none"/>
            </w:rPr>
            <w:tab/>
          </w:r>
          <w:r>
            <w:rPr>
              <w:rFonts w:hint="eastAsia" w:eastAsia="宋体"/>
              <w:color w:val="auto"/>
              <w:sz w:val="24"/>
              <w:szCs w:val="24"/>
              <w:highlight w:val="none"/>
              <w:lang w:val="en-US" w:eastAsia="zh-CN"/>
            </w:rPr>
            <w:t>4</w:t>
          </w:r>
          <w:r>
            <w:rPr>
              <w:rFonts w:ascii="Times New Roman" w:hAnsi="Times New Roman" w:eastAsia="Times New Roman" w:cs="Times New Roman"/>
              <w:color w:val="auto"/>
              <w:sz w:val="24"/>
              <w:szCs w:val="24"/>
              <w:highlight w:val="none"/>
            </w:rPr>
            <w:fldChar w:fldCharType="end"/>
          </w:r>
          <w:r>
            <w:rPr>
              <w:rFonts w:hint="eastAsia" w:ascii="Times New Roman" w:hAnsi="Times New Roman" w:eastAsia="宋体" w:cs="Times New Roman"/>
              <w:color w:val="auto"/>
              <w:sz w:val="24"/>
              <w:szCs w:val="24"/>
              <w:highlight w:val="none"/>
              <w:lang w:val="en-US" w:eastAsia="zh-CN"/>
            </w:rPr>
            <w:t>4</w:t>
          </w:r>
        </w:p>
        <w:p w14:paraId="0990D86E">
          <w:pPr>
            <w:pStyle w:val="9"/>
            <w:keepNext w:val="0"/>
            <w:keepLines w:val="0"/>
            <w:pageBreakBefore w:val="0"/>
            <w:widowControl/>
            <w:tabs>
              <w:tab w:val="right" w:leader="dot" w:pos="8778"/>
            </w:tabs>
            <w:kinsoku w:val="0"/>
            <w:wordWrap/>
            <w:overflowPunct/>
            <w:topLinePunct w:val="0"/>
            <w:autoSpaceDE w:val="0"/>
            <w:autoSpaceDN w:val="0"/>
            <w:bidi w:val="0"/>
            <w:adjustRightInd w:val="0"/>
            <w:snapToGrid w:val="0"/>
            <w:spacing w:line="700" w:lineRule="atLeast"/>
            <w:textAlignment w:val="baseline"/>
            <w:rPr>
              <w:color w:val="auto"/>
              <w:sz w:val="24"/>
              <w:szCs w:val="24"/>
              <w:highlight w:val="none"/>
            </w:rPr>
          </w:pPr>
          <w:r>
            <w:rPr>
              <w:rFonts w:ascii="Times New Roman" w:hAnsi="Times New Roman" w:eastAsia="Times New Roman" w:cs="Times New Roman"/>
              <w:color w:val="auto"/>
              <w:sz w:val="24"/>
              <w:szCs w:val="24"/>
              <w:highlight w:val="none"/>
            </w:rPr>
            <w:fldChar w:fldCharType="begin"/>
          </w:r>
          <w:r>
            <w:rPr>
              <w:rFonts w:ascii="Times New Roman" w:hAnsi="Times New Roman" w:eastAsia="Times New Roman" w:cs="Times New Roman"/>
              <w:color w:val="auto"/>
              <w:sz w:val="24"/>
              <w:szCs w:val="24"/>
              <w:highlight w:val="none"/>
            </w:rPr>
            <w:instrText xml:space="preserve"> HYPERLINK \l _Toc15567 </w:instrText>
          </w:r>
          <w:r>
            <w:rPr>
              <w:rFonts w:ascii="Times New Roman" w:hAnsi="Times New Roman" w:eastAsia="Times New Roman" w:cs="Times New Roman"/>
              <w:color w:val="auto"/>
              <w:sz w:val="24"/>
              <w:szCs w:val="24"/>
              <w:highlight w:val="none"/>
            </w:rPr>
            <w:fldChar w:fldCharType="separate"/>
          </w:r>
          <w:r>
            <w:rPr>
              <w:rFonts w:ascii="宋体" w:hAnsi="宋体" w:eastAsia="宋体" w:cs="宋体"/>
              <w:bCs/>
              <w:color w:val="auto"/>
              <w:spacing w:val="-3"/>
              <w:sz w:val="24"/>
              <w:szCs w:val="44"/>
              <w:highlight w:val="none"/>
            </w:rPr>
            <w:t>第四章</w:t>
          </w:r>
          <w:r>
            <w:rPr>
              <w:rFonts w:ascii="宋体" w:hAnsi="宋体" w:eastAsia="宋体" w:cs="宋体"/>
              <w:color w:val="auto"/>
              <w:spacing w:val="-3"/>
              <w:sz w:val="24"/>
              <w:szCs w:val="44"/>
              <w:highlight w:val="none"/>
            </w:rPr>
            <w:t xml:space="preserve">  </w:t>
          </w:r>
          <w:r>
            <w:rPr>
              <w:rFonts w:ascii="宋体" w:hAnsi="宋体" w:eastAsia="宋体" w:cs="宋体"/>
              <w:bCs/>
              <w:color w:val="auto"/>
              <w:spacing w:val="-3"/>
              <w:sz w:val="24"/>
              <w:szCs w:val="44"/>
              <w:highlight w:val="none"/>
            </w:rPr>
            <w:t>合同条款及格式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_Toc15567 \h </w:instrText>
          </w:r>
          <w:r>
            <w:rPr>
              <w:color w:val="auto"/>
              <w:sz w:val="24"/>
              <w:szCs w:val="24"/>
              <w:highlight w:val="none"/>
            </w:rPr>
            <w:fldChar w:fldCharType="separate"/>
          </w:r>
          <w:r>
            <w:rPr>
              <w:color w:val="auto"/>
              <w:sz w:val="24"/>
              <w:szCs w:val="24"/>
              <w:highlight w:val="none"/>
            </w:rPr>
            <w:t>57</w:t>
          </w:r>
          <w:r>
            <w:rPr>
              <w:color w:val="auto"/>
              <w:sz w:val="24"/>
              <w:szCs w:val="24"/>
              <w:highlight w:val="none"/>
            </w:rPr>
            <w:fldChar w:fldCharType="end"/>
          </w:r>
          <w:r>
            <w:rPr>
              <w:rFonts w:ascii="Times New Roman" w:hAnsi="Times New Roman" w:eastAsia="Times New Roman" w:cs="Times New Roman"/>
              <w:color w:val="auto"/>
              <w:sz w:val="24"/>
              <w:szCs w:val="24"/>
              <w:highlight w:val="none"/>
            </w:rPr>
            <w:fldChar w:fldCharType="end"/>
          </w:r>
        </w:p>
        <w:p w14:paraId="7262A073">
          <w:pPr>
            <w:pStyle w:val="9"/>
            <w:keepNext w:val="0"/>
            <w:keepLines w:val="0"/>
            <w:pageBreakBefore w:val="0"/>
            <w:widowControl/>
            <w:tabs>
              <w:tab w:val="right" w:leader="dot" w:pos="8778"/>
            </w:tabs>
            <w:kinsoku w:val="0"/>
            <w:wordWrap/>
            <w:overflowPunct/>
            <w:topLinePunct w:val="0"/>
            <w:autoSpaceDE w:val="0"/>
            <w:autoSpaceDN w:val="0"/>
            <w:bidi w:val="0"/>
            <w:adjustRightInd w:val="0"/>
            <w:snapToGrid w:val="0"/>
            <w:spacing w:line="700" w:lineRule="atLeast"/>
            <w:textAlignment w:val="baseline"/>
            <w:rPr>
              <w:color w:val="auto"/>
              <w:sz w:val="24"/>
              <w:szCs w:val="24"/>
              <w:highlight w:val="none"/>
            </w:rPr>
          </w:pPr>
          <w:r>
            <w:rPr>
              <w:rFonts w:ascii="Times New Roman" w:hAnsi="Times New Roman" w:eastAsia="Times New Roman" w:cs="Times New Roman"/>
              <w:color w:val="auto"/>
              <w:sz w:val="24"/>
              <w:szCs w:val="24"/>
              <w:highlight w:val="none"/>
            </w:rPr>
            <w:fldChar w:fldCharType="begin"/>
          </w:r>
          <w:r>
            <w:rPr>
              <w:rFonts w:ascii="Times New Roman" w:hAnsi="Times New Roman" w:eastAsia="Times New Roman" w:cs="Times New Roman"/>
              <w:color w:val="auto"/>
              <w:sz w:val="24"/>
              <w:szCs w:val="24"/>
              <w:highlight w:val="none"/>
            </w:rPr>
            <w:instrText xml:space="preserve"> HYPERLINK \l _Toc27581 </w:instrText>
          </w:r>
          <w:r>
            <w:rPr>
              <w:rFonts w:ascii="Times New Roman" w:hAnsi="Times New Roman" w:eastAsia="Times New Roman" w:cs="Times New Roman"/>
              <w:color w:val="auto"/>
              <w:sz w:val="24"/>
              <w:szCs w:val="24"/>
              <w:highlight w:val="none"/>
            </w:rPr>
            <w:fldChar w:fldCharType="separate"/>
          </w:r>
          <w:r>
            <w:rPr>
              <w:rFonts w:ascii="宋体" w:hAnsi="宋体" w:eastAsia="宋体" w:cs="宋体"/>
              <w:bCs/>
              <w:color w:val="auto"/>
              <w:spacing w:val="-4"/>
              <w:sz w:val="24"/>
              <w:szCs w:val="44"/>
              <w:highlight w:val="none"/>
            </w:rPr>
            <w:t>第五章</w:t>
          </w:r>
          <w:r>
            <w:rPr>
              <w:rFonts w:ascii="宋体" w:hAnsi="宋体" w:eastAsia="宋体" w:cs="宋体"/>
              <w:color w:val="auto"/>
              <w:spacing w:val="-4"/>
              <w:sz w:val="24"/>
              <w:szCs w:val="44"/>
              <w:highlight w:val="none"/>
            </w:rPr>
            <w:t xml:space="preserve"> </w:t>
          </w:r>
          <w:r>
            <w:rPr>
              <w:rFonts w:ascii="宋体" w:hAnsi="宋体" w:eastAsia="宋体" w:cs="宋体"/>
              <w:bCs/>
              <w:color w:val="auto"/>
              <w:spacing w:val="-4"/>
              <w:sz w:val="24"/>
              <w:szCs w:val="44"/>
              <w:highlight w:val="none"/>
            </w:rPr>
            <w:t>工程量清单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_Toc27581 \h </w:instrText>
          </w:r>
          <w:r>
            <w:rPr>
              <w:color w:val="auto"/>
              <w:sz w:val="24"/>
              <w:szCs w:val="24"/>
              <w:highlight w:val="none"/>
            </w:rPr>
            <w:fldChar w:fldCharType="separate"/>
          </w:r>
          <w:r>
            <w:rPr>
              <w:color w:val="auto"/>
              <w:sz w:val="24"/>
              <w:szCs w:val="24"/>
              <w:highlight w:val="none"/>
            </w:rPr>
            <w:t>130</w:t>
          </w:r>
          <w:r>
            <w:rPr>
              <w:color w:val="auto"/>
              <w:sz w:val="24"/>
              <w:szCs w:val="24"/>
              <w:highlight w:val="none"/>
            </w:rPr>
            <w:fldChar w:fldCharType="end"/>
          </w:r>
          <w:r>
            <w:rPr>
              <w:rFonts w:ascii="Times New Roman" w:hAnsi="Times New Roman" w:eastAsia="Times New Roman" w:cs="Times New Roman"/>
              <w:color w:val="auto"/>
              <w:sz w:val="24"/>
              <w:szCs w:val="24"/>
              <w:highlight w:val="none"/>
            </w:rPr>
            <w:fldChar w:fldCharType="end"/>
          </w:r>
        </w:p>
        <w:p w14:paraId="4FE65F8A">
          <w:pPr>
            <w:pStyle w:val="9"/>
            <w:keepNext w:val="0"/>
            <w:keepLines w:val="0"/>
            <w:pageBreakBefore w:val="0"/>
            <w:widowControl/>
            <w:tabs>
              <w:tab w:val="right" w:leader="dot" w:pos="8778"/>
            </w:tabs>
            <w:kinsoku w:val="0"/>
            <w:wordWrap/>
            <w:overflowPunct/>
            <w:topLinePunct w:val="0"/>
            <w:autoSpaceDE w:val="0"/>
            <w:autoSpaceDN w:val="0"/>
            <w:bidi w:val="0"/>
            <w:adjustRightInd w:val="0"/>
            <w:snapToGrid w:val="0"/>
            <w:spacing w:line="700" w:lineRule="atLeast"/>
            <w:textAlignment w:val="baseline"/>
            <w:rPr>
              <w:color w:val="auto"/>
              <w:sz w:val="24"/>
              <w:szCs w:val="24"/>
              <w:highlight w:val="none"/>
            </w:rPr>
          </w:pPr>
          <w:r>
            <w:rPr>
              <w:rFonts w:ascii="Times New Roman" w:hAnsi="Times New Roman" w:eastAsia="Times New Roman" w:cs="Times New Roman"/>
              <w:color w:val="auto"/>
              <w:sz w:val="24"/>
              <w:szCs w:val="24"/>
              <w:highlight w:val="none"/>
            </w:rPr>
            <w:fldChar w:fldCharType="begin"/>
          </w:r>
          <w:r>
            <w:rPr>
              <w:rFonts w:ascii="Times New Roman" w:hAnsi="Times New Roman" w:eastAsia="Times New Roman" w:cs="Times New Roman"/>
              <w:color w:val="auto"/>
              <w:sz w:val="24"/>
              <w:szCs w:val="24"/>
              <w:highlight w:val="none"/>
            </w:rPr>
            <w:instrText xml:space="preserve"> HYPERLINK \l _Toc1026 </w:instrText>
          </w:r>
          <w:r>
            <w:rPr>
              <w:rFonts w:ascii="Times New Roman" w:hAnsi="Times New Roman" w:eastAsia="Times New Roman" w:cs="Times New Roman"/>
              <w:color w:val="auto"/>
              <w:sz w:val="24"/>
              <w:szCs w:val="24"/>
              <w:highlight w:val="none"/>
            </w:rPr>
            <w:fldChar w:fldCharType="separate"/>
          </w:r>
          <w:r>
            <w:rPr>
              <w:rFonts w:ascii="宋体" w:hAnsi="宋体" w:eastAsia="宋体" w:cs="宋体"/>
              <w:bCs/>
              <w:color w:val="auto"/>
              <w:spacing w:val="-3"/>
              <w:sz w:val="24"/>
              <w:szCs w:val="44"/>
              <w:highlight w:val="none"/>
            </w:rPr>
            <w:t>第六章</w:t>
          </w:r>
          <w:r>
            <w:rPr>
              <w:rFonts w:ascii="宋体" w:hAnsi="宋体" w:eastAsia="宋体" w:cs="宋体"/>
              <w:color w:val="auto"/>
              <w:spacing w:val="-3"/>
              <w:sz w:val="24"/>
              <w:szCs w:val="44"/>
              <w:highlight w:val="none"/>
            </w:rPr>
            <w:t xml:space="preserve">  </w:t>
          </w:r>
          <w:r>
            <w:rPr>
              <w:rFonts w:ascii="宋体" w:hAnsi="宋体" w:eastAsia="宋体" w:cs="宋体"/>
              <w:bCs/>
              <w:color w:val="auto"/>
              <w:spacing w:val="-3"/>
              <w:sz w:val="24"/>
              <w:szCs w:val="44"/>
              <w:highlight w:val="none"/>
            </w:rPr>
            <w:t>图纸（招标图纸）及其他资料</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_Toc1026 \h </w:instrText>
          </w:r>
          <w:r>
            <w:rPr>
              <w:color w:val="auto"/>
              <w:sz w:val="24"/>
              <w:szCs w:val="24"/>
              <w:highlight w:val="none"/>
            </w:rPr>
            <w:fldChar w:fldCharType="separate"/>
          </w:r>
          <w:r>
            <w:rPr>
              <w:color w:val="auto"/>
              <w:sz w:val="24"/>
              <w:szCs w:val="24"/>
              <w:highlight w:val="none"/>
            </w:rPr>
            <w:t>144</w:t>
          </w:r>
          <w:r>
            <w:rPr>
              <w:color w:val="auto"/>
              <w:sz w:val="24"/>
              <w:szCs w:val="24"/>
              <w:highlight w:val="none"/>
            </w:rPr>
            <w:fldChar w:fldCharType="end"/>
          </w:r>
          <w:r>
            <w:rPr>
              <w:rFonts w:ascii="Times New Roman" w:hAnsi="Times New Roman" w:eastAsia="Times New Roman" w:cs="Times New Roman"/>
              <w:color w:val="auto"/>
              <w:sz w:val="24"/>
              <w:szCs w:val="24"/>
              <w:highlight w:val="none"/>
            </w:rPr>
            <w:fldChar w:fldCharType="end"/>
          </w:r>
        </w:p>
        <w:p w14:paraId="5B248130">
          <w:pPr>
            <w:pStyle w:val="9"/>
            <w:keepNext w:val="0"/>
            <w:keepLines w:val="0"/>
            <w:pageBreakBefore w:val="0"/>
            <w:widowControl/>
            <w:tabs>
              <w:tab w:val="right" w:leader="dot" w:pos="8778"/>
            </w:tabs>
            <w:kinsoku w:val="0"/>
            <w:wordWrap/>
            <w:overflowPunct/>
            <w:topLinePunct w:val="0"/>
            <w:autoSpaceDE w:val="0"/>
            <w:autoSpaceDN w:val="0"/>
            <w:bidi w:val="0"/>
            <w:adjustRightInd w:val="0"/>
            <w:snapToGrid w:val="0"/>
            <w:spacing w:line="700" w:lineRule="atLeast"/>
            <w:textAlignment w:val="baseline"/>
            <w:rPr>
              <w:color w:val="auto"/>
              <w:sz w:val="24"/>
              <w:szCs w:val="24"/>
              <w:highlight w:val="none"/>
            </w:rPr>
          </w:pPr>
          <w:r>
            <w:rPr>
              <w:rFonts w:ascii="Times New Roman" w:hAnsi="Times New Roman" w:eastAsia="Times New Roman" w:cs="Times New Roman"/>
              <w:color w:val="auto"/>
              <w:sz w:val="24"/>
              <w:szCs w:val="24"/>
              <w:highlight w:val="none"/>
            </w:rPr>
            <w:fldChar w:fldCharType="begin"/>
          </w:r>
          <w:r>
            <w:rPr>
              <w:rFonts w:ascii="Times New Roman" w:hAnsi="Times New Roman" w:eastAsia="Times New Roman" w:cs="Times New Roman"/>
              <w:color w:val="auto"/>
              <w:sz w:val="24"/>
              <w:szCs w:val="24"/>
              <w:highlight w:val="none"/>
            </w:rPr>
            <w:instrText xml:space="preserve"> HYPERLINK \l _Toc6786 </w:instrText>
          </w:r>
          <w:r>
            <w:rPr>
              <w:rFonts w:ascii="Times New Roman" w:hAnsi="Times New Roman" w:eastAsia="Times New Roman" w:cs="Times New Roman"/>
              <w:color w:val="auto"/>
              <w:sz w:val="24"/>
              <w:szCs w:val="24"/>
              <w:highlight w:val="none"/>
            </w:rPr>
            <w:fldChar w:fldCharType="separate"/>
          </w:r>
          <w:r>
            <w:rPr>
              <w:rFonts w:ascii="宋体" w:hAnsi="宋体" w:eastAsia="宋体" w:cs="宋体"/>
              <w:bCs/>
              <w:color w:val="auto"/>
              <w:spacing w:val="-3"/>
              <w:sz w:val="24"/>
              <w:szCs w:val="44"/>
              <w:highlight w:val="none"/>
            </w:rPr>
            <w:t>第七章</w:t>
          </w:r>
          <w:r>
            <w:rPr>
              <w:rFonts w:ascii="宋体" w:hAnsi="宋体" w:eastAsia="宋体" w:cs="宋体"/>
              <w:color w:val="auto"/>
              <w:spacing w:val="-3"/>
              <w:sz w:val="24"/>
              <w:szCs w:val="44"/>
              <w:highlight w:val="none"/>
            </w:rPr>
            <w:t xml:space="preserve">  </w:t>
          </w:r>
          <w:r>
            <w:rPr>
              <w:rFonts w:ascii="宋体" w:hAnsi="宋体" w:eastAsia="宋体" w:cs="宋体"/>
              <w:bCs/>
              <w:color w:val="auto"/>
              <w:spacing w:val="-3"/>
              <w:sz w:val="24"/>
              <w:szCs w:val="44"/>
              <w:highlight w:val="none"/>
            </w:rPr>
            <w:t>技术标准和要求（合同技术条款）</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_Toc6786 \h </w:instrText>
          </w:r>
          <w:r>
            <w:rPr>
              <w:color w:val="auto"/>
              <w:sz w:val="24"/>
              <w:szCs w:val="24"/>
              <w:highlight w:val="none"/>
            </w:rPr>
            <w:fldChar w:fldCharType="separate"/>
          </w:r>
          <w:r>
            <w:rPr>
              <w:color w:val="auto"/>
              <w:sz w:val="24"/>
              <w:szCs w:val="24"/>
              <w:highlight w:val="none"/>
            </w:rPr>
            <w:t>146</w:t>
          </w:r>
          <w:r>
            <w:rPr>
              <w:color w:val="auto"/>
              <w:sz w:val="24"/>
              <w:szCs w:val="24"/>
              <w:highlight w:val="none"/>
            </w:rPr>
            <w:fldChar w:fldCharType="end"/>
          </w:r>
          <w:r>
            <w:rPr>
              <w:rFonts w:ascii="Times New Roman" w:hAnsi="Times New Roman" w:eastAsia="Times New Roman" w:cs="Times New Roman"/>
              <w:color w:val="auto"/>
              <w:sz w:val="24"/>
              <w:szCs w:val="24"/>
              <w:highlight w:val="none"/>
            </w:rPr>
            <w:fldChar w:fldCharType="end"/>
          </w:r>
        </w:p>
        <w:p w14:paraId="3E24B591">
          <w:pPr>
            <w:pStyle w:val="9"/>
            <w:keepNext w:val="0"/>
            <w:keepLines w:val="0"/>
            <w:pageBreakBefore w:val="0"/>
            <w:widowControl/>
            <w:tabs>
              <w:tab w:val="right" w:leader="dot" w:pos="8778"/>
            </w:tabs>
            <w:kinsoku w:val="0"/>
            <w:wordWrap/>
            <w:overflowPunct/>
            <w:topLinePunct w:val="0"/>
            <w:autoSpaceDE w:val="0"/>
            <w:autoSpaceDN w:val="0"/>
            <w:bidi w:val="0"/>
            <w:adjustRightInd w:val="0"/>
            <w:snapToGrid w:val="0"/>
            <w:spacing w:line="700" w:lineRule="atLeast"/>
            <w:textAlignment w:val="baseline"/>
            <w:rPr>
              <w:color w:val="auto"/>
              <w:sz w:val="22"/>
              <w:szCs w:val="22"/>
              <w:highlight w:val="none"/>
            </w:rPr>
          </w:pPr>
          <w:r>
            <w:rPr>
              <w:rFonts w:ascii="Times New Roman" w:hAnsi="Times New Roman" w:eastAsia="Times New Roman" w:cs="Times New Roman"/>
              <w:color w:val="auto"/>
              <w:sz w:val="24"/>
              <w:szCs w:val="24"/>
              <w:highlight w:val="none"/>
            </w:rPr>
            <w:fldChar w:fldCharType="begin"/>
          </w:r>
          <w:r>
            <w:rPr>
              <w:rFonts w:ascii="Times New Roman" w:hAnsi="Times New Roman" w:eastAsia="Times New Roman" w:cs="Times New Roman"/>
              <w:color w:val="auto"/>
              <w:sz w:val="24"/>
              <w:szCs w:val="24"/>
              <w:highlight w:val="none"/>
            </w:rPr>
            <w:instrText xml:space="preserve"> HYPERLINK \l _Toc30270 </w:instrText>
          </w:r>
          <w:r>
            <w:rPr>
              <w:rFonts w:ascii="Times New Roman" w:hAnsi="Times New Roman" w:eastAsia="Times New Roman" w:cs="Times New Roman"/>
              <w:color w:val="auto"/>
              <w:sz w:val="24"/>
              <w:szCs w:val="24"/>
              <w:highlight w:val="none"/>
            </w:rPr>
            <w:fldChar w:fldCharType="separate"/>
          </w:r>
          <w:r>
            <w:rPr>
              <w:rFonts w:ascii="宋体" w:hAnsi="宋体" w:eastAsia="宋体" w:cs="宋体"/>
              <w:bCs/>
              <w:color w:val="auto"/>
              <w:spacing w:val="-4"/>
              <w:sz w:val="24"/>
              <w:szCs w:val="44"/>
              <w:highlight w:val="none"/>
            </w:rPr>
            <w:t>第八章</w:t>
          </w:r>
          <w:r>
            <w:rPr>
              <w:rFonts w:ascii="宋体" w:hAnsi="宋体" w:eastAsia="宋体" w:cs="宋体"/>
              <w:color w:val="auto"/>
              <w:spacing w:val="-4"/>
              <w:sz w:val="24"/>
              <w:szCs w:val="44"/>
              <w:highlight w:val="none"/>
            </w:rPr>
            <w:t xml:space="preserve">  </w:t>
          </w:r>
          <w:r>
            <w:rPr>
              <w:rFonts w:ascii="宋体" w:hAnsi="宋体" w:eastAsia="宋体" w:cs="宋体"/>
              <w:bCs/>
              <w:color w:val="auto"/>
              <w:spacing w:val="-4"/>
              <w:sz w:val="24"/>
              <w:szCs w:val="44"/>
              <w:highlight w:val="none"/>
            </w:rPr>
            <w:t>投标文件格式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_Toc30270 \h </w:instrText>
          </w:r>
          <w:r>
            <w:rPr>
              <w:color w:val="auto"/>
              <w:sz w:val="24"/>
              <w:szCs w:val="24"/>
              <w:highlight w:val="none"/>
            </w:rPr>
            <w:fldChar w:fldCharType="separate"/>
          </w:r>
          <w:r>
            <w:rPr>
              <w:color w:val="auto"/>
              <w:sz w:val="24"/>
              <w:szCs w:val="24"/>
              <w:highlight w:val="none"/>
            </w:rPr>
            <w:t>148</w:t>
          </w:r>
          <w:r>
            <w:rPr>
              <w:color w:val="auto"/>
              <w:sz w:val="24"/>
              <w:szCs w:val="24"/>
              <w:highlight w:val="none"/>
            </w:rPr>
            <w:fldChar w:fldCharType="end"/>
          </w:r>
          <w:r>
            <w:rPr>
              <w:rFonts w:ascii="Times New Roman" w:hAnsi="Times New Roman" w:eastAsia="Times New Roman" w:cs="Times New Roman"/>
              <w:color w:val="auto"/>
              <w:sz w:val="24"/>
              <w:szCs w:val="24"/>
              <w:highlight w:val="none"/>
            </w:rPr>
            <w:fldChar w:fldCharType="end"/>
          </w:r>
        </w:p>
        <w:p w14:paraId="3D1366A6">
          <w:pPr>
            <w:pStyle w:val="10"/>
            <w:keepNext w:val="0"/>
            <w:keepLines w:val="0"/>
            <w:pageBreakBefore w:val="0"/>
            <w:widowControl/>
            <w:tabs>
              <w:tab w:val="right" w:leader="dot" w:pos="8778"/>
            </w:tabs>
            <w:kinsoku w:val="0"/>
            <w:wordWrap/>
            <w:overflowPunct/>
            <w:topLinePunct w:val="0"/>
            <w:autoSpaceDE w:val="0"/>
            <w:autoSpaceDN w:val="0"/>
            <w:bidi w:val="0"/>
            <w:adjustRightInd w:val="0"/>
            <w:snapToGrid w:val="0"/>
            <w:spacing w:line="700" w:lineRule="atLeast"/>
            <w:textAlignment w:val="baseline"/>
            <w:rPr>
              <w:color w:val="auto"/>
              <w:sz w:val="22"/>
              <w:szCs w:val="22"/>
              <w:highlight w:val="none"/>
            </w:rPr>
          </w:pPr>
        </w:p>
        <w:p w14:paraId="57D2D5B0">
          <w:pPr>
            <w:keepNext w:val="0"/>
            <w:keepLines w:val="0"/>
            <w:pageBreakBefore w:val="0"/>
            <w:widowControl/>
            <w:kinsoku w:val="0"/>
            <w:wordWrap/>
            <w:overflowPunct/>
            <w:topLinePunct w:val="0"/>
            <w:autoSpaceDE w:val="0"/>
            <w:autoSpaceDN w:val="0"/>
            <w:bidi w:val="0"/>
            <w:adjustRightInd w:val="0"/>
            <w:snapToGrid w:val="0"/>
            <w:spacing w:line="700" w:lineRule="atLeast"/>
            <w:textAlignment w:val="baseline"/>
            <w:rPr>
              <w:rFonts w:ascii="Times New Roman" w:hAnsi="Times New Roman" w:eastAsia="Times New Roman" w:cs="Times New Roman"/>
              <w:snapToGrid w:val="0"/>
              <w:color w:val="auto"/>
              <w:kern w:val="0"/>
              <w:sz w:val="21"/>
              <w:szCs w:val="21"/>
              <w:highlight w:val="none"/>
              <w:lang w:val="en-US" w:eastAsia="en-US" w:bidi="ar-SA"/>
            </w:rPr>
            <w:sectPr>
              <w:footerReference r:id="rId6" w:type="default"/>
              <w:pgSz w:w="11907" w:h="16841"/>
              <w:pgMar w:top="1424" w:right="1530" w:bottom="1254" w:left="1599" w:header="0" w:footer="1093" w:gutter="0"/>
              <w:pgNumType w:start="1"/>
              <w:cols w:space="720" w:num="1"/>
            </w:sectPr>
          </w:pPr>
          <w:r>
            <w:rPr>
              <w:rFonts w:ascii="Times New Roman" w:hAnsi="Times New Roman" w:eastAsia="Times New Roman" w:cs="Times New Roman"/>
              <w:color w:val="auto"/>
              <w:sz w:val="22"/>
              <w:szCs w:val="22"/>
              <w:highlight w:val="none"/>
            </w:rPr>
            <w:fldChar w:fldCharType="end"/>
          </w:r>
        </w:p>
      </w:sdtContent>
    </w:sdt>
    <w:p w14:paraId="3869B0D2">
      <w:pPr>
        <w:spacing w:before="156" w:line="222" w:lineRule="auto"/>
        <w:outlineLvl w:val="0"/>
        <w:rPr>
          <w:rFonts w:ascii="黑体" w:hAnsi="黑体" w:eastAsia="黑体" w:cs="黑体"/>
          <w:b/>
          <w:bCs/>
          <w:color w:val="auto"/>
          <w:spacing w:val="-21"/>
          <w:sz w:val="48"/>
          <w:szCs w:val="48"/>
          <w:highlight w:val="none"/>
        </w:rPr>
      </w:pPr>
      <w:bookmarkStart w:id="0" w:name="_Toc13783"/>
      <w:bookmarkStart w:id="1" w:name="_Toc32466"/>
    </w:p>
    <w:p w14:paraId="4A957A8D">
      <w:pPr>
        <w:spacing w:before="156" w:line="222" w:lineRule="auto"/>
        <w:ind w:left="3251"/>
        <w:outlineLvl w:val="0"/>
        <w:rPr>
          <w:rFonts w:ascii="黑体" w:hAnsi="黑体" w:eastAsia="黑体" w:cs="黑体"/>
          <w:b/>
          <w:bCs/>
          <w:color w:val="auto"/>
          <w:spacing w:val="-21"/>
          <w:sz w:val="48"/>
          <w:szCs w:val="48"/>
          <w:highlight w:val="none"/>
        </w:rPr>
      </w:pPr>
    </w:p>
    <w:p w14:paraId="29B2EF9D">
      <w:pPr>
        <w:spacing w:before="156" w:line="222" w:lineRule="auto"/>
        <w:ind w:left="3251"/>
        <w:outlineLvl w:val="0"/>
        <w:rPr>
          <w:rFonts w:ascii="黑体" w:hAnsi="黑体" w:eastAsia="黑体" w:cs="黑体"/>
          <w:b/>
          <w:bCs/>
          <w:color w:val="auto"/>
          <w:spacing w:val="-21"/>
          <w:sz w:val="48"/>
          <w:szCs w:val="48"/>
          <w:highlight w:val="none"/>
        </w:rPr>
      </w:pPr>
    </w:p>
    <w:p w14:paraId="09C0CF33">
      <w:pPr>
        <w:spacing w:before="156" w:line="222" w:lineRule="auto"/>
        <w:ind w:left="3251"/>
        <w:outlineLvl w:val="0"/>
        <w:rPr>
          <w:rFonts w:ascii="黑体" w:hAnsi="黑体" w:eastAsia="黑体" w:cs="黑体"/>
          <w:b/>
          <w:bCs/>
          <w:color w:val="auto"/>
          <w:spacing w:val="-21"/>
          <w:sz w:val="48"/>
          <w:szCs w:val="48"/>
          <w:highlight w:val="none"/>
        </w:rPr>
      </w:pPr>
    </w:p>
    <w:p w14:paraId="0C7B8F57">
      <w:pPr>
        <w:spacing w:before="156" w:line="222" w:lineRule="auto"/>
        <w:ind w:left="3251"/>
        <w:outlineLvl w:val="0"/>
        <w:rPr>
          <w:rFonts w:ascii="黑体" w:hAnsi="黑体" w:eastAsia="黑体" w:cs="黑体"/>
          <w:b/>
          <w:bCs/>
          <w:color w:val="auto"/>
          <w:spacing w:val="-21"/>
          <w:sz w:val="48"/>
          <w:szCs w:val="48"/>
          <w:highlight w:val="none"/>
        </w:rPr>
      </w:pPr>
    </w:p>
    <w:p w14:paraId="09306908">
      <w:pPr>
        <w:spacing w:before="156" w:line="222" w:lineRule="auto"/>
        <w:ind w:left="3251"/>
        <w:outlineLvl w:val="0"/>
        <w:rPr>
          <w:rFonts w:ascii="黑体" w:hAnsi="黑体" w:eastAsia="黑体" w:cs="黑体"/>
          <w:b/>
          <w:bCs/>
          <w:color w:val="auto"/>
          <w:spacing w:val="-21"/>
          <w:sz w:val="48"/>
          <w:szCs w:val="48"/>
          <w:highlight w:val="none"/>
        </w:rPr>
      </w:pPr>
    </w:p>
    <w:p w14:paraId="1A46790D">
      <w:pPr>
        <w:spacing w:before="156" w:line="222" w:lineRule="auto"/>
        <w:ind w:left="3251"/>
        <w:outlineLvl w:val="0"/>
        <w:rPr>
          <w:rFonts w:ascii="黑体" w:hAnsi="黑体" w:eastAsia="黑体" w:cs="黑体"/>
          <w:b/>
          <w:bCs/>
          <w:color w:val="auto"/>
          <w:spacing w:val="-21"/>
          <w:sz w:val="48"/>
          <w:szCs w:val="48"/>
          <w:highlight w:val="none"/>
        </w:rPr>
      </w:pPr>
    </w:p>
    <w:p w14:paraId="340BA156">
      <w:pPr>
        <w:spacing w:before="156" w:line="222" w:lineRule="auto"/>
        <w:ind w:left="3251"/>
        <w:outlineLvl w:val="0"/>
        <w:rPr>
          <w:rFonts w:ascii="黑体" w:hAnsi="黑体" w:eastAsia="黑体" w:cs="黑体"/>
          <w:color w:val="auto"/>
          <w:sz w:val="48"/>
          <w:szCs w:val="48"/>
          <w:highlight w:val="none"/>
        </w:rPr>
      </w:pPr>
      <w:r>
        <w:rPr>
          <w:rFonts w:ascii="黑体" w:hAnsi="黑体" w:eastAsia="黑体" w:cs="黑体"/>
          <w:b/>
          <w:bCs/>
          <w:color w:val="auto"/>
          <w:spacing w:val="-21"/>
          <w:sz w:val="48"/>
          <w:szCs w:val="48"/>
          <w:highlight w:val="none"/>
        </w:rPr>
        <w:t>第</w:t>
      </w:r>
      <w:r>
        <w:rPr>
          <w:rFonts w:ascii="黑体" w:hAnsi="黑体" w:eastAsia="黑体" w:cs="黑体"/>
          <w:color w:val="auto"/>
          <w:spacing w:val="30"/>
          <w:sz w:val="48"/>
          <w:szCs w:val="48"/>
          <w:highlight w:val="none"/>
        </w:rPr>
        <w:t xml:space="preserve"> </w:t>
      </w:r>
      <w:r>
        <w:rPr>
          <w:rFonts w:ascii="黑体" w:hAnsi="黑体" w:eastAsia="黑体" w:cs="黑体"/>
          <w:b/>
          <w:bCs/>
          <w:color w:val="auto"/>
          <w:spacing w:val="-21"/>
          <w:sz w:val="48"/>
          <w:szCs w:val="48"/>
          <w:highlight w:val="none"/>
        </w:rPr>
        <w:t>一</w:t>
      </w:r>
      <w:r>
        <w:rPr>
          <w:rFonts w:ascii="黑体" w:hAnsi="黑体" w:eastAsia="黑体" w:cs="黑体"/>
          <w:color w:val="auto"/>
          <w:spacing w:val="29"/>
          <w:sz w:val="48"/>
          <w:szCs w:val="48"/>
          <w:highlight w:val="none"/>
        </w:rPr>
        <w:t xml:space="preserve"> </w:t>
      </w:r>
      <w:r>
        <w:rPr>
          <w:rFonts w:ascii="黑体" w:hAnsi="黑体" w:eastAsia="黑体" w:cs="黑体"/>
          <w:b/>
          <w:bCs/>
          <w:color w:val="auto"/>
          <w:spacing w:val="-21"/>
          <w:sz w:val="48"/>
          <w:szCs w:val="48"/>
          <w:highlight w:val="none"/>
        </w:rPr>
        <w:t>卷</w:t>
      </w:r>
      <w:bookmarkEnd w:id="0"/>
      <w:bookmarkEnd w:id="1"/>
    </w:p>
    <w:p w14:paraId="773AAD8A">
      <w:pPr>
        <w:spacing w:line="222" w:lineRule="auto"/>
        <w:rPr>
          <w:rFonts w:ascii="黑体" w:hAnsi="黑体" w:eastAsia="黑体" w:cs="黑体"/>
          <w:color w:val="auto"/>
          <w:sz w:val="48"/>
          <w:szCs w:val="48"/>
          <w:highlight w:val="none"/>
        </w:rPr>
        <w:sectPr>
          <w:footerReference r:id="rId7" w:type="default"/>
          <w:pgSz w:w="11907" w:h="16841"/>
          <w:pgMar w:top="1431" w:right="1527" w:bottom="1254" w:left="1785" w:header="0" w:footer="1093" w:gutter="0"/>
          <w:pgNumType w:fmt="decimal" w:start="1"/>
          <w:cols w:space="720" w:num="1"/>
        </w:sectPr>
      </w:pPr>
    </w:p>
    <w:p w14:paraId="1EF86564">
      <w:pPr>
        <w:spacing w:before="304" w:line="218" w:lineRule="auto"/>
        <w:ind w:left="1000"/>
        <w:outlineLvl w:val="0"/>
        <w:rPr>
          <w:rFonts w:ascii="宋体" w:hAnsi="宋体" w:eastAsia="宋体" w:cs="宋体"/>
          <w:color w:val="auto"/>
          <w:sz w:val="36"/>
          <w:szCs w:val="36"/>
          <w:highlight w:val="none"/>
        </w:rPr>
      </w:pPr>
      <w:bookmarkStart w:id="2" w:name="_Toc12854"/>
      <w:bookmarkStart w:id="3" w:name="_Toc26247"/>
      <w:r>
        <w:rPr>
          <w:rFonts w:ascii="宋体" w:hAnsi="宋体" w:eastAsia="宋体" w:cs="宋体"/>
          <w:b/>
          <w:bCs/>
          <w:color w:val="auto"/>
          <w:spacing w:val="-3"/>
          <w:sz w:val="36"/>
          <w:szCs w:val="36"/>
          <w:highlight w:val="none"/>
        </w:rPr>
        <w:t>第一章</w:t>
      </w:r>
      <w:r>
        <w:rPr>
          <w:rFonts w:ascii="宋体" w:hAnsi="宋体" w:eastAsia="宋体" w:cs="宋体"/>
          <w:color w:val="auto"/>
          <w:spacing w:val="-3"/>
          <w:sz w:val="36"/>
          <w:szCs w:val="36"/>
          <w:highlight w:val="none"/>
        </w:rPr>
        <w:t xml:space="preserve">  </w:t>
      </w:r>
      <w:r>
        <w:rPr>
          <w:rFonts w:ascii="宋体" w:hAnsi="宋体" w:eastAsia="宋体" w:cs="宋体"/>
          <w:b/>
          <w:bCs/>
          <w:color w:val="auto"/>
          <w:spacing w:val="-3"/>
          <w:sz w:val="36"/>
          <w:szCs w:val="36"/>
          <w:highlight w:val="none"/>
        </w:rPr>
        <w:t>招标公告（适用于资格后审招标）</w:t>
      </w:r>
      <w:bookmarkEnd w:id="2"/>
      <w:bookmarkEnd w:id="3"/>
    </w:p>
    <w:p w14:paraId="155AE075">
      <w:pPr>
        <w:tabs>
          <w:tab w:val="left" w:pos="2622"/>
        </w:tabs>
        <w:spacing w:before="81" w:line="212" w:lineRule="auto"/>
        <w:ind w:left="823"/>
        <w:jc w:val="both"/>
        <w:rPr>
          <w:rFonts w:hint="eastAsia" w:ascii="宋体" w:hAnsi="宋体" w:eastAsia="宋体" w:cs="宋体"/>
          <w:color w:val="auto"/>
          <w:sz w:val="24"/>
          <w:szCs w:val="24"/>
          <w:highlight w:val="none"/>
          <w:u w:val="none" w:color="auto"/>
        </w:rPr>
      </w:pPr>
    </w:p>
    <w:p w14:paraId="34FE522B">
      <w:pPr>
        <w:tabs>
          <w:tab w:val="left" w:pos="2622"/>
        </w:tabs>
        <w:spacing w:before="81" w:line="212" w:lineRule="auto"/>
        <w:jc w:val="center"/>
        <w:rPr>
          <w:rFonts w:ascii="宋体" w:hAnsi="宋体" w:eastAsia="宋体" w:cs="宋体"/>
          <w:color w:val="auto"/>
          <w:sz w:val="28"/>
          <w:szCs w:val="28"/>
          <w:highlight w:val="none"/>
        </w:rPr>
      </w:pPr>
      <w:bookmarkStart w:id="1136" w:name="_GoBack"/>
      <w:r>
        <w:rPr>
          <w:rFonts w:hint="eastAsia" w:ascii="宋体" w:hAnsi="宋体" w:eastAsia="宋体" w:cs="宋体"/>
          <w:color w:val="auto"/>
          <w:sz w:val="28"/>
          <w:szCs w:val="28"/>
          <w:highlight w:val="none"/>
          <w:u w:val="none" w:color="auto"/>
          <w:lang w:eastAsia="zh-CN"/>
        </w:rPr>
        <w:t>2025年嵊州市浦口街道高标准农田建设项目(I标)</w:t>
      </w:r>
      <w:bookmarkEnd w:id="1136"/>
      <w:r>
        <w:rPr>
          <w:rFonts w:ascii="宋体" w:hAnsi="宋体" w:eastAsia="宋体" w:cs="宋体"/>
          <w:color w:val="auto"/>
          <w:spacing w:val="-3"/>
          <w:sz w:val="28"/>
          <w:szCs w:val="28"/>
          <w:highlight w:val="none"/>
        </w:rPr>
        <w:t>招标公告</w:t>
      </w:r>
    </w:p>
    <w:p w14:paraId="6F056364">
      <w:pPr>
        <w:spacing w:before="91" w:line="220" w:lineRule="auto"/>
        <w:ind w:left="47"/>
        <w:outlineLvl w:val="1"/>
        <w:rPr>
          <w:rFonts w:ascii="宋体" w:hAnsi="宋体" w:eastAsia="宋体" w:cs="宋体"/>
          <w:color w:val="auto"/>
          <w:sz w:val="28"/>
          <w:szCs w:val="28"/>
          <w:highlight w:val="none"/>
        </w:rPr>
      </w:pPr>
      <w:bookmarkStart w:id="4" w:name="bookmark663"/>
      <w:bookmarkEnd w:id="4"/>
      <w:bookmarkStart w:id="5" w:name="_Toc1207"/>
      <w:bookmarkStart w:id="6" w:name="_Toc30859"/>
      <w:r>
        <w:rPr>
          <w:rFonts w:ascii="Times New Roman" w:hAnsi="Times New Roman" w:eastAsia="Times New Roman" w:cs="Times New Roman"/>
          <w:b/>
          <w:bCs/>
          <w:color w:val="auto"/>
          <w:spacing w:val="-8"/>
          <w:sz w:val="28"/>
          <w:szCs w:val="28"/>
          <w:highlight w:val="none"/>
        </w:rPr>
        <w:t>1</w:t>
      </w:r>
      <w:r>
        <w:rPr>
          <w:rFonts w:hint="eastAsia" w:ascii="Times New Roman" w:hAnsi="Times New Roman" w:eastAsia="宋体" w:cs="Times New Roman"/>
          <w:b/>
          <w:bCs/>
          <w:color w:val="auto"/>
          <w:spacing w:val="-8"/>
          <w:sz w:val="28"/>
          <w:szCs w:val="28"/>
          <w:highlight w:val="none"/>
          <w:lang w:eastAsia="zh-CN"/>
        </w:rPr>
        <w:t>、</w:t>
      </w:r>
      <w:r>
        <w:rPr>
          <w:rFonts w:ascii="宋体" w:hAnsi="宋体" w:eastAsia="宋体" w:cs="宋体"/>
          <w:b/>
          <w:bCs/>
          <w:color w:val="auto"/>
          <w:spacing w:val="-8"/>
          <w:sz w:val="28"/>
          <w:szCs w:val="28"/>
          <w:highlight w:val="none"/>
        </w:rPr>
        <w:t>招标条件</w:t>
      </w:r>
      <w:bookmarkEnd w:id="5"/>
      <w:bookmarkEnd w:id="6"/>
    </w:p>
    <w:p w14:paraId="208A1168">
      <w:pPr>
        <w:pStyle w:val="3"/>
        <w:spacing w:line="241" w:lineRule="auto"/>
        <w:rPr>
          <w:color w:val="auto"/>
          <w:highlight w:val="none"/>
        </w:rPr>
      </w:pPr>
    </w:p>
    <w:p w14:paraId="4C5E45EF">
      <w:pPr>
        <w:spacing w:before="81" w:line="349" w:lineRule="auto"/>
        <w:ind w:left="41" w:firstLine="478"/>
        <w:jc w:val="both"/>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本招标项目</w:t>
      </w:r>
      <w:r>
        <w:rPr>
          <w:rFonts w:hint="eastAsia" w:ascii="宋体" w:hAnsi="宋体" w:eastAsia="宋体" w:cs="宋体"/>
          <w:color w:val="auto"/>
          <w:spacing w:val="-9"/>
          <w:sz w:val="24"/>
          <w:szCs w:val="24"/>
          <w:highlight w:val="none"/>
          <w:u w:val="single"/>
          <w:lang w:eastAsia="zh-CN"/>
        </w:rPr>
        <w:t>2025年嵊州市浦口街道高标准农田建设项目(I标)</w:t>
      </w:r>
      <w:r>
        <w:rPr>
          <w:rFonts w:ascii="宋体" w:hAnsi="宋体" w:eastAsia="宋体" w:cs="宋体"/>
          <w:color w:val="auto"/>
          <w:spacing w:val="-9"/>
          <w:sz w:val="24"/>
          <w:szCs w:val="24"/>
          <w:highlight w:val="none"/>
        </w:rPr>
        <w:t>已由</w:t>
      </w:r>
      <w:r>
        <w:rPr>
          <w:rFonts w:ascii="宋体" w:hAnsi="宋体" w:eastAsia="宋体" w:cs="宋体"/>
          <w:color w:val="auto"/>
          <w:spacing w:val="-118"/>
          <w:sz w:val="24"/>
          <w:szCs w:val="24"/>
          <w:highlight w:val="none"/>
        </w:rPr>
        <w:t xml:space="preserve"> </w:t>
      </w:r>
      <w:r>
        <w:rPr>
          <w:rFonts w:ascii="宋体" w:hAnsi="宋体" w:eastAsia="宋体" w:cs="宋体"/>
          <w:color w:val="auto"/>
          <w:spacing w:val="-9"/>
          <w:sz w:val="24"/>
          <w:szCs w:val="24"/>
          <w:highlight w:val="none"/>
          <w:u w:val="single" w:color="auto"/>
        </w:rPr>
        <w:t xml:space="preserve"> </w:t>
      </w:r>
      <w:r>
        <w:rPr>
          <w:rFonts w:hint="eastAsia" w:ascii="宋体" w:hAnsi="宋体" w:eastAsia="宋体" w:cs="宋体"/>
          <w:color w:val="auto"/>
          <w:spacing w:val="-9"/>
          <w:sz w:val="24"/>
          <w:szCs w:val="24"/>
          <w:highlight w:val="none"/>
          <w:u w:val="single" w:color="auto"/>
        </w:rPr>
        <w:t>嵊州市发展和改革局</w:t>
      </w:r>
      <w:r>
        <w:rPr>
          <w:rFonts w:ascii="宋体" w:hAnsi="宋体" w:eastAsia="宋体" w:cs="宋体"/>
          <w:color w:val="auto"/>
          <w:spacing w:val="-11"/>
          <w:sz w:val="24"/>
          <w:szCs w:val="24"/>
          <w:highlight w:val="none"/>
        </w:rPr>
        <w:t>以</w:t>
      </w:r>
      <w:r>
        <w:rPr>
          <w:rFonts w:hint="eastAsia" w:ascii="宋体" w:hAnsi="宋体" w:eastAsia="宋体" w:cs="宋体"/>
          <w:color w:val="auto"/>
          <w:sz w:val="24"/>
          <w:szCs w:val="24"/>
          <w:highlight w:val="none"/>
          <w:u w:val="single" w:color="auto"/>
          <w:lang w:val="en-US" w:eastAsia="zh-CN"/>
        </w:rPr>
        <w:t>2512-330683-04-01-299936</w:t>
      </w:r>
      <w:r>
        <w:rPr>
          <w:rFonts w:ascii="宋体" w:hAnsi="宋体" w:eastAsia="宋体" w:cs="宋体"/>
          <w:color w:val="auto"/>
          <w:spacing w:val="-11"/>
          <w:sz w:val="24"/>
          <w:szCs w:val="24"/>
          <w:highlight w:val="none"/>
        </w:rPr>
        <w:t>批准建设，建设资金来自</w:t>
      </w:r>
      <w:r>
        <w:rPr>
          <w:rFonts w:hint="eastAsia" w:ascii="宋体" w:hAnsi="宋体" w:eastAsia="宋体" w:cs="宋体"/>
          <w:color w:val="auto"/>
          <w:sz w:val="24"/>
          <w:szCs w:val="24"/>
          <w:highlight w:val="none"/>
          <w:u w:val="single" w:color="auto"/>
          <w:lang w:eastAsia="zh-CN"/>
        </w:rPr>
        <w:t>财政资金</w:t>
      </w:r>
      <w:r>
        <w:rPr>
          <w:rFonts w:hint="eastAsia" w:ascii="宋体" w:hAnsi="宋体" w:eastAsia="宋体" w:cs="宋体"/>
          <w:color w:val="auto"/>
          <w:spacing w:val="-9"/>
          <w:sz w:val="24"/>
          <w:szCs w:val="24"/>
          <w:highlight w:val="none"/>
          <w:u w:val="none"/>
          <w:lang w:val="en-US" w:eastAsia="zh-CN"/>
        </w:rPr>
        <w:t>，</w:t>
      </w:r>
      <w:r>
        <w:rPr>
          <w:rFonts w:ascii="宋体" w:hAnsi="宋体" w:eastAsia="宋体" w:cs="宋体"/>
          <w:color w:val="auto"/>
          <w:spacing w:val="12"/>
          <w:sz w:val="24"/>
          <w:szCs w:val="24"/>
          <w:highlight w:val="none"/>
        </w:rPr>
        <w:t>项</w:t>
      </w:r>
      <w:r>
        <w:rPr>
          <w:rFonts w:ascii="宋体" w:hAnsi="宋体" w:eastAsia="宋体" w:cs="宋体"/>
          <w:color w:val="auto"/>
          <w:spacing w:val="-9"/>
          <w:sz w:val="24"/>
          <w:szCs w:val="24"/>
          <w:highlight w:val="none"/>
        </w:rPr>
        <w:t>目出资比例为</w:t>
      </w:r>
      <w:r>
        <w:rPr>
          <w:rFonts w:ascii="宋体" w:hAnsi="宋体" w:eastAsia="宋体" w:cs="宋体"/>
          <w:color w:val="auto"/>
          <w:spacing w:val="-101"/>
          <w:sz w:val="24"/>
          <w:szCs w:val="24"/>
          <w:highlight w:val="none"/>
        </w:rPr>
        <w:t xml:space="preserve"> </w:t>
      </w:r>
      <w:r>
        <w:rPr>
          <w:rFonts w:hint="eastAsia" w:ascii="宋体" w:hAnsi="宋体" w:eastAsia="宋体" w:cs="宋体"/>
          <w:color w:val="auto"/>
          <w:spacing w:val="14"/>
          <w:sz w:val="24"/>
          <w:szCs w:val="24"/>
          <w:highlight w:val="none"/>
          <w:u w:val="single" w:color="auto"/>
          <w:lang w:val="en-US" w:eastAsia="zh-CN"/>
        </w:rPr>
        <w:t>100%</w:t>
      </w:r>
      <w:r>
        <w:rPr>
          <w:rFonts w:ascii="宋体" w:hAnsi="宋体" w:eastAsia="宋体" w:cs="宋体"/>
          <w:color w:val="auto"/>
          <w:spacing w:val="12"/>
          <w:sz w:val="24"/>
          <w:szCs w:val="24"/>
          <w:highlight w:val="none"/>
        </w:rPr>
        <w:t>，项目法人为</w:t>
      </w:r>
      <w:r>
        <w:rPr>
          <w:rFonts w:hint="eastAsia" w:ascii="宋体" w:hAnsi="宋体" w:eastAsia="宋体" w:cs="宋体"/>
          <w:color w:val="auto"/>
          <w:spacing w:val="-9"/>
          <w:sz w:val="24"/>
          <w:szCs w:val="24"/>
          <w:highlight w:val="none"/>
          <w:u w:val="single"/>
        </w:rPr>
        <w:t xml:space="preserve"> </w:t>
      </w:r>
      <w:r>
        <w:rPr>
          <w:rFonts w:hint="eastAsia" w:ascii="宋体" w:hAnsi="宋体" w:eastAsia="宋体" w:cs="宋体"/>
          <w:color w:val="auto"/>
          <w:spacing w:val="-9"/>
          <w:sz w:val="24"/>
          <w:szCs w:val="24"/>
          <w:highlight w:val="none"/>
          <w:u w:val="single"/>
          <w:lang w:eastAsia="zh-CN"/>
        </w:rPr>
        <w:t>嵊州市现代农业园区建设有限公司</w:t>
      </w:r>
      <w:r>
        <w:rPr>
          <w:rFonts w:hint="eastAsia" w:ascii="宋体" w:hAnsi="宋体" w:eastAsia="宋体" w:cs="宋体"/>
          <w:color w:val="auto"/>
          <w:sz w:val="24"/>
          <w:szCs w:val="24"/>
          <w:highlight w:val="none"/>
          <w:u w:val="none" w:color="auto"/>
          <w:lang w:eastAsia="zh-CN"/>
        </w:rPr>
        <w:t>，</w:t>
      </w:r>
      <w:r>
        <w:rPr>
          <w:rFonts w:ascii="宋体" w:hAnsi="宋体" w:eastAsia="宋体" w:cs="宋体"/>
          <w:color w:val="auto"/>
          <w:spacing w:val="12"/>
          <w:sz w:val="24"/>
          <w:szCs w:val="24"/>
          <w:highlight w:val="none"/>
        </w:rPr>
        <w:t>招标人</w:t>
      </w:r>
      <w:r>
        <w:rPr>
          <w:rFonts w:ascii="宋体" w:hAnsi="宋体" w:eastAsia="宋体" w:cs="宋体"/>
          <w:color w:val="auto"/>
          <w:sz w:val="24"/>
          <w:szCs w:val="24"/>
          <w:highlight w:val="none"/>
        </w:rPr>
        <w:t>为</w:t>
      </w:r>
      <w:r>
        <w:rPr>
          <w:rFonts w:ascii="宋体" w:hAnsi="宋体" w:eastAsia="宋体" w:cs="宋体"/>
          <w:color w:val="auto"/>
          <w:spacing w:val="-103"/>
          <w:sz w:val="24"/>
          <w:szCs w:val="24"/>
          <w:highlight w:val="none"/>
        </w:rPr>
        <w:t xml:space="preserve"> </w:t>
      </w:r>
      <w:r>
        <w:rPr>
          <w:rFonts w:hint="eastAsia" w:ascii="宋体" w:hAnsi="宋体" w:eastAsia="宋体" w:cs="宋体"/>
          <w:color w:val="auto"/>
          <w:sz w:val="24"/>
          <w:szCs w:val="24"/>
          <w:highlight w:val="none"/>
          <w:u w:val="single" w:color="auto"/>
          <w:lang w:eastAsia="zh-CN"/>
        </w:rPr>
        <w:t>嵊州市现代农业园区建设有限公司</w:t>
      </w:r>
      <w:r>
        <w:rPr>
          <w:rFonts w:hint="eastAsia" w:ascii="宋体" w:hAnsi="宋体" w:eastAsia="宋体" w:cs="宋体"/>
          <w:color w:val="auto"/>
          <w:sz w:val="24"/>
          <w:szCs w:val="24"/>
          <w:highlight w:val="none"/>
          <w:lang w:val="en-US" w:eastAsia="zh-CN"/>
        </w:rPr>
        <w:t>，</w:t>
      </w:r>
      <w:r>
        <w:rPr>
          <w:rFonts w:ascii="宋体" w:hAnsi="宋体" w:eastAsia="宋体" w:cs="宋体"/>
          <w:color w:val="auto"/>
          <w:sz w:val="24"/>
          <w:szCs w:val="24"/>
          <w:highlight w:val="none"/>
        </w:rPr>
        <w:t>招标代理机构为</w:t>
      </w:r>
      <w:r>
        <w:rPr>
          <w:rFonts w:ascii="宋体" w:hAnsi="宋体" w:eastAsia="宋体" w:cs="宋体"/>
          <w:color w:val="auto"/>
          <w:spacing w:val="-117"/>
          <w:sz w:val="24"/>
          <w:szCs w:val="24"/>
          <w:highlight w:val="none"/>
        </w:rPr>
        <w:t xml:space="preserve"> </w:t>
      </w:r>
      <w:r>
        <w:rPr>
          <w:rFonts w:hint="eastAsia" w:ascii="宋体" w:hAnsi="宋体" w:eastAsia="宋体" w:cs="宋体"/>
          <w:color w:val="auto"/>
          <w:spacing w:val="-117"/>
          <w:sz w:val="24"/>
          <w:szCs w:val="24"/>
          <w:highlight w:val="none"/>
          <w:u w:val="single"/>
          <w:lang w:val="en-US" w:eastAsia="zh-CN"/>
        </w:rPr>
        <w:t xml:space="preserve"> </w:t>
      </w:r>
      <w:r>
        <w:rPr>
          <w:rFonts w:hint="eastAsia" w:ascii="宋体" w:hAnsi="宋体" w:eastAsia="宋体" w:cs="宋体"/>
          <w:color w:val="auto"/>
          <w:spacing w:val="-9"/>
          <w:sz w:val="24"/>
          <w:szCs w:val="24"/>
          <w:highlight w:val="none"/>
          <w:u w:val="single"/>
          <w:lang w:eastAsia="zh-CN"/>
        </w:rPr>
        <w:t>禾泽都林设计集团有限公司</w:t>
      </w:r>
      <w:r>
        <w:rPr>
          <w:rFonts w:hint="eastAsia" w:ascii="宋体" w:hAnsi="宋体" w:eastAsia="宋体" w:cs="宋体"/>
          <w:color w:val="auto"/>
          <w:spacing w:val="-9"/>
          <w:sz w:val="24"/>
          <w:szCs w:val="24"/>
          <w:highlight w:val="none"/>
          <w:u w:val="single"/>
          <w:lang w:val="en-US" w:eastAsia="zh-CN"/>
        </w:rPr>
        <w:t xml:space="preserve"> </w:t>
      </w:r>
      <w:r>
        <w:rPr>
          <w:rFonts w:ascii="宋体" w:hAnsi="宋体" w:eastAsia="宋体" w:cs="宋体"/>
          <w:color w:val="auto"/>
          <w:sz w:val="24"/>
          <w:szCs w:val="24"/>
          <w:highlight w:val="none"/>
        </w:rPr>
        <w:t>。项目已具备招标条件，现对该项</w:t>
      </w:r>
      <w:r>
        <w:rPr>
          <w:rFonts w:ascii="宋体" w:hAnsi="宋体" w:eastAsia="宋体" w:cs="宋体"/>
          <w:color w:val="auto"/>
          <w:spacing w:val="-3"/>
          <w:sz w:val="24"/>
          <w:szCs w:val="24"/>
          <w:highlight w:val="none"/>
        </w:rPr>
        <w:t>目</w:t>
      </w:r>
      <w:r>
        <w:rPr>
          <w:rFonts w:hint="eastAsia" w:ascii="宋体" w:hAnsi="宋体" w:eastAsia="宋体" w:cs="宋体"/>
          <w:color w:val="auto"/>
          <w:spacing w:val="-3"/>
          <w:sz w:val="24"/>
          <w:szCs w:val="24"/>
          <w:highlight w:val="none"/>
          <w:u w:val="single"/>
          <w:lang w:val="en-US" w:eastAsia="zh-CN"/>
        </w:rPr>
        <w:t xml:space="preserve"> </w:t>
      </w:r>
      <w:r>
        <w:rPr>
          <w:rFonts w:hint="eastAsia" w:ascii="宋体" w:hAnsi="宋体" w:eastAsia="宋体" w:cs="宋体"/>
          <w:color w:val="auto"/>
          <w:spacing w:val="-9"/>
          <w:sz w:val="24"/>
          <w:szCs w:val="24"/>
          <w:highlight w:val="none"/>
          <w:u w:val="single"/>
          <w:lang w:eastAsia="zh-CN"/>
        </w:rPr>
        <w:t>2025年嵊州市浦口街道高标准农田建设项目(I标)</w:t>
      </w:r>
      <w:r>
        <w:rPr>
          <w:rFonts w:hint="eastAsia" w:ascii="宋体" w:hAnsi="宋体" w:eastAsia="宋体" w:cs="宋体"/>
          <w:color w:val="auto"/>
          <w:spacing w:val="-9"/>
          <w:sz w:val="24"/>
          <w:szCs w:val="24"/>
          <w:highlight w:val="none"/>
          <w:u w:val="single"/>
          <w:lang w:val="en-US" w:eastAsia="zh-CN"/>
        </w:rPr>
        <w:t xml:space="preserve"> </w:t>
      </w:r>
      <w:r>
        <w:rPr>
          <w:rFonts w:ascii="宋体" w:hAnsi="宋体" w:eastAsia="宋体" w:cs="宋体"/>
          <w:color w:val="auto"/>
          <w:spacing w:val="-3"/>
          <w:sz w:val="24"/>
          <w:szCs w:val="24"/>
          <w:highlight w:val="none"/>
        </w:rPr>
        <w:t>施工进行公开招</w:t>
      </w:r>
      <w:r>
        <w:rPr>
          <w:rFonts w:ascii="宋体" w:hAnsi="宋体" w:eastAsia="宋体" w:cs="宋体"/>
          <w:color w:val="auto"/>
          <w:spacing w:val="-4"/>
          <w:sz w:val="24"/>
          <w:szCs w:val="24"/>
          <w:highlight w:val="none"/>
        </w:rPr>
        <w:t>标。</w:t>
      </w:r>
    </w:p>
    <w:p w14:paraId="044FA3C9">
      <w:pPr>
        <w:spacing w:before="115" w:line="220" w:lineRule="auto"/>
        <w:ind w:left="35"/>
        <w:outlineLvl w:val="1"/>
        <w:rPr>
          <w:rFonts w:ascii="宋体" w:hAnsi="宋体" w:eastAsia="宋体" w:cs="宋体"/>
          <w:color w:val="auto"/>
          <w:sz w:val="28"/>
          <w:szCs w:val="28"/>
          <w:highlight w:val="none"/>
        </w:rPr>
      </w:pPr>
      <w:bookmarkStart w:id="7" w:name="_Toc11125"/>
      <w:bookmarkStart w:id="8" w:name="_Toc20506"/>
      <w:r>
        <w:rPr>
          <w:rFonts w:ascii="Times New Roman" w:hAnsi="Times New Roman" w:eastAsia="Times New Roman" w:cs="Times New Roman"/>
          <w:b/>
          <w:bCs/>
          <w:color w:val="auto"/>
          <w:spacing w:val="-2"/>
          <w:sz w:val="28"/>
          <w:szCs w:val="28"/>
          <w:highlight w:val="none"/>
        </w:rPr>
        <w:t xml:space="preserve">2 </w:t>
      </w:r>
      <w:r>
        <w:rPr>
          <w:rFonts w:hint="eastAsia" w:ascii="Times New Roman" w:hAnsi="Times New Roman" w:eastAsia="宋体" w:cs="Times New Roman"/>
          <w:b/>
          <w:bCs/>
          <w:color w:val="auto"/>
          <w:spacing w:val="-2"/>
          <w:sz w:val="28"/>
          <w:szCs w:val="28"/>
          <w:highlight w:val="none"/>
          <w:lang w:eastAsia="zh-CN"/>
        </w:rPr>
        <w:t>、</w:t>
      </w:r>
      <w:r>
        <w:rPr>
          <w:rFonts w:ascii="宋体" w:hAnsi="宋体" w:eastAsia="宋体" w:cs="宋体"/>
          <w:b/>
          <w:bCs/>
          <w:color w:val="auto"/>
          <w:spacing w:val="-2"/>
          <w:sz w:val="28"/>
          <w:szCs w:val="28"/>
          <w:highlight w:val="none"/>
        </w:rPr>
        <w:t>项目概况与招标范围</w:t>
      </w:r>
      <w:bookmarkEnd w:id="7"/>
      <w:bookmarkEnd w:id="8"/>
    </w:p>
    <w:p w14:paraId="38F8D2E7">
      <w:pPr>
        <w:pStyle w:val="3"/>
        <w:spacing w:line="241" w:lineRule="auto"/>
        <w:rPr>
          <w:color w:val="auto"/>
          <w:highlight w:val="none"/>
        </w:rPr>
      </w:pPr>
    </w:p>
    <w:p w14:paraId="5C6066FC">
      <w:pPr>
        <w:keepNext w:val="0"/>
        <w:keepLines w:val="0"/>
        <w:pageBreakBefore w:val="0"/>
        <w:widowControl/>
        <w:kinsoku w:val="0"/>
        <w:wordWrap/>
        <w:overflowPunct/>
        <w:topLinePunct w:val="0"/>
        <w:autoSpaceDE w:val="0"/>
        <w:autoSpaceDN w:val="0"/>
        <w:bidi w:val="0"/>
        <w:adjustRightInd w:val="0"/>
        <w:snapToGrid w:val="0"/>
        <w:spacing w:line="480" w:lineRule="exact"/>
        <w:ind w:left="45" w:firstLine="416" w:firstLineChars="200"/>
        <w:textAlignment w:val="baseline"/>
        <w:outlineLvl w:val="1"/>
        <w:rPr>
          <w:rFonts w:hint="eastAsia" w:ascii="宋体" w:hAnsi="宋体" w:eastAsia="宋体" w:cs="宋体"/>
          <w:color w:val="auto"/>
          <w:sz w:val="24"/>
          <w:szCs w:val="24"/>
          <w:highlight w:val="none"/>
          <w:u w:val="none" w:color="auto"/>
          <w:lang w:val="en-US" w:eastAsia="zh-CN"/>
        </w:rPr>
      </w:pPr>
      <w:r>
        <w:rPr>
          <w:rFonts w:ascii="宋体" w:hAnsi="宋体" w:eastAsia="宋体" w:cs="宋体"/>
          <w:color w:val="auto"/>
          <w:spacing w:val="-16"/>
          <w:sz w:val="24"/>
          <w:szCs w:val="24"/>
          <w:highlight w:val="none"/>
        </w:rPr>
        <w:t>项目概况</w:t>
      </w:r>
      <w:r>
        <w:rPr>
          <w:rFonts w:ascii="宋体" w:hAnsi="宋体" w:eastAsia="宋体" w:cs="宋体"/>
          <w:color w:val="auto"/>
          <w:spacing w:val="-14"/>
          <w:sz w:val="24"/>
          <w:szCs w:val="24"/>
          <w:highlight w:val="none"/>
        </w:rPr>
        <w:t>：</w:t>
      </w:r>
      <w:r>
        <w:rPr>
          <w:rFonts w:hint="eastAsia" w:ascii="宋体" w:hAnsi="宋体" w:eastAsia="宋体" w:cs="宋体"/>
          <w:color w:val="auto"/>
          <w:sz w:val="24"/>
          <w:szCs w:val="24"/>
          <w:highlight w:val="none"/>
          <w:u w:val="single" w:color="auto"/>
          <w:lang w:val="en-US" w:eastAsia="zh-CN"/>
        </w:rPr>
        <w:t>工程主要建设内容：塘堰（坝）、泵站、衬砌明渠、渠系建筑物、田间道路、低压输电线路等</w:t>
      </w:r>
      <w:r>
        <w:rPr>
          <w:rFonts w:hint="eastAsia" w:ascii="宋体" w:hAnsi="宋体" w:eastAsia="宋体" w:cs="宋体"/>
          <w:color w:val="auto"/>
          <w:sz w:val="24"/>
          <w:szCs w:val="24"/>
          <w:highlight w:val="none"/>
          <w:u w:val="none" w:color="auto"/>
          <w:lang w:val="en-US" w:eastAsia="zh-CN"/>
        </w:rPr>
        <w:t>。</w:t>
      </w:r>
    </w:p>
    <w:p w14:paraId="5A54B971">
      <w:pPr>
        <w:keepNext w:val="0"/>
        <w:keepLines w:val="0"/>
        <w:pageBreakBefore w:val="0"/>
        <w:widowControl/>
        <w:kinsoku w:val="0"/>
        <w:wordWrap/>
        <w:overflowPunct/>
        <w:topLinePunct w:val="0"/>
        <w:autoSpaceDE w:val="0"/>
        <w:autoSpaceDN w:val="0"/>
        <w:bidi w:val="0"/>
        <w:adjustRightInd w:val="0"/>
        <w:snapToGrid w:val="0"/>
        <w:spacing w:line="480" w:lineRule="exact"/>
        <w:ind w:firstLine="476" w:firstLineChars="200"/>
        <w:textAlignment w:val="baseline"/>
        <w:outlineLvl w:val="1"/>
        <w:rPr>
          <w:rFonts w:hint="eastAsia" w:ascii="宋体" w:hAnsi="宋体" w:eastAsia="宋体" w:cs="宋体"/>
          <w:color w:val="auto"/>
          <w:sz w:val="24"/>
          <w:szCs w:val="24"/>
          <w:highlight w:val="none"/>
          <w:u w:val="none" w:color="auto"/>
          <w:lang w:val="en-US" w:eastAsia="zh-CN"/>
        </w:rPr>
      </w:pPr>
      <w:r>
        <w:rPr>
          <w:rFonts w:ascii="宋体" w:hAnsi="宋体" w:eastAsia="宋体" w:cs="宋体"/>
          <w:color w:val="auto"/>
          <w:spacing w:val="-1"/>
          <w:sz w:val="24"/>
          <w:szCs w:val="24"/>
          <w:highlight w:val="none"/>
        </w:rPr>
        <w:t>本标段招标范围为</w:t>
      </w:r>
      <w:r>
        <w:rPr>
          <w:rFonts w:hint="eastAsia" w:ascii="宋体" w:hAnsi="宋体" w:eastAsia="宋体" w:cs="宋体"/>
          <w:color w:val="auto"/>
          <w:sz w:val="24"/>
          <w:szCs w:val="24"/>
          <w:highlight w:val="none"/>
          <w:u w:val="single" w:color="auto"/>
          <w:lang w:eastAsia="zh-CN"/>
        </w:rPr>
        <w:t>2025年嵊州市浦口街道高标准农田建设项目(I标)</w:t>
      </w:r>
      <w:r>
        <w:rPr>
          <w:rFonts w:hint="eastAsia" w:ascii="宋体" w:hAnsi="宋体" w:eastAsia="宋体" w:cs="宋体"/>
          <w:color w:val="auto"/>
          <w:sz w:val="24"/>
          <w:szCs w:val="24"/>
          <w:highlight w:val="none"/>
          <w:u w:val="single" w:color="auto"/>
          <w:lang w:val="en-US" w:eastAsia="zh-CN"/>
        </w:rPr>
        <w:t>施工图的全部内容（详见工程量清单）</w:t>
      </w:r>
      <w:r>
        <w:rPr>
          <w:rFonts w:hint="eastAsia" w:ascii="宋体" w:hAnsi="宋体" w:eastAsia="宋体" w:cs="宋体"/>
          <w:color w:val="auto"/>
          <w:sz w:val="24"/>
          <w:szCs w:val="24"/>
          <w:highlight w:val="none"/>
          <w:u w:val="none" w:color="auto"/>
          <w:lang w:val="en-US" w:eastAsia="zh-CN"/>
        </w:rPr>
        <w:t>。相应概算投资约</w:t>
      </w:r>
      <w:r>
        <w:rPr>
          <w:rFonts w:hint="eastAsia" w:ascii="宋体" w:hAnsi="宋体" w:eastAsia="宋体" w:cs="宋体"/>
          <w:color w:val="auto"/>
          <w:sz w:val="24"/>
          <w:szCs w:val="24"/>
          <w:highlight w:val="none"/>
          <w:u w:val="single" w:color="auto"/>
          <w:lang w:val="en-US" w:eastAsia="zh-CN"/>
        </w:rPr>
        <w:t>1098.83</w:t>
      </w:r>
      <w:r>
        <w:rPr>
          <w:rFonts w:hint="eastAsia" w:ascii="宋体" w:hAnsi="宋体" w:eastAsia="宋体" w:cs="宋体"/>
          <w:color w:val="auto"/>
          <w:sz w:val="24"/>
          <w:szCs w:val="24"/>
          <w:highlight w:val="none"/>
          <w:u w:val="none" w:color="auto"/>
          <w:lang w:val="en-US" w:eastAsia="zh-CN"/>
        </w:rPr>
        <w:t>万元，其中建安工程费：</w:t>
      </w:r>
      <w:r>
        <w:rPr>
          <w:rFonts w:hint="eastAsia" w:ascii="宋体" w:hAnsi="宋体" w:eastAsia="宋体" w:cs="宋体"/>
          <w:color w:val="auto"/>
          <w:sz w:val="24"/>
          <w:szCs w:val="24"/>
          <w:highlight w:val="none"/>
          <w:u w:val="single" w:color="auto"/>
          <w:lang w:val="en-US" w:eastAsia="zh-CN"/>
        </w:rPr>
        <w:t>1017.9</w:t>
      </w:r>
      <w:r>
        <w:rPr>
          <w:rFonts w:hint="eastAsia" w:ascii="宋体" w:hAnsi="宋体" w:eastAsia="宋体" w:cs="宋体"/>
          <w:color w:val="auto"/>
          <w:sz w:val="24"/>
          <w:szCs w:val="24"/>
          <w:highlight w:val="none"/>
          <w:u w:val="none" w:color="auto"/>
          <w:lang w:val="en-US" w:eastAsia="zh-CN"/>
        </w:rPr>
        <w:t>万元，招标预算价：</w:t>
      </w:r>
      <w:r>
        <w:rPr>
          <w:rFonts w:hint="eastAsia" w:ascii="宋体" w:hAnsi="宋体" w:eastAsia="宋体" w:cs="宋体"/>
          <w:color w:val="auto"/>
          <w:sz w:val="24"/>
          <w:szCs w:val="24"/>
          <w:highlight w:val="none"/>
          <w:u w:val="single" w:color="auto"/>
          <w:lang w:val="en-US" w:eastAsia="zh-CN"/>
        </w:rPr>
        <w:t>1000.6403</w:t>
      </w:r>
      <w:r>
        <w:rPr>
          <w:rFonts w:hint="eastAsia" w:ascii="宋体" w:hAnsi="宋体" w:eastAsia="宋体" w:cs="宋体"/>
          <w:color w:val="auto"/>
          <w:sz w:val="24"/>
          <w:szCs w:val="24"/>
          <w:highlight w:val="none"/>
          <w:u w:val="none" w:color="auto"/>
          <w:lang w:val="en-US" w:eastAsia="zh-CN"/>
        </w:rPr>
        <w:t>万元，预留金：</w:t>
      </w:r>
      <w:r>
        <w:rPr>
          <w:rFonts w:hint="eastAsia" w:ascii="宋体" w:hAnsi="宋体" w:eastAsia="宋体" w:cs="宋体"/>
          <w:color w:val="auto"/>
          <w:sz w:val="24"/>
          <w:szCs w:val="24"/>
          <w:highlight w:val="none"/>
          <w:u w:val="single" w:color="auto"/>
          <w:lang w:val="en-US" w:eastAsia="zh-CN"/>
        </w:rPr>
        <w:t>25.00</w:t>
      </w:r>
      <w:r>
        <w:rPr>
          <w:rFonts w:hint="eastAsia" w:ascii="宋体" w:hAnsi="宋体" w:eastAsia="宋体" w:cs="宋体"/>
          <w:color w:val="auto"/>
          <w:sz w:val="24"/>
          <w:szCs w:val="24"/>
          <w:highlight w:val="none"/>
          <w:u w:val="none" w:color="auto"/>
          <w:lang w:val="en-US" w:eastAsia="zh-CN"/>
        </w:rPr>
        <w:t>万元，暂估价：</w:t>
      </w:r>
      <w:r>
        <w:rPr>
          <w:rFonts w:hint="eastAsia" w:ascii="宋体" w:hAnsi="宋体" w:eastAsia="宋体" w:cs="宋体"/>
          <w:color w:val="auto"/>
          <w:sz w:val="24"/>
          <w:szCs w:val="24"/>
          <w:highlight w:val="none"/>
          <w:u w:val="single" w:color="auto"/>
          <w:lang w:val="en-US" w:eastAsia="zh-CN"/>
        </w:rPr>
        <w:t>7.00</w:t>
      </w:r>
      <w:r>
        <w:rPr>
          <w:rFonts w:hint="eastAsia" w:ascii="宋体" w:hAnsi="宋体" w:eastAsia="宋体" w:cs="宋体"/>
          <w:color w:val="auto"/>
          <w:sz w:val="24"/>
          <w:szCs w:val="24"/>
          <w:highlight w:val="none"/>
          <w:u w:val="none" w:color="auto"/>
          <w:lang w:val="en-US" w:eastAsia="zh-CN"/>
        </w:rPr>
        <w:t>万元。计划工期：</w:t>
      </w:r>
      <w:r>
        <w:rPr>
          <w:rFonts w:hint="eastAsia" w:ascii="宋体" w:hAnsi="宋体" w:eastAsia="宋体" w:cs="宋体"/>
          <w:color w:val="auto"/>
          <w:sz w:val="24"/>
          <w:szCs w:val="24"/>
          <w:highlight w:val="none"/>
          <w:u w:val="single" w:color="auto"/>
          <w:lang w:val="en-US" w:eastAsia="zh-CN"/>
        </w:rPr>
        <w:t>180日历天</w:t>
      </w:r>
      <w:r>
        <w:rPr>
          <w:rFonts w:hint="eastAsia" w:ascii="宋体" w:hAnsi="宋体" w:eastAsia="宋体" w:cs="宋体"/>
          <w:color w:val="auto"/>
          <w:sz w:val="24"/>
          <w:szCs w:val="24"/>
          <w:highlight w:val="none"/>
          <w:u w:val="none" w:color="auto"/>
          <w:lang w:val="en-US" w:eastAsia="zh-CN"/>
        </w:rPr>
        <w:t>。</w:t>
      </w:r>
    </w:p>
    <w:p w14:paraId="5C13853A">
      <w:pPr>
        <w:keepNext w:val="0"/>
        <w:keepLines w:val="0"/>
        <w:pageBreakBefore w:val="0"/>
        <w:widowControl/>
        <w:kinsoku w:val="0"/>
        <w:wordWrap/>
        <w:overflowPunct/>
        <w:topLinePunct w:val="0"/>
        <w:autoSpaceDE w:val="0"/>
        <w:autoSpaceDN w:val="0"/>
        <w:bidi w:val="0"/>
        <w:adjustRightInd w:val="0"/>
        <w:snapToGrid w:val="0"/>
        <w:spacing w:line="480" w:lineRule="exact"/>
        <w:ind w:left="522"/>
        <w:textAlignment w:val="baseline"/>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是否属于政府采购工程</w:t>
      </w:r>
      <w:r>
        <w:rPr>
          <w:rFonts w:ascii="宋体" w:hAnsi="宋体" w:eastAsia="宋体" w:cs="宋体"/>
          <w:color w:val="auto"/>
          <w:spacing w:val="12"/>
          <w:sz w:val="24"/>
          <w:szCs w:val="24"/>
          <w:highlight w:val="none"/>
        </w:rPr>
        <w:t xml:space="preserve">   </w:t>
      </w:r>
      <w:r>
        <w:rPr>
          <w:rFonts w:ascii="宋体" w:hAnsi="宋体" w:eastAsia="宋体" w:cs="宋体"/>
          <w:color w:val="auto"/>
          <w:spacing w:val="-5"/>
          <w:sz w:val="24"/>
          <w:szCs w:val="24"/>
          <w:highlight w:val="none"/>
        </w:rPr>
        <w:t>□是</w:t>
      </w:r>
      <w:r>
        <w:rPr>
          <w:rFonts w:ascii="宋体" w:hAnsi="宋体" w:eastAsia="宋体" w:cs="宋体"/>
          <w:color w:val="auto"/>
          <w:spacing w:val="18"/>
          <w:sz w:val="24"/>
          <w:szCs w:val="24"/>
          <w:highlight w:val="none"/>
        </w:rPr>
        <w:t xml:space="preserve">  </w:t>
      </w:r>
      <w:r>
        <w:rPr>
          <w:rFonts w:hint="eastAsia" w:ascii="宋体" w:hAnsi="宋体" w:eastAsia="宋体" w:cs="宋体"/>
          <w:color w:val="auto"/>
          <w:spacing w:val="-5"/>
          <w:sz w:val="24"/>
          <w:szCs w:val="24"/>
          <w:highlight w:val="none"/>
          <w:lang w:eastAsia="zh-CN"/>
        </w:rPr>
        <w:t>☑</w:t>
      </w:r>
      <w:r>
        <w:rPr>
          <w:rFonts w:ascii="宋体" w:hAnsi="宋体" w:eastAsia="宋体" w:cs="宋体"/>
          <w:color w:val="auto"/>
          <w:spacing w:val="-5"/>
          <w:sz w:val="24"/>
          <w:szCs w:val="24"/>
          <w:highlight w:val="none"/>
        </w:rPr>
        <w:t>否</w:t>
      </w:r>
    </w:p>
    <w:p w14:paraId="0199D635">
      <w:pPr>
        <w:keepNext w:val="0"/>
        <w:keepLines w:val="0"/>
        <w:pageBreakBefore w:val="0"/>
        <w:widowControl/>
        <w:kinsoku w:val="0"/>
        <w:wordWrap/>
        <w:overflowPunct/>
        <w:topLinePunct w:val="0"/>
        <w:autoSpaceDE w:val="0"/>
        <w:autoSpaceDN w:val="0"/>
        <w:bidi w:val="0"/>
        <w:adjustRightInd w:val="0"/>
        <w:snapToGrid w:val="0"/>
        <w:spacing w:line="480" w:lineRule="exact"/>
        <w:ind w:left="522"/>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是否专门面向中小企业预留</w:t>
      </w:r>
    </w:p>
    <w:p w14:paraId="4994571D">
      <w:pPr>
        <w:keepNext w:val="0"/>
        <w:keepLines w:val="0"/>
        <w:pageBreakBefore w:val="0"/>
        <w:widowControl/>
        <w:kinsoku w:val="0"/>
        <w:wordWrap/>
        <w:overflowPunct/>
        <w:topLinePunct w:val="0"/>
        <w:autoSpaceDE w:val="0"/>
        <w:autoSpaceDN w:val="0"/>
        <w:bidi w:val="0"/>
        <w:adjustRightInd w:val="0"/>
        <w:snapToGrid w:val="0"/>
        <w:spacing w:line="480" w:lineRule="exact"/>
        <w:ind w:firstLine="420" w:firstLineChars="200"/>
        <w:textAlignment w:val="baseline"/>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 xml:space="preserve">□是  </w:t>
      </w:r>
      <w:r>
        <w:rPr>
          <w:rFonts w:hint="eastAsia" w:ascii="宋体" w:hAnsi="宋体" w:eastAsia="宋体" w:cs="宋体"/>
          <w:color w:val="auto"/>
          <w:spacing w:val="-15"/>
          <w:sz w:val="24"/>
          <w:szCs w:val="24"/>
          <w:highlight w:val="none"/>
          <w:lang w:eastAsia="zh-CN"/>
        </w:rPr>
        <w:t>☑</w:t>
      </w:r>
      <w:r>
        <w:rPr>
          <w:rFonts w:ascii="宋体" w:hAnsi="宋体" w:eastAsia="宋体" w:cs="宋体"/>
          <w:color w:val="auto"/>
          <w:spacing w:val="-15"/>
          <w:sz w:val="24"/>
          <w:szCs w:val="24"/>
          <w:highlight w:val="none"/>
        </w:rPr>
        <w:t xml:space="preserve">否 </w:t>
      </w:r>
      <w:r>
        <w:rPr>
          <w:rFonts w:ascii="宋体" w:hAnsi="宋体" w:eastAsia="宋体" w:cs="宋体"/>
          <w:color w:val="auto"/>
          <w:spacing w:val="-22"/>
          <w:sz w:val="25"/>
          <w:szCs w:val="25"/>
          <w:highlight w:val="none"/>
          <w:u w:val="single" w:color="auto"/>
        </w:rPr>
        <w:t xml:space="preserve"> </w:t>
      </w:r>
      <w:r>
        <w:rPr>
          <w:rFonts w:ascii="宋体" w:hAnsi="宋体" w:eastAsia="宋体" w:cs="宋体"/>
          <w:i/>
          <w:iCs/>
          <w:color w:val="auto"/>
          <w:spacing w:val="-15"/>
          <w:sz w:val="24"/>
          <w:szCs w:val="24"/>
          <w:highlight w:val="none"/>
          <w:u w:val="single" w:color="auto"/>
        </w:rPr>
        <w:t>（不专门面向中小企业采购的原因及适用情形）</w:t>
      </w:r>
    </w:p>
    <w:p w14:paraId="4FC0CD39">
      <w:pPr>
        <w:keepNext w:val="0"/>
        <w:keepLines w:val="0"/>
        <w:pageBreakBefore w:val="0"/>
        <w:widowControl/>
        <w:kinsoku w:val="0"/>
        <w:wordWrap/>
        <w:overflowPunct/>
        <w:topLinePunct w:val="0"/>
        <w:autoSpaceDE w:val="0"/>
        <w:autoSpaceDN w:val="0"/>
        <w:bidi w:val="0"/>
        <w:adjustRightInd w:val="0"/>
        <w:snapToGrid w:val="0"/>
        <w:spacing w:line="480" w:lineRule="exact"/>
        <w:ind w:left="519"/>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专门面向中小企业预留的实施方式</w:t>
      </w:r>
    </w:p>
    <w:p w14:paraId="155ADF92">
      <w:pPr>
        <w:spacing w:before="179" w:line="219" w:lineRule="auto"/>
        <w:ind w:firstLine="452" w:firstLineChars="200"/>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□本标段整体面向中小企业；</w:t>
      </w:r>
    </w:p>
    <w:p w14:paraId="6384A583">
      <w:pPr>
        <w:spacing w:before="183" w:line="284" w:lineRule="auto"/>
        <w:ind w:right="30" w:firstLine="464" w:firstLineChars="20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□本标段联合体形式面向中小企业，以联合体形式参加本次投标的，联合体中中小企业承担的合同份额需达到</w:t>
      </w:r>
      <w:r>
        <w:rPr>
          <w:rFonts w:ascii="宋体" w:hAnsi="宋体" w:eastAsia="宋体" w:cs="宋体"/>
          <w:i/>
          <w:iCs/>
          <w:color w:val="auto"/>
          <w:spacing w:val="-4"/>
          <w:sz w:val="24"/>
          <w:szCs w:val="24"/>
          <w:highlight w:val="none"/>
          <w:u w:val="single" w:color="auto"/>
        </w:rPr>
        <w:t>（不低于</w:t>
      </w:r>
      <w:r>
        <w:rPr>
          <w:rFonts w:ascii="Times New Roman" w:hAnsi="Times New Roman" w:eastAsia="Times New Roman" w:cs="Times New Roman"/>
          <w:i/>
          <w:iCs/>
          <w:color w:val="auto"/>
          <w:spacing w:val="-4"/>
          <w:sz w:val="24"/>
          <w:szCs w:val="24"/>
          <w:highlight w:val="none"/>
          <w:u w:val="single" w:color="auto"/>
        </w:rPr>
        <w:t>40%</w:t>
      </w:r>
      <w:r>
        <w:rPr>
          <w:rFonts w:ascii="宋体" w:hAnsi="宋体" w:eastAsia="宋体" w:cs="宋体"/>
          <w:i/>
          <w:iCs/>
          <w:color w:val="auto"/>
          <w:spacing w:val="-4"/>
          <w:sz w:val="24"/>
          <w:szCs w:val="24"/>
          <w:highlight w:val="none"/>
          <w:u w:val="single" w:color="auto"/>
        </w:rPr>
        <w:t>）</w:t>
      </w:r>
      <w:r>
        <w:rPr>
          <w:rFonts w:ascii="宋体" w:hAnsi="宋体" w:eastAsia="宋体" w:cs="宋体"/>
          <w:color w:val="auto"/>
          <w:spacing w:val="-4"/>
          <w:sz w:val="24"/>
          <w:szCs w:val="24"/>
          <w:highlight w:val="none"/>
        </w:rPr>
        <w:t>以上。</w:t>
      </w:r>
    </w:p>
    <w:p w14:paraId="30946E71">
      <w:pPr>
        <w:spacing w:before="306" w:line="220" w:lineRule="auto"/>
        <w:ind w:left="33"/>
        <w:outlineLvl w:val="1"/>
        <w:rPr>
          <w:rFonts w:ascii="宋体" w:hAnsi="宋体" w:eastAsia="宋体" w:cs="宋体"/>
          <w:color w:val="auto"/>
          <w:sz w:val="28"/>
          <w:szCs w:val="28"/>
          <w:highlight w:val="none"/>
        </w:rPr>
      </w:pPr>
      <w:bookmarkStart w:id="9" w:name="_Toc19051"/>
      <w:bookmarkStart w:id="10" w:name="_Toc6214"/>
      <w:r>
        <w:rPr>
          <w:rFonts w:ascii="Times New Roman" w:hAnsi="Times New Roman" w:eastAsia="Times New Roman" w:cs="Times New Roman"/>
          <w:b/>
          <w:bCs/>
          <w:color w:val="auto"/>
          <w:spacing w:val="-2"/>
          <w:sz w:val="28"/>
          <w:szCs w:val="28"/>
          <w:highlight w:val="none"/>
        </w:rPr>
        <w:t>3</w:t>
      </w:r>
      <w:r>
        <w:rPr>
          <w:rFonts w:hint="eastAsia" w:ascii="Times New Roman" w:hAnsi="Times New Roman" w:eastAsia="宋体" w:cs="Times New Roman"/>
          <w:b/>
          <w:bCs/>
          <w:color w:val="auto"/>
          <w:spacing w:val="-2"/>
          <w:sz w:val="28"/>
          <w:szCs w:val="28"/>
          <w:highlight w:val="none"/>
          <w:lang w:eastAsia="zh-CN"/>
        </w:rPr>
        <w:t>、</w:t>
      </w:r>
      <w:r>
        <w:rPr>
          <w:rFonts w:ascii="宋体" w:hAnsi="宋体" w:eastAsia="宋体" w:cs="宋体"/>
          <w:b/>
          <w:bCs/>
          <w:color w:val="auto"/>
          <w:spacing w:val="-2"/>
          <w:sz w:val="28"/>
          <w:szCs w:val="28"/>
          <w:highlight w:val="none"/>
        </w:rPr>
        <w:t>投标人资格要求</w:t>
      </w:r>
      <w:bookmarkEnd w:id="9"/>
      <w:bookmarkEnd w:id="10"/>
    </w:p>
    <w:p w14:paraId="10F2BE0E">
      <w:pPr>
        <w:pStyle w:val="3"/>
        <w:spacing w:line="245" w:lineRule="auto"/>
        <w:rPr>
          <w:color w:val="auto"/>
          <w:highlight w:val="none"/>
        </w:rPr>
      </w:pPr>
    </w:p>
    <w:p w14:paraId="660F8EBE">
      <w:pPr>
        <w:spacing w:before="78" w:line="360" w:lineRule="auto"/>
        <w:ind w:firstLine="476" w:firstLineChars="200"/>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3.1  </w:t>
      </w:r>
      <w:r>
        <w:rPr>
          <w:rFonts w:ascii="宋体" w:hAnsi="宋体" w:eastAsia="宋体" w:cs="宋体"/>
          <w:color w:val="auto"/>
          <w:spacing w:val="-1"/>
          <w:sz w:val="24"/>
          <w:szCs w:val="24"/>
          <w:highlight w:val="none"/>
        </w:rPr>
        <w:t>本次招标要求投标人具备</w:t>
      </w:r>
      <w:r>
        <w:rPr>
          <w:rFonts w:hint="eastAsia" w:ascii="宋体" w:hAnsi="宋体" w:eastAsia="宋体" w:cs="宋体"/>
          <w:color w:val="auto"/>
          <w:spacing w:val="-1"/>
          <w:sz w:val="24"/>
          <w:szCs w:val="24"/>
          <w:highlight w:val="none"/>
          <w:u w:val="single" w:color="auto"/>
        </w:rPr>
        <w:t>水利水电工程施工总承包</w:t>
      </w:r>
      <w:r>
        <w:rPr>
          <w:rFonts w:hint="eastAsia" w:ascii="宋体" w:hAnsi="宋体" w:eastAsia="宋体" w:cs="宋体"/>
          <w:color w:val="auto"/>
          <w:spacing w:val="-1"/>
          <w:sz w:val="24"/>
          <w:szCs w:val="24"/>
          <w:highlight w:val="none"/>
          <w:u w:val="single" w:color="auto"/>
          <w:lang w:val="en-US" w:eastAsia="zh-CN"/>
        </w:rPr>
        <w:t>三</w:t>
      </w:r>
      <w:r>
        <w:rPr>
          <w:rFonts w:hint="eastAsia" w:ascii="宋体" w:hAnsi="宋体" w:eastAsia="宋体" w:cs="宋体"/>
          <w:color w:val="auto"/>
          <w:spacing w:val="-1"/>
          <w:sz w:val="24"/>
          <w:szCs w:val="24"/>
          <w:highlight w:val="none"/>
          <w:u w:val="single" w:color="auto"/>
        </w:rPr>
        <w:t>级及以上资质</w:t>
      </w:r>
      <w:r>
        <w:rPr>
          <w:rFonts w:hint="eastAsia" w:ascii="宋体" w:hAnsi="宋体" w:cs="宋体"/>
          <w:b w:val="0"/>
          <w:bCs w:val="0"/>
          <w:color w:val="auto"/>
          <w:sz w:val="24"/>
          <w:szCs w:val="24"/>
          <w:highlight w:val="none"/>
          <w:u w:val="none" w:color="auto"/>
          <w:lang w:val="en-US" w:eastAsia="zh-CN"/>
        </w:rPr>
        <w:t>（对应资质应在“浙江省建筑市场监管公共服务系统”上资质动态核查结果处于“合格”状态）</w:t>
      </w:r>
      <w:r>
        <w:rPr>
          <w:rFonts w:ascii="宋体" w:hAnsi="宋体" w:eastAsia="宋体" w:cs="宋体"/>
          <w:color w:val="auto"/>
          <w:spacing w:val="-2"/>
          <w:sz w:val="24"/>
          <w:szCs w:val="24"/>
          <w:highlight w:val="none"/>
        </w:rPr>
        <w:t>，其他条件详见附表。</w:t>
      </w:r>
    </w:p>
    <w:p w14:paraId="45BAC5E4">
      <w:pPr>
        <w:keepNext w:val="0"/>
        <w:keepLines w:val="0"/>
        <w:pageBreakBefore w:val="0"/>
        <w:widowControl/>
        <w:kinsoku w:val="0"/>
        <w:wordWrap/>
        <w:overflowPunct/>
        <w:topLinePunct w:val="0"/>
        <w:autoSpaceDE w:val="0"/>
        <w:autoSpaceDN w:val="0"/>
        <w:bidi w:val="0"/>
        <w:adjustRightInd w:val="0"/>
        <w:snapToGrid w:val="0"/>
        <w:spacing w:line="286" w:lineRule="auto"/>
        <w:ind w:left="40" w:right="51" w:firstLine="476"/>
        <w:textAlignment w:val="baseline"/>
        <w:rPr>
          <w:rFonts w:ascii="宋体" w:hAnsi="宋体" w:eastAsia="宋体" w:cs="宋体"/>
          <w:color w:val="auto"/>
          <w:sz w:val="24"/>
          <w:szCs w:val="24"/>
          <w:highlight w:val="none"/>
        </w:rPr>
      </w:pPr>
      <w:r>
        <w:rPr>
          <w:rFonts w:ascii="Times New Roman" w:hAnsi="Times New Roman" w:eastAsia="Times New Roman" w:cs="Times New Roman"/>
          <w:color w:val="auto"/>
          <w:spacing w:val="-9"/>
          <w:sz w:val="24"/>
          <w:szCs w:val="24"/>
          <w:highlight w:val="none"/>
        </w:rPr>
        <w:t xml:space="preserve">3.2  </w:t>
      </w:r>
      <w:r>
        <w:rPr>
          <w:rFonts w:ascii="宋体" w:hAnsi="宋体" w:eastAsia="宋体" w:cs="宋体"/>
          <w:color w:val="auto"/>
          <w:spacing w:val="-9"/>
          <w:sz w:val="24"/>
          <w:szCs w:val="24"/>
          <w:highlight w:val="none"/>
        </w:rPr>
        <w:t>本次招标</w:t>
      </w:r>
      <w:r>
        <w:rPr>
          <w:rFonts w:ascii="宋体" w:hAnsi="宋体" w:eastAsia="宋体" w:cs="宋体"/>
          <w:color w:val="auto"/>
          <w:spacing w:val="-9"/>
          <w:sz w:val="24"/>
          <w:szCs w:val="24"/>
          <w:highlight w:val="none"/>
          <w:u w:val="single" w:color="auto"/>
        </w:rPr>
        <w:t xml:space="preserve"> </w:t>
      </w:r>
      <w:r>
        <w:rPr>
          <w:rFonts w:hint="eastAsia" w:ascii="宋体" w:hAnsi="宋体" w:eastAsia="宋体" w:cs="宋体"/>
          <w:color w:val="auto"/>
          <w:spacing w:val="-9"/>
          <w:sz w:val="24"/>
          <w:szCs w:val="24"/>
          <w:highlight w:val="none"/>
          <w:u w:val="single" w:color="auto"/>
          <w:lang w:val="en-US" w:eastAsia="zh-CN"/>
        </w:rPr>
        <w:t>不接受</w:t>
      </w:r>
      <w:r>
        <w:rPr>
          <w:rFonts w:ascii="宋体" w:hAnsi="宋体" w:eastAsia="宋体" w:cs="宋体"/>
          <w:color w:val="auto"/>
          <w:spacing w:val="-9"/>
          <w:sz w:val="24"/>
          <w:szCs w:val="24"/>
          <w:highlight w:val="none"/>
          <w:u w:val="single" w:color="auto"/>
        </w:rPr>
        <w:t xml:space="preserve"> </w:t>
      </w:r>
      <w:r>
        <w:rPr>
          <w:rFonts w:ascii="宋体" w:hAnsi="宋体" w:eastAsia="宋体" w:cs="宋体"/>
          <w:color w:val="auto"/>
          <w:spacing w:val="-9"/>
          <w:sz w:val="24"/>
          <w:szCs w:val="24"/>
          <w:highlight w:val="none"/>
        </w:rPr>
        <w:t>联合</w:t>
      </w:r>
      <w:r>
        <w:rPr>
          <w:rFonts w:ascii="宋体" w:hAnsi="宋体" w:eastAsia="宋体" w:cs="宋体"/>
          <w:color w:val="auto"/>
          <w:spacing w:val="-10"/>
          <w:sz w:val="24"/>
          <w:szCs w:val="24"/>
          <w:highlight w:val="none"/>
        </w:rPr>
        <w:t>体投标。接受联合体投标，</w:t>
      </w:r>
      <w:r>
        <w:rPr>
          <w:rFonts w:ascii="宋体" w:hAnsi="宋体" w:eastAsia="宋体" w:cs="宋体"/>
          <w:color w:val="auto"/>
          <w:spacing w:val="-33"/>
          <w:sz w:val="24"/>
          <w:szCs w:val="24"/>
          <w:highlight w:val="none"/>
        </w:rPr>
        <w:t xml:space="preserve"> </w:t>
      </w:r>
      <w:r>
        <w:rPr>
          <w:rFonts w:ascii="宋体" w:hAnsi="宋体" w:eastAsia="宋体" w:cs="宋体"/>
          <w:color w:val="auto"/>
          <w:spacing w:val="-10"/>
          <w:sz w:val="24"/>
          <w:szCs w:val="24"/>
          <w:highlight w:val="none"/>
        </w:rPr>
        <w:t>应满足下列</w:t>
      </w:r>
      <w:r>
        <w:rPr>
          <w:rFonts w:ascii="宋体" w:hAnsi="宋体" w:eastAsia="宋体" w:cs="宋体"/>
          <w:color w:val="auto"/>
          <w:spacing w:val="-15"/>
          <w:sz w:val="24"/>
          <w:szCs w:val="24"/>
          <w:highlight w:val="none"/>
        </w:rPr>
        <w:t>要求：</w:t>
      </w:r>
    </w:p>
    <w:p w14:paraId="77622EFD">
      <w:pPr>
        <w:keepNext w:val="0"/>
        <w:keepLines w:val="0"/>
        <w:pageBreakBefore w:val="0"/>
        <w:widowControl/>
        <w:kinsoku w:val="0"/>
        <w:wordWrap/>
        <w:overflowPunct/>
        <w:topLinePunct w:val="0"/>
        <w:autoSpaceDE w:val="0"/>
        <w:autoSpaceDN w:val="0"/>
        <w:bidi w:val="0"/>
        <w:adjustRightInd w:val="0"/>
        <w:snapToGrid w:val="0"/>
        <w:spacing w:line="360" w:lineRule="auto"/>
        <w:ind w:left="516"/>
        <w:textAlignment w:val="baseline"/>
        <w:rPr>
          <w:rFonts w:hint="eastAsia" w:ascii="宋体" w:hAnsi="宋体" w:eastAsia="宋体" w:cs="宋体"/>
          <w:strike/>
          <w:dstrike w:val="0"/>
          <w:color w:val="auto"/>
          <w:spacing w:val="-1"/>
          <w:sz w:val="24"/>
          <w:szCs w:val="24"/>
          <w:highlight w:val="none"/>
          <w:lang w:val="en-US" w:eastAsia="zh-CN"/>
        </w:rPr>
      </w:pPr>
      <w:r>
        <w:rPr>
          <w:rFonts w:hint="eastAsia" w:ascii="宋体" w:hAnsi="宋体" w:eastAsia="宋体" w:cs="宋体"/>
          <w:strike/>
          <w:dstrike w:val="0"/>
          <w:color w:val="auto"/>
          <w:spacing w:val="-1"/>
          <w:sz w:val="24"/>
          <w:szCs w:val="24"/>
          <w:highlight w:val="none"/>
          <w:lang w:val="en-US" w:eastAsia="zh-CN"/>
        </w:rPr>
        <w:t>（1）联合体所有成员数量不得超过</w:t>
      </w:r>
      <w:r>
        <w:rPr>
          <w:rFonts w:hint="eastAsia" w:ascii="宋体" w:hAnsi="宋体" w:eastAsia="宋体" w:cs="宋体"/>
          <w:strike/>
          <w:dstrike w:val="0"/>
          <w:color w:val="auto"/>
          <w:spacing w:val="-1"/>
          <w:sz w:val="24"/>
          <w:szCs w:val="24"/>
          <w:highlight w:val="none"/>
          <w:u w:val="single"/>
          <w:lang w:val="en-US" w:eastAsia="zh-CN"/>
        </w:rPr>
        <w:t xml:space="preserve">   </w:t>
      </w:r>
      <w:r>
        <w:rPr>
          <w:rFonts w:hint="eastAsia" w:ascii="宋体" w:hAnsi="宋体" w:eastAsia="宋体" w:cs="宋体"/>
          <w:strike/>
          <w:dstrike w:val="0"/>
          <w:color w:val="auto"/>
          <w:spacing w:val="-1"/>
          <w:sz w:val="24"/>
          <w:szCs w:val="24"/>
          <w:highlight w:val="none"/>
          <w:lang w:val="en-US" w:eastAsia="zh-CN"/>
        </w:rPr>
        <w:t>个；</w:t>
      </w:r>
    </w:p>
    <w:p w14:paraId="28FC1C06">
      <w:pPr>
        <w:keepNext w:val="0"/>
        <w:keepLines w:val="0"/>
        <w:pageBreakBefore w:val="0"/>
        <w:widowControl/>
        <w:kinsoku w:val="0"/>
        <w:wordWrap/>
        <w:overflowPunct/>
        <w:topLinePunct w:val="0"/>
        <w:autoSpaceDE w:val="0"/>
        <w:autoSpaceDN w:val="0"/>
        <w:bidi w:val="0"/>
        <w:adjustRightInd w:val="0"/>
        <w:snapToGrid w:val="0"/>
        <w:spacing w:line="360" w:lineRule="auto"/>
        <w:ind w:left="516"/>
        <w:textAlignment w:val="baseline"/>
        <w:rPr>
          <w:rFonts w:hint="eastAsia" w:ascii="宋体" w:hAnsi="宋体" w:eastAsia="宋体" w:cs="宋体"/>
          <w:strike/>
          <w:dstrike w:val="0"/>
          <w:color w:val="auto"/>
          <w:spacing w:val="-1"/>
          <w:sz w:val="24"/>
          <w:szCs w:val="24"/>
          <w:highlight w:val="none"/>
          <w:lang w:val="en-US" w:eastAsia="zh-CN"/>
        </w:rPr>
      </w:pPr>
      <w:r>
        <w:rPr>
          <w:rFonts w:hint="eastAsia" w:ascii="宋体" w:hAnsi="宋体" w:eastAsia="宋体" w:cs="宋体"/>
          <w:strike/>
          <w:dstrike w:val="0"/>
          <w:color w:val="auto"/>
          <w:spacing w:val="-1"/>
          <w:sz w:val="24"/>
          <w:szCs w:val="24"/>
          <w:highlight w:val="none"/>
          <w:lang w:val="en-US" w:eastAsia="zh-CN"/>
        </w:rPr>
        <w:t>（2）以</w:t>
      </w:r>
      <w:r>
        <w:rPr>
          <w:rFonts w:hint="eastAsia" w:ascii="宋体" w:hAnsi="宋体" w:eastAsia="宋体" w:cs="宋体"/>
          <w:strike/>
          <w:dstrike w:val="0"/>
          <w:color w:val="auto"/>
          <w:spacing w:val="-1"/>
          <w:sz w:val="24"/>
          <w:szCs w:val="24"/>
          <w:highlight w:val="none"/>
          <w:u w:val="single"/>
          <w:lang w:val="en-US" w:eastAsia="zh-CN"/>
        </w:rPr>
        <w:t xml:space="preserve">          </w:t>
      </w:r>
      <w:r>
        <w:rPr>
          <w:rFonts w:hint="eastAsia" w:ascii="宋体" w:hAnsi="宋体" w:eastAsia="宋体" w:cs="宋体"/>
          <w:strike/>
          <w:dstrike w:val="0"/>
          <w:color w:val="auto"/>
          <w:spacing w:val="-1"/>
          <w:sz w:val="24"/>
          <w:szCs w:val="24"/>
          <w:highlight w:val="none"/>
          <w:lang w:val="en-US" w:eastAsia="zh-CN"/>
        </w:rPr>
        <w:t>方作为联合体牵头人；</w:t>
      </w:r>
    </w:p>
    <w:p w14:paraId="5ACDAE5C">
      <w:pPr>
        <w:keepNext w:val="0"/>
        <w:keepLines w:val="0"/>
        <w:pageBreakBefore w:val="0"/>
        <w:widowControl/>
        <w:kinsoku w:val="0"/>
        <w:wordWrap/>
        <w:overflowPunct/>
        <w:topLinePunct w:val="0"/>
        <w:autoSpaceDE w:val="0"/>
        <w:autoSpaceDN w:val="0"/>
        <w:bidi w:val="0"/>
        <w:adjustRightInd w:val="0"/>
        <w:snapToGrid w:val="0"/>
        <w:spacing w:line="360" w:lineRule="auto"/>
        <w:ind w:left="516"/>
        <w:textAlignment w:val="baseline"/>
        <w:rPr>
          <w:rFonts w:hint="eastAsia" w:ascii="宋体" w:hAnsi="宋体" w:eastAsia="宋体" w:cs="宋体"/>
          <w:strike/>
          <w:dstrike w:val="0"/>
          <w:color w:val="auto"/>
          <w:spacing w:val="-1"/>
          <w:sz w:val="24"/>
          <w:szCs w:val="24"/>
          <w:highlight w:val="none"/>
          <w:lang w:val="en-US" w:eastAsia="zh-CN"/>
        </w:rPr>
      </w:pPr>
      <w:r>
        <w:rPr>
          <w:rFonts w:hint="eastAsia" w:ascii="宋体" w:hAnsi="宋体" w:eastAsia="宋体" w:cs="宋体"/>
          <w:strike/>
          <w:dstrike w:val="0"/>
          <w:color w:val="auto"/>
          <w:spacing w:val="-1"/>
          <w:sz w:val="24"/>
          <w:szCs w:val="24"/>
          <w:highlight w:val="none"/>
          <w:lang w:val="en-US" w:eastAsia="zh-CN"/>
        </w:rPr>
        <w:t>（3）拟派项目主要成员的委派要求：</w:t>
      </w:r>
      <w:r>
        <w:rPr>
          <w:rFonts w:hint="eastAsia" w:ascii="宋体" w:hAnsi="宋体" w:eastAsia="宋体" w:cs="宋体"/>
          <w:strike/>
          <w:dstrike w:val="0"/>
          <w:color w:val="auto"/>
          <w:spacing w:val="-1"/>
          <w:sz w:val="24"/>
          <w:szCs w:val="24"/>
          <w:highlight w:val="none"/>
          <w:u w:val="single"/>
          <w:lang w:val="en-US" w:eastAsia="zh-CN"/>
        </w:rPr>
        <w:t xml:space="preserve">  /  </w:t>
      </w:r>
      <w:r>
        <w:rPr>
          <w:rFonts w:hint="eastAsia" w:ascii="宋体" w:hAnsi="宋体" w:eastAsia="宋体" w:cs="宋体"/>
          <w:strike/>
          <w:dstrike w:val="0"/>
          <w:color w:val="auto"/>
          <w:spacing w:val="-1"/>
          <w:sz w:val="24"/>
          <w:szCs w:val="24"/>
          <w:highlight w:val="none"/>
          <w:lang w:val="en-US" w:eastAsia="zh-CN"/>
        </w:rPr>
        <w:t>；</w:t>
      </w:r>
    </w:p>
    <w:p w14:paraId="6B492574">
      <w:pPr>
        <w:keepNext w:val="0"/>
        <w:keepLines w:val="0"/>
        <w:pageBreakBefore w:val="0"/>
        <w:widowControl/>
        <w:kinsoku w:val="0"/>
        <w:wordWrap/>
        <w:overflowPunct/>
        <w:topLinePunct w:val="0"/>
        <w:autoSpaceDE w:val="0"/>
        <w:autoSpaceDN w:val="0"/>
        <w:bidi w:val="0"/>
        <w:adjustRightInd w:val="0"/>
        <w:snapToGrid w:val="0"/>
        <w:spacing w:line="220" w:lineRule="auto"/>
        <w:textAlignment w:val="baseline"/>
        <w:outlineLvl w:val="1"/>
        <w:rPr>
          <w:rFonts w:ascii="宋体" w:hAnsi="宋体" w:eastAsia="宋体" w:cs="宋体"/>
          <w:color w:val="auto"/>
          <w:sz w:val="28"/>
          <w:szCs w:val="28"/>
          <w:highlight w:val="none"/>
        </w:rPr>
      </w:pPr>
      <w:bookmarkStart w:id="11" w:name="_Toc16340"/>
      <w:bookmarkStart w:id="12" w:name="_Toc5755"/>
      <w:r>
        <w:rPr>
          <w:rFonts w:ascii="Times New Roman" w:hAnsi="Times New Roman" w:eastAsia="Times New Roman" w:cs="Times New Roman"/>
          <w:b/>
          <w:bCs/>
          <w:color w:val="auto"/>
          <w:spacing w:val="-2"/>
          <w:sz w:val="28"/>
          <w:szCs w:val="28"/>
          <w:highlight w:val="none"/>
        </w:rPr>
        <w:t>4</w:t>
      </w:r>
      <w:r>
        <w:rPr>
          <w:rFonts w:hint="eastAsia" w:ascii="Times New Roman" w:hAnsi="Times New Roman" w:eastAsia="宋体" w:cs="Times New Roman"/>
          <w:b/>
          <w:bCs/>
          <w:color w:val="auto"/>
          <w:spacing w:val="-2"/>
          <w:sz w:val="28"/>
          <w:szCs w:val="28"/>
          <w:highlight w:val="none"/>
          <w:lang w:eastAsia="zh-CN"/>
        </w:rPr>
        <w:t>、</w:t>
      </w:r>
      <w:r>
        <w:rPr>
          <w:rFonts w:ascii="宋体" w:hAnsi="宋体" w:eastAsia="宋体" w:cs="宋体"/>
          <w:b/>
          <w:bCs/>
          <w:color w:val="auto"/>
          <w:spacing w:val="-2"/>
          <w:sz w:val="28"/>
          <w:szCs w:val="28"/>
          <w:highlight w:val="none"/>
        </w:rPr>
        <w:t>招标文件的获取</w:t>
      </w:r>
      <w:bookmarkEnd w:id="11"/>
      <w:bookmarkEnd w:id="12"/>
    </w:p>
    <w:p w14:paraId="0A906122">
      <w:pPr>
        <w:pStyle w:val="3"/>
        <w:keepNext w:val="0"/>
        <w:keepLines w:val="0"/>
        <w:pageBreakBefore w:val="0"/>
        <w:widowControl/>
        <w:kinsoku w:val="0"/>
        <w:wordWrap/>
        <w:overflowPunct/>
        <w:topLinePunct w:val="0"/>
        <w:autoSpaceDE w:val="0"/>
        <w:autoSpaceDN w:val="0"/>
        <w:bidi w:val="0"/>
        <w:adjustRightInd w:val="0"/>
        <w:snapToGrid w:val="0"/>
        <w:spacing w:line="243" w:lineRule="auto"/>
        <w:textAlignment w:val="baseline"/>
        <w:rPr>
          <w:color w:val="auto"/>
          <w:highlight w:val="none"/>
        </w:rPr>
      </w:pPr>
    </w:p>
    <w:p w14:paraId="20780271">
      <w:pPr>
        <w:keepNext w:val="0"/>
        <w:keepLines w:val="0"/>
        <w:pageBreakBefore w:val="0"/>
        <w:widowControl/>
        <w:kinsoku w:val="0"/>
        <w:wordWrap/>
        <w:overflowPunct/>
        <w:topLinePunct w:val="0"/>
        <w:autoSpaceDE w:val="0"/>
        <w:autoSpaceDN w:val="0"/>
        <w:bidi w:val="0"/>
        <w:adjustRightInd w:val="0"/>
        <w:snapToGrid w:val="0"/>
        <w:spacing w:line="356" w:lineRule="auto"/>
        <w:ind w:left="3" w:right="199" w:firstLine="483"/>
        <w:textAlignment w:val="baseline"/>
        <w:rPr>
          <w:rFonts w:ascii="宋体" w:hAnsi="宋体" w:eastAsia="宋体" w:cs="宋体"/>
          <w:color w:val="0000FF"/>
          <w:sz w:val="24"/>
          <w:szCs w:val="24"/>
          <w:highlight w:val="none"/>
        </w:rPr>
      </w:pPr>
      <w:r>
        <w:rPr>
          <w:rFonts w:ascii="宋体" w:hAnsi="宋体" w:eastAsia="宋体" w:cs="宋体"/>
          <w:color w:val="0000FF"/>
          <w:spacing w:val="-7"/>
          <w:sz w:val="24"/>
          <w:szCs w:val="24"/>
          <w:highlight w:val="none"/>
        </w:rPr>
        <w:t>凡有意参加投标者，请于</w:t>
      </w:r>
      <w:r>
        <w:rPr>
          <w:rFonts w:ascii="宋体" w:hAnsi="宋体" w:eastAsia="宋体" w:cs="宋体"/>
          <w:color w:val="0000FF"/>
          <w:spacing w:val="-7"/>
          <w:sz w:val="24"/>
          <w:szCs w:val="24"/>
          <w:highlight w:val="none"/>
          <w:u w:val="single" w:color="auto"/>
        </w:rPr>
        <w:t xml:space="preserve"> </w:t>
      </w:r>
      <w:r>
        <w:rPr>
          <w:rFonts w:hint="eastAsia" w:ascii="宋体" w:hAnsi="宋体" w:eastAsia="宋体" w:cs="宋体"/>
          <w:color w:val="0000FF"/>
          <w:spacing w:val="-7"/>
          <w:sz w:val="24"/>
          <w:szCs w:val="24"/>
          <w:highlight w:val="none"/>
          <w:u w:val="single" w:color="auto"/>
          <w:lang w:val="en-US" w:eastAsia="zh-CN"/>
        </w:rPr>
        <w:t>2026</w:t>
      </w:r>
      <w:r>
        <w:rPr>
          <w:rFonts w:ascii="宋体" w:hAnsi="宋体" w:eastAsia="宋体" w:cs="宋体"/>
          <w:color w:val="0000FF"/>
          <w:spacing w:val="-7"/>
          <w:sz w:val="24"/>
          <w:szCs w:val="24"/>
          <w:highlight w:val="none"/>
          <w:u w:val="single" w:color="auto"/>
        </w:rPr>
        <w:t xml:space="preserve"> </w:t>
      </w:r>
      <w:r>
        <w:rPr>
          <w:rFonts w:ascii="宋体" w:hAnsi="宋体" w:eastAsia="宋体" w:cs="宋体"/>
          <w:color w:val="0000FF"/>
          <w:spacing w:val="-110"/>
          <w:sz w:val="24"/>
          <w:szCs w:val="24"/>
          <w:highlight w:val="none"/>
        </w:rPr>
        <w:t xml:space="preserve"> </w:t>
      </w:r>
      <w:r>
        <w:rPr>
          <w:rFonts w:ascii="宋体" w:hAnsi="宋体" w:eastAsia="宋体" w:cs="宋体"/>
          <w:color w:val="0000FF"/>
          <w:spacing w:val="-7"/>
          <w:sz w:val="24"/>
          <w:szCs w:val="24"/>
          <w:highlight w:val="none"/>
        </w:rPr>
        <w:t>年</w:t>
      </w:r>
      <w:r>
        <w:rPr>
          <w:rFonts w:ascii="宋体" w:hAnsi="宋体" w:eastAsia="宋体" w:cs="宋体"/>
          <w:color w:val="0000FF"/>
          <w:spacing w:val="-7"/>
          <w:sz w:val="24"/>
          <w:szCs w:val="24"/>
          <w:highlight w:val="none"/>
          <w:u w:val="single" w:color="auto"/>
        </w:rPr>
        <w:t xml:space="preserve"> </w:t>
      </w:r>
      <w:r>
        <w:rPr>
          <w:rFonts w:hint="eastAsia" w:ascii="宋体" w:hAnsi="宋体" w:eastAsia="宋体" w:cs="宋体"/>
          <w:color w:val="0000FF"/>
          <w:spacing w:val="-7"/>
          <w:sz w:val="24"/>
          <w:szCs w:val="24"/>
          <w:highlight w:val="none"/>
          <w:u w:val="single" w:color="auto"/>
          <w:lang w:val="en-US" w:eastAsia="zh-CN"/>
        </w:rPr>
        <w:t xml:space="preserve"> </w:t>
      </w:r>
      <w:r>
        <w:rPr>
          <w:rFonts w:ascii="宋体" w:hAnsi="宋体" w:eastAsia="宋体" w:cs="宋体"/>
          <w:color w:val="0000FF"/>
          <w:spacing w:val="-105"/>
          <w:sz w:val="24"/>
          <w:szCs w:val="24"/>
          <w:highlight w:val="none"/>
        </w:rPr>
        <w:t xml:space="preserve"> </w:t>
      </w:r>
      <w:r>
        <w:rPr>
          <w:rFonts w:ascii="宋体" w:hAnsi="宋体" w:eastAsia="宋体" w:cs="宋体"/>
          <w:color w:val="0000FF"/>
          <w:spacing w:val="-7"/>
          <w:sz w:val="24"/>
          <w:szCs w:val="24"/>
          <w:highlight w:val="none"/>
        </w:rPr>
        <w:t>月</w:t>
      </w:r>
      <w:r>
        <w:rPr>
          <w:rFonts w:ascii="宋体" w:hAnsi="宋体" w:eastAsia="宋体" w:cs="宋体"/>
          <w:color w:val="0000FF"/>
          <w:spacing w:val="-7"/>
          <w:sz w:val="24"/>
          <w:szCs w:val="24"/>
          <w:highlight w:val="none"/>
          <w:u w:val="single" w:color="auto"/>
        </w:rPr>
        <w:t xml:space="preserve"> </w:t>
      </w:r>
      <w:r>
        <w:rPr>
          <w:rFonts w:hint="eastAsia" w:ascii="宋体" w:hAnsi="宋体" w:eastAsia="宋体" w:cs="宋体"/>
          <w:color w:val="0000FF"/>
          <w:spacing w:val="-7"/>
          <w:sz w:val="24"/>
          <w:szCs w:val="24"/>
          <w:highlight w:val="none"/>
          <w:u w:val="single" w:color="auto"/>
          <w:lang w:val="en-US" w:eastAsia="zh-CN"/>
        </w:rPr>
        <w:t xml:space="preserve"> </w:t>
      </w:r>
      <w:r>
        <w:rPr>
          <w:rFonts w:ascii="宋体" w:hAnsi="宋体" w:eastAsia="宋体" w:cs="宋体"/>
          <w:color w:val="0000FF"/>
          <w:spacing w:val="-7"/>
          <w:sz w:val="24"/>
          <w:szCs w:val="24"/>
          <w:highlight w:val="none"/>
          <w:u w:val="single" w:color="auto"/>
        </w:rPr>
        <w:t xml:space="preserve"> </w:t>
      </w:r>
      <w:r>
        <w:rPr>
          <w:rFonts w:ascii="宋体" w:hAnsi="宋体" w:eastAsia="宋体" w:cs="宋体"/>
          <w:color w:val="0000FF"/>
          <w:spacing w:val="-7"/>
          <w:sz w:val="24"/>
          <w:szCs w:val="24"/>
          <w:highlight w:val="none"/>
        </w:rPr>
        <w:t>日至</w:t>
      </w:r>
      <w:r>
        <w:rPr>
          <w:rFonts w:ascii="宋体" w:hAnsi="宋体" w:eastAsia="宋体" w:cs="宋体"/>
          <w:color w:val="0000FF"/>
          <w:sz w:val="24"/>
          <w:szCs w:val="24"/>
          <w:highlight w:val="none"/>
          <w:u w:val="single" w:color="auto"/>
        </w:rPr>
        <w:t xml:space="preserve"> </w:t>
      </w:r>
      <w:r>
        <w:rPr>
          <w:rFonts w:hint="eastAsia" w:ascii="宋体" w:hAnsi="宋体" w:eastAsia="宋体" w:cs="宋体"/>
          <w:color w:val="0000FF"/>
          <w:sz w:val="24"/>
          <w:szCs w:val="24"/>
          <w:highlight w:val="none"/>
          <w:u w:val="single" w:color="auto"/>
          <w:lang w:val="en-US" w:eastAsia="zh-CN"/>
        </w:rPr>
        <w:t>2026</w:t>
      </w:r>
      <w:r>
        <w:rPr>
          <w:rFonts w:ascii="宋体" w:hAnsi="宋体" w:eastAsia="宋体" w:cs="宋体"/>
          <w:color w:val="0000FF"/>
          <w:sz w:val="24"/>
          <w:szCs w:val="24"/>
          <w:highlight w:val="none"/>
          <w:u w:val="single" w:color="auto"/>
        </w:rPr>
        <w:t xml:space="preserve"> </w:t>
      </w:r>
      <w:r>
        <w:rPr>
          <w:rFonts w:ascii="宋体" w:hAnsi="宋体" w:eastAsia="宋体" w:cs="宋体"/>
          <w:color w:val="0000FF"/>
          <w:spacing w:val="-110"/>
          <w:sz w:val="24"/>
          <w:szCs w:val="24"/>
          <w:highlight w:val="none"/>
        </w:rPr>
        <w:t xml:space="preserve"> </w:t>
      </w:r>
      <w:r>
        <w:rPr>
          <w:rFonts w:ascii="宋体" w:hAnsi="宋体" w:eastAsia="宋体" w:cs="宋体"/>
          <w:color w:val="0000FF"/>
          <w:spacing w:val="-8"/>
          <w:sz w:val="24"/>
          <w:szCs w:val="24"/>
          <w:highlight w:val="none"/>
        </w:rPr>
        <w:t>年</w:t>
      </w:r>
      <w:r>
        <w:rPr>
          <w:rFonts w:ascii="宋体" w:hAnsi="宋体" w:eastAsia="宋体" w:cs="宋体"/>
          <w:color w:val="0000FF"/>
          <w:sz w:val="24"/>
          <w:szCs w:val="24"/>
          <w:highlight w:val="none"/>
          <w:u w:val="single" w:color="auto"/>
        </w:rPr>
        <w:t xml:space="preserve">  </w:t>
      </w:r>
      <w:r>
        <w:rPr>
          <w:rFonts w:ascii="宋体" w:hAnsi="宋体" w:eastAsia="宋体" w:cs="宋体"/>
          <w:color w:val="0000FF"/>
          <w:spacing w:val="-105"/>
          <w:sz w:val="24"/>
          <w:szCs w:val="24"/>
          <w:highlight w:val="none"/>
        </w:rPr>
        <w:t xml:space="preserve"> </w:t>
      </w:r>
      <w:r>
        <w:rPr>
          <w:rFonts w:ascii="宋体" w:hAnsi="宋体" w:eastAsia="宋体" w:cs="宋体"/>
          <w:color w:val="0000FF"/>
          <w:spacing w:val="-8"/>
          <w:sz w:val="24"/>
          <w:szCs w:val="24"/>
          <w:highlight w:val="none"/>
        </w:rPr>
        <w:t>月</w:t>
      </w:r>
      <w:r>
        <w:rPr>
          <w:rFonts w:ascii="宋体" w:hAnsi="宋体" w:eastAsia="宋体" w:cs="宋体"/>
          <w:color w:val="0000FF"/>
          <w:sz w:val="24"/>
          <w:szCs w:val="24"/>
          <w:highlight w:val="none"/>
          <w:u w:val="single" w:color="auto"/>
        </w:rPr>
        <w:t xml:space="preserve">  </w:t>
      </w:r>
      <w:r>
        <w:rPr>
          <w:rFonts w:ascii="宋体" w:hAnsi="宋体" w:eastAsia="宋体" w:cs="宋体"/>
          <w:color w:val="0000FF"/>
          <w:spacing w:val="-8"/>
          <w:sz w:val="24"/>
          <w:szCs w:val="24"/>
          <w:highlight w:val="none"/>
        </w:rPr>
        <w:t>日</w:t>
      </w:r>
      <w:r>
        <w:rPr>
          <w:rFonts w:ascii="宋体" w:hAnsi="宋体" w:eastAsia="宋体" w:cs="宋体"/>
          <w:color w:val="0000FF"/>
          <w:sz w:val="24"/>
          <w:szCs w:val="24"/>
          <w:highlight w:val="none"/>
          <w:u w:val="single" w:color="auto"/>
        </w:rPr>
        <w:t xml:space="preserve"> </w:t>
      </w:r>
      <w:r>
        <w:rPr>
          <w:rFonts w:hint="eastAsia" w:ascii="宋体" w:hAnsi="宋体" w:eastAsia="宋体" w:cs="宋体"/>
          <w:color w:val="0000FF"/>
          <w:sz w:val="24"/>
          <w:szCs w:val="24"/>
          <w:highlight w:val="none"/>
          <w:u w:val="single" w:color="auto"/>
          <w:lang w:val="en-US" w:eastAsia="zh-CN"/>
        </w:rPr>
        <w:t>9</w:t>
      </w:r>
      <w:r>
        <w:rPr>
          <w:rFonts w:ascii="宋体" w:hAnsi="宋体" w:eastAsia="宋体" w:cs="宋体"/>
          <w:color w:val="0000FF"/>
          <w:sz w:val="24"/>
          <w:szCs w:val="24"/>
          <w:highlight w:val="none"/>
          <w:u w:val="single" w:color="auto"/>
        </w:rPr>
        <w:t xml:space="preserve"> </w:t>
      </w:r>
      <w:r>
        <w:rPr>
          <w:rFonts w:ascii="宋体" w:hAnsi="宋体" w:eastAsia="宋体" w:cs="宋体"/>
          <w:color w:val="0000FF"/>
          <w:spacing w:val="-100"/>
          <w:sz w:val="24"/>
          <w:szCs w:val="24"/>
          <w:highlight w:val="none"/>
        </w:rPr>
        <w:t xml:space="preserve"> </w:t>
      </w:r>
      <w:r>
        <w:rPr>
          <w:rFonts w:ascii="宋体" w:hAnsi="宋体" w:eastAsia="宋体" w:cs="宋体"/>
          <w:color w:val="0000FF"/>
          <w:spacing w:val="-8"/>
          <w:sz w:val="24"/>
          <w:szCs w:val="24"/>
          <w:highlight w:val="none"/>
        </w:rPr>
        <w:t>时</w:t>
      </w:r>
      <w:r>
        <w:rPr>
          <w:rFonts w:ascii="宋体" w:hAnsi="宋体" w:eastAsia="宋体" w:cs="宋体"/>
          <w:color w:val="0000FF"/>
          <w:sz w:val="24"/>
          <w:szCs w:val="24"/>
          <w:highlight w:val="none"/>
          <w:u w:val="single" w:color="auto"/>
        </w:rPr>
        <w:t xml:space="preserve"> </w:t>
      </w:r>
      <w:r>
        <w:rPr>
          <w:rFonts w:hint="eastAsia" w:ascii="宋体" w:hAnsi="宋体" w:eastAsia="宋体" w:cs="宋体"/>
          <w:color w:val="0000FF"/>
          <w:sz w:val="24"/>
          <w:szCs w:val="24"/>
          <w:highlight w:val="none"/>
          <w:u w:val="single" w:color="auto"/>
          <w:lang w:val="en-US" w:eastAsia="zh-CN"/>
        </w:rPr>
        <w:t>00</w:t>
      </w:r>
      <w:r>
        <w:rPr>
          <w:rFonts w:ascii="宋体" w:hAnsi="宋体" w:eastAsia="宋体" w:cs="宋体"/>
          <w:color w:val="0000FF"/>
          <w:sz w:val="24"/>
          <w:szCs w:val="24"/>
          <w:highlight w:val="none"/>
          <w:u w:val="single" w:color="auto"/>
        </w:rPr>
        <w:t xml:space="preserve"> </w:t>
      </w:r>
      <w:r>
        <w:rPr>
          <w:rFonts w:ascii="宋体" w:hAnsi="宋体" w:eastAsia="宋体" w:cs="宋体"/>
          <w:color w:val="0000FF"/>
          <w:spacing w:val="-10"/>
          <w:sz w:val="24"/>
          <w:szCs w:val="24"/>
          <w:highlight w:val="none"/>
        </w:rPr>
        <w:t>分（北京时间，下同</w:t>
      </w:r>
      <w:r>
        <w:rPr>
          <w:rFonts w:ascii="宋体" w:hAnsi="宋体" w:eastAsia="宋体" w:cs="宋体"/>
          <w:color w:val="0000FF"/>
          <w:spacing w:val="-1"/>
          <w:sz w:val="24"/>
          <w:szCs w:val="24"/>
          <w:highlight w:val="none"/>
        </w:rPr>
        <w:t>），</w:t>
      </w:r>
      <w:r>
        <w:rPr>
          <w:rFonts w:ascii="宋体" w:hAnsi="宋体" w:eastAsia="宋体" w:cs="宋体"/>
          <w:color w:val="0000FF"/>
          <w:spacing w:val="-10"/>
          <w:sz w:val="24"/>
          <w:szCs w:val="24"/>
          <w:highlight w:val="none"/>
        </w:rPr>
        <w:t>登录</w:t>
      </w:r>
      <w:r>
        <w:rPr>
          <w:rFonts w:ascii="宋体" w:hAnsi="宋体" w:eastAsia="宋体" w:cs="宋体"/>
          <w:color w:val="0000FF"/>
          <w:spacing w:val="-109"/>
          <w:sz w:val="24"/>
          <w:szCs w:val="24"/>
          <w:highlight w:val="none"/>
        </w:rPr>
        <w:t xml:space="preserve"> </w:t>
      </w:r>
      <w:r>
        <w:rPr>
          <w:rFonts w:ascii="宋体" w:hAnsi="宋体" w:eastAsia="宋体" w:cs="宋体"/>
          <w:color w:val="0000FF"/>
          <w:sz w:val="24"/>
          <w:szCs w:val="24"/>
          <w:highlight w:val="none"/>
          <w:u w:val="single" w:color="auto"/>
        </w:rPr>
        <w:t xml:space="preserve"> </w:t>
      </w:r>
      <w:r>
        <w:rPr>
          <w:rFonts w:hint="eastAsia" w:ascii="宋体" w:hAnsi="宋体" w:eastAsia="宋体" w:cs="宋体"/>
          <w:color w:val="0000FF"/>
          <w:sz w:val="24"/>
          <w:szCs w:val="24"/>
          <w:highlight w:val="none"/>
          <w:u w:val="single" w:color="auto"/>
        </w:rPr>
        <w:t>嵊州市公共资源电子交易系统</w:t>
      </w:r>
      <w:r>
        <w:rPr>
          <w:rFonts w:ascii="宋体" w:hAnsi="宋体" w:eastAsia="宋体" w:cs="宋体"/>
          <w:color w:val="0000FF"/>
          <w:sz w:val="24"/>
          <w:szCs w:val="24"/>
          <w:highlight w:val="none"/>
          <w:u w:val="single" w:color="auto"/>
        </w:rPr>
        <w:t xml:space="preserve"> </w:t>
      </w:r>
      <w:r>
        <w:rPr>
          <w:rFonts w:ascii="宋体" w:hAnsi="宋体" w:eastAsia="宋体" w:cs="宋体"/>
          <w:color w:val="0000FF"/>
          <w:spacing w:val="-11"/>
          <w:sz w:val="24"/>
          <w:szCs w:val="24"/>
          <w:highlight w:val="none"/>
        </w:rPr>
        <w:t>下</w:t>
      </w:r>
      <w:r>
        <w:rPr>
          <w:rFonts w:ascii="宋体" w:hAnsi="宋体" w:eastAsia="宋体" w:cs="宋体"/>
          <w:color w:val="0000FF"/>
          <w:spacing w:val="-5"/>
          <w:sz w:val="24"/>
          <w:szCs w:val="24"/>
          <w:highlight w:val="none"/>
        </w:rPr>
        <w:t>载电子招标文件。</w:t>
      </w:r>
    </w:p>
    <w:p w14:paraId="72D6A155">
      <w:pPr>
        <w:keepNext w:val="0"/>
        <w:keepLines w:val="0"/>
        <w:pageBreakBefore w:val="0"/>
        <w:widowControl/>
        <w:kinsoku w:val="0"/>
        <w:wordWrap/>
        <w:overflowPunct/>
        <w:topLinePunct w:val="0"/>
        <w:autoSpaceDE w:val="0"/>
        <w:autoSpaceDN w:val="0"/>
        <w:bidi w:val="0"/>
        <w:adjustRightInd w:val="0"/>
        <w:snapToGrid w:val="0"/>
        <w:spacing w:line="220" w:lineRule="auto"/>
        <w:ind w:left="2"/>
        <w:textAlignment w:val="baseline"/>
        <w:outlineLvl w:val="1"/>
        <w:rPr>
          <w:rFonts w:ascii="宋体" w:hAnsi="宋体" w:eastAsia="宋体" w:cs="宋体"/>
          <w:color w:val="auto"/>
          <w:sz w:val="28"/>
          <w:szCs w:val="28"/>
          <w:highlight w:val="none"/>
        </w:rPr>
      </w:pPr>
      <w:bookmarkStart w:id="13" w:name="_Toc20463"/>
      <w:bookmarkStart w:id="14" w:name="_Toc17177"/>
      <w:r>
        <w:rPr>
          <w:rFonts w:ascii="Times New Roman" w:hAnsi="Times New Roman" w:eastAsia="Times New Roman" w:cs="Times New Roman"/>
          <w:b/>
          <w:bCs/>
          <w:color w:val="auto"/>
          <w:spacing w:val="-3"/>
          <w:sz w:val="28"/>
          <w:szCs w:val="28"/>
          <w:highlight w:val="none"/>
        </w:rPr>
        <w:t xml:space="preserve">5 </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投标文件的递交</w:t>
      </w:r>
      <w:bookmarkEnd w:id="13"/>
      <w:bookmarkEnd w:id="14"/>
    </w:p>
    <w:p w14:paraId="3986A360">
      <w:pPr>
        <w:pStyle w:val="3"/>
        <w:keepNext w:val="0"/>
        <w:keepLines w:val="0"/>
        <w:pageBreakBefore w:val="0"/>
        <w:widowControl/>
        <w:kinsoku w:val="0"/>
        <w:wordWrap/>
        <w:overflowPunct/>
        <w:topLinePunct w:val="0"/>
        <w:autoSpaceDE w:val="0"/>
        <w:autoSpaceDN w:val="0"/>
        <w:bidi w:val="0"/>
        <w:adjustRightInd w:val="0"/>
        <w:snapToGrid w:val="0"/>
        <w:spacing w:line="244" w:lineRule="auto"/>
        <w:textAlignment w:val="baseline"/>
        <w:rPr>
          <w:color w:val="auto"/>
          <w:highlight w:val="none"/>
        </w:rPr>
      </w:pPr>
    </w:p>
    <w:p w14:paraId="60D5731A">
      <w:pPr>
        <w:keepNext w:val="0"/>
        <w:keepLines w:val="0"/>
        <w:pageBreakBefore w:val="0"/>
        <w:widowControl/>
        <w:kinsoku w:val="0"/>
        <w:wordWrap/>
        <w:overflowPunct/>
        <w:topLinePunct w:val="0"/>
        <w:autoSpaceDE w:val="0"/>
        <w:autoSpaceDN w:val="0"/>
        <w:bidi w:val="0"/>
        <w:adjustRightInd w:val="0"/>
        <w:snapToGrid w:val="0"/>
        <w:spacing w:line="350" w:lineRule="auto"/>
        <w:ind w:left="252" w:leftChars="120" w:right="207" w:firstLine="299" w:firstLineChars="127"/>
        <w:textAlignment w:val="baseline"/>
        <w:rPr>
          <w:rFonts w:ascii="宋体" w:hAnsi="宋体" w:eastAsia="宋体" w:cs="宋体"/>
          <w:color w:val="0000FF"/>
          <w:sz w:val="24"/>
          <w:szCs w:val="24"/>
          <w:highlight w:val="none"/>
        </w:rPr>
      </w:pPr>
      <w:r>
        <w:rPr>
          <w:rFonts w:ascii="Times New Roman" w:hAnsi="Times New Roman" w:eastAsia="Times New Roman" w:cs="Times New Roman"/>
          <w:color w:val="0000FF"/>
          <w:spacing w:val="-2"/>
          <w:sz w:val="24"/>
          <w:szCs w:val="24"/>
          <w:highlight w:val="none"/>
        </w:rPr>
        <w:t>5.1</w:t>
      </w:r>
      <w:r>
        <w:rPr>
          <w:rFonts w:ascii="宋体" w:hAnsi="宋体" w:eastAsia="宋体" w:cs="宋体"/>
          <w:color w:val="0000FF"/>
          <w:spacing w:val="-2"/>
          <w:sz w:val="24"/>
          <w:szCs w:val="24"/>
          <w:highlight w:val="none"/>
        </w:rPr>
        <w:t>投标文件递交的截止时间（投标截止时间，下同）为</w:t>
      </w:r>
      <w:r>
        <w:rPr>
          <w:rFonts w:hint="eastAsia" w:ascii="宋体" w:hAnsi="宋体" w:eastAsia="宋体" w:cs="宋体"/>
          <w:color w:val="0000FF"/>
          <w:spacing w:val="-2"/>
          <w:sz w:val="24"/>
          <w:szCs w:val="24"/>
          <w:highlight w:val="none"/>
          <w:u w:val="single" w:color="auto"/>
          <w:lang w:val="en-US" w:eastAsia="zh-CN"/>
        </w:rPr>
        <w:t>2026</w:t>
      </w:r>
      <w:r>
        <w:rPr>
          <w:rFonts w:ascii="宋体" w:hAnsi="宋体" w:eastAsia="宋体" w:cs="宋体"/>
          <w:color w:val="0000FF"/>
          <w:spacing w:val="-2"/>
          <w:sz w:val="24"/>
          <w:szCs w:val="24"/>
          <w:highlight w:val="none"/>
          <w:u w:val="single" w:color="auto"/>
        </w:rPr>
        <w:t xml:space="preserve"> </w:t>
      </w:r>
      <w:r>
        <w:rPr>
          <w:rFonts w:ascii="宋体" w:hAnsi="宋体" w:eastAsia="宋体" w:cs="宋体"/>
          <w:color w:val="0000FF"/>
          <w:spacing w:val="-2"/>
          <w:sz w:val="24"/>
          <w:szCs w:val="24"/>
          <w:highlight w:val="none"/>
        </w:rPr>
        <w:t>年</w:t>
      </w:r>
      <w:r>
        <w:rPr>
          <w:rFonts w:ascii="宋体" w:hAnsi="宋体" w:eastAsia="宋体" w:cs="宋体"/>
          <w:color w:val="0000FF"/>
          <w:spacing w:val="-2"/>
          <w:sz w:val="24"/>
          <w:szCs w:val="24"/>
          <w:highlight w:val="none"/>
          <w:u w:val="single" w:color="auto"/>
        </w:rPr>
        <w:t xml:space="preserve">   </w:t>
      </w:r>
      <w:r>
        <w:rPr>
          <w:rFonts w:ascii="宋体" w:hAnsi="宋体" w:eastAsia="宋体" w:cs="宋体"/>
          <w:color w:val="0000FF"/>
          <w:spacing w:val="-105"/>
          <w:sz w:val="24"/>
          <w:szCs w:val="24"/>
          <w:highlight w:val="none"/>
        </w:rPr>
        <w:t xml:space="preserve"> </w:t>
      </w:r>
      <w:r>
        <w:rPr>
          <w:rFonts w:ascii="宋体" w:hAnsi="宋体" w:eastAsia="宋体" w:cs="宋体"/>
          <w:color w:val="0000FF"/>
          <w:spacing w:val="-2"/>
          <w:sz w:val="24"/>
          <w:szCs w:val="24"/>
          <w:highlight w:val="none"/>
        </w:rPr>
        <w:t>月</w:t>
      </w:r>
      <w:r>
        <w:rPr>
          <w:rFonts w:ascii="宋体" w:hAnsi="宋体" w:eastAsia="宋体" w:cs="宋体"/>
          <w:color w:val="0000FF"/>
          <w:spacing w:val="-2"/>
          <w:sz w:val="24"/>
          <w:szCs w:val="24"/>
          <w:highlight w:val="none"/>
          <w:u w:val="single" w:color="auto"/>
        </w:rPr>
        <w:t xml:space="preserve">  </w:t>
      </w:r>
      <w:r>
        <w:rPr>
          <w:rFonts w:ascii="宋体" w:hAnsi="宋体" w:eastAsia="宋体" w:cs="宋体"/>
          <w:color w:val="0000FF"/>
          <w:spacing w:val="-3"/>
          <w:sz w:val="24"/>
          <w:szCs w:val="24"/>
          <w:highlight w:val="none"/>
          <w:u w:val="single" w:color="auto"/>
        </w:rPr>
        <w:t xml:space="preserve"> </w:t>
      </w:r>
      <w:r>
        <w:rPr>
          <w:rFonts w:ascii="宋体" w:hAnsi="宋体" w:eastAsia="宋体" w:cs="宋体"/>
          <w:color w:val="0000FF"/>
          <w:spacing w:val="-69"/>
          <w:sz w:val="24"/>
          <w:szCs w:val="24"/>
          <w:highlight w:val="none"/>
        </w:rPr>
        <w:t xml:space="preserve"> </w:t>
      </w:r>
      <w:r>
        <w:rPr>
          <w:rFonts w:ascii="宋体" w:hAnsi="宋体" w:eastAsia="宋体" w:cs="宋体"/>
          <w:color w:val="0000FF"/>
          <w:spacing w:val="-3"/>
          <w:sz w:val="24"/>
          <w:szCs w:val="24"/>
          <w:highlight w:val="none"/>
        </w:rPr>
        <w:t>日</w:t>
      </w:r>
      <w:r>
        <w:rPr>
          <w:rFonts w:ascii="宋体" w:hAnsi="宋体" w:eastAsia="宋体" w:cs="宋体"/>
          <w:color w:val="0000FF"/>
          <w:spacing w:val="-2"/>
          <w:sz w:val="24"/>
          <w:szCs w:val="24"/>
          <w:highlight w:val="none"/>
          <w:u w:val="single" w:color="auto"/>
        </w:rPr>
        <w:t xml:space="preserve"> </w:t>
      </w:r>
      <w:r>
        <w:rPr>
          <w:rFonts w:hint="eastAsia" w:ascii="宋体" w:hAnsi="宋体" w:eastAsia="宋体" w:cs="宋体"/>
          <w:color w:val="0000FF"/>
          <w:spacing w:val="-2"/>
          <w:sz w:val="24"/>
          <w:szCs w:val="24"/>
          <w:highlight w:val="none"/>
          <w:u w:val="single" w:color="auto"/>
          <w:lang w:val="en-US" w:eastAsia="zh-CN"/>
        </w:rPr>
        <w:t>9</w:t>
      </w:r>
      <w:r>
        <w:rPr>
          <w:rFonts w:ascii="宋体" w:hAnsi="宋体" w:eastAsia="宋体" w:cs="宋体"/>
          <w:color w:val="0000FF"/>
          <w:spacing w:val="-2"/>
          <w:sz w:val="24"/>
          <w:szCs w:val="24"/>
          <w:highlight w:val="none"/>
          <w:u w:val="single" w:color="auto"/>
        </w:rPr>
        <w:t xml:space="preserve"> </w:t>
      </w:r>
      <w:r>
        <w:rPr>
          <w:rFonts w:ascii="宋体" w:hAnsi="宋体" w:eastAsia="宋体" w:cs="宋体"/>
          <w:color w:val="0000FF"/>
          <w:spacing w:val="-9"/>
          <w:sz w:val="24"/>
          <w:szCs w:val="24"/>
          <w:highlight w:val="none"/>
        </w:rPr>
        <w:t>时</w:t>
      </w:r>
      <w:r>
        <w:rPr>
          <w:rFonts w:ascii="宋体" w:hAnsi="宋体" w:eastAsia="宋体" w:cs="宋体"/>
          <w:color w:val="0000FF"/>
          <w:spacing w:val="-9"/>
          <w:sz w:val="24"/>
          <w:szCs w:val="24"/>
          <w:highlight w:val="none"/>
          <w:u w:val="single" w:color="auto"/>
        </w:rPr>
        <w:t xml:space="preserve"> </w:t>
      </w:r>
      <w:r>
        <w:rPr>
          <w:rFonts w:hint="eastAsia" w:ascii="宋体" w:hAnsi="宋体" w:eastAsia="宋体" w:cs="宋体"/>
          <w:color w:val="0000FF"/>
          <w:spacing w:val="-9"/>
          <w:sz w:val="24"/>
          <w:szCs w:val="24"/>
          <w:highlight w:val="none"/>
          <w:u w:val="single" w:color="auto"/>
          <w:lang w:val="en-US" w:eastAsia="zh-CN"/>
        </w:rPr>
        <w:t>00</w:t>
      </w:r>
      <w:r>
        <w:rPr>
          <w:rFonts w:ascii="宋体" w:hAnsi="宋体" w:eastAsia="宋体" w:cs="宋体"/>
          <w:color w:val="0000FF"/>
          <w:spacing w:val="-9"/>
          <w:sz w:val="24"/>
          <w:szCs w:val="24"/>
          <w:highlight w:val="none"/>
          <w:u w:val="single" w:color="auto"/>
        </w:rPr>
        <w:t xml:space="preserve">  </w:t>
      </w:r>
      <w:r>
        <w:rPr>
          <w:rFonts w:ascii="宋体" w:hAnsi="宋体" w:eastAsia="宋体" w:cs="宋体"/>
          <w:color w:val="0000FF"/>
          <w:spacing w:val="-108"/>
          <w:sz w:val="24"/>
          <w:szCs w:val="24"/>
          <w:highlight w:val="none"/>
        </w:rPr>
        <w:t xml:space="preserve"> </w:t>
      </w:r>
      <w:r>
        <w:rPr>
          <w:rFonts w:ascii="宋体" w:hAnsi="宋体" w:eastAsia="宋体" w:cs="宋体"/>
          <w:color w:val="0000FF"/>
          <w:spacing w:val="-9"/>
          <w:sz w:val="24"/>
          <w:szCs w:val="24"/>
          <w:highlight w:val="none"/>
        </w:rPr>
        <w:t>分，投标人应在截止时间前通过</w:t>
      </w:r>
      <w:r>
        <w:rPr>
          <w:rFonts w:ascii="宋体" w:hAnsi="宋体" w:eastAsia="宋体" w:cs="宋体"/>
          <w:color w:val="0000FF"/>
          <w:spacing w:val="-110"/>
          <w:sz w:val="24"/>
          <w:szCs w:val="24"/>
          <w:highlight w:val="none"/>
        </w:rPr>
        <w:t xml:space="preserve"> </w:t>
      </w:r>
      <w:r>
        <w:rPr>
          <w:rFonts w:ascii="宋体" w:hAnsi="宋体" w:eastAsia="宋体" w:cs="宋体"/>
          <w:color w:val="0000FF"/>
          <w:spacing w:val="8"/>
          <w:sz w:val="24"/>
          <w:szCs w:val="24"/>
          <w:highlight w:val="none"/>
          <w:u w:val="single" w:color="auto"/>
        </w:rPr>
        <w:t xml:space="preserve"> </w:t>
      </w:r>
      <w:r>
        <w:rPr>
          <w:rFonts w:hint="eastAsia" w:ascii="宋体" w:hAnsi="宋体" w:eastAsia="宋体" w:cs="宋体"/>
          <w:b/>
          <w:bCs/>
          <w:color w:val="0000FF"/>
          <w:sz w:val="24"/>
          <w:szCs w:val="24"/>
          <w:highlight w:val="none"/>
          <w:u w:val="single"/>
        </w:rPr>
        <w:t>嵊州市公共资源电子交易系统</w:t>
      </w:r>
      <w:r>
        <w:rPr>
          <w:rFonts w:ascii="宋体" w:hAnsi="宋体" w:eastAsia="宋体" w:cs="宋体"/>
          <w:color w:val="0000FF"/>
          <w:spacing w:val="8"/>
          <w:sz w:val="24"/>
          <w:szCs w:val="24"/>
          <w:highlight w:val="none"/>
          <w:u w:val="single" w:color="auto"/>
        </w:rPr>
        <w:t xml:space="preserve"> </w:t>
      </w:r>
      <w:r>
        <w:rPr>
          <w:rFonts w:ascii="宋体" w:hAnsi="宋体" w:eastAsia="宋体" w:cs="宋体"/>
          <w:color w:val="0000FF"/>
          <w:spacing w:val="-5"/>
          <w:sz w:val="24"/>
          <w:szCs w:val="24"/>
          <w:highlight w:val="none"/>
        </w:rPr>
        <w:t>上传加密电子投标文件。</w:t>
      </w:r>
    </w:p>
    <w:p w14:paraId="262AD27A">
      <w:pPr>
        <w:spacing w:before="2" w:line="351" w:lineRule="auto"/>
        <w:ind w:left="4" w:right="328" w:firstLine="450"/>
        <w:rPr>
          <w:rFonts w:hint="eastAsia" w:ascii="宋体" w:hAnsi="宋体" w:eastAsia="宋体" w:cs="宋体"/>
          <w:color w:val="auto"/>
          <w:sz w:val="24"/>
          <w:szCs w:val="24"/>
          <w:highlight w:val="none"/>
          <w:u w:val="single"/>
        </w:rPr>
      </w:pPr>
      <w:r>
        <w:rPr>
          <w:rFonts w:ascii="宋体" w:hAnsi="宋体" w:eastAsia="宋体" w:cs="宋体"/>
          <w:color w:val="auto"/>
          <w:spacing w:val="-13"/>
          <w:sz w:val="24"/>
          <w:szCs w:val="24"/>
          <w:highlight w:val="none"/>
        </w:rPr>
        <w:t>本项目采用网上远程开标方式，无需提供纸质投标文件、样品等材料，</w:t>
      </w:r>
      <w:r>
        <w:rPr>
          <w:rFonts w:ascii="宋体" w:hAnsi="宋体" w:eastAsia="宋体" w:cs="宋体"/>
          <w:color w:val="auto"/>
          <w:spacing w:val="-14"/>
          <w:sz w:val="24"/>
          <w:szCs w:val="24"/>
          <w:highlight w:val="none"/>
        </w:rPr>
        <w:t>投标人无需</w:t>
      </w:r>
      <w:r>
        <w:rPr>
          <w:rFonts w:ascii="宋体" w:hAnsi="宋体" w:eastAsia="宋体" w:cs="宋体"/>
          <w:color w:val="auto"/>
          <w:spacing w:val="-11"/>
          <w:sz w:val="24"/>
          <w:szCs w:val="24"/>
          <w:highlight w:val="none"/>
        </w:rPr>
        <w:t>至开标现场。开标网址</w:t>
      </w:r>
      <w:r>
        <w:rPr>
          <w:rFonts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fldChar w:fldCharType="begin"/>
      </w:r>
      <w:r>
        <w:rPr>
          <w:rFonts w:hint="eastAsia" w:ascii="宋体" w:hAnsi="宋体" w:eastAsia="宋体" w:cs="宋体"/>
          <w:color w:val="auto"/>
          <w:sz w:val="24"/>
          <w:szCs w:val="24"/>
          <w:highlight w:val="none"/>
          <w:u w:val="single"/>
        </w:rPr>
        <w:instrText xml:space="preserve"> HYPERLINK "http://220.187.226.36/BidOpening/" </w:instrText>
      </w:r>
      <w:r>
        <w:rPr>
          <w:rFonts w:hint="eastAsia" w:ascii="宋体" w:hAnsi="宋体" w:eastAsia="宋体" w:cs="宋体"/>
          <w:color w:val="auto"/>
          <w:sz w:val="24"/>
          <w:szCs w:val="24"/>
          <w:highlight w:val="none"/>
          <w:u w:val="single"/>
        </w:rPr>
        <w:fldChar w:fldCharType="separate"/>
      </w:r>
      <w:r>
        <w:rPr>
          <w:rStyle w:val="15"/>
          <w:rFonts w:hint="eastAsia" w:ascii="宋体" w:hAnsi="宋体" w:eastAsia="宋体" w:cs="宋体"/>
          <w:color w:val="auto"/>
          <w:sz w:val="24"/>
          <w:szCs w:val="24"/>
          <w:highlight w:val="none"/>
        </w:rPr>
        <w:t>http://220.187.226.36/BidOpening/</w:t>
      </w:r>
      <w:r>
        <w:rPr>
          <w:rFonts w:hint="eastAsia" w:ascii="宋体" w:hAnsi="宋体" w:eastAsia="宋体" w:cs="宋体"/>
          <w:color w:val="auto"/>
          <w:sz w:val="24"/>
          <w:szCs w:val="24"/>
          <w:highlight w:val="none"/>
          <w:u w:val="single"/>
        </w:rPr>
        <w:fldChar w:fldCharType="end"/>
      </w:r>
    </w:p>
    <w:p w14:paraId="08183E62">
      <w:pPr>
        <w:spacing w:before="2" w:line="351" w:lineRule="auto"/>
        <w:ind w:right="328"/>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bidopeninghallaction/hall/login </w:t>
      </w:r>
      <w:r>
        <w:rPr>
          <w:rFonts w:ascii="宋体" w:hAnsi="宋体" w:eastAsia="宋体" w:cs="宋体"/>
          <w:color w:val="auto"/>
          <w:spacing w:val="-17"/>
          <w:sz w:val="24"/>
          <w:szCs w:val="24"/>
          <w:highlight w:val="none"/>
        </w:rPr>
        <w:t>（</w:t>
      </w:r>
      <w:r>
        <w:rPr>
          <w:rFonts w:ascii="宋体" w:hAnsi="宋体" w:eastAsia="宋体" w:cs="宋体"/>
          <w:color w:val="auto"/>
          <w:spacing w:val="22"/>
          <w:sz w:val="24"/>
          <w:szCs w:val="24"/>
          <w:highlight w:val="none"/>
        </w:rPr>
        <w:t xml:space="preserve"> </w:t>
      </w:r>
      <w:r>
        <w:rPr>
          <w:rFonts w:ascii="宋体" w:hAnsi="宋体" w:eastAsia="宋体" w:cs="宋体"/>
          <w:i/>
          <w:iCs/>
          <w:color w:val="auto"/>
          <w:spacing w:val="-11"/>
          <w:sz w:val="25"/>
          <w:szCs w:val="25"/>
          <w:highlight w:val="none"/>
        </w:rPr>
        <w:t>电子招标投标交易平台网址</w:t>
      </w:r>
      <w:r>
        <w:rPr>
          <w:rFonts w:ascii="宋体" w:hAnsi="宋体" w:eastAsia="宋体" w:cs="宋体"/>
          <w:color w:val="auto"/>
          <w:spacing w:val="-11"/>
          <w:sz w:val="24"/>
          <w:szCs w:val="24"/>
          <w:highlight w:val="none"/>
        </w:rPr>
        <w:t>）</w:t>
      </w:r>
    </w:p>
    <w:p w14:paraId="4ADB8860">
      <w:pPr>
        <w:spacing w:before="1" w:line="218" w:lineRule="auto"/>
        <w:ind w:left="49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5.2</w:t>
      </w:r>
      <w:r>
        <w:rPr>
          <w:rFonts w:ascii="宋体" w:hAnsi="宋体" w:eastAsia="宋体" w:cs="宋体"/>
          <w:color w:val="auto"/>
          <w:spacing w:val="-1"/>
          <w:sz w:val="24"/>
          <w:szCs w:val="24"/>
          <w:highlight w:val="none"/>
        </w:rPr>
        <w:t>未按招标文件要求上传或未按规定加密的投标</w:t>
      </w:r>
      <w:r>
        <w:rPr>
          <w:rFonts w:ascii="宋体" w:hAnsi="宋体" w:eastAsia="宋体" w:cs="宋体"/>
          <w:color w:val="auto"/>
          <w:spacing w:val="-2"/>
          <w:sz w:val="24"/>
          <w:szCs w:val="24"/>
          <w:highlight w:val="none"/>
        </w:rPr>
        <w:t>文件，招标人将予以拒收。</w:t>
      </w:r>
    </w:p>
    <w:p w14:paraId="7CDEB060">
      <w:pPr>
        <w:spacing w:before="306" w:line="219" w:lineRule="auto"/>
        <w:ind w:left="3"/>
        <w:outlineLvl w:val="1"/>
        <w:rPr>
          <w:rFonts w:ascii="宋体" w:hAnsi="宋体" w:eastAsia="宋体" w:cs="宋体"/>
          <w:color w:val="auto"/>
          <w:sz w:val="28"/>
          <w:szCs w:val="28"/>
          <w:highlight w:val="none"/>
        </w:rPr>
      </w:pPr>
      <w:bookmarkStart w:id="15" w:name="_Toc7832"/>
      <w:bookmarkStart w:id="16" w:name="_Toc16301"/>
      <w:r>
        <w:rPr>
          <w:rFonts w:ascii="Times New Roman" w:hAnsi="Times New Roman" w:eastAsia="Times New Roman" w:cs="Times New Roman"/>
          <w:b/>
          <w:bCs/>
          <w:color w:val="auto"/>
          <w:spacing w:val="-3"/>
          <w:sz w:val="28"/>
          <w:szCs w:val="28"/>
          <w:highlight w:val="none"/>
        </w:rPr>
        <w:t xml:space="preserve">6  </w:t>
      </w:r>
      <w:r>
        <w:rPr>
          <w:rFonts w:ascii="宋体" w:hAnsi="宋体" w:eastAsia="宋体" w:cs="宋体"/>
          <w:b/>
          <w:bCs/>
          <w:color w:val="auto"/>
          <w:spacing w:val="-3"/>
          <w:sz w:val="28"/>
          <w:szCs w:val="28"/>
          <w:highlight w:val="none"/>
        </w:rPr>
        <w:t>发布公告的媒介</w:t>
      </w:r>
      <w:bookmarkEnd w:id="15"/>
      <w:bookmarkEnd w:id="16"/>
    </w:p>
    <w:p w14:paraId="6D666BB5">
      <w:pPr>
        <w:pStyle w:val="3"/>
        <w:spacing w:line="244" w:lineRule="auto"/>
        <w:rPr>
          <w:color w:val="auto"/>
          <w:highlight w:val="none"/>
        </w:rPr>
      </w:pPr>
    </w:p>
    <w:p w14:paraId="73BC151F">
      <w:pPr>
        <w:spacing w:before="82" w:line="211" w:lineRule="auto"/>
        <w:ind w:left="483"/>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本招标公告同时在</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rPr>
        <w:t>嵊州市人民政府门户网站公共资源交易平台</w:t>
      </w:r>
      <w:r>
        <w:rPr>
          <w:rFonts w:ascii="宋体" w:hAnsi="宋体" w:eastAsia="宋体" w:cs="宋体"/>
          <w:color w:val="auto"/>
          <w:spacing w:val="-11"/>
          <w:sz w:val="24"/>
          <w:szCs w:val="24"/>
          <w:highlight w:val="none"/>
        </w:rPr>
        <w:t>上发布。</w:t>
      </w:r>
    </w:p>
    <w:p w14:paraId="6204B8F3">
      <w:pPr>
        <w:spacing w:before="308" w:line="220" w:lineRule="auto"/>
        <w:ind w:left="2"/>
        <w:outlineLvl w:val="1"/>
        <w:rPr>
          <w:rFonts w:ascii="宋体" w:hAnsi="宋体" w:eastAsia="宋体" w:cs="宋体"/>
          <w:color w:val="auto"/>
          <w:sz w:val="28"/>
          <w:szCs w:val="28"/>
          <w:highlight w:val="none"/>
        </w:rPr>
      </w:pPr>
      <w:bookmarkStart w:id="17" w:name="_Toc1475"/>
      <w:bookmarkStart w:id="18" w:name="_Toc6714"/>
      <w:r>
        <w:rPr>
          <w:rFonts w:ascii="Times New Roman" w:hAnsi="Times New Roman" w:eastAsia="Times New Roman" w:cs="Times New Roman"/>
          <w:b/>
          <w:bCs/>
          <w:color w:val="auto"/>
          <w:spacing w:val="-3"/>
          <w:sz w:val="28"/>
          <w:szCs w:val="28"/>
          <w:highlight w:val="none"/>
        </w:rPr>
        <w:t xml:space="preserve">7  </w:t>
      </w:r>
      <w:r>
        <w:rPr>
          <w:rFonts w:ascii="宋体" w:hAnsi="宋体" w:eastAsia="宋体" w:cs="宋体"/>
          <w:b/>
          <w:bCs/>
          <w:color w:val="auto"/>
          <w:spacing w:val="-3"/>
          <w:sz w:val="28"/>
          <w:szCs w:val="28"/>
          <w:highlight w:val="none"/>
        </w:rPr>
        <w:t>行政监督部门</w:t>
      </w:r>
      <w:bookmarkEnd w:id="17"/>
      <w:bookmarkEnd w:id="18"/>
    </w:p>
    <w:p w14:paraId="6E635125">
      <w:pPr>
        <w:pStyle w:val="3"/>
        <w:spacing w:line="245" w:lineRule="auto"/>
        <w:rPr>
          <w:color w:val="auto"/>
          <w:highlight w:val="none"/>
        </w:rPr>
      </w:pPr>
    </w:p>
    <w:p w14:paraId="7931A18B">
      <w:pPr>
        <w:spacing w:before="79" w:line="191" w:lineRule="auto"/>
        <w:ind w:left="486"/>
        <w:rPr>
          <w:rFonts w:hint="default" w:ascii="Times New Roman" w:hAnsi="Times New Roman" w:eastAsia="宋体" w:cs="Times New Roman"/>
          <w:color w:val="auto"/>
          <w:sz w:val="24"/>
          <w:szCs w:val="24"/>
          <w:highlight w:val="none"/>
          <w:lang w:val="en-US" w:eastAsia="zh-CN"/>
        </w:rPr>
      </w:pPr>
      <w:r>
        <w:rPr>
          <w:rFonts w:ascii="宋体" w:hAnsi="宋体" w:eastAsia="宋体" w:cs="宋体"/>
          <w:color w:val="auto"/>
          <w:spacing w:val="-11"/>
          <w:sz w:val="24"/>
          <w:szCs w:val="24"/>
          <w:highlight w:val="none"/>
        </w:rPr>
        <w:t>行政监督：</w:t>
      </w:r>
      <w:r>
        <w:rPr>
          <w:rFonts w:hint="eastAsia" w:ascii="Times New Roman" w:hAnsi="Times New Roman" w:eastAsia="Times New Roman" w:cs="Times New Roman"/>
          <w:color w:val="auto"/>
          <w:spacing w:val="-1"/>
          <w:sz w:val="24"/>
          <w:szCs w:val="24"/>
          <w:highlight w:val="none"/>
          <w:u w:val="single"/>
        </w:rPr>
        <w:t>嵊州市</w:t>
      </w:r>
      <w:r>
        <w:rPr>
          <w:rFonts w:hint="eastAsia" w:ascii="Times New Roman" w:hAnsi="Times New Roman" w:eastAsia="宋体" w:cs="Times New Roman"/>
          <w:color w:val="auto"/>
          <w:spacing w:val="-1"/>
          <w:sz w:val="24"/>
          <w:szCs w:val="24"/>
          <w:highlight w:val="none"/>
          <w:u w:val="single"/>
          <w:lang w:val="en-US" w:eastAsia="zh-CN"/>
        </w:rPr>
        <w:t>农业农村</w:t>
      </w:r>
      <w:r>
        <w:rPr>
          <w:rFonts w:hint="eastAsia" w:ascii="Times New Roman" w:hAnsi="Times New Roman" w:eastAsia="Times New Roman" w:cs="Times New Roman"/>
          <w:color w:val="auto"/>
          <w:spacing w:val="-1"/>
          <w:sz w:val="24"/>
          <w:szCs w:val="24"/>
          <w:highlight w:val="none"/>
          <w:u w:val="single"/>
        </w:rPr>
        <w:t>局</w:t>
      </w:r>
    </w:p>
    <w:p w14:paraId="23C39E82">
      <w:pPr>
        <w:spacing w:before="208" w:line="212" w:lineRule="auto"/>
        <w:ind w:left="482"/>
        <w:rPr>
          <w:rFonts w:hint="eastAsia" w:ascii="Times New Roman" w:hAnsi="Times New Roman" w:eastAsia="宋体" w:cs="Times New Roman"/>
          <w:color w:val="auto"/>
          <w:spacing w:val="-1"/>
          <w:sz w:val="24"/>
          <w:szCs w:val="24"/>
          <w:highlight w:val="none"/>
          <w:u w:val="single"/>
          <w:lang w:val="en-US" w:eastAsia="zh-CN"/>
        </w:rPr>
      </w:pPr>
      <w:r>
        <w:rPr>
          <w:rFonts w:ascii="宋体" w:hAnsi="宋体" w:eastAsia="宋体" w:cs="宋体"/>
          <w:color w:val="auto"/>
          <w:spacing w:val="-1"/>
          <w:sz w:val="24"/>
          <w:szCs w:val="24"/>
          <w:highlight w:val="none"/>
        </w:rPr>
        <w:t>地    址</w:t>
      </w:r>
      <w:r>
        <w:rPr>
          <w:rFonts w:hint="eastAsia" w:ascii="宋体" w:hAnsi="宋体" w:eastAsia="宋体" w:cs="宋体"/>
          <w:color w:val="auto"/>
          <w:spacing w:val="-1"/>
          <w:sz w:val="24"/>
          <w:szCs w:val="24"/>
          <w:highlight w:val="none"/>
          <w:lang w:val="en-US" w:eastAsia="zh-CN"/>
        </w:rPr>
        <w:t>:</w:t>
      </w:r>
      <w:r>
        <w:rPr>
          <w:rFonts w:hint="eastAsia" w:ascii="Times New Roman" w:hAnsi="Times New Roman" w:eastAsia="Times New Roman" w:cs="Times New Roman"/>
          <w:color w:val="auto"/>
          <w:spacing w:val="-1"/>
          <w:sz w:val="24"/>
          <w:szCs w:val="24"/>
          <w:highlight w:val="none"/>
          <w:u w:val="single"/>
        </w:rPr>
        <w:t>浙江省嵊州市越秀北路47号</w:t>
      </w:r>
    </w:p>
    <w:p w14:paraId="67EED5CE">
      <w:pPr>
        <w:spacing w:before="208" w:line="212" w:lineRule="auto"/>
        <w:ind w:left="482"/>
        <w:rPr>
          <w:rFonts w:hint="default" w:ascii="Times New Roman" w:hAnsi="Times New Roman" w:eastAsia="宋体" w:cs="Times New Roman"/>
          <w:color w:val="auto"/>
          <w:sz w:val="24"/>
          <w:szCs w:val="24"/>
          <w:highlight w:val="none"/>
          <w:u w:val="single"/>
          <w:lang w:val="en-US" w:eastAsia="zh-CN"/>
        </w:rPr>
      </w:pPr>
      <w:r>
        <w:rPr>
          <w:rFonts w:ascii="宋体" w:hAnsi="宋体" w:eastAsia="宋体" w:cs="宋体"/>
          <w:color w:val="auto"/>
          <w:spacing w:val="-2"/>
          <w:sz w:val="24"/>
          <w:szCs w:val="24"/>
          <w:highlight w:val="none"/>
        </w:rPr>
        <w:t>邮政编码</w:t>
      </w:r>
      <w:r>
        <w:rPr>
          <w:rFonts w:hint="eastAsia" w:ascii="宋体" w:hAnsi="宋体" w:eastAsia="宋体" w:cs="宋体"/>
          <w:color w:val="auto"/>
          <w:spacing w:val="-2"/>
          <w:sz w:val="24"/>
          <w:szCs w:val="24"/>
          <w:highlight w:val="none"/>
          <w:lang w:val="en-US" w:eastAsia="zh-CN"/>
        </w:rPr>
        <w:t>:</w:t>
      </w:r>
      <w:r>
        <w:rPr>
          <w:rFonts w:hint="eastAsia" w:ascii="宋体" w:hAnsi="宋体" w:eastAsia="宋体" w:cs="宋体"/>
          <w:color w:val="auto"/>
          <w:spacing w:val="-2"/>
          <w:sz w:val="24"/>
          <w:szCs w:val="24"/>
          <w:highlight w:val="none"/>
          <w:u w:val="single"/>
          <w:lang w:val="en-US" w:eastAsia="zh-CN"/>
        </w:rPr>
        <w:t xml:space="preserve">     312400              </w:t>
      </w:r>
    </w:p>
    <w:p w14:paraId="6A9F5F24">
      <w:pPr>
        <w:spacing w:before="189" w:line="191" w:lineRule="auto"/>
        <w:ind w:left="510"/>
        <w:rPr>
          <w:rFonts w:hint="default" w:ascii="宋体" w:hAnsi="宋体" w:eastAsia="宋体" w:cs="宋体"/>
          <w:color w:val="auto"/>
          <w:spacing w:val="-2"/>
          <w:sz w:val="24"/>
          <w:szCs w:val="24"/>
          <w:highlight w:val="none"/>
          <w:u w:val="none"/>
          <w:lang w:val="en-US" w:eastAsia="zh-CN"/>
        </w:rPr>
      </w:pPr>
      <w:r>
        <w:rPr>
          <w:rFonts w:ascii="宋体" w:hAnsi="宋体" w:eastAsia="宋体" w:cs="宋体"/>
          <w:color w:val="auto"/>
          <w:spacing w:val="-24"/>
          <w:sz w:val="24"/>
          <w:szCs w:val="24"/>
          <w:highlight w:val="none"/>
        </w:rPr>
        <w:t>电</w:t>
      </w:r>
      <w:r>
        <w:rPr>
          <w:rFonts w:ascii="宋体" w:hAnsi="宋体" w:eastAsia="宋体" w:cs="宋体"/>
          <w:color w:val="auto"/>
          <w:spacing w:val="2"/>
          <w:sz w:val="24"/>
          <w:szCs w:val="24"/>
          <w:highlight w:val="none"/>
        </w:rPr>
        <w:t xml:space="preserve">    </w:t>
      </w:r>
      <w:r>
        <w:rPr>
          <w:rFonts w:ascii="宋体" w:hAnsi="宋体" w:eastAsia="宋体" w:cs="宋体"/>
          <w:color w:val="auto"/>
          <w:spacing w:val="-24"/>
          <w:sz w:val="24"/>
          <w:szCs w:val="24"/>
          <w:highlight w:val="none"/>
        </w:rPr>
        <w:t>话：</w:t>
      </w:r>
      <w:r>
        <w:rPr>
          <w:rFonts w:hint="eastAsia" w:ascii="宋体" w:hAnsi="宋体" w:eastAsia="宋体" w:cs="宋体"/>
          <w:color w:val="auto"/>
          <w:spacing w:val="-2"/>
          <w:sz w:val="24"/>
          <w:szCs w:val="24"/>
          <w:highlight w:val="none"/>
          <w:u w:val="single"/>
          <w:lang w:val="en-US" w:eastAsia="zh-CN"/>
        </w:rPr>
        <w:t xml:space="preserve">  0575-83103588          </w:t>
      </w:r>
      <w:r>
        <w:rPr>
          <w:rFonts w:hint="eastAsia" w:ascii="Times New Roman" w:hAnsi="Times New Roman" w:eastAsia="Times New Roman" w:cs="Times New Roman"/>
          <w:color w:val="auto"/>
          <w:spacing w:val="-1"/>
          <w:sz w:val="24"/>
          <w:szCs w:val="24"/>
          <w:highlight w:val="none"/>
          <w:u w:val="none"/>
          <w:lang w:val="en-US" w:eastAsia="zh-CN"/>
        </w:rPr>
        <w:t xml:space="preserve"> </w:t>
      </w:r>
      <w:r>
        <w:rPr>
          <w:rFonts w:hint="eastAsia" w:ascii="宋体" w:hAnsi="宋体" w:eastAsia="宋体" w:cs="宋体"/>
          <w:color w:val="auto"/>
          <w:spacing w:val="-24"/>
          <w:sz w:val="24"/>
          <w:szCs w:val="24"/>
          <w:highlight w:val="none"/>
          <w:u w:val="none"/>
          <w:lang w:val="en-US" w:eastAsia="zh-CN"/>
        </w:rPr>
        <w:t xml:space="preserve"> </w:t>
      </w:r>
      <w:r>
        <w:rPr>
          <w:rFonts w:hint="eastAsia" w:ascii="宋体" w:hAnsi="宋体" w:eastAsia="宋体" w:cs="宋体"/>
          <w:color w:val="auto"/>
          <w:spacing w:val="-24"/>
          <w:sz w:val="24"/>
          <w:szCs w:val="24"/>
          <w:highlight w:val="none"/>
          <w:lang w:val="en-US" w:eastAsia="zh-CN"/>
        </w:rPr>
        <w:t xml:space="preserve">           </w:t>
      </w:r>
    </w:p>
    <w:p w14:paraId="767D9FC7">
      <w:pPr>
        <w:spacing w:line="10" w:lineRule="exact"/>
        <w:ind w:left="1671"/>
        <w:rPr>
          <w:rFonts w:hint="default" w:eastAsia="宋体"/>
          <w:color w:val="auto"/>
          <w:highlight w:val="none"/>
          <w:u w:val="none"/>
          <w:lang w:val="en-US" w:eastAsia="zh-CN"/>
        </w:rPr>
      </w:pPr>
      <w:r>
        <w:rPr>
          <w:rFonts w:ascii="Times New Roman" w:hAnsi="Times New Roman" w:eastAsia="Times New Roman" w:cs="Times New Roman"/>
          <w:color w:val="auto"/>
          <w:position w:val="5"/>
          <w:sz w:val="24"/>
          <w:szCs w:val="24"/>
          <w:highlight w:val="none"/>
          <w:u w:val="none"/>
        </w:rPr>
        <w:t>______________</w:t>
      </w:r>
    </w:p>
    <w:p w14:paraId="157E2D72">
      <w:pPr>
        <w:spacing w:before="91" w:line="221" w:lineRule="auto"/>
        <w:ind w:left="2"/>
        <w:outlineLvl w:val="1"/>
        <w:rPr>
          <w:color w:val="auto"/>
          <w:highlight w:val="none"/>
        </w:rPr>
      </w:pPr>
      <w:bookmarkStart w:id="19" w:name="_Toc12135"/>
      <w:bookmarkStart w:id="20" w:name="_Toc19007"/>
      <w:r>
        <w:rPr>
          <w:rFonts w:ascii="Times New Roman" w:hAnsi="Times New Roman" w:eastAsia="Times New Roman" w:cs="Times New Roman"/>
          <w:b/>
          <w:bCs/>
          <w:color w:val="auto"/>
          <w:spacing w:val="-6"/>
          <w:sz w:val="28"/>
          <w:szCs w:val="28"/>
          <w:highlight w:val="none"/>
          <w:u w:val="none"/>
        </w:rPr>
        <w:t>8</w:t>
      </w:r>
      <w:r>
        <w:rPr>
          <w:rFonts w:ascii="Times New Roman" w:hAnsi="Times New Roman" w:eastAsia="Times New Roman" w:cs="Times New Roman"/>
          <w:b/>
          <w:bCs/>
          <w:color w:val="auto"/>
          <w:spacing w:val="6"/>
          <w:sz w:val="28"/>
          <w:szCs w:val="28"/>
          <w:highlight w:val="none"/>
          <w:u w:val="none"/>
        </w:rPr>
        <w:t xml:space="preserve">  </w:t>
      </w:r>
      <w:r>
        <w:rPr>
          <w:rFonts w:ascii="宋体" w:hAnsi="宋体" w:eastAsia="宋体" w:cs="宋体"/>
          <w:b/>
          <w:bCs/>
          <w:color w:val="auto"/>
          <w:spacing w:val="-6"/>
          <w:sz w:val="28"/>
          <w:szCs w:val="28"/>
          <w:highlight w:val="none"/>
          <w:u w:val="none"/>
        </w:rPr>
        <w:t>联系方式</w:t>
      </w:r>
      <w:bookmarkEnd w:id="19"/>
      <w:bookmarkEnd w:id="20"/>
    </w:p>
    <w:p w14:paraId="5D4B3D13">
      <w:pPr>
        <w:keepNext w:val="0"/>
        <w:keepLines w:val="0"/>
        <w:pageBreakBefore w:val="0"/>
        <w:widowControl/>
        <w:kinsoku w:val="0"/>
        <w:wordWrap/>
        <w:overflowPunct/>
        <w:topLinePunct w:val="0"/>
        <w:autoSpaceDE w:val="0"/>
        <w:autoSpaceDN w:val="0"/>
        <w:bidi w:val="0"/>
        <w:adjustRightInd w:val="0"/>
        <w:snapToGrid w:val="0"/>
        <w:spacing w:before="0" w:beforeLines="50" w:line="500" w:lineRule="exact"/>
        <w:ind w:right="-210" w:rightChars="-100"/>
        <w:jc w:val="left"/>
        <w:textAlignment w:val="baseline"/>
        <w:rPr>
          <w:rFonts w:hint="eastAsia" w:ascii="宋体" w:hAnsi="宋体" w:eastAsia="宋体" w:cs="宋体"/>
          <w:color w:val="auto"/>
          <w:sz w:val="24"/>
          <w:szCs w:val="24"/>
          <w:highlight w:val="none"/>
          <w:u w:val="single"/>
        </w:rPr>
      </w:pPr>
      <w:r>
        <w:rPr>
          <w:rFonts w:hint="eastAsia" w:ascii="宋体" w:hAnsi="宋体" w:eastAsia="宋体" w:cs="宋体"/>
          <w:color w:val="auto"/>
          <w:spacing w:val="-23"/>
          <w:sz w:val="24"/>
          <w:szCs w:val="24"/>
          <w:highlight w:val="none"/>
        </w:rPr>
        <w:t>招标人</w:t>
      </w:r>
      <w:r>
        <w:rPr>
          <w:rFonts w:hint="eastAsia" w:ascii="宋体" w:hAnsi="宋体" w:eastAsia="宋体" w:cs="宋体"/>
          <w:color w:val="auto"/>
          <w:sz w:val="24"/>
          <w:szCs w:val="24"/>
          <w:highlight w:val="none"/>
        </w:rPr>
        <w:t>：</w:t>
      </w:r>
      <w:r>
        <w:rPr>
          <w:rFonts w:hint="eastAsia" w:ascii="宋体" w:hAnsi="宋体" w:eastAsia="宋体" w:cs="宋体"/>
          <w:color w:val="auto"/>
          <w:spacing w:val="-23"/>
          <w:sz w:val="24"/>
          <w:szCs w:val="24"/>
          <w:highlight w:val="none"/>
          <w:u w:val="single"/>
          <w:lang w:val="en-US" w:eastAsia="zh-CN"/>
        </w:rPr>
        <w:t>嵊州市现代农业园区建设有限公司</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pacing w:val="-23"/>
          <w:sz w:val="24"/>
          <w:szCs w:val="24"/>
          <w:highlight w:val="none"/>
        </w:rPr>
        <w:t>招标代理机构</w:t>
      </w:r>
      <w:r>
        <w:rPr>
          <w:rFonts w:hint="eastAsia" w:ascii="宋体" w:hAnsi="宋体" w:eastAsia="宋体" w:cs="宋体"/>
          <w:color w:val="auto"/>
          <w:spacing w:val="-23"/>
          <w:sz w:val="24"/>
          <w:szCs w:val="24"/>
          <w:highlight w:val="none"/>
          <w:lang w:eastAsia="zh-CN"/>
        </w:rPr>
        <w:t>：</w:t>
      </w:r>
      <w:r>
        <w:rPr>
          <w:rFonts w:hint="eastAsia" w:ascii="宋体" w:hAnsi="宋体" w:eastAsia="宋体" w:cs="宋体"/>
          <w:color w:val="auto"/>
          <w:spacing w:val="-23"/>
          <w:sz w:val="24"/>
          <w:szCs w:val="24"/>
          <w:highlight w:val="none"/>
          <w:u w:val="single"/>
          <w:lang w:val="en-US" w:eastAsia="zh-CN"/>
        </w:rPr>
        <w:t>禾泽都林设计集团有限公司</w:t>
      </w:r>
    </w:p>
    <w:p w14:paraId="30C8BBCB">
      <w:pPr>
        <w:keepNext w:val="0"/>
        <w:keepLines w:val="0"/>
        <w:pageBreakBefore w:val="0"/>
        <w:widowControl/>
        <w:kinsoku w:val="0"/>
        <w:wordWrap/>
        <w:overflowPunct/>
        <w:topLinePunct w:val="0"/>
        <w:autoSpaceDE w:val="0"/>
        <w:autoSpaceDN w:val="0"/>
        <w:bidi w:val="0"/>
        <w:adjustRightInd w:val="0"/>
        <w:snapToGrid w:val="0"/>
        <w:spacing w:line="500" w:lineRule="exact"/>
        <w:jc w:val="left"/>
        <w:textAlignment w:val="baseline"/>
        <w:rPr>
          <w:rFonts w:hint="eastAsia" w:ascii="宋体" w:hAnsi="宋体" w:eastAsia="宋体" w:cs="宋体"/>
          <w:color w:val="auto"/>
          <w:sz w:val="24"/>
          <w:szCs w:val="24"/>
          <w:highlight w:val="none"/>
          <w:u w:val="single"/>
        </w:rPr>
      </w:pPr>
      <w:r>
        <w:rPr>
          <w:rFonts w:hint="eastAsia" w:ascii="宋体" w:hAnsi="宋体" w:eastAsia="宋体" w:cs="宋体"/>
          <w:color w:val="auto"/>
          <w:spacing w:val="-23"/>
          <w:sz w:val="24"/>
          <w:szCs w:val="24"/>
          <w:highlight w:val="none"/>
        </w:rPr>
        <w:t>地址</w:t>
      </w:r>
      <w:r>
        <w:rPr>
          <w:rFonts w:hint="eastAsia" w:ascii="宋体" w:hAnsi="宋体" w:eastAsia="宋体" w:cs="宋体"/>
          <w:color w:val="auto"/>
          <w:sz w:val="24"/>
          <w:szCs w:val="24"/>
          <w:highlight w:val="none"/>
        </w:rPr>
        <w:t>：</w:t>
      </w:r>
      <w:r>
        <w:rPr>
          <w:rFonts w:hint="eastAsia" w:ascii="宋体" w:hAnsi="宋体" w:eastAsia="宋体" w:cs="宋体"/>
          <w:color w:val="auto"/>
          <w:spacing w:val="-23"/>
          <w:sz w:val="24"/>
          <w:szCs w:val="24"/>
          <w:highlight w:val="none"/>
          <w:u w:val="single"/>
          <w:lang w:val="en-US" w:eastAsia="zh-CN"/>
        </w:rPr>
        <w:t>嵊州市鹿山街道长宁路1088号综合楼5楼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地址：</w:t>
      </w:r>
      <w:r>
        <w:rPr>
          <w:rFonts w:hint="eastAsia" w:ascii="宋体" w:hAnsi="宋体" w:eastAsia="宋体" w:cs="宋体"/>
          <w:iCs/>
          <w:color w:val="auto"/>
          <w:sz w:val="21"/>
          <w:szCs w:val="21"/>
          <w:highlight w:val="none"/>
          <w:u w:val="single"/>
          <w:lang w:eastAsia="zh-CN"/>
        </w:rPr>
        <w:t>绍兴市嵊州市剡湖街道龙会一路14号</w:t>
      </w:r>
      <w:r>
        <w:rPr>
          <w:rFonts w:hint="eastAsia" w:ascii="宋体" w:hAnsi="宋体" w:eastAsia="宋体" w:cs="宋体"/>
          <w:color w:val="auto"/>
          <w:sz w:val="24"/>
          <w:szCs w:val="24"/>
          <w:highlight w:val="none"/>
          <w:u w:val="single"/>
        </w:rPr>
        <w:t xml:space="preserve"> </w:t>
      </w:r>
    </w:p>
    <w:p w14:paraId="20F2ACC4">
      <w:pPr>
        <w:keepNext w:val="0"/>
        <w:keepLines w:val="0"/>
        <w:pageBreakBefore w:val="0"/>
        <w:widowControl/>
        <w:kinsoku w:val="0"/>
        <w:wordWrap/>
        <w:overflowPunct/>
        <w:topLinePunct w:val="0"/>
        <w:autoSpaceDE w:val="0"/>
        <w:autoSpaceDN w:val="0"/>
        <w:bidi w:val="0"/>
        <w:adjustRightInd w:val="0"/>
        <w:snapToGrid w:val="0"/>
        <w:spacing w:line="500" w:lineRule="exac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金建良</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i w:val="0"/>
          <w:iCs/>
          <w:color w:val="auto"/>
          <w:sz w:val="21"/>
          <w:szCs w:val="21"/>
          <w:highlight w:val="none"/>
          <w:u w:val="single"/>
        </w:rPr>
        <w:t xml:space="preserve"> </w:t>
      </w:r>
      <w:r>
        <w:rPr>
          <w:rFonts w:hint="eastAsia" w:ascii="宋体" w:hAnsi="宋体" w:eastAsia="宋体" w:cs="宋体"/>
          <w:i w:val="0"/>
          <w:iCs/>
          <w:color w:val="auto"/>
          <w:sz w:val="24"/>
          <w:szCs w:val="24"/>
          <w:highlight w:val="none"/>
          <w:u w:val="single"/>
          <w:lang w:val="en-US" w:eastAsia="zh-CN"/>
        </w:rPr>
        <w:t>钱巧林</w:t>
      </w:r>
      <w:r>
        <w:rPr>
          <w:rFonts w:hint="eastAsia" w:ascii="宋体" w:hAnsi="宋体" w:eastAsia="宋体" w:cs="宋体"/>
          <w:i w:val="0"/>
          <w:iCs/>
          <w:color w:val="auto"/>
          <w:sz w:val="24"/>
          <w:szCs w:val="24"/>
          <w:highlight w:val="none"/>
          <w:u w:val="single"/>
        </w:rPr>
        <w:t xml:space="preserve"> </w:t>
      </w:r>
      <w:r>
        <w:rPr>
          <w:rFonts w:hint="eastAsia" w:ascii="宋体" w:hAnsi="宋体" w:eastAsia="宋体" w:cs="宋体"/>
          <w:i/>
          <w:color w:val="auto"/>
          <w:sz w:val="24"/>
          <w:szCs w:val="24"/>
          <w:highlight w:val="none"/>
          <w:u w:val="single"/>
        </w:rPr>
        <w:t xml:space="preserve"> </w:t>
      </w:r>
      <w:r>
        <w:rPr>
          <w:rFonts w:hint="eastAsia" w:ascii="宋体" w:hAnsi="宋体" w:cs="宋体"/>
          <w:i/>
          <w:color w:val="auto"/>
          <w:sz w:val="24"/>
          <w:szCs w:val="24"/>
          <w:highlight w:val="none"/>
          <w:u w:val="single"/>
          <w:lang w:val="en-US" w:eastAsia="zh-CN"/>
        </w:rPr>
        <w:t xml:space="preserve"> </w:t>
      </w:r>
      <w:r>
        <w:rPr>
          <w:rFonts w:hint="eastAsia" w:ascii="宋体" w:hAnsi="宋体" w:cs="宋体"/>
          <w:i w:val="0"/>
          <w:iCs/>
          <w:color w:val="auto"/>
          <w:sz w:val="24"/>
          <w:szCs w:val="24"/>
          <w:highlight w:val="none"/>
          <w:u w:val="single"/>
          <w:lang w:val="en-US" w:eastAsia="zh-CN"/>
        </w:rPr>
        <w:t>钱柯琼</w:t>
      </w:r>
      <w:r>
        <w:rPr>
          <w:rFonts w:hint="eastAsia" w:ascii="宋体" w:hAnsi="宋体" w:eastAsia="宋体" w:cs="宋体"/>
          <w:i w:val="0"/>
          <w:iCs/>
          <w:color w:val="auto"/>
          <w:sz w:val="21"/>
          <w:szCs w:val="21"/>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14:paraId="1BCF03A0">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宋体" w:hAnsi="宋体" w:eastAsia="宋体" w:cs="宋体"/>
          <w:iCs/>
          <w:color w:val="auto"/>
          <w:sz w:val="24"/>
          <w:szCs w:val="24"/>
          <w:highlight w:val="none"/>
          <w:u w:val="single"/>
          <w:lang w:val="en-US" w:eastAsia="zh-CN"/>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u w:val="single"/>
          <w:lang w:val="en-US" w:eastAsia="zh-CN"/>
        </w:rPr>
        <w:t xml:space="preserve">  0575-83275810    </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rPr>
        <w:t xml:space="preserve"> </w:t>
      </w:r>
      <w:r>
        <w:rPr>
          <w:rFonts w:hint="eastAsia" w:ascii="宋体" w:hAnsi="宋体" w:eastAsia="宋体" w:cs="宋体"/>
          <w:iCs/>
          <w:color w:val="auto"/>
          <w:sz w:val="24"/>
          <w:szCs w:val="24"/>
          <w:highlight w:val="none"/>
          <w:u w:val="single"/>
          <w:lang w:val="en-US" w:eastAsia="zh-CN"/>
        </w:rPr>
        <w:t>18758559400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color="auto"/>
          <w:lang w:val="en-US" w:eastAsia="zh-CN"/>
        </w:rPr>
        <w:t xml:space="preserve"> </w:t>
      </w:r>
      <w:r>
        <w:rPr>
          <w:rFonts w:hint="eastAsia" w:ascii="宋体" w:hAnsi="宋体" w:eastAsia="宋体" w:cs="宋体"/>
          <w:iCs/>
          <w:color w:val="auto"/>
          <w:sz w:val="24"/>
          <w:szCs w:val="24"/>
          <w:highlight w:val="none"/>
          <w:u w:val="single"/>
          <w:lang w:val="en-US" w:eastAsia="zh-CN"/>
        </w:rPr>
        <w:t>0575-83031200</w:t>
      </w:r>
      <w:bookmarkStart w:id="21" w:name="_Toc12785"/>
      <w:bookmarkStart w:id="22" w:name="_Toc27494"/>
      <w:bookmarkStart w:id="23" w:name="_Toc498"/>
      <w:bookmarkStart w:id="24" w:name="_Toc25864"/>
    </w:p>
    <w:p w14:paraId="06EE8E29">
      <w:pPr>
        <w:keepNext w:val="0"/>
        <w:keepLines w:val="0"/>
        <w:pageBreakBefore w:val="0"/>
        <w:widowControl/>
        <w:kinsoku w:val="0"/>
        <w:wordWrap/>
        <w:overflowPunct/>
        <w:topLinePunct w:val="0"/>
        <w:autoSpaceDE w:val="0"/>
        <w:autoSpaceDN w:val="0"/>
        <w:bidi w:val="0"/>
        <w:adjustRightInd w:val="0"/>
        <w:snapToGrid w:val="0"/>
        <w:spacing w:line="500" w:lineRule="exact"/>
        <w:textAlignment w:val="baseline"/>
        <w:rPr>
          <w:rFonts w:hint="eastAsia" w:ascii="宋体" w:hAnsi="宋体" w:eastAsia="宋体" w:cs="宋体"/>
          <w:color w:val="auto"/>
          <w:highlight w:val="none"/>
        </w:rPr>
        <w:sectPr>
          <w:footerReference r:id="rId8" w:type="default"/>
          <w:pgSz w:w="11905" w:h="16840"/>
          <w:pgMar w:top="1228" w:right="1270" w:bottom="1255" w:left="1594" w:header="0" w:footer="1093" w:gutter="0"/>
          <w:pgNumType w:fmt="decimal"/>
          <w:cols w:equalWidth="0" w:num="1">
            <w:col w:w="8953"/>
          </w:cols>
        </w:sectPr>
      </w:pPr>
      <w:r>
        <w:rPr>
          <w:rFonts w:hint="eastAsia" w:ascii="宋体" w:hAnsi="宋体" w:eastAsia="宋体" w:cs="宋体"/>
          <w:color w:val="auto"/>
          <w:sz w:val="24"/>
          <w:szCs w:val="24"/>
          <w:highlight w:val="none"/>
        </w:rPr>
        <w:t>电子</w:t>
      </w:r>
      <w:r>
        <w:rPr>
          <w:rFonts w:hint="eastAsia" w:ascii="宋体" w:hAnsi="宋体" w:eastAsia="宋体" w:cs="宋体"/>
          <w:color w:val="auto"/>
          <w:sz w:val="24"/>
          <w:szCs w:val="24"/>
          <w:highlight w:val="none"/>
          <w:lang w:val="en-US" w:eastAsia="zh-CN"/>
        </w:rPr>
        <w:t>信箱</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rPr>
        <w:t>电子</w:t>
      </w:r>
      <w:r>
        <w:rPr>
          <w:rFonts w:hint="eastAsia" w:ascii="宋体" w:hAnsi="宋体" w:eastAsia="宋体" w:cs="宋体"/>
          <w:color w:val="auto"/>
          <w:sz w:val="24"/>
          <w:szCs w:val="24"/>
          <w:highlight w:val="none"/>
          <w:lang w:val="en-US" w:eastAsia="zh-CN"/>
        </w:rPr>
        <w:t>信箱</w:t>
      </w:r>
      <w:r>
        <w:rPr>
          <w:rFonts w:hint="eastAsia" w:ascii="宋体" w:hAnsi="宋体" w:eastAsia="宋体" w:cs="宋体"/>
          <w:color w:val="auto"/>
          <w:sz w:val="24"/>
          <w:szCs w:val="24"/>
          <w:highlight w:val="none"/>
        </w:rPr>
        <w:t>：</w:t>
      </w:r>
      <w:bookmarkEnd w:id="21"/>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65523876</w:t>
      </w:r>
      <w:r>
        <w:rPr>
          <w:rFonts w:hint="eastAsia" w:ascii="宋体" w:hAnsi="宋体" w:eastAsia="宋体" w:cs="宋体"/>
          <w:color w:val="auto"/>
          <w:sz w:val="24"/>
          <w:szCs w:val="24"/>
          <w:highlight w:val="none"/>
          <w:u w:val="single"/>
          <w:lang w:val="en-US" w:eastAsia="zh-CN"/>
        </w:rPr>
        <w:t>@qq.com</w:t>
      </w:r>
      <w:bookmarkEnd w:id="22"/>
      <w:bookmarkEnd w:id="23"/>
      <w:bookmarkEnd w:id="24"/>
      <w:r>
        <w:rPr>
          <w:rFonts w:hint="eastAsia" w:ascii="宋体" w:hAnsi="宋体" w:eastAsia="宋体" w:cs="宋体"/>
          <w:color w:val="auto"/>
          <w:sz w:val="21"/>
          <w:szCs w:val="21"/>
          <w:highlight w:val="none"/>
          <w:u w:val="single"/>
          <w:lang w:val="en-US" w:eastAsia="zh-CN"/>
        </w:rPr>
        <w:t xml:space="preserve">      </w:t>
      </w:r>
    </w:p>
    <w:p w14:paraId="349F359C">
      <w:pPr>
        <w:keepNext w:val="0"/>
        <w:keepLines w:val="0"/>
        <w:pageBreakBefore w:val="0"/>
        <w:widowControl/>
        <w:kinsoku w:val="0"/>
        <w:wordWrap/>
        <w:overflowPunct/>
        <w:topLinePunct w:val="0"/>
        <w:autoSpaceDE w:val="0"/>
        <w:autoSpaceDN w:val="0"/>
        <w:bidi w:val="0"/>
        <w:adjustRightInd w:val="0"/>
        <w:snapToGrid w:val="0"/>
        <w:spacing w:line="500" w:lineRule="exact"/>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u w:val="single" w:color="auto"/>
          <w:lang w:eastAsia="zh-CN"/>
        </w:rPr>
        <w:t>2026</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6"/>
          <w:sz w:val="24"/>
          <w:szCs w:val="24"/>
          <w:highlight w:val="none"/>
          <w:u w:val="single"/>
          <w:lang w:val="en-US" w:eastAsia="zh-CN"/>
        </w:rPr>
        <w:t xml:space="preserve"> 01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6"/>
          <w:sz w:val="24"/>
          <w:szCs w:val="24"/>
          <w:highlight w:val="none"/>
          <w:u w:val="single" w:color="auto"/>
          <w:lang w:val="en-US" w:eastAsia="zh-CN"/>
        </w:rPr>
        <w:t xml:space="preserve"> 06</w:t>
      </w:r>
      <w:r>
        <w:rPr>
          <w:rFonts w:hint="eastAsia" w:ascii="宋体" w:hAnsi="宋体" w:eastAsia="宋体" w:cs="宋体"/>
          <w:color w:val="auto"/>
          <w:spacing w:val="13"/>
          <w:sz w:val="24"/>
          <w:szCs w:val="24"/>
          <w:highlight w:val="none"/>
          <w:u w:val="single" w:color="auto"/>
          <w:lang w:val="en-US" w:eastAsia="zh-CN"/>
        </w:rPr>
        <w:t xml:space="preserve"> </w:t>
      </w:r>
      <w:r>
        <w:rPr>
          <w:rFonts w:hint="eastAsia" w:ascii="宋体" w:hAnsi="宋体" w:eastAsia="宋体" w:cs="宋体"/>
          <w:color w:val="auto"/>
          <w:spacing w:val="-6"/>
          <w:sz w:val="24"/>
          <w:szCs w:val="24"/>
          <w:highlight w:val="none"/>
        </w:rPr>
        <w:t>日</w:t>
      </w:r>
    </w:p>
    <w:p w14:paraId="50FEF881">
      <w:pPr>
        <w:keepNext w:val="0"/>
        <w:keepLines w:val="0"/>
        <w:pageBreakBefore w:val="0"/>
        <w:widowControl/>
        <w:kinsoku w:val="0"/>
        <w:wordWrap/>
        <w:overflowPunct/>
        <w:topLinePunct w:val="0"/>
        <w:autoSpaceDE w:val="0"/>
        <w:autoSpaceDN w:val="0"/>
        <w:bidi w:val="0"/>
        <w:adjustRightInd w:val="0"/>
        <w:snapToGrid w:val="0"/>
        <w:spacing w:line="480" w:lineRule="exact"/>
        <w:textAlignment w:val="baseline"/>
        <w:rPr>
          <w:rFonts w:hint="eastAsia" w:ascii="宋体" w:hAnsi="宋体" w:eastAsia="宋体" w:cs="宋体"/>
          <w:color w:val="auto"/>
          <w:sz w:val="24"/>
          <w:szCs w:val="24"/>
          <w:highlight w:val="none"/>
        </w:rPr>
        <w:sectPr>
          <w:type w:val="continuous"/>
          <w:pgSz w:w="11905" w:h="16840"/>
          <w:pgMar w:top="1428" w:right="650" w:bottom="1255" w:left="1594" w:header="0" w:footer="1093" w:gutter="0"/>
          <w:pgNumType w:fmt="decimal"/>
          <w:cols w:equalWidth="0" w:num="2">
            <w:col w:w="7980" w:space="161"/>
            <w:col w:w="1519"/>
          </w:cols>
        </w:sectPr>
      </w:pPr>
    </w:p>
    <w:p w14:paraId="7C3C33CF">
      <w:pPr>
        <w:spacing w:before="57" w:line="222" w:lineRule="auto"/>
        <w:ind w:left="2857"/>
        <w:outlineLvl w:val="2"/>
        <w:rPr>
          <w:rFonts w:ascii="黑体" w:hAnsi="黑体" w:eastAsia="黑体" w:cs="黑体"/>
          <w:color w:val="auto"/>
          <w:sz w:val="28"/>
          <w:szCs w:val="28"/>
          <w:highlight w:val="none"/>
        </w:rPr>
      </w:pPr>
      <w:bookmarkStart w:id="25" w:name="_Toc8016"/>
      <w:bookmarkStart w:id="26" w:name="_Toc7557"/>
      <w:r>
        <w:rPr>
          <w:rFonts w:ascii="黑体" w:hAnsi="黑体" w:eastAsia="黑体" w:cs="黑体"/>
          <w:b/>
          <w:bCs/>
          <w:color w:val="auto"/>
          <w:spacing w:val="-3"/>
          <w:sz w:val="28"/>
          <w:szCs w:val="28"/>
          <w:highlight w:val="none"/>
        </w:rPr>
        <w:t>投标人资格条件要求附表</w:t>
      </w:r>
      <w:bookmarkEnd w:id="25"/>
      <w:bookmarkEnd w:id="26"/>
    </w:p>
    <w:p w14:paraId="21B41BFC">
      <w:pPr>
        <w:spacing w:line="165" w:lineRule="exact"/>
        <w:rPr>
          <w:color w:val="auto"/>
          <w:highlight w:val="none"/>
        </w:rPr>
      </w:pPr>
    </w:p>
    <w:tbl>
      <w:tblPr>
        <w:tblStyle w:val="16"/>
        <w:tblW w:w="884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8111"/>
      </w:tblGrid>
      <w:tr w14:paraId="0402F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31" w:type="dxa"/>
            <w:tcBorders>
              <w:top w:val="single" w:color="000000" w:sz="6" w:space="0"/>
              <w:left w:val="single" w:color="000000" w:sz="6" w:space="0"/>
            </w:tcBorders>
            <w:vAlign w:val="top"/>
          </w:tcPr>
          <w:p w14:paraId="68053745">
            <w:pPr>
              <w:pStyle w:val="17"/>
              <w:spacing w:before="96" w:line="222" w:lineRule="auto"/>
              <w:ind w:left="150"/>
              <w:rPr>
                <w:color w:val="auto"/>
                <w:sz w:val="24"/>
                <w:szCs w:val="24"/>
                <w:highlight w:val="none"/>
              </w:rPr>
            </w:pPr>
            <w:r>
              <w:rPr>
                <w:b/>
                <w:bCs/>
                <w:color w:val="auto"/>
                <w:spacing w:val="-4"/>
                <w:sz w:val="24"/>
                <w:szCs w:val="24"/>
                <w:highlight w:val="none"/>
              </w:rPr>
              <w:t>序号</w:t>
            </w:r>
          </w:p>
        </w:tc>
        <w:tc>
          <w:tcPr>
            <w:tcW w:w="8111" w:type="dxa"/>
            <w:tcBorders>
              <w:top w:val="single" w:color="000000" w:sz="6" w:space="0"/>
              <w:right w:val="single" w:color="000000" w:sz="6" w:space="0"/>
            </w:tcBorders>
            <w:vAlign w:val="top"/>
          </w:tcPr>
          <w:p w14:paraId="05374035">
            <w:pPr>
              <w:pStyle w:val="17"/>
              <w:spacing w:before="95" w:line="221" w:lineRule="auto"/>
              <w:jc w:val="center"/>
              <w:rPr>
                <w:color w:val="auto"/>
                <w:sz w:val="24"/>
                <w:szCs w:val="24"/>
                <w:highlight w:val="none"/>
              </w:rPr>
            </w:pPr>
            <w:r>
              <w:rPr>
                <w:b/>
                <w:bCs/>
                <w:color w:val="auto"/>
                <w:spacing w:val="-12"/>
                <w:sz w:val="24"/>
                <w:szCs w:val="24"/>
                <w:highlight w:val="none"/>
              </w:rPr>
              <w:t>资</w:t>
            </w:r>
            <w:r>
              <w:rPr>
                <w:color w:val="auto"/>
                <w:spacing w:val="13"/>
                <w:sz w:val="24"/>
                <w:szCs w:val="24"/>
                <w:highlight w:val="none"/>
              </w:rPr>
              <w:t xml:space="preserve"> </w:t>
            </w:r>
            <w:r>
              <w:rPr>
                <w:b/>
                <w:bCs/>
                <w:color w:val="auto"/>
                <w:spacing w:val="-12"/>
                <w:sz w:val="24"/>
                <w:szCs w:val="24"/>
                <w:highlight w:val="none"/>
              </w:rPr>
              <w:t>格</w:t>
            </w:r>
            <w:r>
              <w:rPr>
                <w:color w:val="auto"/>
                <w:spacing w:val="11"/>
                <w:sz w:val="24"/>
                <w:szCs w:val="24"/>
                <w:highlight w:val="none"/>
              </w:rPr>
              <w:t xml:space="preserve"> </w:t>
            </w:r>
            <w:r>
              <w:rPr>
                <w:b/>
                <w:bCs/>
                <w:color w:val="auto"/>
                <w:spacing w:val="-12"/>
                <w:sz w:val="24"/>
                <w:szCs w:val="24"/>
                <w:highlight w:val="none"/>
              </w:rPr>
              <w:t>条</w:t>
            </w:r>
            <w:r>
              <w:rPr>
                <w:color w:val="auto"/>
                <w:spacing w:val="-12"/>
                <w:sz w:val="24"/>
                <w:szCs w:val="24"/>
                <w:highlight w:val="none"/>
              </w:rPr>
              <w:t xml:space="preserve"> </w:t>
            </w:r>
            <w:r>
              <w:rPr>
                <w:b/>
                <w:bCs/>
                <w:color w:val="auto"/>
                <w:spacing w:val="-12"/>
                <w:sz w:val="24"/>
                <w:szCs w:val="24"/>
                <w:highlight w:val="none"/>
              </w:rPr>
              <w:t>件</w:t>
            </w:r>
            <w:r>
              <w:rPr>
                <w:color w:val="auto"/>
                <w:spacing w:val="34"/>
                <w:sz w:val="24"/>
                <w:szCs w:val="24"/>
                <w:highlight w:val="none"/>
              </w:rPr>
              <w:t xml:space="preserve"> </w:t>
            </w:r>
            <w:r>
              <w:rPr>
                <w:b/>
                <w:bCs/>
                <w:color w:val="auto"/>
                <w:spacing w:val="-12"/>
                <w:sz w:val="24"/>
                <w:szCs w:val="24"/>
                <w:highlight w:val="none"/>
              </w:rPr>
              <w:t>内</w:t>
            </w:r>
            <w:r>
              <w:rPr>
                <w:color w:val="auto"/>
                <w:spacing w:val="11"/>
                <w:sz w:val="24"/>
                <w:szCs w:val="24"/>
                <w:highlight w:val="none"/>
              </w:rPr>
              <w:t xml:space="preserve"> </w:t>
            </w:r>
            <w:r>
              <w:rPr>
                <w:b/>
                <w:bCs/>
                <w:color w:val="auto"/>
                <w:spacing w:val="-12"/>
                <w:sz w:val="24"/>
                <w:szCs w:val="24"/>
                <w:highlight w:val="none"/>
              </w:rPr>
              <w:t>容</w:t>
            </w:r>
          </w:p>
        </w:tc>
      </w:tr>
      <w:tr w14:paraId="2F10E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31" w:type="dxa"/>
            <w:tcBorders>
              <w:left w:val="single" w:color="000000" w:sz="6" w:space="0"/>
            </w:tcBorders>
            <w:vAlign w:val="top"/>
          </w:tcPr>
          <w:p w14:paraId="5E01612E">
            <w:pPr>
              <w:pStyle w:val="17"/>
              <w:spacing w:before="171" w:line="163" w:lineRule="exact"/>
              <w:ind w:left="260"/>
              <w:rPr>
                <w:color w:val="auto"/>
                <w:sz w:val="24"/>
                <w:szCs w:val="24"/>
                <w:highlight w:val="none"/>
              </w:rPr>
            </w:pPr>
            <w:r>
              <w:rPr>
                <w:b/>
                <w:bCs/>
                <w:color w:val="auto"/>
                <w:spacing w:val="-3"/>
                <w:position w:val="-4"/>
                <w:sz w:val="24"/>
                <w:szCs w:val="24"/>
                <w:highlight w:val="none"/>
              </w:rPr>
              <w:t>一</w:t>
            </w:r>
          </w:p>
        </w:tc>
        <w:tc>
          <w:tcPr>
            <w:tcW w:w="8111" w:type="dxa"/>
            <w:tcBorders>
              <w:right w:val="single" w:color="000000" w:sz="6" w:space="0"/>
            </w:tcBorders>
            <w:vAlign w:val="top"/>
          </w:tcPr>
          <w:p w14:paraId="10CA0AE1">
            <w:pPr>
              <w:pStyle w:val="17"/>
              <w:spacing w:before="91" w:line="231" w:lineRule="auto"/>
              <w:ind w:left="110"/>
              <w:rPr>
                <w:color w:val="auto"/>
                <w:sz w:val="24"/>
                <w:szCs w:val="24"/>
                <w:highlight w:val="none"/>
              </w:rPr>
            </w:pPr>
            <w:r>
              <w:rPr>
                <w:b/>
                <w:bCs/>
                <w:color w:val="auto"/>
                <w:spacing w:val="-5"/>
                <w:sz w:val="24"/>
                <w:szCs w:val="24"/>
                <w:highlight w:val="none"/>
              </w:rPr>
              <w:t>企业</w:t>
            </w:r>
          </w:p>
        </w:tc>
      </w:tr>
      <w:tr w14:paraId="07B63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31" w:type="dxa"/>
            <w:tcBorders>
              <w:left w:val="single" w:color="000000" w:sz="6" w:space="0"/>
            </w:tcBorders>
            <w:vAlign w:val="top"/>
          </w:tcPr>
          <w:p w14:paraId="1A083D15">
            <w:pPr>
              <w:spacing w:line="360" w:lineRule="auto"/>
              <w:rPr>
                <w:rFonts w:ascii="Arial"/>
                <w:color w:val="auto"/>
                <w:sz w:val="24"/>
                <w:szCs w:val="24"/>
                <w:highlight w:val="none"/>
              </w:rPr>
            </w:pPr>
          </w:p>
          <w:p w14:paraId="2EABC74C">
            <w:pPr>
              <w:spacing w:before="61" w:line="360" w:lineRule="auto"/>
              <w:ind w:left="326"/>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1</w:t>
            </w:r>
          </w:p>
        </w:tc>
        <w:tc>
          <w:tcPr>
            <w:tcW w:w="8111" w:type="dxa"/>
            <w:tcBorders>
              <w:right w:val="single" w:color="000000" w:sz="6" w:space="0"/>
            </w:tcBorders>
            <w:vAlign w:val="top"/>
          </w:tcPr>
          <w:p w14:paraId="4F0C2244">
            <w:pPr>
              <w:pStyle w:val="17"/>
              <w:spacing w:before="30" w:line="360" w:lineRule="auto"/>
              <w:ind w:left="107"/>
              <w:rPr>
                <w:color w:val="auto"/>
                <w:sz w:val="24"/>
                <w:szCs w:val="24"/>
                <w:highlight w:val="none"/>
              </w:rPr>
            </w:pPr>
            <w:r>
              <w:rPr>
                <w:color w:val="auto"/>
                <w:spacing w:val="-1"/>
                <w:sz w:val="24"/>
                <w:szCs w:val="24"/>
                <w:highlight w:val="none"/>
              </w:rPr>
              <w:t>应具备</w:t>
            </w:r>
            <w:r>
              <w:rPr>
                <w:color w:val="auto"/>
                <w:spacing w:val="-1"/>
                <w:sz w:val="24"/>
                <w:szCs w:val="24"/>
                <w:highlight w:val="none"/>
                <w:u w:val="single" w:color="auto"/>
              </w:rPr>
              <w:t xml:space="preserve"> </w:t>
            </w:r>
            <w:r>
              <w:rPr>
                <w:rFonts w:hint="eastAsia"/>
                <w:color w:val="auto"/>
                <w:spacing w:val="-1"/>
                <w:sz w:val="24"/>
                <w:szCs w:val="24"/>
                <w:highlight w:val="none"/>
                <w:u w:val="single" w:color="auto"/>
              </w:rPr>
              <w:t>水利水电工程施工总承包</w:t>
            </w:r>
            <w:r>
              <w:rPr>
                <w:rFonts w:hint="eastAsia"/>
                <w:color w:val="auto"/>
                <w:spacing w:val="-1"/>
                <w:sz w:val="24"/>
                <w:szCs w:val="24"/>
                <w:highlight w:val="none"/>
                <w:u w:val="single" w:color="auto"/>
                <w:lang w:val="en-US" w:eastAsia="zh-CN"/>
              </w:rPr>
              <w:t>三</w:t>
            </w:r>
            <w:r>
              <w:rPr>
                <w:rFonts w:hint="eastAsia"/>
                <w:color w:val="auto"/>
                <w:spacing w:val="-1"/>
                <w:sz w:val="24"/>
                <w:szCs w:val="24"/>
                <w:highlight w:val="none"/>
                <w:u w:val="single" w:color="auto"/>
              </w:rPr>
              <w:t>级及以上资质</w:t>
            </w:r>
            <w:r>
              <w:rPr>
                <w:color w:val="auto"/>
                <w:spacing w:val="-1"/>
                <w:sz w:val="24"/>
                <w:szCs w:val="24"/>
                <w:highlight w:val="none"/>
              </w:rPr>
              <w:t>，具有有效的营业执照和安全生产许可证。</w:t>
            </w:r>
          </w:p>
          <w:p w14:paraId="6B58D821">
            <w:pPr>
              <w:pStyle w:val="17"/>
              <w:spacing w:before="23" w:line="360" w:lineRule="auto"/>
              <w:ind w:left="109" w:right="97" w:hanging="1"/>
              <w:rPr>
                <w:color w:val="auto"/>
                <w:sz w:val="24"/>
                <w:szCs w:val="24"/>
                <w:highlight w:val="none"/>
              </w:rPr>
            </w:pPr>
            <w:r>
              <w:rPr>
                <w:color w:val="auto"/>
                <w:spacing w:val="2"/>
                <w:sz w:val="24"/>
                <w:szCs w:val="24"/>
                <w:highlight w:val="none"/>
              </w:rPr>
              <w:t>提供投标人自公告发布之日至投标截止日之间在“浙江省建筑市场监管</w:t>
            </w:r>
            <w:r>
              <w:rPr>
                <w:color w:val="auto"/>
                <w:spacing w:val="1"/>
                <w:sz w:val="24"/>
                <w:szCs w:val="24"/>
                <w:highlight w:val="none"/>
              </w:rPr>
              <w:t>公共服务系统”上</w:t>
            </w:r>
            <w:r>
              <w:rPr>
                <w:color w:val="auto"/>
                <w:spacing w:val="-4"/>
                <w:sz w:val="24"/>
                <w:szCs w:val="24"/>
                <w:highlight w:val="none"/>
              </w:rPr>
              <w:t>公布的参与投标施工资质的任意一期“资质动态核查结果证明”。（对应资质应在“浙江省</w:t>
            </w:r>
            <w:r>
              <w:rPr>
                <w:color w:val="auto"/>
                <w:spacing w:val="-1"/>
                <w:sz w:val="24"/>
                <w:szCs w:val="24"/>
                <w:highlight w:val="none"/>
              </w:rPr>
              <w:t>建筑市场监管公共服务系统”上资质动态核查结果处于“合格”状态。）</w:t>
            </w:r>
          </w:p>
        </w:tc>
      </w:tr>
      <w:tr w14:paraId="214A0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1" w:type="dxa"/>
            <w:tcBorders>
              <w:left w:val="single" w:color="000000" w:sz="6" w:space="0"/>
            </w:tcBorders>
            <w:vAlign w:val="top"/>
          </w:tcPr>
          <w:p w14:paraId="3C526D5D">
            <w:pPr>
              <w:spacing w:before="135" w:line="360" w:lineRule="auto"/>
              <w:ind w:left="306"/>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2</w:t>
            </w:r>
          </w:p>
        </w:tc>
        <w:tc>
          <w:tcPr>
            <w:tcW w:w="8111" w:type="dxa"/>
            <w:tcBorders>
              <w:right w:val="single" w:color="000000" w:sz="6" w:space="0"/>
            </w:tcBorders>
            <w:vAlign w:val="top"/>
          </w:tcPr>
          <w:p w14:paraId="5D0F7EA1">
            <w:pPr>
              <w:pStyle w:val="17"/>
              <w:spacing w:before="70" w:line="360" w:lineRule="auto"/>
              <w:ind w:left="108"/>
              <w:rPr>
                <w:color w:val="auto"/>
                <w:sz w:val="24"/>
                <w:szCs w:val="24"/>
                <w:highlight w:val="none"/>
              </w:rPr>
            </w:pPr>
            <w:r>
              <w:rPr>
                <w:color w:val="auto"/>
                <w:sz w:val="24"/>
                <w:szCs w:val="24"/>
                <w:highlight w:val="none"/>
              </w:rPr>
              <w:t>本次招标</w:t>
            </w:r>
            <w:r>
              <w:rPr>
                <w:color w:val="auto"/>
                <w:sz w:val="24"/>
                <w:szCs w:val="24"/>
                <w:highlight w:val="none"/>
                <w:u w:val="single" w:color="auto"/>
              </w:rPr>
              <w:t xml:space="preserve">  </w:t>
            </w:r>
            <w:r>
              <w:rPr>
                <w:rFonts w:hint="eastAsia"/>
                <w:color w:val="auto"/>
                <w:sz w:val="24"/>
                <w:szCs w:val="24"/>
                <w:highlight w:val="none"/>
                <w:u w:val="single" w:color="auto"/>
                <w:lang w:val="en-US" w:eastAsia="zh-CN"/>
              </w:rPr>
              <w:t>不接受</w:t>
            </w:r>
            <w:r>
              <w:rPr>
                <w:color w:val="auto"/>
                <w:sz w:val="24"/>
                <w:szCs w:val="24"/>
                <w:highlight w:val="none"/>
                <w:u w:val="single" w:color="auto"/>
              </w:rPr>
              <w:t xml:space="preserve"> </w:t>
            </w:r>
            <w:r>
              <w:rPr>
                <w:color w:val="auto"/>
                <w:sz w:val="24"/>
                <w:szCs w:val="24"/>
                <w:highlight w:val="none"/>
              </w:rPr>
              <w:t>联合体投标。</w:t>
            </w:r>
          </w:p>
        </w:tc>
      </w:tr>
      <w:tr w14:paraId="3AA72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31" w:type="dxa"/>
            <w:tcBorders>
              <w:left w:val="single" w:color="000000" w:sz="6" w:space="0"/>
            </w:tcBorders>
            <w:vAlign w:val="top"/>
          </w:tcPr>
          <w:p w14:paraId="767B5CFD">
            <w:pPr>
              <w:spacing w:line="360" w:lineRule="auto"/>
              <w:rPr>
                <w:rFonts w:ascii="Arial"/>
                <w:color w:val="auto"/>
                <w:sz w:val="24"/>
                <w:szCs w:val="24"/>
                <w:highlight w:val="none"/>
              </w:rPr>
            </w:pPr>
          </w:p>
          <w:p w14:paraId="21F70CFD">
            <w:pPr>
              <w:spacing w:before="61" w:line="360" w:lineRule="auto"/>
              <w:ind w:left="31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3</w:t>
            </w:r>
          </w:p>
        </w:tc>
        <w:tc>
          <w:tcPr>
            <w:tcW w:w="8111" w:type="dxa"/>
            <w:tcBorders>
              <w:right w:val="single" w:color="000000" w:sz="6" w:space="0"/>
            </w:tcBorders>
            <w:vAlign w:val="top"/>
          </w:tcPr>
          <w:p w14:paraId="65E61F2C">
            <w:pPr>
              <w:pStyle w:val="17"/>
              <w:spacing w:before="31" w:line="360" w:lineRule="auto"/>
              <w:ind w:left="106" w:right="41" w:firstLine="3"/>
              <w:jc w:val="both"/>
              <w:rPr>
                <w:color w:val="auto"/>
                <w:sz w:val="24"/>
                <w:szCs w:val="24"/>
                <w:highlight w:val="none"/>
              </w:rPr>
            </w:pPr>
            <w:r>
              <w:rPr>
                <w:color w:val="auto"/>
                <w:spacing w:val="-4"/>
                <w:sz w:val="24"/>
                <w:szCs w:val="24"/>
                <w:highlight w:val="none"/>
              </w:rPr>
              <w:t>投标人及其法定代表人自</w:t>
            </w:r>
            <w:r>
              <w:rPr>
                <w:color w:val="auto"/>
                <w:spacing w:val="-4"/>
                <w:sz w:val="24"/>
                <w:szCs w:val="24"/>
                <w:highlight w:val="none"/>
                <w:u w:val="single" w:color="auto"/>
              </w:rPr>
              <w:t xml:space="preserve"> </w:t>
            </w:r>
            <w:r>
              <w:rPr>
                <w:rFonts w:hint="eastAsia"/>
                <w:color w:val="auto"/>
                <w:spacing w:val="-4"/>
                <w:sz w:val="24"/>
                <w:szCs w:val="24"/>
                <w:highlight w:val="none"/>
                <w:u w:val="single" w:color="auto"/>
                <w:lang w:val="en-US" w:eastAsia="zh-CN"/>
              </w:rPr>
              <w:t>2023</w:t>
            </w:r>
            <w:r>
              <w:rPr>
                <w:color w:val="auto"/>
                <w:spacing w:val="-4"/>
                <w:sz w:val="24"/>
                <w:szCs w:val="24"/>
                <w:highlight w:val="none"/>
                <w:u w:val="single" w:color="auto"/>
              </w:rPr>
              <w:t xml:space="preserve"> </w:t>
            </w:r>
            <w:r>
              <w:rPr>
                <w:color w:val="auto"/>
                <w:spacing w:val="-88"/>
                <w:sz w:val="24"/>
                <w:szCs w:val="24"/>
                <w:highlight w:val="none"/>
              </w:rPr>
              <w:t xml:space="preserve"> </w:t>
            </w:r>
            <w:r>
              <w:rPr>
                <w:color w:val="auto"/>
                <w:spacing w:val="-4"/>
                <w:sz w:val="24"/>
                <w:szCs w:val="24"/>
                <w:highlight w:val="none"/>
              </w:rPr>
              <w:t>年</w:t>
            </w:r>
            <w:r>
              <w:rPr>
                <w:color w:val="auto"/>
                <w:spacing w:val="-4"/>
                <w:sz w:val="24"/>
                <w:szCs w:val="24"/>
                <w:highlight w:val="none"/>
                <w:u w:val="single" w:color="auto"/>
              </w:rPr>
              <w:t xml:space="preserve"> </w:t>
            </w:r>
            <w:r>
              <w:rPr>
                <w:rFonts w:hint="eastAsia"/>
                <w:color w:val="auto"/>
                <w:spacing w:val="-4"/>
                <w:sz w:val="24"/>
                <w:szCs w:val="24"/>
                <w:highlight w:val="none"/>
                <w:u w:val="single" w:color="auto"/>
                <w:lang w:val="en-US" w:eastAsia="zh-CN"/>
              </w:rPr>
              <w:t>01</w:t>
            </w:r>
            <w:r>
              <w:rPr>
                <w:color w:val="auto"/>
                <w:spacing w:val="-4"/>
                <w:sz w:val="24"/>
                <w:szCs w:val="24"/>
                <w:highlight w:val="none"/>
                <w:u w:val="single" w:color="auto"/>
              </w:rPr>
              <w:t xml:space="preserve"> </w:t>
            </w:r>
            <w:r>
              <w:rPr>
                <w:color w:val="auto"/>
                <w:spacing w:val="-92"/>
                <w:sz w:val="24"/>
                <w:szCs w:val="24"/>
                <w:highlight w:val="none"/>
              </w:rPr>
              <w:t xml:space="preserve"> </w:t>
            </w:r>
            <w:r>
              <w:rPr>
                <w:color w:val="auto"/>
                <w:spacing w:val="-4"/>
                <w:sz w:val="24"/>
                <w:szCs w:val="24"/>
                <w:highlight w:val="none"/>
              </w:rPr>
              <w:t>月</w:t>
            </w:r>
            <w:r>
              <w:rPr>
                <w:color w:val="auto"/>
                <w:spacing w:val="-4"/>
                <w:sz w:val="24"/>
                <w:szCs w:val="24"/>
                <w:highlight w:val="none"/>
                <w:u w:val="single" w:color="auto"/>
              </w:rPr>
              <w:t xml:space="preserve">  </w:t>
            </w:r>
            <w:r>
              <w:rPr>
                <w:rFonts w:hint="eastAsia"/>
                <w:color w:val="auto"/>
                <w:spacing w:val="-4"/>
                <w:sz w:val="24"/>
                <w:szCs w:val="24"/>
                <w:highlight w:val="none"/>
                <w:u w:val="single" w:color="auto"/>
                <w:lang w:val="en-US" w:eastAsia="zh-CN"/>
              </w:rPr>
              <w:t>1</w:t>
            </w:r>
            <w:r>
              <w:rPr>
                <w:color w:val="auto"/>
                <w:spacing w:val="-4"/>
                <w:sz w:val="24"/>
                <w:szCs w:val="24"/>
                <w:highlight w:val="none"/>
                <w:u w:val="single" w:color="auto"/>
              </w:rPr>
              <w:t xml:space="preserve">  </w:t>
            </w:r>
            <w:r>
              <w:rPr>
                <w:color w:val="auto"/>
                <w:spacing w:val="-4"/>
                <w:sz w:val="24"/>
                <w:szCs w:val="24"/>
                <w:highlight w:val="none"/>
              </w:rPr>
              <w:t>日至投标截止时间无行贿犯罪</w:t>
            </w:r>
            <w:r>
              <w:rPr>
                <w:color w:val="auto"/>
                <w:spacing w:val="-2"/>
                <w:sz w:val="24"/>
                <w:szCs w:val="24"/>
                <w:highlight w:val="none"/>
              </w:rPr>
              <w:t>记录（以中国裁判文书网（</w:t>
            </w:r>
            <w:r>
              <w:rPr>
                <w:color w:val="auto"/>
                <w:sz w:val="21"/>
                <w:szCs w:val="21"/>
                <w:highlight w:val="none"/>
              </w:rPr>
              <w:fldChar w:fldCharType="begin"/>
            </w:r>
            <w:r>
              <w:rPr>
                <w:color w:val="auto"/>
                <w:sz w:val="21"/>
                <w:szCs w:val="21"/>
                <w:highlight w:val="none"/>
              </w:rPr>
              <w:instrText xml:space="preserve"> HYPERLINK "http://wenshu.court.gov.cn/" </w:instrText>
            </w:r>
            <w:r>
              <w:rPr>
                <w:color w:val="auto"/>
                <w:sz w:val="21"/>
                <w:szCs w:val="21"/>
                <w:highlight w:val="none"/>
              </w:rPr>
              <w:fldChar w:fldCharType="separate"/>
            </w:r>
            <w:r>
              <w:rPr>
                <w:rFonts w:ascii="Times New Roman" w:hAnsi="Times New Roman" w:eastAsia="Times New Roman" w:cs="Times New Roman"/>
                <w:color w:val="auto"/>
                <w:spacing w:val="-2"/>
                <w:sz w:val="24"/>
                <w:szCs w:val="24"/>
                <w:highlight w:val="none"/>
              </w:rPr>
              <w:t>http://wenshu.court.gov.cn/</w:t>
            </w:r>
            <w:r>
              <w:rPr>
                <w:rFonts w:ascii="Times New Roman" w:hAnsi="Times New Roman" w:eastAsia="Times New Roman" w:cs="Times New Roman"/>
                <w:color w:val="auto"/>
                <w:spacing w:val="-2"/>
                <w:sz w:val="24"/>
                <w:szCs w:val="24"/>
                <w:highlight w:val="none"/>
              </w:rPr>
              <w:fldChar w:fldCharType="end"/>
            </w:r>
            <w:r>
              <w:rPr>
                <w:rFonts w:ascii="Times New Roman" w:hAnsi="Times New Roman" w:eastAsia="Times New Roman" w:cs="Times New Roman"/>
                <w:color w:val="auto"/>
                <w:spacing w:val="-17"/>
                <w:sz w:val="24"/>
                <w:szCs w:val="24"/>
                <w:highlight w:val="none"/>
              </w:rPr>
              <w:t xml:space="preserve"> </w:t>
            </w:r>
            <w:r>
              <w:rPr>
                <w:color w:val="auto"/>
                <w:spacing w:val="-2"/>
                <w:sz w:val="24"/>
                <w:szCs w:val="24"/>
                <w:highlight w:val="none"/>
              </w:rPr>
              <w:t>）查询结果为准）。（联合体投标的，</w:t>
            </w:r>
            <w:r>
              <w:rPr>
                <w:color w:val="auto"/>
                <w:spacing w:val="-1"/>
                <w:sz w:val="24"/>
                <w:szCs w:val="24"/>
                <w:highlight w:val="none"/>
              </w:rPr>
              <w:t>联合体各方均应满足）</w:t>
            </w:r>
          </w:p>
        </w:tc>
      </w:tr>
      <w:tr w14:paraId="72A7A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1" w:type="dxa"/>
            <w:tcBorders>
              <w:left w:val="single" w:color="000000" w:sz="6" w:space="0"/>
            </w:tcBorders>
            <w:vAlign w:val="top"/>
          </w:tcPr>
          <w:p w14:paraId="284BE10C">
            <w:pPr>
              <w:spacing w:before="206" w:line="360" w:lineRule="auto"/>
              <w:ind w:left="305"/>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4</w:t>
            </w:r>
          </w:p>
        </w:tc>
        <w:tc>
          <w:tcPr>
            <w:tcW w:w="8111" w:type="dxa"/>
            <w:tcBorders>
              <w:right w:val="single" w:color="000000" w:sz="6" w:space="0"/>
            </w:tcBorders>
            <w:vAlign w:val="top"/>
          </w:tcPr>
          <w:p w14:paraId="36C05B44">
            <w:pPr>
              <w:pStyle w:val="17"/>
              <w:spacing w:before="10" w:line="360" w:lineRule="auto"/>
              <w:ind w:left="105"/>
              <w:rPr>
                <w:strike/>
                <w:dstrike w:val="0"/>
                <w:color w:val="auto"/>
                <w:sz w:val="24"/>
                <w:szCs w:val="24"/>
                <w:highlight w:val="none"/>
              </w:rPr>
            </w:pPr>
            <w:r>
              <w:rPr>
                <w:strike/>
                <w:dstrike w:val="0"/>
                <w:color w:val="auto"/>
                <w:spacing w:val="-6"/>
                <w:sz w:val="24"/>
                <w:szCs w:val="24"/>
                <w:highlight w:val="none"/>
              </w:rPr>
              <w:t>投标人自</w:t>
            </w:r>
            <w:r>
              <w:rPr>
                <w:strike/>
                <w:dstrike w:val="0"/>
                <w:color w:val="auto"/>
                <w:spacing w:val="101"/>
                <w:sz w:val="24"/>
                <w:szCs w:val="24"/>
                <w:highlight w:val="none"/>
                <w:u w:val="single" w:color="auto"/>
              </w:rPr>
              <w:t xml:space="preserve"> </w:t>
            </w:r>
            <w:r>
              <w:rPr>
                <w:rFonts w:hint="eastAsia"/>
                <w:strike/>
                <w:dstrike w:val="0"/>
                <w:color w:val="auto"/>
                <w:spacing w:val="101"/>
                <w:sz w:val="24"/>
                <w:szCs w:val="24"/>
                <w:highlight w:val="none"/>
                <w:u w:val="single" w:color="auto"/>
                <w:lang w:val="en-US" w:eastAsia="zh-CN"/>
              </w:rPr>
              <w:t xml:space="preserve"> </w:t>
            </w:r>
            <w:r>
              <w:rPr>
                <w:strike/>
                <w:dstrike w:val="0"/>
                <w:color w:val="auto"/>
                <w:spacing w:val="-55"/>
                <w:sz w:val="24"/>
                <w:szCs w:val="24"/>
                <w:highlight w:val="none"/>
              </w:rPr>
              <w:t xml:space="preserve"> </w:t>
            </w:r>
            <w:r>
              <w:rPr>
                <w:strike/>
                <w:dstrike w:val="0"/>
                <w:color w:val="auto"/>
                <w:spacing w:val="-6"/>
                <w:sz w:val="24"/>
                <w:szCs w:val="24"/>
                <w:highlight w:val="none"/>
              </w:rPr>
              <w:t>年</w:t>
            </w:r>
            <w:r>
              <w:rPr>
                <w:strike/>
                <w:dstrike w:val="0"/>
                <w:color w:val="auto"/>
                <w:spacing w:val="101"/>
                <w:sz w:val="24"/>
                <w:szCs w:val="24"/>
                <w:highlight w:val="none"/>
                <w:u w:val="single" w:color="auto"/>
              </w:rPr>
              <w:t xml:space="preserve"> </w:t>
            </w:r>
            <w:r>
              <w:rPr>
                <w:rFonts w:hint="eastAsia"/>
                <w:strike/>
                <w:dstrike w:val="0"/>
                <w:color w:val="auto"/>
                <w:spacing w:val="101"/>
                <w:sz w:val="24"/>
                <w:szCs w:val="24"/>
                <w:highlight w:val="none"/>
                <w:u w:val="single" w:color="auto"/>
                <w:lang w:val="en-US" w:eastAsia="zh-CN"/>
              </w:rPr>
              <w:t xml:space="preserve"> </w:t>
            </w:r>
            <w:r>
              <w:rPr>
                <w:strike/>
                <w:dstrike w:val="0"/>
                <w:color w:val="auto"/>
                <w:spacing w:val="-55"/>
                <w:sz w:val="24"/>
                <w:szCs w:val="24"/>
                <w:highlight w:val="none"/>
              </w:rPr>
              <w:t xml:space="preserve"> </w:t>
            </w:r>
            <w:r>
              <w:rPr>
                <w:rFonts w:hint="eastAsia"/>
                <w:strike/>
                <w:dstrike w:val="0"/>
                <w:color w:val="auto"/>
                <w:spacing w:val="-6"/>
                <w:sz w:val="24"/>
                <w:szCs w:val="24"/>
                <w:highlight w:val="none"/>
                <w:lang w:val="en-US" w:eastAsia="zh-CN"/>
              </w:rPr>
              <w:t>月</w:t>
            </w:r>
            <w:r>
              <w:rPr>
                <w:strike/>
                <w:dstrike w:val="0"/>
                <w:color w:val="auto"/>
                <w:spacing w:val="-105"/>
                <w:sz w:val="24"/>
                <w:szCs w:val="24"/>
                <w:highlight w:val="none"/>
              </w:rPr>
              <w:t xml:space="preserve"> </w:t>
            </w:r>
            <w:r>
              <w:rPr>
                <w:strike/>
                <w:dstrike w:val="0"/>
                <w:color w:val="auto"/>
                <w:spacing w:val="101"/>
                <w:sz w:val="24"/>
                <w:szCs w:val="24"/>
                <w:highlight w:val="none"/>
                <w:u w:val="single" w:color="auto"/>
              </w:rPr>
              <w:t xml:space="preserve"> </w:t>
            </w:r>
            <w:r>
              <w:rPr>
                <w:rFonts w:hint="eastAsia"/>
                <w:strike/>
                <w:dstrike w:val="0"/>
                <w:color w:val="auto"/>
                <w:spacing w:val="101"/>
                <w:sz w:val="24"/>
                <w:szCs w:val="24"/>
                <w:highlight w:val="none"/>
                <w:u w:val="single" w:color="auto"/>
                <w:lang w:val="en-US" w:eastAsia="zh-CN"/>
              </w:rPr>
              <w:t xml:space="preserve"> </w:t>
            </w:r>
            <w:r>
              <w:rPr>
                <w:strike/>
                <w:dstrike w:val="0"/>
                <w:color w:val="auto"/>
                <w:spacing w:val="-55"/>
                <w:sz w:val="24"/>
                <w:szCs w:val="24"/>
                <w:highlight w:val="none"/>
              </w:rPr>
              <w:t xml:space="preserve"> </w:t>
            </w:r>
            <w:r>
              <w:rPr>
                <w:strike/>
                <w:dstrike w:val="0"/>
                <w:color w:val="auto"/>
                <w:spacing w:val="-6"/>
                <w:sz w:val="24"/>
                <w:szCs w:val="24"/>
                <w:highlight w:val="none"/>
              </w:rPr>
              <w:t>日至投标截止时间，完成过</w:t>
            </w:r>
            <w:r>
              <w:rPr>
                <w:strike/>
                <w:dstrike w:val="0"/>
                <w:color w:val="auto"/>
                <w:spacing w:val="-105"/>
                <w:sz w:val="24"/>
                <w:szCs w:val="24"/>
                <w:highlight w:val="none"/>
              </w:rPr>
              <w:t xml:space="preserve"> </w:t>
            </w:r>
            <w:r>
              <w:rPr>
                <w:rFonts w:hint="eastAsia"/>
                <w:strike/>
                <w:dstrike w:val="0"/>
                <w:color w:val="auto"/>
                <w:spacing w:val="-105"/>
                <w:sz w:val="24"/>
                <w:szCs w:val="24"/>
                <w:highlight w:val="none"/>
                <w:u w:val="single"/>
                <w:lang w:val="en-US" w:eastAsia="zh-CN"/>
              </w:rPr>
              <w:t xml:space="preserve">                                              </w:t>
            </w:r>
            <w:r>
              <w:rPr>
                <w:strike/>
                <w:dstrike w:val="0"/>
                <w:color w:val="auto"/>
                <w:spacing w:val="-6"/>
                <w:sz w:val="24"/>
                <w:szCs w:val="24"/>
                <w:highlight w:val="none"/>
              </w:rPr>
              <w:t>业</w:t>
            </w:r>
            <w:r>
              <w:rPr>
                <w:strike/>
                <w:dstrike w:val="0"/>
                <w:color w:val="auto"/>
                <w:spacing w:val="-7"/>
                <w:sz w:val="24"/>
                <w:szCs w:val="24"/>
                <w:highlight w:val="none"/>
              </w:rPr>
              <w:t>绩。</w:t>
            </w:r>
          </w:p>
          <w:p w14:paraId="1F9BA3E4">
            <w:pPr>
              <w:pStyle w:val="17"/>
              <w:spacing w:before="13" w:line="360" w:lineRule="auto"/>
              <w:ind w:left="107"/>
              <w:rPr>
                <w:color w:val="auto"/>
                <w:sz w:val="24"/>
                <w:szCs w:val="24"/>
                <w:highlight w:val="none"/>
              </w:rPr>
            </w:pPr>
            <w:r>
              <w:rPr>
                <w:strike/>
                <w:dstrike w:val="0"/>
                <w:color w:val="auto"/>
                <w:spacing w:val="17"/>
                <w:sz w:val="24"/>
                <w:szCs w:val="24"/>
                <w:highlight w:val="none"/>
              </w:rPr>
              <w:t>业绩证明材料见下文。</w:t>
            </w:r>
          </w:p>
        </w:tc>
      </w:tr>
      <w:tr w14:paraId="1618D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31" w:type="dxa"/>
            <w:tcBorders>
              <w:left w:val="single" w:color="000000" w:sz="6" w:space="0"/>
            </w:tcBorders>
            <w:vAlign w:val="top"/>
          </w:tcPr>
          <w:p w14:paraId="00F63EF4">
            <w:pPr>
              <w:spacing w:before="138" w:line="360" w:lineRule="auto"/>
              <w:ind w:left="311"/>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5</w:t>
            </w:r>
          </w:p>
        </w:tc>
        <w:tc>
          <w:tcPr>
            <w:tcW w:w="8111" w:type="dxa"/>
            <w:tcBorders>
              <w:right w:val="single" w:color="000000" w:sz="6" w:space="0"/>
            </w:tcBorders>
            <w:vAlign w:val="top"/>
          </w:tcPr>
          <w:p w14:paraId="0970E86D">
            <w:pPr>
              <w:pStyle w:val="17"/>
              <w:spacing w:before="96" w:line="360" w:lineRule="auto"/>
              <w:ind w:left="131"/>
              <w:rPr>
                <w:color w:val="auto"/>
                <w:sz w:val="24"/>
                <w:szCs w:val="24"/>
                <w:highlight w:val="none"/>
              </w:rPr>
            </w:pPr>
            <w:r>
              <w:rPr>
                <w:color w:val="auto"/>
                <w:spacing w:val="-1"/>
                <w:sz w:val="24"/>
                <w:szCs w:val="24"/>
                <w:highlight w:val="none"/>
              </w:rPr>
              <w:t>□</w:t>
            </w:r>
            <w:r>
              <w:rPr>
                <w:strike/>
                <w:dstrike w:val="0"/>
                <w:color w:val="auto"/>
                <w:spacing w:val="-1"/>
                <w:sz w:val="24"/>
                <w:szCs w:val="24"/>
                <w:highlight w:val="none"/>
              </w:rPr>
              <w:t>面向中小企业招标的，投标人（或联合体中的中小企业）应提交《中小企业声明函》。</w:t>
            </w:r>
          </w:p>
        </w:tc>
      </w:tr>
      <w:tr w14:paraId="16D94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1" w:type="dxa"/>
            <w:tcBorders>
              <w:left w:val="single" w:color="000000" w:sz="6" w:space="0"/>
            </w:tcBorders>
            <w:vAlign w:val="top"/>
          </w:tcPr>
          <w:p w14:paraId="126EFDA8">
            <w:pPr>
              <w:pStyle w:val="17"/>
              <w:spacing w:before="136" w:line="360" w:lineRule="auto"/>
              <w:ind w:left="260"/>
              <w:rPr>
                <w:color w:val="auto"/>
                <w:sz w:val="24"/>
                <w:szCs w:val="24"/>
                <w:highlight w:val="none"/>
              </w:rPr>
            </w:pPr>
            <w:r>
              <w:rPr>
                <w:b/>
                <w:bCs/>
                <w:color w:val="auto"/>
                <w:spacing w:val="-3"/>
                <w:sz w:val="24"/>
                <w:szCs w:val="24"/>
                <w:highlight w:val="none"/>
              </w:rPr>
              <w:t>二</w:t>
            </w:r>
          </w:p>
        </w:tc>
        <w:tc>
          <w:tcPr>
            <w:tcW w:w="8111" w:type="dxa"/>
            <w:tcBorders>
              <w:right w:val="single" w:color="000000" w:sz="6" w:space="0"/>
            </w:tcBorders>
            <w:vAlign w:val="top"/>
          </w:tcPr>
          <w:p w14:paraId="7BD89CBB">
            <w:pPr>
              <w:pStyle w:val="17"/>
              <w:spacing w:before="96" w:line="360" w:lineRule="auto"/>
              <w:ind w:left="107"/>
              <w:rPr>
                <w:color w:val="auto"/>
                <w:sz w:val="24"/>
                <w:szCs w:val="24"/>
                <w:highlight w:val="none"/>
              </w:rPr>
            </w:pPr>
            <w:r>
              <w:rPr>
                <w:b/>
                <w:bCs/>
                <w:color w:val="auto"/>
                <w:spacing w:val="-2"/>
                <w:sz w:val="24"/>
                <w:szCs w:val="24"/>
                <w:highlight w:val="none"/>
              </w:rPr>
              <w:t>拟派项目组主要人员</w:t>
            </w:r>
          </w:p>
        </w:tc>
      </w:tr>
      <w:tr w14:paraId="5C5D7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31" w:type="dxa"/>
            <w:tcBorders>
              <w:left w:val="single" w:color="000000" w:sz="6" w:space="0"/>
            </w:tcBorders>
            <w:vAlign w:val="top"/>
          </w:tcPr>
          <w:p w14:paraId="56488C54">
            <w:pPr>
              <w:spacing w:line="360" w:lineRule="auto"/>
              <w:rPr>
                <w:rFonts w:ascii="Arial"/>
                <w:color w:val="auto"/>
                <w:sz w:val="24"/>
                <w:szCs w:val="24"/>
                <w:highlight w:val="none"/>
              </w:rPr>
            </w:pPr>
          </w:p>
          <w:p w14:paraId="10C2C6C5">
            <w:pPr>
              <w:spacing w:before="60" w:line="360" w:lineRule="auto"/>
              <w:ind w:left="326"/>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1</w:t>
            </w:r>
          </w:p>
        </w:tc>
        <w:tc>
          <w:tcPr>
            <w:tcW w:w="8111" w:type="dxa"/>
            <w:tcBorders>
              <w:right w:val="single" w:color="000000" w:sz="6" w:space="0"/>
            </w:tcBorders>
            <w:vAlign w:val="top"/>
          </w:tcPr>
          <w:p w14:paraId="4FBFABBF">
            <w:pPr>
              <w:pStyle w:val="17"/>
              <w:spacing w:before="13" w:line="360" w:lineRule="auto"/>
              <w:ind w:left="106" w:right="97" w:firstLine="4"/>
              <w:jc w:val="both"/>
              <w:rPr>
                <w:color w:val="auto"/>
                <w:sz w:val="24"/>
                <w:szCs w:val="24"/>
                <w:highlight w:val="none"/>
              </w:rPr>
            </w:pPr>
            <w:r>
              <w:rPr>
                <w:color w:val="auto"/>
                <w:spacing w:val="1"/>
                <w:sz w:val="24"/>
                <w:szCs w:val="24"/>
                <w:highlight w:val="none"/>
              </w:rPr>
              <w:t>项目负责人应持有注册在投标人单位的</w:t>
            </w:r>
            <w:r>
              <w:rPr>
                <w:color w:val="auto"/>
                <w:spacing w:val="-87"/>
                <w:sz w:val="24"/>
                <w:szCs w:val="24"/>
                <w:highlight w:val="none"/>
              </w:rPr>
              <w:t xml:space="preserve"> </w:t>
            </w:r>
            <w:r>
              <w:rPr>
                <w:rFonts w:hint="eastAsia"/>
                <w:color w:val="auto"/>
                <w:sz w:val="24"/>
                <w:szCs w:val="24"/>
                <w:highlight w:val="none"/>
                <w:u w:val="single" w:color="auto"/>
              </w:rPr>
              <w:t>水利水电工程二级及以上建造师执业资格</w:t>
            </w:r>
            <w:r>
              <w:rPr>
                <w:color w:val="auto"/>
                <w:sz w:val="24"/>
                <w:szCs w:val="24"/>
                <w:highlight w:val="none"/>
                <w:u w:val="single" w:color="auto"/>
              </w:rPr>
              <w:t xml:space="preserve"> </w:t>
            </w:r>
            <w:r>
              <w:rPr>
                <w:color w:val="auto"/>
                <w:spacing w:val="1"/>
                <w:sz w:val="24"/>
                <w:szCs w:val="24"/>
                <w:highlight w:val="none"/>
              </w:rPr>
              <w:t>证书。投标人拟派的项目负责人在</w:t>
            </w:r>
            <w:r>
              <w:rPr>
                <w:color w:val="auto"/>
                <w:spacing w:val="2"/>
                <w:sz w:val="24"/>
                <w:szCs w:val="24"/>
                <w:highlight w:val="none"/>
              </w:rPr>
              <w:t>投标截止时间不得在其他任何在建合同工程中担任项目负责人（包括工程总</w:t>
            </w:r>
            <w:r>
              <w:rPr>
                <w:color w:val="auto"/>
                <w:spacing w:val="1"/>
                <w:sz w:val="24"/>
                <w:szCs w:val="24"/>
                <w:highlight w:val="none"/>
              </w:rPr>
              <w:t>承包项目中的</w:t>
            </w:r>
            <w:r>
              <w:rPr>
                <w:color w:val="auto"/>
                <w:spacing w:val="-3"/>
                <w:sz w:val="24"/>
                <w:szCs w:val="24"/>
                <w:highlight w:val="none"/>
              </w:rPr>
              <w:t>施工负责人）。在建合同工程的开始时间为合同工</w:t>
            </w:r>
            <w:r>
              <w:rPr>
                <w:color w:val="auto"/>
                <w:spacing w:val="-4"/>
                <w:sz w:val="24"/>
                <w:szCs w:val="24"/>
                <w:highlight w:val="none"/>
              </w:rPr>
              <w:t>程中标通知书发出之日（不通过招标方式</w:t>
            </w:r>
            <w:r>
              <w:rPr>
                <w:color w:val="auto"/>
                <w:sz w:val="24"/>
                <w:szCs w:val="24"/>
                <w:highlight w:val="none"/>
              </w:rPr>
              <w:t>的，开始时间为合同签订之日</w:t>
            </w:r>
            <w:r>
              <w:rPr>
                <w:color w:val="auto"/>
                <w:spacing w:val="-1"/>
                <w:sz w:val="24"/>
                <w:szCs w:val="24"/>
                <w:highlight w:val="none"/>
              </w:rPr>
              <w:t>），</w:t>
            </w:r>
            <w:r>
              <w:rPr>
                <w:color w:val="auto"/>
                <w:sz w:val="24"/>
                <w:szCs w:val="24"/>
                <w:highlight w:val="none"/>
              </w:rPr>
              <w:t>结束时间为该合同工程通过验收或合同解除之日。</w:t>
            </w:r>
          </w:p>
        </w:tc>
      </w:tr>
      <w:tr w14:paraId="66465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31" w:type="dxa"/>
            <w:tcBorders>
              <w:left w:val="single" w:color="000000" w:sz="6" w:space="0"/>
            </w:tcBorders>
            <w:vAlign w:val="top"/>
          </w:tcPr>
          <w:p w14:paraId="22D9A7ED">
            <w:pPr>
              <w:spacing w:before="138" w:line="360" w:lineRule="auto"/>
              <w:ind w:left="306"/>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2</w:t>
            </w:r>
          </w:p>
        </w:tc>
        <w:tc>
          <w:tcPr>
            <w:tcW w:w="8111" w:type="dxa"/>
            <w:tcBorders>
              <w:right w:val="single" w:color="000000" w:sz="6" w:space="0"/>
            </w:tcBorders>
            <w:vAlign w:val="top"/>
          </w:tcPr>
          <w:p w14:paraId="268A0993">
            <w:pPr>
              <w:pStyle w:val="17"/>
              <w:spacing w:before="63" w:line="360" w:lineRule="auto"/>
              <w:ind w:left="110"/>
              <w:rPr>
                <w:color w:val="auto"/>
                <w:sz w:val="24"/>
                <w:szCs w:val="24"/>
                <w:highlight w:val="none"/>
              </w:rPr>
            </w:pPr>
            <w:r>
              <w:rPr>
                <w:color w:val="auto"/>
                <w:spacing w:val="-1"/>
                <w:sz w:val="24"/>
                <w:szCs w:val="24"/>
                <w:highlight w:val="none"/>
              </w:rPr>
              <w:t>项目技术负责人应持有</w:t>
            </w:r>
            <w:r>
              <w:rPr>
                <w:rFonts w:hint="eastAsia"/>
                <w:color w:val="auto"/>
                <w:spacing w:val="-1"/>
                <w:sz w:val="24"/>
                <w:szCs w:val="24"/>
                <w:highlight w:val="none"/>
                <w:u w:val="single" w:color="auto"/>
              </w:rPr>
              <w:t>水利水电工程专业的注册建造师或水利水电工程相关专业工程师及以上职称</w:t>
            </w:r>
            <w:r>
              <w:rPr>
                <w:color w:val="auto"/>
                <w:spacing w:val="-90"/>
                <w:sz w:val="24"/>
                <w:szCs w:val="24"/>
                <w:highlight w:val="none"/>
              </w:rPr>
              <w:t xml:space="preserve"> </w:t>
            </w:r>
            <w:r>
              <w:rPr>
                <w:color w:val="auto"/>
                <w:spacing w:val="-1"/>
                <w:sz w:val="24"/>
                <w:szCs w:val="24"/>
                <w:highlight w:val="none"/>
              </w:rPr>
              <w:t>证书</w:t>
            </w:r>
            <w:r>
              <w:rPr>
                <w:rFonts w:hint="eastAsia"/>
                <w:color w:val="auto"/>
                <w:spacing w:val="-1"/>
                <w:sz w:val="24"/>
                <w:szCs w:val="24"/>
                <w:highlight w:val="none"/>
                <w:lang w:eastAsia="zh-CN"/>
              </w:rPr>
              <w:t>（</w:t>
            </w:r>
            <w:r>
              <w:rPr>
                <w:color w:val="auto"/>
                <w:spacing w:val="-1"/>
                <w:sz w:val="24"/>
                <w:szCs w:val="24"/>
                <w:highlight w:val="none"/>
              </w:rPr>
              <w:t>不得</w:t>
            </w:r>
            <w:r>
              <w:rPr>
                <w:rFonts w:hint="eastAsia"/>
                <w:color w:val="auto"/>
                <w:spacing w:val="-1"/>
                <w:sz w:val="24"/>
                <w:szCs w:val="24"/>
                <w:highlight w:val="none"/>
                <w:lang w:val="en-US" w:eastAsia="zh-CN"/>
              </w:rPr>
              <w:t>与项目负责人</w:t>
            </w:r>
            <w:r>
              <w:rPr>
                <w:color w:val="auto"/>
                <w:spacing w:val="-1"/>
                <w:sz w:val="24"/>
                <w:szCs w:val="24"/>
                <w:highlight w:val="none"/>
              </w:rPr>
              <w:t>相互兼任</w:t>
            </w:r>
            <w:r>
              <w:rPr>
                <w:rFonts w:hint="eastAsia"/>
                <w:color w:val="auto"/>
                <w:spacing w:val="-1"/>
                <w:sz w:val="24"/>
                <w:szCs w:val="24"/>
                <w:highlight w:val="none"/>
                <w:lang w:eastAsia="zh-CN"/>
              </w:rPr>
              <w:t>）</w:t>
            </w:r>
            <w:r>
              <w:rPr>
                <w:color w:val="auto"/>
                <w:spacing w:val="-1"/>
                <w:sz w:val="24"/>
                <w:szCs w:val="24"/>
                <w:highlight w:val="none"/>
              </w:rPr>
              <w:t>。</w:t>
            </w:r>
          </w:p>
        </w:tc>
      </w:tr>
      <w:tr w14:paraId="007C6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731" w:type="dxa"/>
            <w:tcBorders>
              <w:left w:val="single" w:color="000000" w:sz="6" w:space="0"/>
            </w:tcBorders>
            <w:vAlign w:val="top"/>
          </w:tcPr>
          <w:p w14:paraId="606F4B3A">
            <w:pPr>
              <w:spacing w:line="360" w:lineRule="auto"/>
              <w:rPr>
                <w:rFonts w:ascii="Arial"/>
                <w:color w:val="auto"/>
                <w:sz w:val="24"/>
                <w:szCs w:val="24"/>
                <w:highlight w:val="none"/>
              </w:rPr>
            </w:pPr>
          </w:p>
          <w:p w14:paraId="11E34E93">
            <w:pPr>
              <w:spacing w:line="360" w:lineRule="auto"/>
              <w:rPr>
                <w:rFonts w:ascii="Arial"/>
                <w:color w:val="auto"/>
                <w:sz w:val="24"/>
                <w:szCs w:val="24"/>
                <w:highlight w:val="none"/>
              </w:rPr>
            </w:pPr>
          </w:p>
          <w:p w14:paraId="0B04F868">
            <w:pPr>
              <w:spacing w:line="360" w:lineRule="auto"/>
              <w:rPr>
                <w:rFonts w:ascii="Arial"/>
                <w:color w:val="auto"/>
                <w:sz w:val="24"/>
                <w:szCs w:val="24"/>
                <w:highlight w:val="none"/>
              </w:rPr>
            </w:pPr>
          </w:p>
          <w:p w14:paraId="2AD9E0B1">
            <w:pPr>
              <w:spacing w:before="60" w:line="360" w:lineRule="auto"/>
              <w:ind w:left="31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3</w:t>
            </w:r>
          </w:p>
        </w:tc>
        <w:tc>
          <w:tcPr>
            <w:tcW w:w="8111" w:type="dxa"/>
            <w:tcBorders>
              <w:right w:val="single" w:color="000000" w:sz="6" w:space="0"/>
            </w:tcBorders>
            <w:vAlign w:val="top"/>
          </w:tcPr>
          <w:p w14:paraId="5F2237A5">
            <w:pPr>
              <w:pStyle w:val="17"/>
              <w:tabs>
                <w:tab w:val="left" w:pos="577"/>
              </w:tabs>
              <w:spacing w:before="39" w:line="360" w:lineRule="auto"/>
              <w:ind w:left="98" w:right="100" w:firstLine="32"/>
              <w:rPr>
                <w:color w:val="auto"/>
                <w:sz w:val="24"/>
                <w:szCs w:val="24"/>
                <w:highlight w:val="none"/>
              </w:rPr>
            </w:pPr>
            <w:r>
              <w:rPr>
                <w:rFonts w:hint="eastAsia"/>
                <w:strike/>
                <w:dstrike w:val="0"/>
                <w:color w:val="auto"/>
                <w:spacing w:val="-1"/>
                <w:sz w:val="24"/>
                <w:szCs w:val="24"/>
                <w:highlight w:val="none"/>
                <w:lang w:eastAsia="zh-CN"/>
              </w:rPr>
              <w:t>□</w:t>
            </w:r>
            <w:r>
              <w:rPr>
                <w:strike/>
                <w:dstrike w:val="0"/>
                <w:color w:val="auto"/>
                <w:spacing w:val="-1"/>
                <w:sz w:val="24"/>
                <w:szCs w:val="24"/>
                <w:highlight w:val="none"/>
              </w:rPr>
              <w:t>项目负责人自</w:t>
            </w:r>
            <w:r>
              <w:rPr>
                <w:rFonts w:ascii="宋体" w:hAnsi="宋体" w:eastAsia="宋体" w:cs="宋体"/>
                <w:i/>
                <w:iCs/>
                <w:strike/>
                <w:dstrike w:val="0"/>
                <w:color w:val="auto"/>
                <w:spacing w:val="-6"/>
                <w:sz w:val="28"/>
                <w:szCs w:val="28"/>
                <w:highlight w:val="none"/>
                <w:u w:val="single" w:color="auto"/>
              </w:rPr>
              <w:t xml:space="preserve"> </w:t>
            </w:r>
            <w:r>
              <w:rPr>
                <w:rFonts w:hint="eastAsia" w:cs="宋体"/>
                <w:i/>
                <w:iCs/>
                <w:strike/>
                <w:dstrike w:val="0"/>
                <w:color w:val="auto"/>
                <w:spacing w:val="-6"/>
                <w:sz w:val="28"/>
                <w:szCs w:val="28"/>
                <w:highlight w:val="none"/>
                <w:u w:val="single" w:color="auto"/>
                <w:lang w:val="en-US" w:eastAsia="zh-CN"/>
              </w:rPr>
              <w:t xml:space="preserve">  </w:t>
            </w:r>
            <w:r>
              <w:rPr>
                <w:rFonts w:hint="eastAsia" w:ascii="宋体" w:hAnsi="宋体" w:eastAsia="宋体" w:cs="宋体"/>
                <w:strike/>
                <w:dstrike w:val="0"/>
                <w:color w:val="auto"/>
                <w:spacing w:val="-1"/>
                <w:sz w:val="24"/>
                <w:szCs w:val="24"/>
                <w:highlight w:val="none"/>
                <w:u w:val="none" w:color="auto"/>
                <w:lang w:val="en-US" w:eastAsia="zh-CN"/>
              </w:rPr>
              <w:t>年</w:t>
            </w:r>
            <w:r>
              <w:rPr>
                <w:rFonts w:hint="eastAsia" w:ascii="宋体" w:hAnsi="宋体" w:eastAsia="宋体" w:cs="宋体"/>
                <w:strike/>
                <w:dstrike w:val="0"/>
                <w:color w:val="auto"/>
                <w:spacing w:val="-1"/>
                <w:sz w:val="24"/>
                <w:szCs w:val="24"/>
                <w:highlight w:val="none"/>
                <w:u w:val="single" w:color="auto"/>
                <w:lang w:val="en-US" w:eastAsia="zh-CN"/>
              </w:rPr>
              <w:t xml:space="preserve"> </w:t>
            </w:r>
            <w:r>
              <w:rPr>
                <w:rFonts w:ascii="宋体" w:hAnsi="宋体" w:eastAsia="宋体" w:cs="宋体"/>
                <w:strike/>
                <w:dstrike w:val="0"/>
                <w:color w:val="auto"/>
                <w:spacing w:val="-1"/>
                <w:sz w:val="24"/>
                <w:szCs w:val="24"/>
                <w:highlight w:val="none"/>
                <w:u w:val="single" w:color="auto"/>
              </w:rPr>
              <w:t xml:space="preserve"> </w:t>
            </w:r>
            <w:r>
              <w:rPr>
                <w:strike/>
                <w:dstrike w:val="0"/>
                <w:color w:val="auto"/>
                <w:spacing w:val="-1"/>
                <w:sz w:val="24"/>
                <w:szCs w:val="24"/>
                <w:highlight w:val="none"/>
              </w:rPr>
              <w:t>月</w:t>
            </w:r>
            <w:r>
              <w:rPr>
                <w:strike/>
                <w:dstrike w:val="0"/>
                <w:color w:val="auto"/>
                <w:spacing w:val="104"/>
                <w:sz w:val="24"/>
                <w:szCs w:val="24"/>
                <w:highlight w:val="none"/>
                <w:u w:val="single" w:color="auto"/>
              </w:rPr>
              <w:t xml:space="preserve"> </w:t>
            </w:r>
            <w:r>
              <w:rPr>
                <w:strike/>
                <w:dstrike w:val="0"/>
                <w:color w:val="auto"/>
                <w:spacing w:val="-56"/>
                <w:sz w:val="24"/>
                <w:szCs w:val="24"/>
                <w:highlight w:val="none"/>
              </w:rPr>
              <w:t xml:space="preserve"> </w:t>
            </w:r>
            <w:r>
              <w:rPr>
                <w:strike/>
                <w:dstrike w:val="0"/>
                <w:color w:val="auto"/>
                <w:spacing w:val="-1"/>
                <w:sz w:val="24"/>
                <w:szCs w:val="24"/>
                <w:highlight w:val="none"/>
              </w:rPr>
              <w:t>日至投标截止时间，以项目负责人或技术负责人或副项目负责</w:t>
            </w:r>
            <w:r>
              <w:rPr>
                <w:strike/>
                <w:dstrike w:val="0"/>
                <w:color w:val="auto"/>
                <w:spacing w:val="2"/>
                <w:sz w:val="24"/>
                <w:szCs w:val="24"/>
                <w:highlight w:val="none"/>
              </w:rPr>
              <w:t>人（包括工程总承包项目中的施工负责人或施工技术负责人或施工副负责人）身份完</w:t>
            </w:r>
            <w:r>
              <w:rPr>
                <w:strike/>
                <w:dstrike w:val="0"/>
                <w:color w:val="auto"/>
                <w:spacing w:val="1"/>
                <w:sz w:val="24"/>
                <w:szCs w:val="24"/>
                <w:highlight w:val="none"/>
              </w:rPr>
              <w:t>成过</w:t>
            </w:r>
            <w:r>
              <w:rPr>
                <w:rFonts w:hint="eastAsia"/>
                <w:strike/>
                <w:dstrike w:val="0"/>
                <w:color w:val="auto"/>
                <w:spacing w:val="-98"/>
                <w:position w:val="-2"/>
                <w:sz w:val="24"/>
                <w:szCs w:val="24"/>
                <w:highlight w:val="none"/>
                <w:lang w:val="en-US" w:eastAsia="zh-CN"/>
              </w:rPr>
              <w:t xml:space="preserve">   </w:t>
            </w:r>
            <w:r>
              <w:rPr>
                <w:strike/>
                <w:dstrike w:val="0"/>
                <w:color w:val="auto"/>
                <w:spacing w:val="10"/>
                <w:sz w:val="24"/>
                <w:szCs w:val="24"/>
                <w:highlight w:val="none"/>
                <w:u w:val="single" w:color="auto"/>
              </w:rPr>
              <w:t xml:space="preserve"> </w:t>
            </w:r>
            <w:r>
              <w:rPr>
                <w:rFonts w:hint="eastAsia"/>
                <w:strike/>
                <w:dstrike w:val="0"/>
                <w:color w:val="auto"/>
                <w:spacing w:val="10"/>
                <w:sz w:val="24"/>
                <w:szCs w:val="24"/>
                <w:highlight w:val="none"/>
                <w:u w:val="single" w:color="auto"/>
                <w:lang w:val="en-US" w:eastAsia="zh-CN"/>
              </w:rPr>
              <w:t xml:space="preserve">         </w:t>
            </w:r>
            <w:r>
              <w:rPr>
                <w:color w:val="auto"/>
                <w:spacing w:val="-1"/>
                <w:position w:val="-2"/>
                <w:sz w:val="24"/>
                <w:szCs w:val="24"/>
                <w:highlight w:val="none"/>
              </w:rPr>
              <w:t>业绩。</w:t>
            </w:r>
          </w:p>
          <w:p w14:paraId="1F926502">
            <w:pPr>
              <w:pStyle w:val="17"/>
              <w:tabs>
                <w:tab w:val="left" w:pos="577"/>
              </w:tabs>
              <w:spacing w:before="49" w:line="360" w:lineRule="auto"/>
              <w:ind w:left="98" w:right="99" w:firstLine="32"/>
              <w:rPr>
                <w:strike/>
                <w:dstrike w:val="0"/>
                <w:color w:val="auto"/>
                <w:sz w:val="24"/>
                <w:szCs w:val="24"/>
                <w:highlight w:val="none"/>
              </w:rPr>
            </w:pPr>
            <w:r>
              <w:rPr>
                <w:strike/>
                <w:dstrike w:val="0"/>
                <w:color w:val="auto"/>
                <w:spacing w:val="-1"/>
                <w:sz w:val="24"/>
                <w:szCs w:val="24"/>
                <w:highlight w:val="none"/>
              </w:rPr>
              <w:t>□项目负责人自</w:t>
            </w:r>
            <w:r>
              <w:rPr>
                <w:strike/>
                <w:dstrike w:val="0"/>
                <w:color w:val="auto"/>
                <w:spacing w:val="-88"/>
                <w:sz w:val="24"/>
                <w:szCs w:val="24"/>
                <w:highlight w:val="none"/>
              </w:rPr>
              <w:t xml:space="preserve"> </w:t>
            </w:r>
            <w:r>
              <w:rPr>
                <w:strike/>
                <w:dstrike w:val="0"/>
                <w:color w:val="auto"/>
                <w:spacing w:val="104"/>
                <w:sz w:val="24"/>
                <w:szCs w:val="24"/>
                <w:highlight w:val="none"/>
                <w:u w:val="single" w:color="auto"/>
              </w:rPr>
              <w:t xml:space="preserve"> </w:t>
            </w:r>
            <w:r>
              <w:rPr>
                <w:rFonts w:hint="eastAsia"/>
                <w:strike/>
                <w:dstrike w:val="0"/>
                <w:color w:val="auto"/>
                <w:spacing w:val="104"/>
                <w:sz w:val="24"/>
                <w:szCs w:val="24"/>
                <w:highlight w:val="none"/>
                <w:u w:val="single" w:color="auto"/>
                <w:lang w:val="en-US" w:eastAsia="zh-CN"/>
              </w:rPr>
              <w:t xml:space="preserve"> </w:t>
            </w:r>
            <w:r>
              <w:rPr>
                <w:strike/>
                <w:dstrike w:val="0"/>
                <w:color w:val="auto"/>
                <w:spacing w:val="-99"/>
                <w:sz w:val="24"/>
                <w:szCs w:val="24"/>
                <w:highlight w:val="none"/>
              </w:rPr>
              <w:t xml:space="preserve"> </w:t>
            </w:r>
            <w:r>
              <w:rPr>
                <w:strike/>
                <w:dstrike w:val="0"/>
                <w:color w:val="auto"/>
                <w:spacing w:val="-1"/>
                <w:sz w:val="24"/>
                <w:szCs w:val="24"/>
                <w:highlight w:val="none"/>
              </w:rPr>
              <w:t>年</w:t>
            </w:r>
            <w:r>
              <w:rPr>
                <w:strike/>
                <w:dstrike w:val="0"/>
                <w:color w:val="auto"/>
                <w:spacing w:val="-102"/>
                <w:sz w:val="24"/>
                <w:szCs w:val="24"/>
                <w:highlight w:val="none"/>
              </w:rPr>
              <w:t xml:space="preserve"> </w:t>
            </w:r>
            <w:r>
              <w:rPr>
                <w:strike/>
                <w:dstrike w:val="0"/>
                <w:color w:val="auto"/>
                <w:spacing w:val="104"/>
                <w:sz w:val="24"/>
                <w:szCs w:val="24"/>
                <w:highlight w:val="none"/>
                <w:u w:val="single" w:color="auto"/>
              </w:rPr>
              <w:t xml:space="preserve"> </w:t>
            </w:r>
            <w:r>
              <w:rPr>
                <w:strike/>
                <w:dstrike w:val="0"/>
                <w:color w:val="auto"/>
                <w:spacing w:val="-97"/>
                <w:sz w:val="24"/>
                <w:szCs w:val="24"/>
                <w:highlight w:val="none"/>
              </w:rPr>
              <w:t xml:space="preserve"> </w:t>
            </w:r>
            <w:r>
              <w:rPr>
                <w:strike/>
                <w:dstrike w:val="0"/>
                <w:color w:val="auto"/>
                <w:spacing w:val="-1"/>
                <w:sz w:val="24"/>
                <w:szCs w:val="24"/>
                <w:highlight w:val="none"/>
              </w:rPr>
              <w:t>月</w:t>
            </w:r>
            <w:r>
              <w:rPr>
                <w:strike/>
                <w:dstrike w:val="0"/>
                <w:color w:val="auto"/>
                <w:spacing w:val="104"/>
                <w:sz w:val="24"/>
                <w:szCs w:val="24"/>
                <w:highlight w:val="none"/>
                <w:u w:val="single" w:color="auto"/>
              </w:rPr>
              <w:t xml:space="preserve"> </w:t>
            </w:r>
            <w:r>
              <w:rPr>
                <w:strike/>
                <w:dstrike w:val="0"/>
                <w:color w:val="auto"/>
                <w:spacing w:val="-56"/>
                <w:sz w:val="24"/>
                <w:szCs w:val="24"/>
                <w:highlight w:val="none"/>
              </w:rPr>
              <w:t xml:space="preserve"> </w:t>
            </w:r>
            <w:r>
              <w:rPr>
                <w:strike/>
                <w:dstrike w:val="0"/>
                <w:color w:val="auto"/>
                <w:spacing w:val="-1"/>
                <w:sz w:val="24"/>
                <w:szCs w:val="24"/>
                <w:highlight w:val="none"/>
              </w:rPr>
              <w:t>日至投标截止时间，以项目负责人或技术负责人或副项目负责</w:t>
            </w:r>
            <w:r>
              <w:rPr>
                <w:strike/>
                <w:dstrike w:val="0"/>
                <w:color w:val="auto"/>
                <w:spacing w:val="2"/>
                <w:sz w:val="24"/>
                <w:szCs w:val="24"/>
                <w:highlight w:val="none"/>
              </w:rPr>
              <w:t>人（包括工程总承包项目中的施工负责人或施工技术负责人或施工副负责人）身份完</w:t>
            </w:r>
            <w:r>
              <w:rPr>
                <w:strike/>
                <w:dstrike w:val="0"/>
                <w:color w:val="auto"/>
                <w:spacing w:val="1"/>
                <w:sz w:val="24"/>
                <w:szCs w:val="24"/>
                <w:highlight w:val="none"/>
              </w:rPr>
              <w:t>成过</w:t>
            </w:r>
            <w:r>
              <w:rPr>
                <w:strike/>
                <w:dstrike w:val="0"/>
                <w:color w:val="auto"/>
                <w:sz w:val="24"/>
                <w:szCs w:val="24"/>
                <w:highlight w:val="none"/>
                <w:u w:val="single" w:color="auto"/>
              </w:rPr>
              <w:tab/>
            </w:r>
            <w:r>
              <w:rPr>
                <w:rFonts w:hint="eastAsia"/>
                <w:strike/>
                <w:dstrike w:val="0"/>
                <w:color w:val="auto"/>
                <w:sz w:val="24"/>
                <w:szCs w:val="24"/>
                <w:highlight w:val="none"/>
                <w:u w:val="single" w:color="auto"/>
                <w:lang w:val="en-US" w:eastAsia="zh-CN"/>
              </w:rPr>
              <w:t xml:space="preserve">  </w:t>
            </w:r>
            <w:r>
              <w:rPr>
                <w:strike/>
                <w:dstrike w:val="0"/>
                <w:color w:val="auto"/>
                <w:spacing w:val="-97"/>
                <w:sz w:val="24"/>
                <w:szCs w:val="24"/>
                <w:highlight w:val="none"/>
              </w:rPr>
              <w:t xml:space="preserve"> </w:t>
            </w:r>
            <w:r>
              <w:rPr>
                <w:strike/>
                <w:dstrike w:val="0"/>
                <w:color w:val="auto"/>
                <w:spacing w:val="-6"/>
                <w:sz w:val="24"/>
                <w:szCs w:val="24"/>
                <w:highlight w:val="none"/>
              </w:rPr>
              <w:t>业绩或</w:t>
            </w:r>
            <w:r>
              <w:rPr>
                <w:rFonts w:ascii="Times New Roman" w:hAnsi="Times New Roman" w:eastAsia="Times New Roman" w:cs="Times New Roman"/>
                <w:strike/>
                <w:dstrike w:val="0"/>
                <w:color w:val="auto"/>
                <w:spacing w:val="-6"/>
                <w:sz w:val="24"/>
                <w:szCs w:val="24"/>
                <w:highlight w:val="none"/>
              </w:rPr>
              <w:t>2</w:t>
            </w:r>
            <w:r>
              <w:rPr>
                <w:strike/>
                <w:dstrike w:val="0"/>
                <w:color w:val="auto"/>
                <w:spacing w:val="-6"/>
                <w:sz w:val="24"/>
                <w:szCs w:val="24"/>
                <w:highlight w:val="none"/>
              </w:rPr>
              <w:t>项</w:t>
            </w:r>
            <w:r>
              <w:rPr>
                <w:strike/>
                <w:dstrike w:val="0"/>
                <w:color w:val="auto"/>
                <w:spacing w:val="2"/>
                <w:sz w:val="24"/>
                <w:szCs w:val="24"/>
                <w:highlight w:val="none"/>
                <w:u w:val="single"/>
              </w:rPr>
              <w:t>（前述业绩指标的80%）</w:t>
            </w:r>
            <w:r>
              <w:rPr>
                <w:strike/>
                <w:dstrike w:val="0"/>
                <w:color w:val="auto"/>
                <w:spacing w:val="89"/>
                <w:sz w:val="28"/>
                <w:szCs w:val="28"/>
                <w:highlight w:val="none"/>
                <w:u w:val="single" w:color="auto"/>
              </w:rPr>
              <w:t xml:space="preserve"> </w:t>
            </w:r>
            <w:r>
              <w:rPr>
                <w:strike/>
                <w:dstrike w:val="0"/>
                <w:color w:val="auto"/>
                <w:spacing w:val="-104"/>
                <w:sz w:val="28"/>
                <w:szCs w:val="28"/>
                <w:highlight w:val="none"/>
              </w:rPr>
              <w:t xml:space="preserve"> </w:t>
            </w:r>
            <w:r>
              <w:rPr>
                <w:strike/>
                <w:dstrike w:val="0"/>
                <w:color w:val="auto"/>
                <w:spacing w:val="-6"/>
                <w:sz w:val="24"/>
                <w:szCs w:val="24"/>
                <w:highlight w:val="none"/>
              </w:rPr>
              <w:t>业绩</w:t>
            </w:r>
            <w:r>
              <w:rPr>
                <w:strike/>
                <w:dstrike w:val="0"/>
                <w:color w:val="auto"/>
                <w:spacing w:val="-7"/>
                <w:position w:val="10"/>
                <w:sz w:val="15"/>
                <w:szCs w:val="15"/>
                <w:highlight w:val="none"/>
              </w:rPr>
              <w:t>②</w:t>
            </w:r>
            <w:r>
              <w:rPr>
                <w:strike/>
                <w:dstrike w:val="0"/>
                <w:color w:val="auto"/>
                <w:spacing w:val="-7"/>
                <w:sz w:val="24"/>
                <w:szCs w:val="24"/>
                <w:highlight w:val="none"/>
              </w:rPr>
              <w:t>。</w:t>
            </w:r>
          </w:p>
          <w:p w14:paraId="41252BF1">
            <w:pPr>
              <w:pStyle w:val="17"/>
              <w:spacing w:before="20" w:line="360" w:lineRule="auto"/>
              <w:ind w:left="107"/>
              <w:rPr>
                <w:color w:val="auto"/>
                <w:sz w:val="24"/>
                <w:szCs w:val="24"/>
                <w:highlight w:val="none"/>
              </w:rPr>
            </w:pPr>
            <w:r>
              <w:rPr>
                <w:color w:val="auto"/>
                <w:spacing w:val="17"/>
                <w:sz w:val="24"/>
                <w:szCs w:val="24"/>
                <w:highlight w:val="none"/>
              </w:rPr>
              <w:t>业绩证明材料见下文。</w:t>
            </w:r>
          </w:p>
        </w:tc>
      </w:tr>
      <w:tr w14:paraId="52BE2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1" w:type="dxa"/>
            <w:tcBorders>
              <w:left w:val="single" w:color="000000" w:sz="6" w:space="0"/>
            </w:tcBorders>
            <w:vAlign w:val="top"/>
          </w:tcPr>
          <w:p w14:paraId="1EC40FAC">
            <w:pPr>
              <w:spacing w:before="215" w:line="360" w:lineRule="auto"/>
              <w:ind w:left="305"/>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4</w:t>
            </w:r>
          </w:p>
        </w:tc>
        <w:tc>
          <w:tcPr>
            <w:tcW w:w="8111" w:type="dxa"/>
            <w:tcBorders>
              <w:right w:val="single" w:color="000000" w:sz="6" w:space="0"/>
            </w:tcBorders>
            <w:vAlign w:val="top"/>
          </w:tcPr>
          <w:p w14:paraId="2C650E96">
            <w:pPr>
              <w:pStyle w:val="17"/>
              <w:spacing w:before="15" w:line="360" w:lineRule="auto"/>
              <w:ind w:left="110" w:right="104" w:firstLine="20"/>
              <w:rPr>
                <w:color w:val="auto"/>
                <w:sz w:val="24"/>
                <w:szCs w:val="24"/>
                <w:highlight w:val="none"/>
              </w:rPr>
            </w:pPr>
            <w:r>
              <w:rPr>
                <w:strike/>
                <w:dstrike w:val="0"/>
                <w:color w:val="auto"/>
                <w:spacing w:val="1"/>
                <w:sz w:val="24"/>
                <w:szCs w:val="24"/>
                <w:highlight w:val="none"/>
              </w:rPr>
              <w:t>□本项目需设置</w:t>
            </w:r>
            <w:r>
              <w:rPr>
                <w:rFonts w:ascii="Times New Roman" w:hAnsi="Times New Roman" w:eastAsia="Times New Roman" w:cs="Times New Roman"/>
                <w:strike/>
                <w:dstrike w:val="0"/>
                <w:color w:val="auto"/>
                <w:spacing w:val="1"/>
                <w:sz w:val="24"/>
                <w:szCs w:val="24"/>
                <w:highlight w:val="none"/>
              </w:rPr>
              <w:t>1</w:t>
            </w:r>
            <w:r>
              <w:rPr>
                <w:strike/>
                <w:dstrike w:val="0"/>
                <w:color w:val="auto"/>
                <w:spacing w:val="1"/>
                <w:sz w:val="24"/>
                <w:szCs w:val="24"/>
                <w:highlight w:val="none"/>
              </w:rPr>
              <w:t>位副项目负责人。副项目负责人应持有水利水电工程相关</w:t>
            </w:r>
            <w:r>
              <w:rPr>
                <w:strike/>
                <w:dstrike w:val="0"/>
                <w:color w:val="auto"/>
                <w:sz w:val="24"/>
                <w:szCs w:val="24"/>
                <w:highlight w:val="none"/>
              </w:rPr>
              <w:t>专业中级工程</w:t>
            </w:r>
            <w:r>
              <w:rPr>
                <w:strike/>
                <w:dstrike w:val="0"/>
                <w:color w:val="auto"/>
                <w:spacing w:val="-1"/>
                <w:sz w:val="24"/>
                <w:szCs w:val="24"/>
                <w:highlight w:val="none"/>
              </w:rPr>
              <w:t>师及以上职称或注册建造师（水利水电工程）。</w:t>
            </w:r>
          </w:p>
        </w:tc>
      </w:tr>
      <w:tr w14:paraId="436C7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1" w:type="dxa"/>
            <w:tcBorders>
              <w:left w:val="single" w:color="000000" w:sz="6" w:space="0"/>
            </w:tcBorders>
            <w:vAlign w:val="top"/>
          </w:tcPr>
          <w:p w14:paraId="776DA6A6">
            <w:pPr>
              <w:spacing w:before="218" w:line="360" w:lineRule="auto"/>
              <w:ind w:left="311"/>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5</w:t>
            </w:r>
          </w:p>
        </w:tc>
        <w:tc>
          <w:tcPr>
            <w:tcW w:w="8111" w:type="dxa"/>
            <w:tcBorders>
              <w:right w:val="single" w:color="000000" w:sz="6" w:space="0"/>
            </w:tcBorders>
            <w:vAlign w:val="top"/>
          </w:tcPr>
          <w:p w14:paraId="677E96FE">
            <w:pPr>
              <w:pStyle w:val="17"/>
              <w:spacing w:before="40" w:line="360" w:lineRule="auto"/>
              <w:ind w:left="109" w:right="97" w:hanging="2"/>
              <w:rPr>
                <w:color w:val="auto"/>
                <w:sz w:val="24"/>
                <w:szCs w:val="24"/>
                <w:highlight w:val="none"/>
              </w:rPr>
            </w:pPr>
            <w:r>
              <w:rPr>
                <w:color w:val="auto"/>
                <w:spacing w:val="-3"/>
                <w:sz w:val="24"/>
                <w:szCs w:val="24"/>
                <w:highlight w:val="none"/>
              </w:rPr>
              <w:t>拟派项目组主要人员（指项目负责人、项目技术</w:t>
            </w:r>
            <w:r>
              <w:rPr>
                <w:color w:val="auto"/>
                <w:spacing w:val="-4"/>
                <w:sz w:val="24"/>
                <w:szCs w:val="24"/>
                <w:highlight w:val="none"/>
              </w:rPr>
              <w:t>负责人、</w:t>
            </w:r>
            <w:r>
              <w:rPr>
                <w:strike/>
                <w:dstrike w:val="0"/>
                <w:color w:val="auto"/>
                <w:spacing w:val="-4"/>
                <w:sz w:val="24"/>
                <w:szCs w:val="24"/>
                <w:highlight w:val="none"/>
              </w:rPr>
              <w:t>□副项目负责人</w:t>
            </w:r>
            <w:r>
              <w:rPr>
                <w:color w:val="auto"/>
                <w:spacing w:val="-4"/>
                <w:sz w:val="24"/>
                <w:szCs w:val="24"/>
                <w:highlight w:val="none"/>
              </w:rPr>
              <w:t>、专职安全生产管</w:t>
            </w:r>
            <w:r>
              <w:rPr>
                <w:color w:val="auto"/>
                <w:spacing w:val="-1"/>
                <w:sz w:val="24"/>
                <w:szCs w:val="24"/>
                <w:highlight w:val="none"/>
              </w:rPr>
              <w:t>理人员，下同）必须已在浙江省水利厅“浙江省水利建设市场信息”上公示。</w:t>
            </w:r>
          </w:p>
        </w:tc>
      </w:tr>
      <w:tr w14:paraId="75348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731" w:type="dxa"/>
            <w:tcBorders>
              <w:left w:val="single" w:color="000000" w:sz="6" w:space="0"/>
            </w:tcBorders>
            <w:vAlign w:val="top"/>
          </w:tcPr>
          <w:p w14:paraId="65AAD9AF">
            <w:pPr>
              <w:spacing w:line="360" w:lineRule="auto"/>
              <w:rPr>
                <w:rFonts w:ascii="Arial"/>
                <w:color w:val="auto"/>
                <w:sz w:val="24"/>
                <w:szCs w:val="24"/>
                <w:highlight w:val="none"/>
              </w:rPr>
            </w:pPr>
          </w:p>
          <w:p w14:paraId="6524A9BA">
            <w:pPr>
              <w:spacing w:before="61" w:line="360" w:lineRule="auto"/>
              <w:ind w:left="31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6</w:t>
            </w:r>
          </w:p>
        </w:tc>
        <w:tc>
          <w:tcPr>
            <w:tcW w:w="8111" w:type="dxa"/>
            <w:tcBorders>
              <w:right w:val="single" w:color="000000" w:sz="6" w:space="0"/>
            </w:tcBorders>
            <w:vAlign w:val="top"/>
          </w:tcPr>
          <w:p w14:paraId="66F5E8F2">
            <w:pPr>
              <w:pStyle w:val="17"/>
              <w:spacing w:before="41" w:line="360" w:lineRule="auto"/>
              <w:ind w:left="109" w:right="97"/>
              <w:jc w:val="both"/>
              <w:rPr>
                <w:color w:val="auto"/>
                <w:sz w:val="24"/>
                <w:szCs w:val="24"/>
                <w:highlight w:val="none"/>
              </w:rPr>
            </w:pPr>
            <w:r>
              <w:rPr>
                <w:color w:val="auto"/>
                <w:spacing w:val="-4"/>
                <w:sz w:val="24"/>
                <w:szCs w:val="24"/>
                <w:highlight w:val="none"/>
              </w:rPr>
              <w:t>投标人的“三类人员”（企业主要负责人、项目负责人、专职安全生产管理人员，下同）必</w:t>
            </w:r>
            <w:r>
              <w:rPr>
                <w:color w:val="auto"/>
                <w:spacing w:val="-3"/>
                <w:sz w:val="24"/>
                <w:szCs w:val="24"/>
                <w:highlight w:val="none"/>
              </w:rPr>
              <w:t>须持有省级及以上行政主管部门颁发的安全生产考核合格证书（</w:t>
            </w:r>
            <w:r>
              <w:rPr>
                <w:rFonts w:ascii="Times New Roman" w:hAnsi="Times New Roman" w:eastAsia="Times New Roman" w:cs="Times New Roman"/>
                <w:color w:val="auto"/>
                <w:spacing w:val="-3"/>
                <w:sz w:val="24"/>
                <w:szCs w:val="24"/>
                <w:highlight w:val="none"/>
              </w:rPr>
              <w:t>A</w:t>
            </w:r>
            <w:r>
              <w:rPr>
                <w:color w:val="auto"/>
                <w:spacing w:val="-3"/>
                <w:sz w:val="24"/>
                <w:szCs w:val="24"/>
                <w:highlight w:val="none"/>
              </w:rPr>
              <w:t>、</w:t>
            </w:r>
            <w:r>
              <w:rPr>
                <w:rFonts w:ascii="Times New Roman" w:hAnsi="Times New Roman" w:eastAsia="Times New Roman" w:cs="Times New Roman"/>
                <w:color w:val="auto"/>
                <w:spacing w:val="-3"/>
                <w:sz w:val="24"/>
                <w:szCs w:val="24"/>
                <w:highlight w:val="none"/>
              </w:rPr>
              <w:t>B</w:t>
            </w:r>
            <w:r>
              <w:rPr>
                <w:color w:val="auto"/>
                <w:spacing w:val="-3"/>
                <w:sz w:val="24"/>
                <w:szCs w:val="24"/>
                <w:highlight w:val="none"/>
              </w:rPr>
              <w:t>、</w:t>
            </w:r>
            <w:r>
              <w:rPr>
                <w:rFonts w:ascii="Times New Roman" w:hAnsi="Times New Roman" w:eastAsia="Times New Roman" w:cs="Times New Roman"/>
                <w:color w:val="auto"/>
                <w:spacing w:val="-3"/>
                <w:sz w:val="24"/>
                <w:szCs w:val="24"/>
                <w:highlight w:val="none"/>
              </w:rPr>
              <w:t>C</w:t>
            </w:r>
            <w:r>
              <w:rPr>
                <w:color w:val="auto"/>
                <w:spacing w:val="-3"/>
                <w:sz w:val="24"/>
                <w:szCs w:val="24"/>
                <w:highlight w:val="none"/>
              </w:rPr>
              <w:t>证</w:t>
            </w:r>
            <w:r>
              <w:rPr>
                <w:color w:val="auto"/>
                <w:spacing w:val="-18"/>
                <w:sz w:val="24"/>
                <w:szCs w:val="24"/>
                <w:highlight w:val="none"/>
              </w:rPr>
              <w:t>），</w:t>
            </w:r>
            <w:r>
              <w:rPr>
                <w:color w:val="auto"/>
                <w:spacing w:val="-3"/>
                <w:sz w:val="24"/>
                <w:szCs w:val="24"/>
                <w:highlight w:val="none"/>
              </w:rPr>
              <w:t>其中企业经</w:t>
            </w:r>
            <w:r>
              <w:rPr>
                <w:color w:val="auto"/>
                <w:spacing w:val="-4"/>
                <w:sz w:val="24"/>
                <w:szCs w:val="24"/>
                <w:highlight w:val="none"/>
              </w:rPr>
              <w:t>理、企业技术负责人、企业分管安全生产的副总经理应有任命文件；专职安全生产管理人员</w:t>
            </w:r>
            <w:r>
              <w:rPr>
                <w:color w:val="auto"/>
                <w:spacing w:val="-3"/>
                <w:sz w:val="24"/>
                <w:szCs w:val="24"/>
                <w:highlight w:val="none"/>
              </w:rPr>
              <w:t>不少于</w:t>
            </w:r>
            <w:r>
              <w:rPr>
                <w:color w:val="auto"/>
                <w:spacing w:val="-3"/>
                <w:sz w:val="24"/>
                <w:szCs w:val="24"/>
                <w:highlight w:val="none"/>
                <w:u w:val="single" w:color="auto"/>
              </w:rPr>
              <w:t xml:space="preserve">  </w:t>
            </w:r>
            <w:r>
              <w:rPr>
                <w:rFonts w:hint="eastAsia"/>
                <w:color w:val="auto"/>
                <w:spacing w:val="-3"/>
                <w:sz w:val="24"/>
                <w:szCs w:val="24"/>
                <w:highlight w:val="none"/>
                <w:u w:val="single" w:color="auto"/>
                <w:lang w:val="en-US" w:eastAsia="zh-CN"/>
              </w:rPr>
              <w:t>1</w:t>
            </w:r>
            <w:r>
              <w:rPr>
                <w:color w:val="auto"/>
                <w:spacing w:val="-3"/>
                <w:sz w:val="24"/>
                <w:szCs w:val="24"/>
                <w:highlight w:val="none"/>
                <w:u w:val="single" w:color="auto"/>
              </w:rPr>
              <w:t xml:space="preserve"> </w:t>
            </w:r>
            <w:r>
              <w:rPr>
                <w:color w:val="auto"/>
                <w:spacing w:val="-77"/>
                <w:sz w:val="24"/>
                <w:szCs w:val="24"/>
                <w:highlight w:val="none"/>
              </w:rPr>
              <w:t xml:space="preserve"> </w:t>
            </w:r>
            <w:r>
              <w:rPr>
                <w:color w:val="auto"/>
                <w:spacing w:val="-3"/>
                <w:sz w:val="24"/>
                <w:szCs w:val="24"/>
                <w:highlight w:val="none"/>
              </w:rPr>
              <w:t>人</w:t>
            </w:r>
            <w:r>
              <w:rPr>
                <w:color w:val="auto"/>
                <w:spacing w:val="-30"/>
                <w:position w:val="10"/>
                <w:sz w:val="15"/>
                <w:szCs w:val="15"/>
                <w:highlight w:val="none"/>
              </w:rPr>
              <w:t xml:space="preserve"> </w:t>
            </w:r>
            <w:r>
              <w:rPr>
                <w:color w:val="auto"/>
                <w:spacing w:val="-5"/>
                <w:sz w:val="24"/>
                <w:szCs w:val="24"/>
                <w:highlight w:val="none"/>
              </w:rPr>
              <w:t>,</w:t>
            </w:r>
            <w:r>
              <w:rPr>
                <w:color w:val="auto"/>
                <w:spacing w:val="54"/>
                <w:sz w:val="24"/>
                <w:szCs w:val="24"/>
                <w:highlight w:val="none"/>
              </w:rPr>
              <w:t xml:space="preserve"> </w:t>
            </w:r>
            <w:r>
              <w:rPr>
                <w:color w:val="auto"/>
                <w:spacing w:val="-5"/>
                <w:sz w:val="24"/>
                <w:szCs w:val="24"/>
                <w:highlight w:val="none"/>
              </w:rPr>
              <w:t>且不得与拟派项目组其他主要人员相互兼任。</w:t>
            </w:r>
          </w:p>
        </w:tc>
      </w:tr>
      <w:tr w14:paraId="23698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1" w:type="dxa"/>
            <w:tcBorders>
              <w:left w:val="single" w:color="000000" w:sz="6" w:space="0"/>
            </w:tcBorders>
            <w:vAlign w:val="top"/>
          </w:tcPr>
          <w:p w14:paraId="058C4E48">
            <w:pPr>
              <w:pStyle w:val="17"/>
              <w:spacing w:before="104" w:line="360" w:lineRule="auto"/>
              <w:ind w:left="257"/>
              <w:rPr>
                <w:color w:val="auto"/>
                <w:sz w:val="24"/>
                <w:szCs w:val="24"/>
                <w:highlight w:val="none"/>
              </w:rPr>
            </w:pPr>
            <w:r>
              <w:rPr>
                <w:b/>
                <w:bCs/>
                <w:color w:val="auto"/>
                <w:spacing w:val="-3"/>
                <w:sz w:val="24"/>
                <w:szCs w:val="24"/>
                <w:highlight w:val="none"/>
              </w:rPr>
              <w:t>三</w:t>
            </w:r>
          </w:p>
        </w:tc>
        <w:tc>
          <w:tcPr>
            <w:tcW w:w="8111" w:type="dxa"/>
            <w:tcBorders>
              <w:right w:val="single" w:color="000000" w:sz="6" w:space="0"/>
            </w:tcBorders>
            <w:vAlign w:val="top"/>
          </w:tcPr>
          <w:p w14:paraId="403866B8">
            <w:pPr>
              <w:pStyle w:val="17"/>
              <w:spacing w:before="104" w:line="360" w:lineRule="auto"/>
              <w:ind w:left="108"/>
              <w:rPr>
                <w:color w:val="auto"/>
                <w:sz w:val="24"/>
                <w:szCs w:val="24"/>
                <w:highlight w:val="none"/>
              </w:rPr>
            </w:pPr>
            <w:r>
              <w:rPr>
                <w:b/>
                <w:bCs/>
                <w:color w:val="auto"/>
                <w:spacing w:val="-4"/>
                <w:sz w:val="24"/>
                <w:szCs w:val="24"/>
                <w:highlight w:val="none"/>
              </w:rPr>
              <w:t>其他</w:t>
            </w:r>
          </w:p>
        </w:tc>
      </w:tr>
      <w:tr w14:paraId="001A0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31" w:type="dxa"/>
            <w:tcBorders>
              <w:left w:val="single" w:color="000000" w:sz="6" w:space="0"/>
            </w:tcBorders>
            <w:vAlign w:val="center"/>
          </w:tcPr>
          <w:p w14:paraId="3F70701D">
            <w:pPr>
              <w:spacing w:before="144" w:line="360" w:lineRule="auto"/>
              <w:ind w:left="326"/>
              <w:jc w:val="left"/>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1</w:t>
            </w:r>
          </w:p>
        </w:tc>
        <w:tc>
          <w:tcPr>
            <w:tcW w:w="8111" w:type="dxa"/>
            <w:tcBorders>
              <w:right w:val="single" w:color="000000" w:sz="6" w:space="0"/>
            </w:tcBorders>
            <w:vAlign w:val="top"/>
          </w:tcPr>
          <w:p w14:paraId="52CD0E5A">
            <w:pPr>
              <w:pStyle w:val="17"/>
              <w:spacing w:before="105" w:line="360" w:lineRule="auto"/>
              <w:ind w:left="108"/>
              <w:rPr>
                <w:color w:val="auto"/>
                <w:sz w:val="24"/>
                <w:szCs w:val="24"/>
                <w:highlight w:val="none"/>
              </w:rPr>
            </w:pPr>
            <w:r>
              <w:rPr>
                <w:color w:val="auto"/>
                <w:sz w:val="24"/>
                <w:szCs w:val="24"/>
                <w:highlight w:val="none"/>
              </w:rPr>
              <w:t>法定代表人的委托代理人（若有）及拟派项</w:t>
            </w:r>
            <w:r>
              <w:rPr>
                <w:color w:val="auto"/>
                <w:spacing w:val="-1"/>
                <w:sz w:val="24"/>
                <w:szCs w:val="24"/>
                <w:highlight w:val="none"/>
              </w:rPr>
              <w:t>目组主要人员应为投标人本单位正式员工。</w:t>
            </w:r>
          </w:p>
        </w:tc>
      </w:tr>
      <w:tr w14:paraId="090E7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31" w:type="dxa"/>
            <w:tcBorders>
              <w:left w:val="single" w:color="000000" w:sz="6" w:space="0"/>
            </w:tcBorders>
            <w:vAlign w:val="center"/>
          </w:tcPr>
          <w:p w14:paraId="710EBAC5">
            <w:pPr>
              <w:spacing w:before="219" w:line="360" w:lineRule="auto"/>
              <w:ind w:left="306"/>
              <w:jc w:val="left"/>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2</w:t>
            </w:r>
          </w:p>
        </w:tc>
        <w:tc>
          <w:tcPr>
            <w:tcW w:w="8111" w:type="dxa"/>
            <w:tcBorders>
              <w:right w:val="single" w:color="000000" w:sz="6" w:space="0"/>
            </w:tcBorders>
            <w:vAlign w:val="top"/>
          </w:tcPr>
          <w:p w14:paraId="4B4128F2">
            <w:pPr>
              <w:pStyle w:val="17"/>
              <w:spacing w:before="47" w:line="360" w:lineRule="auto"/>
              <w:ind w:left="127" w:right="97" w:hanging="17"/>
              <w:rPr>
                <w:color w:val="auto"/>
                <w:sz w:val="24"/>
                <w:szCs w:val="24"/>
                <w:highlight w:val="none"/>
              </w:rPr>
            </w:pPr>
            <w:r>
              <w:rPr>
                <w:color w:val="auto"/>
                <w:spacing w:val="-4"/>
                <w:sz w:val="24"/>
                <w:szCs w:val="24"/>
                <w:highlight w:val="none"/>
              </w:rPr>
              <w:t>项目负责人自</w:t>
            </w:r>
            <w:r>
              <w:rPr>
                <w:color w:val="auto"/>
                <w:spacing w:val="-105"/>
                <w:sz w:val="24"/>
                <w:szCs w:val="24"/>
                <w:highlight w:val="none"/>
              </w:rPr>
              <w:t xml:space="preserve"> </w:t>
            </w:r>
            <w:r>
              <w:rPr>
                <w:rFonts w:hint="eastAsia"/>
                <w:color w:val="auto"/>
                <w:sz w:val="24"/>
                <w:szCs w:val="24"/>
                <w:highlight w:val="none"/>
                <w:u w:val="single" w:color="auto"/>
                <w:lang w:val="en-US" w:eastAsia="zh-CN"/>
              </w:rPr>
              <w:t>2023</w:t>
            </w:r>
            <w:r>
              <w:rPr>
                <w:color w:val="auto"/>
                <w:spacing w:val="-4"/>
                <w:sz w:val="24"/>
                <w:szCs w:val="24"/>
                <w:highlight w:val="none"/>
              </w:rPr>
              <w:t>年</w:t>
            </w:r>
            <w:r>
              <w:rPr>
                <w:color w:val="auto"/>
                <w:spacing w:val="-4"/>
                <w:sz w:val="24"/>
                <w:szCs w:val="24"/>
                <w:highlight w:val="none"/>
                <w:u w:val="single" w:color="auto"/>
              </w:rPr>
              <w:t xml:space="preserve"> </w:t>
            </w:r>
            <w:r>
              <w:rPr>
                <w:rFonts w:hint="eastAsia"/>
                <w:color w:val="auto"/>
                <w:spacing w:val="-4"/>
                <w:sz w:val="24"/>
                <w:szCs w:val="24"/>
                <w:highlight w:val="none"/>
                <w:u w:val="single" w:color="auto"/>
                <w:lang w:val="en-US" w:eastAsia="zh-CN"/>
              </w:rPr>
              <w:t>1</w:t>
            </w:r>
            <w:r>
              <w:rPr>
                <w:color w:val="auto"/>
                <w:spacing w:val="-4"/>
                <w:sz w:val="24"/>
                <w:szCs w:val="24"/>
                <w:highlight w:val="none"/>
                <w:u w:val="single" w:color="auto"/>
              </w:rPr>
              <w:t xml:space="preserve"> </w:t>
            </w:r>
            <w:r>
              <w:rPr>
                <w:color w:val="auto"/>
                <w:spacing w:val="-4"/>
                <w:sz w:val="24"/>
                <w:szCs w:val="24"/>
                <w:highlight w:val="none"/>
              </w:rPr>
              <w:t>月</w:t>
            </w:r>
            <w:r>
              <w:rPr>
                <w:color w:val="auto"/>
                <w:spacing w:val="-4"/>
                <w:sz w:val="24"/>
                <w:szCs w:val="24"/>
                <w:highlight w:val="none"/>
                <w:u w:val="single" w:color="auto"/>
              </w:rPr>
              <w:t xml:space="preserve"> </w:t>
            </w:r>
            <w:r>
              <w:rPr>
                <w:rFonts w:hint="eastAsia"/>
                <w:color w:val="auto"/>
                <w:spacing w:val="-4"/>
                <w:sz w:val="24"/>
                <w:szCs w:val="24"/>
                <w:highlight w:val="none"/>
                <w:u w:val="single" w:color="auto"/>
                <w:lang w:val="en-US" w:eastAsia="zh-CN"/>
              </w:rPr>
              <w:t>1</w:t>
            </w:r>
            <w:r>
              <w:rPr>
                <w:color w:val="auto"/>
                <w:spacing w:val="-4"/>
                <w:sz w:val="24"/>
                <w:szCs w:val="24"/>
                <w:highlight w:val="none"/>
                <w:u w:val="single" w:color="auto"/>
              </w:rPr>
              <w:t xml:space="preserve"> </w:t>
            </w:r>
            <w:r>
              <w:rPr>
                <w:color w:val="auto"/>
                <w:spacing w:val="-4"/>
                <w:sz w:val="24"/>
                <w:szCs w:val="24"/>
                <w:highlight w:val="none"/>
              </w:rPr>
              <w:t>日至投标截止时间（不得少于3年）无行贿</w:t>
            </w:r>
            <w:r>
              <w:rPr>
                <w:color w:val="auto"/>
                <w:spacing w:val="-5"/>
                <w:sz w:val="24"/>
                <w:szCs w:val="24"/>
                <w:highlight w:val="none"/>
              </w:rPr>
              <w:t>犯罪记录（以中</w:t>
            </w:r>
            <w:r>
              <w:rPr>
                <w:color w:val="auto"/>
                <w:spacing w:val="-1"/>
                <w:sz w:val="24"/>
                <w:szCs w:val="24"/>
                <w:highlight w:val="none"/>
              </w:rPr>
              <w:t>国裁判文书网（</w:t>
            </w:r>
            <w:r>
              <w:rPr>
                <w:color w:val="auto"/>
                <w:sz w:val="21"/>
                <w:szCs w:val="21"/>
                <w:highlight w:val="none"/>
              </w:rPr>
              <w:fldChar w:fldCharType="begin"/>
            </w:r>
            <w:r>
              <w:rPr>
                <w:color w:val="auto"/>
                <w:sz w:val="21"/>
                <w:szCs w:val="21"/>
                <w:highlight w:val="none"/>
              </w:rPr>
              <w:instrText xml:space="preserve"> HYPERLINK "http://wenshu.court.gov.cn/" </w:instrText>
            </w:r>
            <w:r>
              <w:rPr>
                <w:color w:val="auto"/>
                <w:sz w:val="21"/>
                <w:szCs w:val="21"/>
                <w:highlight w:val="none"/>
              </w:rPr>
              <w:fldChar w:fldCharType="separate"/>
            </w:r>
            <w:r>
              <w:rPr>
                <w:rFonts w:ascii="Times New Roman" w:hAnsi="Times New Roman" w:eastAsia="Times New Roman" w:cs="Times New Roman"/>
                <w:color w:val="auto"/>
                <w:spacing w:val="-1"/>
                <w:sz w:val="24"/>
                <w:szCs w:val="24"/>
                <w:highlight w:val="none"/>
              </w:rPr>
              <w:t>http://wenshu.court.gov.cn/</w:t>
            </w:r>
            <w:r>
              <w:rPr>
                <w:rFonts w:ascii="Times New Roman" w:hAnsi="Times New Roman" w:eastAsia="Times New Roman" w:cs="Times New Roman"/>
                <w:color w:val="auto"/>
                <w:spacing w:val="-1"/>
                <w:sz w:val="24"/>
                <w:szCs w:val="24"/>
                <w:highlight w:val="none"/>
              </w:rPr>
              <w:fldChar w:fldCharType="end"/>
            </w:r>
            <w:r>
              <w:rPr>
                <w:color w:val="auto"/>
                <w:spacing w:val="-1"/>
                <w:sz w:val="24"/>
                <w:szCs w:val="24"/>
                <w:highlight w:val="none"/>
              </w:rPr>
              <w:t>）查询结果为准）。</w:t>
            </w:r>
          </w:p>
        </w:tc>
      </w:tr>
      <w:tr w14:paraId="604A2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31" w:type="dxa"/>
            <w:tcBorders>
              <w:left w:val="single" w:color="000000" w:sz="6" w:space="0"/>
            </w:tcBorders>
            <w:vAlign w:val="center"/>
          </w:tcPr>
          <w:p w14:paraId="0238D8DA">
            <w:pPr>
              <w:spacing w:before="219" w:line="360" w:lineRule="auto"/>
              <w:ind w:left="310"/>
              <w:jc w:val="left"/>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3</w:t>
            </w:r>
          </w:p>
        </w:tc>
        <w:tc>
          <w:tcPr>
            <w:tcW w:w="8111" w:type="dxa"/>
            <w:tcBorders>
              <w:right w:val="single" w:color="000000" w:sz="6" w:space="0"/>
            </w:tcBorders>
            <w:vAlign w:val="top"/>
          </w:tcPr>
          <w:p w14:paraId="59175F8A">
            <w:pPr>
              <w:pStyle w:val="17"/>
              <w:spacing w:before="45" w:line="360" w:lineRule="auto"/>
              <w:ind w:left="112" w:right="109" w:hanging="3"/>
              <w:rPr>
                <w:color w:val="auto"/>
                <w:sz w:val="24"/>
                <w:szCs w:val="24"/>
                <w:highlight w:val="none"/>
              </w:rPr>
            </w:pPr>
            <w:r>
              <w:rPr>
                <w:color w:val="auto"/>
                <w:spacing w:val="-4"/>
                <w:sz w:val="24"/>
                <w:szCs w:val="24"/>
                <w:highlight w:val="none"/>
              </w:rPr>
              <w:t>投标人及其法定代表人、拟派项目负责人未被列入失信被执行人名单（以“信用中国”网站</w:t>
            </w:r>
            <w:r>
              <w:rPr>
                <w:color w:val="auto"/>
                <w:spacing w:val="-1"/>
                <w:sz w:val="24"/>
                <w:szCs w:val="24"/>
                <w:highlight w:val="none"/>
              </w:rPr>
              <w:t>（</w:t>
            </w:r>
            <w:r>
              <w:rPr>
                <w:color w:val="auto"/>
                <w:sz w:val="21"/>
                <w:szCs w:val="21"/>
                <w:highlight w:val="none"/>
              </w:rPr>
              <w:fldChar w:fldCharType="begin"/>
            </w:r>
            <w:r>
              <w:rPr>
                <w:color w:val="auto"/>
                <w:sz w:val="21"/>
                <w:szCs w:val="21"/>
                <w:highlight w:val="none"/>
              </w:rPr>
              <w:instrText xml:space="preserve"> HYPERLINK "http://www.creditchina.gov.cn/" </w:instrText>
            </w:r>
            <w:r>
              <w:rPr>
                <w:color w:val="auto"/>
                <w:sz w:val="21"/>
                <w:szCs w:val="21"/>
                <w:highlight w:val="none"/>
              </w:rPr>
              <w:fldChar w:fldCharType="separate"/>
            </w:r>
            <w:r>
              <w:rPr>
                <w:rFonts w:ascii="Times New Roman" w:hAnsi="Times New Roman" w:eastAsia="Times New Roman" w:cs="Times New Roman"/>
                <w:color w:val="auto"/>
                <w:spacing w:val="-1"/>
                <w:sz w:val="24"/>
                <w:szCs w:val="24"/>
                <w:highlight w:val="none"/>
              </w:rPr>
              <w:t>www.creditchina.gov.cn</w:t>
            </w:r>
            <w:r>
              <w:rPr>
                <w:rFonts w:ascii="Times New Roman" w:hAnsi="Times New Roman" w:eastAsia="Times New Roman" w:cs="Times New Roman"/>
                <w:color w:val="auto"/>
                <w:spacing w:val="-1"/>
                <w:sz w:val="24"/>
                <w:szCs w:val="24"/>
                <w:highlight w:val="none"/>
              </w:rPr>
              <w:fldChar w:fldCharType="end"/>
            </w:r>
            <w:r>
              <w:rPr>
                <w:color w:val="auto"/>
                <w:spacing w:val="-1"/>
                <w:sz w:val="24"/>
                <w:szCs w:val="24"/>
                <w:highlight w:val="none"/>
              </w:rPr>
              <w:t>）查询为准）</w:t>
            </w:r>
          </w:p>
        </w:tc>
      </w:tr>
      <w:tr w14:paraId="5FB83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731" w:type="dxa"/>
            <w:tcBorders>
              <w:left w:val="single" w:color="000000" w:sz="6" w:space="0"/>
            </w:tcBorders>
            <w:vAlign w:val="center"/>
          </w:tcPr>
          <w:p w14:paraId="5E3112D0">
            <w:pPr>
              <w:spacing w:before="146" w:line="187" w:lineRule="auto"/>
              <w:ind w:left="305"/>
              <w:jc w:val="left"/>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4</w:t>
            </w:r>
          </w:p>
        </w:tc>
        <w:tc>
          <w:tcPr>
            <w:tcW w:w="8111" w:type="dxa"/>
            <w:tcBorders>
              <w:right w:val="single" w:color="000000" w:sz="6" w:space="0"/>
            </w:tcBorders>
            <w:vAlign w:val="top"/>
          </w:tcPr>
          <w:p w14:paraId="2F94D666">
            <w:pPr>
              <w:pStyle w:val="17"/>
              <w:spacing w:before="47" w:line="360" w:lineRule="auto"/>
              <w:ind w:left="127" w:right="97" w:hanging="17"/>
              <w:rPr>
                <w:rFonts w:ascii="Times New Roman" w:hAnsi="Times New Roman" w:eastAsia="Times New Roman" w:cs="Times New Roman"/>
                <w:color w:val="auto"/>
                <w:sz w:val="24"/>
                <w:szCs w:val="24"/>
                <w:highlight w:val="none"/>
              </w:rPr>
            </w:pPr>
            <w:r>
              <w:rPr>
                <w:rFonts w:hint="eastAsia" w:ascii="宋体" w:hAnsi="宋体" w:eastAsia="宋体" w:cs="宋体"/>
                <w:color w:val="auto"/>
                <w:spacing w:val="-1"/>
                <w:sz w:val="24"/>
                <w:szCs w:val="24"/>
                <w:highlight w:val="none"/>
              </w:rPr>
              <w:t>法定代表人的委托代理人（如有）及拟派项目组主要人员应为投标人本单位正式员工。项目负责人须提供开标前</w:t>
            </w:r>
            <w:r>
              <w:rPr>
                <w:rFonts w:hint="eastAsia" w:cs="宋体"/>
                <w:color w:val="auto"/>
                <w:spacing w:val="-1"/>
                <w:sz w:val="24"/>
                <w:szCs w:val="24"/>
                <w:highlight w:val="none"/>
                <w:lang w:val="en-US" w:eastAsia="zh-CN"/>
              </w:rPr>
              <w:t>三</w:t>
            </w:r>
            <w:r>
              <w:rPr>
                <w:rFonts w:hint="eastAsia" w:ascii="宋体" w:hAnsi="宋体" w:eastAsia="宋体" w:cs="宋体"/>
                <w:color w:val="auto"/>
                <w:spacing w:val="-1"/>
                <w:sz w:val="24"/>
                <w:szCs w:val="24"/>
                <w:highlight w:val="none"/>
              </w:rPr>
              <w:t>个月投标申请人所属社保机构养老保险交纳清单或证明，如为离退休返聘人员的，须提供退休证明及单位聘用证明</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且该项目负责人的实际年龄与本项目施工总工期之和不得超过65周岁。</w:t>
            </w:r>
          </w:p>
        </w:tc>
      </w:tr>
      <w:tr w14:paraId="2E91C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731" w:type="dxa"/>
            <w:tcBorders>
              <w:left w:val="single" w:color="000000" w:sz="6" w:space="0"/>
              <w:bottom w:val="single" w:color="000000" w:sz="6" w:space="0"/>
            </w:tcBorders>
            <w:vAlign w:val="center"/>
          </w:tcPr>
          <w:p w14:paraId="6D31AA7F">
            <w:pPr>
              <w:spacing w:before="146" w:line="187" w:lineRule="auto"/>
              <w:ind w:left="305"/>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p>
        </w:tc>
        <w:tc>
          <w:tcPr>
            <w:tcW w:w="8111" w:type="dxa"/>
            <w:tcBorders>
              <w:bottom w:val="single" w:color="000000" w:sz="6" w:space="0"/>
              <w:right w:val="single" w:color="000000" w:sz="6" w:space="0"/>
            </w:tcBorders>
            <w:vAlign w:val="top"/>
          </w:tcPr>
          <w:p w14:paraId="02FFF156">
            <w:pPr>
              <w:pStyle w:val="17"/>
              <w:spacing w:before="47" w:line="360" w:lineRule="auto"/>
              <w:ind w:left="127" w:right="97" w:hanging="17"/>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投标人、投标人的“三类人员”、拟派项目组主要人员未被列入全国水利建设市场信用平台“黑名单”。</w:t>
            </w:r>
          </w:p>
        </w:tc>
      </w:tr>
    </w:tbl>
    <w:p w14:paraId="5C4FACFE">
      <w:pPr>
        <w:spacing w:before="54" w:line="351" w:lineRule="auto"/>
        <w:ind w:left="1" w:right="429" w:firstLine="424"/>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
          <w:sz w:val="21"/>
          <w:szCs w:val="21"/>
          <w:highlight w:val="none"/>
        </w:rPr>
        <w:t>投标人及其拟派项目负责人的类似项目业绩要求详见上表，该业绩须已在浙江省水利厅“浙</w:t>
      </w:r>
      <w:r>
        <w:rPr>
          <w:rFonts w:ascii="宋体" w:hAnsi="宋体" w:eastAsia="宋体" w:cs="宋体"/>
          <w:strike/>
          <w:dstrike w:val="0"/>
          <w:color w:val="auto"/>
          <w:sz w:val="21"/>
          <w:szCs w:val="21"/>
          <w:highlight w:val="none"/>
        </w:rPr>
        <w:t>江省水利建设市场信息”上公示。</w:t>
      </w:r>
    </w:p>
    <w:p w14:paraId="05A6A915">
      <w:pPr>
        <w:spacing w:before="54" w:line="351" w:lineRule="auto"/>
        <w:ind w:left="1" w:right="429" w:firstLine="424"/>
        <w:rPr>
          <w:rFonts w:ascii="宋体" w:hAnsi="宋体" w:eastAsia="宋体" w:cs="宋体"/>
          <w:strike/>
          <w:dstrike w:val="0"/>
          <w:color w:val="auto"/>
          <w:spacing w:val="-1"/>
          <w:sz w:val="21"/>
          <w:szCs w:val="21"/>
          <w:highlight w:val="none"/>
        </w:rPr>
      </w:pPr>
      <w:r>
        <w:rPr>
          <w:rFonts w:hint="eastAsia" w:eastAsia="宋体"/>
          <w:strike/>
          <w:dstrike w:val="0"/>
          <w:color w:val="auto"/>
          <w:highlight w:val="none"/>
          <w:lang w:val="en-US" w:eastAsia="zh-CN"/>
        </w:rPr>
        <w:tab/>
      </w:r>
      <w:r>
        <w:rPr>
          <w:rFonts w:ascii="宋体" w:hAnsi="宋体" w:eastAsia="宋体" w:cs="宋体"/>
          <w:strike/>
          <w:dstrike w:val="0"/>
          <w:color w:val="auto"/>
          <w:spacing w:val="-1"/>
          <w:sz w:val="21"/>
          <w:szCs w:val="21"/>
          <w:highlight w:val="none"/>
        </w:rPr>
        <w:t>类似项目业绩证明材料指</w:t>
      </w:r>
      <w:r>
        <w:rPr>
          <w:rFonts w:hint="eastAsia" w:ascii="宋体" w:hAnsi="宋体" w:eastAsia="宋体" w:cs="宋体"/>
          <w:strike/>
          <w:dstrike w:val="0"/>
          <w:color w:val="auto"/>
          <w:spacing w:val="-1"/>
          <w:sz w:val="21"/>
          <w:szCs w:val="21"/>
          <w:highlight w:val="none"/>
          <w:lang w:eastAsia="zh-CN"/>
        </w:rPr>
        <w:t>：（</w:t>
      </w:r>
      <w:r>
        <w:rPr>
          <w:rFonts w:hint="eastAsia" w:ascii="宋体" w:hAnsi="宋体" w:eastAsia="宋体" w:cs="宋体"/>
          <w:strike/>
          <w:dstrike w:val="0"/>
          <w:color w:val="auto"/>
          <w:spacing w:val="-1"/>
          <w:sz w:val="21"/>
          <w:szCs w:val="21"/>
          <w:highlight w:val="none"/>
          <w:lang w:val="en-US" w:eastAsia="zh-CN"/>
        </w:rPr>
        <w:t>1）</w:t>
      </w:r>
      <w:r>
        <w:rPr>
          <w:rFonts w:ascii="宋体" w:hAnsi="宋体" w:eastAsia="宋体" w:cs="宋体"/>
          <w:strike/>
          <w:dstrike w:val="0"/>
          <w:color w:val="auto"/>
          <w:spacing w:val="-1"/>
          <w:sz w:val="21"/>
          <w:szCs w:val="21"/>
          <w:highlight w:val="none"/>
        </w:rPr>
        <w:t>合同，以及由项目法人或行政主管部门出具的完工（竣工）验收鉴定书〔或质量监督机构出具对应的完工（竣工）质量（安全）监督报告〕，若工程规模、特征等无法认定的，以初步设计批复文件（包括设计变更批复）或施工图纸为依据；（2）浙江省水利厅“浙江省水利工程建设管理系统（透明工程）”下载业绩打印件，打印件应含有“浙江水利透明工程”水印。（上述（ 1）、（2 ）项须同时提供）。 日期以完工（竣工）验收鉴定书或工程质量（安全）监督报告中明确的完工（竣工）日期为准。</w:t>
      </w:r>
    </w:p>
    <w:p w14:paraId="31482901">
      <w:pPr>
        <w:spacing w:before="54" w:line="351" w:lineRule="auto"/>
        <w:ind w:left="1" w:right="429" w:firstLine="424"/>
        <w:rPr>
          <w:rFonts w:ascii="宋体" w:hAnsi="宋体" w:eastAsia="宋体" w:cs="宋体"/>
          <w:strike/>
          <w:dstrike w:val="0"/>
          <w:color w:val="auto"/>
          <w:spacing w:val="-1"/>
          <w:sz w:val="21"/>
          <w:szCs w:val="21"/>
          <w:highlight w:val="none"/>
        </w:rPr>
      </w:pPr>
      <w:r>
        <w:rPr>
          <w:rFonts w:ascii="宋体" w:hAnsi="宋体" w:eastAsia="宋体" w:cs="宋体"/>
          <w:strike/>
          <w:dstrike w:val="0"/>
          <w:color w:val="auto"/>
          <w:spacing w:val="-1"/>
          <w:sz w:val="21"/>
          <w:szCs w:val="21"/>
          <w:highlight w:val="none"/>
        </w:rPr>
        <w:t>业绩要求的项目负责人或技术负责人的身份以“浙江省水利工程建设管理系统（透明工程）”业绩打印件（指完工或竣工人员）为准。业绩打印件应与项目法人或行政主管部门出具的完工（竣工）验收鉴定书〔或质量监督机构出具对应的完工（竣工）质量（安全）监督报告〕的内容一致；不一致的，该业绩不予认可。</w:t>
      </w:r>
    </w:p>
    <w:p w14:paraId="7125BAEE">
      <w:pPr>
        <w:spacing w:before="54" w:line="351" w:lineRule="auto"/>
        <w:ind w:left="1" w:right="429" w:firstLine="424"/>
        <w:rPr>
          <w:rFonts w:ascii="宋体" w:hAnsi="宋体" w:eastAsia="宋体" w:cs="宋体"/>
          <w:strike/>
          <w:dstrike w:val="0"/>
          <w:color w:val="auto"/>
          <w:spacing w:val="-1"/>
          <w:sz w:val="21"/>
          <w:szCs w:val="21"/>
          <w:highlight w:val="none"/>
        </w:rPr>
      </w:pPr>
      <w:r>
        <w:rPr>
          <w:rFonts w:ascii="宋体" w:hAnsi="宋体" w:eastAsia="宋体" w:cs="宋体"/>
          <w:strike/>
          <w:dstrike w:val="0"/>
          <w:color w:val="auto"/>
          <w:spacing w:val="-1"/>
          <w:sz w:val="21"/>
          <w:szCs w:val="21"/>
          <w:highlight w:val="none"/>
        </w:rPr>
        <w:t>业绩要求的副项目负责人的身份以“浙江省水利工程建设管理系统（透明工程）”业绩打印件为准。业绩打印件与合同、以及由项目法人或行政主管部门出具的完工（竣工）验收鉴定书〔或质量监督机构出具对应的完工（竣工）质量（安全）监督报告〕均一致的，该业绩予以认可；其余情况，该业绩不予认可。</w:t>
      </w:r>
    </w:p>
    <w:p w14:paraId="121418C5">
      <w:pPr>
        <w:spacing w:before="54" w:line="351" w:lineRule="auto"/>
        <w:ind w:left="1" w:right="429" w:firstLine="424"/>
        <w:rPr>
          <w:rFonts w:ascii="宋体" w:hAnsi="宋体" w:eastAsia="宋体" w:cs="宋体"/>
          <w:strike/>
          <w:dstrike w:val="0"/>
          <w:color w:val="auto"/>
          <w:spacing w:val="-1"/>
          <w:sz w:val="21"/>
          <w:szCs w:val="21"/>
          <w:highlight w:val="none"/>
        </w:rPr>
      </w:pPr>
      <w:r>
        <w:rPr>
          <w:rFonts w:ascii="宋体" w:hAnsi="宋体" w:eastAsia="宋体" w:cs="宋体"/>
          <w:strike/>
          <w:dstrike w:val="0"/>
          <w:color w:val="auto"/>
          <w:spacing w:val="-1"/>
          <w:sz w:val="21"/>
          <w:szCs w:val="21"/>
          <w:highlight w:val="none"/>
        </w:rPr>
        <w:t>副项目负责人业绩，以2025年10月1 日后签订合同，在合同以及由项目法人或行政主管部门出具的完工（竣工）验收鉴定书〔或质量监督机构出具对应的完工（竣工）质量（安全）监督报告〕能反映副项目负责人岗位的业绩予以认可。</w:t>
      </w:r>
    </w:p>
    <w:p w14:paraId="742ACE5B">
      <w:pPr>
        <w:spacing w:before="54" w:line="351" w:lineRule="auto"/>
        <w:ind w:left="1" w:right="429" w:firstLine="424"/>
        <w:rPr>
          <w:rFonts w:ascii="宋体" w:hAnsi="宋体" w:eastAsia="宋体" w:cs="宋体"/>
          <w:strike/>
          <w:dstrike w:val="0"/>
          <w:color w:val="auto"/>
          <w:spacing w:val="-1"/>
          <w:sz w:val="21"/>
          <w:szCs w:val="21"/>
          <w:highlight w:val="none"/>
        </w:rPr>
      </w:pPr>
      <w:r>
        <w:rPr>
          <w:rFonts w:ascii="宋体" w:hAnsi="宋体" w:eastAsia="宋体" w:cs="宋体"/>
          <w:strike/>
          <w:dstrike w:val="0"/>
          <w:color w:val="auto"/>
          <w:spacing w:val="-1"/>
          <w:sz w:val="21"/>
          <w:szCs w:val="21"/>
          <w:highlight w:val="none"/>
        </w:rPr>
        <w:t>除业绩要求的项目负责人或技术负责人或副项目负责人的身份外，“浙江省水利工程建设管理系统（透明工程）”业绩打印件与项目法人出具的完工（竣工）验收鉴定书〔或质量监督机构出具对应的完工（竣工）质量（安全）监督报告〕中涉及资格审查的相关信息不一致的，该业绩不予认可。</w:t>
      </w:r>
    </w:p>
    <w:p w14:paraId="1C475575">
      <w:pPr>
        <w:keepNext w:val="0"/>
        <w:keepLines w:val="0"/>
        <w:pageBreakBefore w:val="0"/>
        <w:widowControl/>
        <w:kinsoku w:val="0"/>
        <w:wordWrap/>
        <w:overflowPunct/>
        <w:topLinePunct w:val="0"/>
        <w:autoSpaceDE w:val="0"/>
        <w:autoSpaceDN w:val="0"/>
        <w:bidi w:val="0"/>
        <w:adjustRightInd w:val="0"/>
        <w:snapToGrid w:val="0"/>
        <w:spacing w:line="351" w:lineRule="auto"/>
        <w:ind w:right="431" w:firstLine="416" w:firstLineChars="200"/>
        <w:textAlignment w:val="baseline"/>
        <w:rPr>
          <w:rFonts w:ascii="宋体" w:hAnsi="宋体" w:eastAsia="宋体" w:cs="宋体"/>
          <w:strike w:val="0"/>
          <w:dstrike w:val="0"/>
          <w:color w:val="auto"/>
          <w:spacing w:val="-1"/>
          <w:sz w:val="21"/>
          <w:szCs w:val="21"/>
          <w:highlight w:val="none"/>
        </w:rPr>
      </w:pPr>
      <w:bookmarkStart w:id="27" w:name="bookmark13"/>
      <w:bookmarkEnd w:id="27"/>
      <w:bookmarkStart w:id="28" w:name="_Toc886"/>
      <w:bookmarkStart w:id="29" w:name="_Toc15945"/>
      <w:r>
        <w:rPr>
          <w:rFonts w:ascii="宋体" w:hAnsi="宋体" w:eastAsia="宋体" w:cs="宋体"/>
          <w:strike w:val="0"/>
          <w:dstrike w:val="0"/>
          <w:color w:val="auto"/>
          <w:spacing w:val="-1"/>
          <w:sz w:val="21"/>
          <w:szCs w:val="21"/>
          <w:highlight w:val="none"/>
        </w:rPr>
        <w:t>水利水电工程相关专业职称包括水利水电工程建筑、水利工程施工、农田水利工程、水电站动力设备、电力系统及自动化、水力学及河流动力学、水文与水资源、工程地质及水文地质、水利机械、水利工程管理、水利工程造价、水利工程规划与设计、水利工程建设监理等水利水电类相关专业职称。</w:t>
      </w:r>
    </w:p>
    <w:p w14:paraId="63468B51">
      <w:pPr>
        <w:spacing w:before="71" w:line="219" w:lineRule="auto"/>
        <w:outlineLvl w:val="0"/>
        <w:rPr>
          <w:rFonts w:ascii="宋体" w:hAnsi="宋体" w:eastAsia="宋体" w:cs="宋体"/>
          <w:b/>
          <w:bCs/>
          <w:color w:val="auto"/>
          <w:spacing w:val="-4"/>
          <w:sz w:val="36"/>
          <w:szCs w:val="36"/>
          <w:highlight w:val="none"/>
        </w:rPr>
      </w:pPr>
    </w:p>
    <w:p w14:paraId="0117FF50">
      <w:pPr>
        <w:spacing w:before="71" w:line="219" w:lineRule="auto"/>
        <w:ind w:left="2937"/>
        <w:outlineLvl w:val="0"/>
        <w:rPr>
          <w:rFonts w:ascii="宋体" w:hAnsi="宋体" w:eastAsia="宋体" w:cs="宋体"/>
          <w:b/>
          <w:bCs/>
          <w:color w:val="auto"/>
          <w:spacing w:val="-4"/>
          <w:sz w:val="36"/>
          <w:szCs w:val="36"/>
          <w:highlight w:val="none"/>
        </w:rPr>
      </w:pPr>
    </w:p>
    <w:p w14:paraId="263DEA2E">
      <w:pPr>
        <w:spacing w:before="71" w:line="219" w:lineRule="auto"/>
        <w:ind w:left="2937"/>
        <w:outlineLvl w:val="0"/>
        <w:rPr>
          <w:rFonts w:ascii="宋体" w:hAnsi="宋体" w:eastAsia="宋体" w:cs="宋体"/>
          <w:color w:val="auto"/>
          <w:sz w:val="36"/>
          <w:szCs w:val="36"/>
          <w:highlight w:val="none"/>
        </w:rPr>
      </w:pPr>
      <w:r>
        <w:rPr>
          <w:rFonts w:ascii="宋体" w:hAnsi="宋体" w:eastAsia="宋体" w:cs="宋体"/>
          <w:b/>
          <w:bCs/>
          <w:color w:val="auto"/>
          <w:spacing w:val="-4"/>
          <w:sz w:val="36"/>
          <w:szCs w:val="36"/>
          <w:highlight w:val="none"/>
        </w:rPr>
        <w:t>第二章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投标人须知</w:t>
      </w:r>
      <w:bookmarkEnd w:id="28"/>
      <w:bookmarkEnd w:id="29"/>
    </w:p>
    <w:p w14:paraId="4F44E540">
      <w:pPr>
        <w:spacing w:before="268" w:line="219" w:lineRule="auto"/>
        <w:ind w:left="3347"/>
        <w:outlineLvl w:val="1"/>
        <w:rPr>
          <w:rFonts w:ascii="宋体" w:hAnsi="宋体" w:eastAsia="宋体" w:cs="宋体"/>
          <w:color w:val="auto"/>
          <w:sz w:val="28"/>
          <w:szCs w:val="28"/>
          <w:highlight w:val="none"/>
        </w:rPr>
      </w:pPr>
      <w:bookmarkStart w:id="30" w:name="bookmark664"/>
      <w:bookmarkEnd w:id="30"/>
      <w:bookmarkStart w:id="31" w:name="_Toc28804"/>
      <w:bookmarkStart w:id="32" w:name="_Toc3840"/>
      <w:r>
        <w:rPr>
          <w:rFonts w:ascii="宋体" w:hAnsi="宋体" w:eastAsia="宋体" w:cs="宋体"/>
          <w:b/>
          <w:bCs/>
          <w:color w:val="auto"/>
          <w:spacing w:val="-4"/>
          <w:sz w:val="28"/>
          <w:szCs w:val="28"/>
          <w:highlight w:val="none"/>
        </w:rPr>
        <w:t>投标人须知前附表</w:t>
      </w:r>
      <w:bookmarkEnd w:id="31"/>
      <w:bookmarkEnd w:id="32"/>
    </w:p>
    <w:p w14:paraId="37BA05D7">
      <w:pPr>
        <w:spacing w:before="46"/>
        <w:rPr>
          <w:color w:val="auto"/>
          <w:highlight w:val="none"/>
        </w:rPr>
      </w:pPr>
    </w:p>
    <w:tbl>
      <w:tblPr>
        <w:tblStyle w:val="16"/>
        <w:tblW w:w="887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0"/>
        <w:gridCol w:w="2370"/>
        <w:gridCol w:w="5558"/>
      </w:tblGrid>
      <w:tr w14:paraId="6011A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50" w:type="dxa"/>
            <w:tcBorders>
              <w:top w:val="single" w:color="000000" w:sz="6" w:space="0"/>
              <w:left w:val="single" w:color="000000" w:sz="6" w:space="0"/>
            </w:tcBorders>
            <w:vAlign w:val="top"/>
          </w:tcPr>
          <w:p w14:paraId="570DEADC">
            <w:pPr>
              <w:pStyle w:val="17"/>
              <w:spacing w:before="215" w:line="221" w:lineRule="auto"/>
              <w:ind w:left="158"/>
              <w:rPr>
                <w:color w:val="auto"/>
                <w:sz w:val="24"/>
                <w:szCs w:val="24"/>
                <w:highlight w:val="none"/>
              </w:rPr>
            </w:pPr>
            <w:r>
              <w:rPr>
                <w:b/>
                <w:bCs/>
                <w:color w:val="auto"/>
                <w:spacing w:val="-4"/>
                <w:sz w:val="24"/>
                <w:szCs w:val="24"/>
                <w:highlight w:val="none"/>
              </w:rPr>
              <w:t>条款号</w:t>
            </w:r>
          </w:p>
        </w:tc>
        <w:tc>
          <w:tcPr>
            <w:tcW w:w="2370" w:type="dxa"/>
            <w:tcBorders>
              <w:top w:val="single" w:color="000000" w:sz="6" w:space="0"/>
            </w:tcBorders>
            <w:vAlign w:val="top"/>
          </w:tcPr>
          <w:p w14:paraId="50BC0489">
            <w:pPr>
              <w:pStyle w:val="17"/>
              <w:spacing w:before="215" w:line="221" w:lineRule="auto"/>
              <w:ind w:left="642"/>
              <w:rPr>
                <w:color w:val="auto"/>
                <w:sz w:val="24"/>
                <w:szCs w:val="24"/>
                <w:highlight w:val="none"/>
              </w:rPr>
            </w:pPr>
            <w:r>
              <w:rPr>
                <w:b/>
                <w:bCs/>
                <w:color w:val="auto"/>
                <w:spacing w:val="-9"/>
                <w:sz w:val="24"/>
                <w:szCs w:val="24"/>
                <w:highlight w:val="none"/>
              </w:rPr>
              <w:t>条</w:t>
            </w:r>
            <w:r>
              <w:rPr>
                <w:color w:val="auto"/>
                <w:spacing w:val="9"/>
                <w:sz w:val="24"/>
                <w:szCs w:val="24"/>
                <w:highlight w:val="none"/>
              </w:rPr>
              <w:t xml:space="preserve"> </w:t>
            </w:r>
            <w:r>
              <w:rPr>
                <w:b/>
                <w:bCs/>
                <w:color w:val="auto"/>
                <w:spacing w:val="-9"/>
                <w:sz w:val="24"/>
                <w:szCs w:val="24"/>
                <w:highlight w:val="none"/>
              </w:rPr>
              <w:t>款</w:t>
            </w:r>
            <w:r>
              <w:rPr>
                <w:color w:val="auto"/>
                <w:spacing w:val="12"/>
                <w:sz w:val="24"/>
                <w:szCs w:val="24"/>
                <w:highlight w:val="none"/>
              </w:rPr>
              <w:t xml:space="preserve"> </w:t>
            </w:r>
            <w:r>
              <w:rPr>
                <w:b/>
                <w:bCs/>
                <w:color w:val="auto"/>
                <w:spacing w:val="-9"/>
                <w:sz w:val="24"/>
                <w:szCs w:val="24"/>
                <w:highlight w:val="none"/>
              </w:rPr>
              <w:t>名</w:t>
            </w:r>
            <w:r>
              <w:rPr>
                <w:color w:val="auto"/>
                <w:spacing w:val="5"/>
                <w:sz w:val="24"/>
                <w:szCs w:val="24"/>
                <w:highlight w:val="none"/>
              </w:rPr>
              <w:t xml:space="preserve"> </w:t>
            </w:r>
            <w:r>
              <w:rPr>
                <w:b/>
                <w:bCs/>
                <w:color w:val="auto"/>
                <w:spacing w:val="-9"/>
                <w:sz w:val="24"/>
                <w:szCs w:val="24"/>
                <w:highlight w:val="none"/>
              </w:rPr>
              <w:t>称</w:t>
            </w:r>
          </w:p>
        </w:tc>
        <w:tc>
          <w:tcPr>
            <w:tcW w:w="5558" w:type="dxa"/>
            <w:tcBorders>
              <w:top w:val="single" w:color="000000" w:sz="6" w:space="0"/>
              <w:right w:val="single" w:color="000000" w:sz="6" w:space="0"/>
            </w:tcBorders>
            <w:vAlign w:val="top"/>
          </w:tcPr>
          <w:p w14:paraId="1FE8FF07">
            <w:pPr>
              <w:pStyle w:val="17"/>
              <w:spacing w:before="215" w:line="221" w:lineRule="auto"/>
              <w:ind w:left="1702"/>
              <w:rPr>
                <w:color w:val="auto"/>
                <w:sz w:val="24"/>
                <w:szCs w:val="24"/>
                <w:highlight w:val="none"/>
              </w:rPr>
            </w:pPr>
            <w:r>
              <w:rPr>
                <w:b/>
                <w:bCs/>
                <w:color w:val="auto"/>
                <w:spacing w:val="-16"/>
                <w:sz w:val="24"/>
                <w:szCs w:val="24"/>
                <w:highlight w:val="none"/>
              </w:rPr>
              <w:t>编</w:t>
            </w:r>
            <w:r>
              <w:rPr>
                <w:color w:val="auto"/>
                <w:spacing w:val="4"/>
                <w:sz w:val="24"/>
                <w:szCs w:val="24"/>
                <w:highlight w:val="none"/>
              </w:rPr>
              <w:t xml:space="preserve">    </w:t>
            </w:r>
            <w:r>
              <w:rPr>
                <w:b/>
                <w:bCs/>
                <w:color w:val="auto"/>
                <w:spacing w:val="-16"/>
                <w:sz w:val="24"/>
                <w:szCs w:val="24"/>
                <w:highlight w:val="none"/>
              </w:rPr>
              <w:t>列</w:t>
            </w:r>
            <w:r>
              <w:rPr>
                <w:color w:val="auto"/>
                <w:spacing w:val="8"/>
                <w:sz w:val="24"/>
                <w:szCs w:val="24"/>
                <w:highlight w:val="none"/>
              </w:rPr>
              <w:t xml:space="preserve">    </w:t>
            </w:r>
            <w:r>
              <w:rPr>
                <w:b/>
                <w:bCs/>
                <w:color w:val="auto"/>
                <w:spacing w:val="-16"/>
                <w:sz w:val="24"/>
                <w:szCs w:val="24"/>
                <w:highlight w:val="none"/>
              </w:rPr>
              <w:t>内</w:t>
            </w:r>
            <w:r>
              <w:rPr>
                <w:color w:val="auto"/>
                <w:spacing w:val="3"/>
                <w:sz w:val="24"/>
                <w:szCs w:val="24"/>
                <w:highlight w:val="none"/>
              </w:rPr>
              <w:t xml:space="preserve">    </w:t>
            </w:r>
            <w:r>
              <w:rPr>
                <w:b/>
                <w:bCs/>
                <w:color w:val="auto"/>
                <w:spacing w:val="-16"/>
                <w:sz w:val="24"/>
                <w:szCs w:val="24"/>
                <w:highlight w:val="none"/>
              </w:rPr>
              <w:t>容</w:t>
            </w:r>
          </w:p>
        </w:tc>
      </w:tr>
      <w:tr w14:paraId="13D87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8" w:hRule="atLeast"/>
        </w:trPr>
        <w:tc>
          <w:tcPr>
            <w:tcW w:w="950" w:type="dxa"/>
            <w:tcBorders>
              <w:left w:val="single" w:color="000000" w:sz="6" w:space="0"/>
            </w:tcBorders>
            <w:vAlign w:val="top"/>
          </w:tcPr>
          <w:p w14:paraId="590DA8E0">
            <w:pPr>
              <w:spacing w:line="266" w:lineRule="auto"/>
              <w:rPr>
                <w:rFonts w:ascii="Arial"/>
                <w:color w:val="auto"/>
                <w:sz w:val="24"/>
                <w:szCs w:val="24"/>
                <w:highlight w:val="none"/>
              </w:rPr>
            </w:pPr>
          </w:p>
          <w:p w14:paraId="4E5081A8">
            <w:pPr>
              <w:spacing w:line="267" w:lineRule="auto"/>
              <w:rPr>
                <w:rFonts w:ascii="Arial"/>
                <w:color w:val="auto"/>
                <w:sz w:val="24"/>
                <w:szCs w:val="24"/>
                <w:highlight w:val="none"/>
              </w:rPr>
            </w:pPr>
          </w:p>
          <w:p w14:paraId="6573242A">
            <w:pPr>
              <w:spacing w:line="267" w:lineRule="auto"/>
              <w:rPr>
                <w:rFonts w:ascii="Arial"/>
                <w:color w:val="auto"/>
                <w:sz w:val="24"/>
                <w:szCs w:val="24"/>
                <w:highlight w:val="none"/>
              </w:rPr>
            </w:pPr>
          </w:p>
          <w:p w14:paraId="4B776057">
            <w:pPr>
              <w:spacing w:before="60"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1.1.2</w:t>
            </w:r>
          </w:p>
        </w:tc>
        <w:tc>
          <w:tcPr>
            <w:tcW w:w="2370" w:type="dxa"/>
            <w:vAlign w:val="center"/>
          </w:tcPr>
          <w:p w14:paraId="3B19A39A">
            <w:pPr>
              <w:pStyle w:val="17"/>
              <w:keepNext w:val="0"/>
              <w:keepLines w:val="0"/>
              <w:pageBreakBefore w:val="0"/>
              <w:wordWrap/>
              <w:topLinePunct w:val="0"/>
              <w:autoSpaceDE w:val="0"/>
              <w:autoSpaceDN w:val="0"/>
              <w:bidi w:val="0"/>
              <w:adjustRightInd w:val="0"/>
              <w:snapToGrid w:val="0"/>
              <w:spacing w:before="68" w:line="360" w:lineRule="exact"/>
              <w:jc w:val="center"/>
              <w:rPr>
                <w:color w:val="auto"/>
                <w:sz w:val="24"/>
                <w:szCs w:val="24"/>
                <w:highlight w:val="none"/>
              </w:rPr>
            </w:pPr>
            <w:r>
              <w:rPr>
                <w:rFonts w:hint="eastAsia" w:ascii="宋体" w:hAnsi="宋体" w:eastAsia="宋体" w:cs="宋体"/>
                <w:color w:val="auto"/>
                <w:spacing w:val="-3"/>
                <w:sz w:val="24"/>
                <w:szCs w:val="24"/>
                <w:highlight w:val="none"/>
              </w:rPr>
              <w:t>招标人</w:t>
            </w:r>
          </w:p>
        </w:tc>
        <w:tc>
          <w:tcPr>
            <w:tcW w:w="5558" w:type="dxa"/>
            <w:tcBorders>
              <w:right w:val="single" w:color="000000" w:sz="6" w:space="0"/>
            </w:tcBorders>
            <w:vAlign w:val="top"/>
          </w:tcPr>
          <w:p w14:paraId="7D79EF1D">
            <w:pPr>
              <w:pStyle w:val="17"/>
              <w:keepNext w:val="0"/>
              <w:keepLines w:val="0"/>
              <w:pageBreakBefore w:val="0"/>
              <w:wordWrap/>
              <w:topLinePunct w:val="0"/>
              <w:autoSpaceDE w:val="0"/>
              <w:autoSpaceDN w:val="0"/>
              <w:bidi w:val="0"/>
              <w:adjustRightInd w:val="0"/>
              <w:snapToGrid w:val="0"/>
              <w:spacing w:before="23" w:line="360" w:lineRule="exact"/>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eastAsia="zh-CN"/>
              </w:rPr>
              <w:t>嵊州市</w:t>
            </w:r>
            <w:r>
              <w:rPr>
                <w:rFonts w:hint="eastAsia" w:ascii="宋体" w:hAnsi="宋体" w:eastAsia="宋体" w:cs="宋体"/>
                <w:color w:val="auto"/>
                <w:sz w:val="24"/>
                <w:szCs w:val="24"/>
                <w:highlight w:val="none"/>
                <w:lang w:val="en-US" w:eastAsia="zh-CN"/>
              </w:rPr>
              <w:t>现代农业园区建设有限公司</w:t>
            </w:r>
          </w:p>
          <w:p w14:paraId="0CE41BE7">
            <w:pPr>
              <w:pStyle w:val="17"/>
              <w:keepNext w:val="0"/>
              <w:keepLines w:val="0"/>
              <w:pageBreakBefore w:val="0"/>
              <w:wordWrap/>
              <w:topLinePunct w:val="0"/>
              <w:autoSpaceDE w:val="0"/>
              <w:autoSpaceDN w:val="0"/>
              <w:bidi w:val="0"/>
              <w:adjustRightInd w:val="0"/>
              <w:snapToGrid w:val="0"/>
              <w:spacing w:before="23" w:line="360" w:lineRule="exact"/>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地址：</w:t>
            </w:r>
            <w:r>
              <w:rPr>
                <w:rFonts w:hint="eastAsia" w:ascii="宋体" w:hAnsi="宋体" w:eastAsia="宋体" w:cs="宋体"/>
                <w:color w:val="auto"/>
                <w:sz w:val="24"/>
                <w:szCs w:val="24"/>
                <w:highlight w:val="none"/>
                <w:lang w:val="en-US" w:eastAsia="zh-CN"/>
              </w:rPr>
              <w:t>嵊州市鹿山街道长宁路1088号综合楼5楼</w:t>
            </w:r>
          </w:p>
          <w:p w14:paraId="20FD6F81">
            <w:pPr>
              <w:pStyle w:val="17"/>
              <w:keepNext w:val="0"/>
              <w:keepLines w:val="0"/>
              <w:pageBreakBefore w:val="0"/>
              <w:wordWrap/>
              <w:topLinePunct w:val="0"/>
              <w:autoSpaceDE w:val="0"/>
              <w:autoSpaceDN w:val="0"/>
              <w:bidi w:val="0"/>
              <w:adjustRightInd w:val="0"/>
              <w:snapToGrid w:val="0"/>
              <w:spacing w:before="23" w:line="360" w:lineRule="exact"/>
              <w:ind w:firstLine="240" w:firstLineChars="1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联系人：</w:t>
            </w:r>
            <w:r>
              <w:rPr>
                <w:rFonts w:hint="eastAsia" w:cs="宋体"/>
                <w:color w:val="auto"/>
                <w:sz w:val="24"/>
                <w:szCs w:val="24"/>
                <w:highlight w:val="none"/>
                <w:lang w:val="en-US" w:eastAsia="zh-CN"/>
              </w:rPr>
              <w:t>金工</w:t>
            </w:r>
          </w:p>
          <w:p w14:paraId="1EBF82E6">
            <w:pPr>
              <w:pStyle w:val="17"/>
              <w:keepNext w:val="0"/>
              <w:keepLines w:val="0"/>
              <w:pageBreakBefore w:val="0"/>
              <w:wordWrap/>
              <w:topLinePunct w:val="0"/>
              <w:autoSpaceDE w:val="0"/>
              <w:autoSpaceDN w:val="0"/>
              <w:bidi w:val="0"/>
              <w:adjustRightInd w:val="0"/>
              <w:snapToGrid w:val="0"/>
              <w:spacing w:before="23" w:line="360" w:lineRule="exact"/>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电话：</w:t>
            </w:r>
            <w:r>
              <w:rPr>
                <w:rFonts w:hint="eastAsia" w:ascii="宋体" w:hAnsi="宋体" w:eastAsia="宋体" w:cs="宋体"/>
                <w:color w:val="auto"/>
                <w:sz w:val="24"/>
                <w:szCs w:val="24"/>
                <w:highlight w:val="none"/>
                <w:lang w:val="en-US" w:eastAsia="zh-CN"/>
              </w:rPr>
              <w:t>0575-</w:t>
            </w:r>
            <w:r>
              <w:rPr>
                <w:rFonts w:hint="eastAsia" w:cs="宋体"/>
                <w:color w:val="auto"/>
                <w:sz w:val="24"/>
                <w:szCs w:val="24"/>
                <w:highlight w:val="none"/>
                <w:lang w:val="en-US" w:eastAsia="zh-CN"/>
              </w:rPr>
              <w:t>83275810</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 xml:space="preserve">  </w:t>
            </w:r>
          </w:p>
          <w:p w14:paraId="7D5169B8">
            <w:pPr>
              <w:pStyle w:val="17"/>
              <w:keepNext w:val="0"/>
              <w:keepLines w:val="0"/>
              <w:pageBreakBefore w:val="0"/>
              <w:wordWrap/>
              <w:topLinePunct w:val="0"/>
              <w:autoSpaceDE w:val="0"/>
              <w:autoSpaceDN w:val="0"/>
              <w:bidi w:val="0"/>
              <w:adjustRightInd w:val="0"/>
              <w:snapToGrid w:val="0"/>
              <w:spacing w:before="23" w:line="360" w:lineRule="exact"/>
              <w:ind w:firstLine="240" w:firstLineChars="100"/>
              <w:rPr>
                <w:rFonts w:hint="eastAsia" w:ascii="宋体" w:hAnsi="宋体" w:eastAsia="宋体" w:cs="宋体"/>
                <w:color w:val="auto"/>
                <w:spacing w:val="-13"/>
                <w:sz w:val="24"/>
                <w:szCs w:val="24"/>
                <w:highlight w:val="none"/>
                <w:lang w:val="en-US" w:eastAsia="zh-CN"/>
              </w:rPr>
            </w:pPr>
            <w:r>
              <w:rPr>
                <w:rFonts w:hint="eastAsia" w:ascii="宋体" w:hAnsi="宋体" w:eastAsia="宋体" w:cs="宋体"/>
                <w:color w:val="auto"/>
                <w:sz w:val="24"/>
                <w:szCs w:val="24"/>
                <w:highlight w:val="none"/>
                <w:lang w:eastAsia="zh-CN"/>
              </w:rPr>
              <w:t>电子信箱：</w:t>
            </w:r>
            <w:r>
              <w:rPr>
                <w:rFonts w:hint="eastAsia" w:ascii="宋体" w:hAnsi="宋体" w:eastAsia="宋体" w:cs="宋体"/>
                <w:color w:val="auto"/>
                <w:sz w:val="24"/>
                <w:szCs w:val="24"/>
                <w:highlight w:val="none"/>
                <w:lang w:val="en-US" w:eastAsia="zh-CN"/>
              </w:rPr>
              <w:t>/</w:t>
            </w:r>
          </w:p>
        </w:tc>
      </w:tr>
      <w:tr w14:paraId="7EED7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2" w:hRule="atLeast"/>
        </w:trPr>
        <w:tc>
          <w:tcPr>
            <w:tcW w:w="950" w:type="dxa"/>
            <w:tcBorders>
              <w:left w:val="single" w:color="000000" w:sz="6" w:space="0"/>
            </w:tcBorders>
            <w:vAlign w:val="top"/>
          </w:tcPr>
          <w:p w14:paraId="451F960D">
            <w:pPr>
              <w:spacing w:line="267" w:lineRule="auto"/>
              <w:rPr>
                <w:rFonts w:ascii="Arial"/>
                <w:color w:val="auto"/>
                <w:sz w:val="24"/>
                <w:szCs w:val="24"/>
                <w:highlight w:val="none"/>
              </w:rPr>
            </w:pPr>
          </w:p>
          <w:p w14:paraId="4F17CE26">
            <w:pPr>
              <w:spacing w:line="268" w:lineRule="auto"/>
              <w:rPr>
                <w:rFonts w:ascii="Arial"/>
                <w:color w:val="auto"/>
                <w:sz w:val="24"/>
                <w:szCs w:val="24"/>
                <w:highlight w:val="none"/>
              </w:rPr>
            </w:pPr>
          </w:p>
          <w:p w14:paraId="69CB00B0">
            <w:pPr>
              <w:spacing w:line="268" w:lineRule="auto"/>
              <w:rPr>
                <w:rFonts w:ascii="Arial"/>
                <w:color w:val="auto"/>
                <w:sz w:val="24"/>
                <w:szCs w:val="24"/>
                <w:highlight w:val="none"/>
              </w:rPr>
            </w:pPr>
          </w:p>
          <w:p w14:paraId="6AD41A74">
            <w:pPr>
              <w:spacing w:before="60"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1.1.3</w:t>
            </w:r>
          </w:p>
        </w:tc>
        <w:tc>
          <w:tcPr>
            <w:tcW w:w="2370" w:type="dxa"/>
            <w:vAlign w:val="center"/>
          </w:tcPr>
          <w:p w14:paraId="78CD31F8">
            <w:pPr>
              <w:pStyle w:val="17"/>
              <w:keepNext w:val="0"/>
              <w:keepLines w:val="0"/>
              <w:pageBreakBefore w:val="0"/>
              <w:wordWrap/>
              <w:topLinePunct w:val="0"/>
              <w:autoSpaceDE w:val="0"/>
              <w:autoSpaceDN w:val="0"/>
              <w:bidi w:val="0"/>
              <w:adjustRightInd w:val="0"/>
              <w:snapToGrid w:val="0"/>
              <w:spacing w:before="68" w:line="360" w:lineRule="exact"/>
              <w:jc w:val="center"/>
              <w:rPr>
                <w:color w:val="auto"/>
                <w:sz w:val="24"/>
                <w:szCs w:val="24"/>
                <w:highlight w:val="none"/>
              </w:rPr>
            </w:pPr>
            <w:r>
              <w:rPr>
                <w:rFonts w:hint="eastAsia" w:ascii="宋体" w:hAnsi="宋体" w:eastAsia="宋体" w:cs="宋体"/>
                <w:color w:val="auto"/>
                <w:spacing w:val="-3"/>
                <w:sz w:val="24"/>
                <w:szCs w:val="24"/>
                <w:highlight w:val="none"/>
              </w:rPr>
              <w:t>招标代理机构</w:t>
            </w:r>
          </w:p>
        </w:tc>
        <w:tc>
          <w:tcPr>
            <w:tcW w:w="5558" w:type="dxa"/>
            <w:tcBorders>
              <w:right w:val="single" w:color="000000" w:sz="6" w:space="0"/>
            </w:tcBorders>
            <w:vAlign w:val="top"/>
          </w:tcPr>
          <w:p w14:paraId="0952F3C6">
            <w:pPr>
              <w:pStyle w:val="17"/>
              <w:keepNext w:val="0"/>
              <w:keepLines w:val="0"/>
              <w:pageBreakBefore w:val="0"/>
              <w:wordWrap/>
              <w:topLinePunct w:val="0"/>
              <w:autoSpaceDE w:val="0"/>
              <w:autoSpaceDN w:val="0"/>
              <w:bidi w:val="0"/>
              <w:adjustRightInd w:val="0"/>
              <w:snapToGrid w:val="0"/>
              <w:spacing w:before="23" w:line="360" w:lineRule="exact"/>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r>
              <w:rPr>
                <w:rFonts w:hint="eastAsia" w:cs="宋体"/>
                <w:color w:val="auto"/>
                <w:sz w:val="24"/>
                <w:szCs w:val="24"/>
                <w:highlight w:val="none"/>
                <w:lang w:eastAsia="zh-CN"/>
              </w:rPr>
              <w:t>禾泽都林设计集团有限公司</w:t>
            </w:r>
          </w:p>
          <w:p w14:paraId="59C3A11D">
            <w:pPr>
              <w:pStyle w:val="21"/>
              <w:keepNext w:val="0"/>
              <w:keepLines w:val="0"/>
              <w:pageBreakBefore w:val="0"/>
              <w:widowControl w:val="0"/>
              <w:wordWrap/>
              <w:overflowPunct/>
              <w:topLinePunct w:val="0"/>
              <w:autoSpaceDE w:val="0"/>
              <w:autoSpaceDN w:val="0"/>
              <w:bidi w:val="0"/>
              <w:adjustRightInd w:val="0"/>
              <w:snapToGrid/>
              <w:spacing w:line="400" w:lineRule="exact"/>
              <w:ind w:firstLine="240" w:firstLineChars="1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嵊州市官河南路489号君泰大厦北楼14楼</w:t>
            </w:r>
          </w:p>
          <w:p w14:paraId="76D0E8D0">
            <w:pPr>
              <w:pStyle w:val="17"/>
              <w:keepNext w:val="0"/>
              <w:keepLines w:val="0"/>
              <w:pageBreakBefore w:val="0"/>
              <w:wordWrap/>
              <w:topLinePunct w:val="0"/>
              <w:autoSpaceDE w:val="0"/>
              <w:autoSpaceDN w:val="0"/>
              <w:bidi w:val="0"/>
              <w:adjustRightInd w:val="0"/>
              <w:snapToGrid w:val="0"/>
              <w:spacing w:before="23" w:line="360" w:lineRule="exact"/>
              <w:ind w:firstLine="240" w:firstLineChars="100"/>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联系人：</w:t>
            </w:r>
            <w:r>
              <w:rPr>
                <w:rFonts w:hint="eastAsia" w:cs="宋体"/>
                <w:snapToGrid w:val="0"/>
                <w:color w:val="auto"/>
                <w:kern w:val="0"/>
                <w:sz w:val="24"/>
                <w:szCs w:val="24"/>
                <w:highlight w:val="none"/>
                <w:lang w:val="en-US" w:eastAsia="zh-CN" w:bidi="ar-SA"/>
              </w:rPr>
              <w:t>钱巧林</w:t>
            </w:r>
            <w:r>
              <w:rPr>
                <w:rFonts w:hint="eastAsia" w:ascii="宋体" w:hAnsi="宋体" w:eastAsia="宋体" w:cs="宋体"/>
                <w:snapToGrid w:val="0"/>
                <w:color w:val="auto"/>
                <w:kern w:val="0"/>
                <w:sz w:val="24"/>
                <w:szCs w:val="24"/>
                <w:highlight w:val="none"/>
                <w:lang w:val="en-US" w:eastAsia="zh-CN" w:bidi="ar-SA"/>
              </w:rPr>
              <w:t xml:space="preserve">  </w:t>
            </w:r>
            <w:r>
              <w:rPr>
                <w:rFonts w:hint="eastAsia" w:cs="宋体"/>
                <w:snapToGrid w:val="0"/>
                <w:color w:val="auto"/>
                <w:kern w:val="0"/>
                <w:sz w:val="24"/>
                <w:szCs w:val="24"/>
                <w:highlight w:val="none"/>
                <w:lang w:val="en-US" w:eastAsia="zh-CN" w:bidi="ar-SA"/>
              </w:rPr>
              <w:t>钱柯琼</w:t>
            </w:r>
          </w:p>
          <w:p w14:paraId="19B0AB6D">
            <w:pPr>
              <w:pStyle w:val="17"/>
              <w:keepNext w:val="0"/>
              <w:keepLines w:val="0"/>
              <w:pageBreakBefore w:val="0"/>
              <w:wordWrap/>
              <w:topLinePunct w:val="0"/>
              <w:autoSpaceDE w:val="0"/>
              <w:autoSpaceDN w:val="0"/>
              <w:bidi w:val="0"/>
              <w:adjustRightInd w:val="0"/>
              <w:snapToGrid w:val="0"/>
              <w:spacing w:before="23" w:line="360" w:lineRule="exact"/>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电话：</w:t>
            </w:r>
            <w:r>
              <w:rPr>
                <w:rFonts w:hint="eastAsia" w:cs="宋体"/>
                <w:snapToGrid w:val="0"/>
                <w:color w:val="auto"/>
                <w:kern w:val="0"/>
                <w:sz w:val="24"/>
                <w:szCs w:val="24"/>
                <w:highlight w:val="none"/>
                <w:lang w:val="en-US" w:eastAsia="zh-CN" w:bidi="ar-SA"/>
              </w:rPr>
              <w:t>0575-83031200</w:t>
            </w:r>
            <w:r>
              <w:rPr>
                <w:rFonts w:hint="eastAsia" w:ascii="宋体" w:hAnsi="宋体" w:eastAsia="宋体" w:cs="宋体"/>
                <w:snapToGrid w:val="0"/>
                <w:color w:val="auto"/>
                <w:kern w:val="0"/>
                <w:sz w:val="24"/>
                <w:szCs w:val="24"/>
                <w:highlight w:val="none"/>
                <w:lang w:val="en-US" w:eastAsia="zh-CN" w:bidi="ar-SA"/>
              </w:rPr>
              <w:t xml:space="preserve"> </w:t>
            </w:r>
            <w:r>
              <w:rPr>
                <w:rFonts w:hint="eastAsia" w:cs="宋体"/>
                <w:snapToGrid w:val="0"/>
                <w:color w:val="auto"/>
                <w:kern w:val="0"/>
                <w:sz w:val="24"/>
                <w:szCs w:val="24"/>
                <w:highlight w:val="none"/>
                <w:lang w:val="en-US" w:eastAsia="zh-CN" w:bidi="ar-SA"/>
              </w:rPr>
              <w:t>18758559400</w:t>
            </w:r>
            <w:r>
              <w:rPr>
                <w:rFonts w:hint="eastAsia" w:ascii="宋体" w:hAnsi="宋体" w:eastAsia="宋体" w:cs="宋体"/>
                <w:snapToGrid w:val="0"/>
                <w:color w:val="auto"/>
                <w:kern w:val="0"/>
                <w:sz w:val="24"/>
                <w:szCs w:val="24"/>
                <w:highlight w:val="none"/>
                <w:lang w:val="en-US" w:eastAsia="zh-CN" w:bidi="ar-SA"/>
              </w:rPr>
              <w:t xml:space="preserve"> </w:t>
            </w:r>
            <w:r>
              <w:rPr>
                <w:rFonts w:hint="eastAsia" w:ascii="宋体" w:hAnsi="宋体" w:eastAsia="宋体" w:cs="宋体"/>
                <w:color w:val="auto"/>
                <w:sz w:val="24"/>
                <w:szCs w:val="24"/>
                <w:highlight w:val="none"/>
              </w:rPr>
              <w:t xml:space="preserve"> </w:t>
            </w:r>
          </w:p>
          <w:p w14:paraId="04F3206C">
            <w:pPr>
              <w:pStyle w:val="17"/>
              <w:keepNext w:val="0"/>
              <w:keepLines w:val="0"/>
              <w:pageBreakBefore w:val="0"/>
              <w:wordWrap/>
              <w:topLinePunct w:val="0"/>
              <w:autoSpaceDE w:val="0"/>
              <w:autoSpaceDN w:val="0"/>
              <w:bidi w:val="0"/>
              <w:adjustRightInd w:val="0"/>
              <w:snapToGrid w:val="0"/>
              <w:spacing w:before="23" w:line="360" w:lineRule="exact"/>
              <w:ind w:firstLine="240" w:firstLineChars="100"/>
              <w:rPr>
                <w:rFonts w:hint="default" w:ascii="宋体" w:hAnsi="宋体" w:eastAsia="宋体" w:cs="宋体"/>
                <w:color w:val="auto"/>
                <w:spacing w:val="-13"/>
                <w:sz w:val="24"/>
                <w:szCs w:val="24"/>
                <w:highlight w:val="none"/>
                <w:lang w:val="en-US" w:eastAsia="zh-CN"/>
              </w:rPr>
            </w:pPr>
            <w:r>
              <w:rPr>
                <w:rFonts w:hint="eastAsia" w:ascii="宋体" w:hAnsi="宋体" w:eastAsia="宋体" w:cs="宋体"/>
                <w:color w:val="auto"/>
                <w:sz w:val="24"/>
                <w:szCs w:val="24"/>
                <w:highlight w:val="none"/>
              </w:rPr>
              <w:t>电子信箱：</w:t>
            </w:r>
            <w:r>
              <w:rPr>
                <w:rFonts w:hint="eastAsia" w:cs="宋体"/>
                <w:color w:val="auto"/>
                <w:sz w:val="24"/>
                <w:szCs w:val="24"/>
                <w:highlight w:val="none"/>
                <w:lang w:val="en-US" w:eastAsia="zh-CN"/>
              </w:rPr>
              <w:t>65523876</w:t>
            </w:r>
            <w:r>
              <w:rPr>
                <w:rFonts w:hint="eastAsia" w:ascii="宋体" w:hAnsi="宋体" w:eastAsia="宋体" w:cs="宋体"/>
                <w:color w:val="auto"/>
                <w:sz w:val="24"/>
                <w:szCs w:val="24"/>
                <w:highlight w:val="none"/>
                <w:lang w:val="en-US" w:eastAsia="zh-CN"/>
              </w:rPr>
              <w:t>@qq.com</w:t>
            </w:r>
          </w:p>
        </w:tc>
      </w:tr>
      <w:tr w14:paraId="63B3E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50" w:type="dxa"/>
            <w:tcBorders>
              <w:left w:val="single" w:color="000000" w:sz="6" w:space="0"/>
            </w:tcBorders>
            <w:vAlign w:val="top"/>
          </w:tcPr>
          <w:p w14:paraId="5C0B743C">
            <w:pPr>
              <w:spacing w:before="255"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1.1.4</w:t>
            </w:r>
          </w:p>
        </w:tc>
        <w:tc>
          <w:tcPr>
            <w:tcW w:w="2370" w:type="dxa"/>
            <w:vAlign w:val="top"/>
          </w:tcPr>
          <w:p w14:paraId="37BFB40C">
            <w:pPr>
              <w:pStyle w:val="17"/>
              <w:spacing w:before="217" w:line="221" w:lineRule="auto"/>
              <w:ind w:left="109"/>
              <w:rPr>
                <w:color w:val="auto"/>
                <w:sz w:val="24"/>
                <w:szCs w:val="24"/>
                <w:highlight w:val="none"/>
              </w:rPr>
            </w:pPr>
            <w:r>
              <w:rPr>
                <w:color w:val="auto"/>
                <w:spacing w:val="-2"/>
                <w:sz w:val="24"/>
                <w:szCs w:val="24"/>
                <w:highlight w:val="none"/>
              </w:rPr>
              <w:t>项目及标段名称</w:t>
            </w:r>
          </w:p>
        </w:tc>
        <w:tc>
          <w:tcPr>
            <w:tcW w:w="5558" w:type="dxa"/>
            <w:tcBorders>
              <w:right w:val="single" w:color="000000" w:sz="6" w:space="0"/>
            </w:tcBorders>
            <w:vAlign w:val="center"/>
          </w:tcPr>
          <w:p w14:paraId="676031C7">
            <w:pPr>
              <w:pStyle w:val="17"/>
              <w:keepNext w:val="0"/>
              <w:keepLines w:val="0"/>
              <w:pageBreakBefore w:val="0"/>
              <w:widowControl/>
              <w:kinsoku w:val="0"/>
              <w:wordWrap/>
              <w:overflowPunct/>
              <w:topLinePunct w:val="0"/>
              <w:autoSpaceDE w:val="0"/>
              <w:autoSpaceDN w:val="0"/>
              <w:bidi w:val="0"/>
              <w:adjustRightInd w:val="0"/>
              <w:snapToGrid w:val="0"/>
              <w:spacing w:before="106" w:line="231" w:lineRule="auto"/>
              <w:ind w:firstLine="107" w:firstLineChars="50"/>
              <w:jc w:val="both"/>
              <w:textAlignment w:val="baseline"/>
              <w:rPr>
                <w:rFonts w:hint="eastAsia" w:ascii="宋体" w:hAnsi="宋体" w:eastAsia="宋体" w:cs="宋体"/>
                <w:color w:val="auto"/>
                <w:spacing w:val="-13"/>
                <w:sz w:val="24"/>
                <w:szCs w:val="24"/>
                <w:highlight w:val="none"/>
                <w:lang w:eastAsia="zh-CN"/>
              </w:rPr>
            </w:pPr>
            <w:r>
              <w:rPr>
                <w:rFonts w:hint="eastAsia" w:cs="宋体"/>
                <w:color w:val="auto"/>
                <w:spacing w:val="-13"/>
                <w:sz w:val="24"/>
                <w:szCs w:val="24"/>
                <w:highlight w:val="none"/>
                <w:lang w:val="en-US" w:eastAsia="zh-CN"/>
              </w:rPr>
              <w:t>2025年嵊州市浦口街道高标准农田建设项目(I标)</w:t>
            </w:r>
          </w:p>
        </w:tc>
      </w:tr>
      <w:tr w14:paraId="2303B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0" w:type="dxa"/>
            <w:tcBorders>
              <w:left w:val="single" w:color="000000" w:sz="6" w:space="0"/>
            </w:tcBorders>
            <w:vAlign w:val="top"/>
          </w:tcPr>
          <w:p w14:paraId="3008D7BE">
            <w:pPr>
              <w:spacing w:before="253"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1.1.5</w:t>
            </w:r>
          </w:p>
        </w:tc>
        <w:tc>
          <w:tcPr>
            <w:tcW w:w="2370" w:type="dxa"/>
            <w:vAlign w:val="top"/>
          </w:tcPr>
          <w:p w14:paraId="4A15702A">
            <w:pPr>
              <w:pStyle w:val="17"/>
              <w:spacing w:before="214" w:line="222" w:lineRule="auto"/>
              <w:ind w:left="108"/>
              <w:rPr>
                <w:color w:val="auto"/>
                <w:sz w:val="24"/>
                <w:szCs w:val="24"/>
                <w:highlight w:val="none"/>
              </w:rPr>
            </w:pPr>
            <w:r>
              <w:rPr>
                <w:color w:val="auto"/>
                <w:spacing w:val="-2"/>
                <w:sz w:val="24"/>
                <w:szCs w:val="24"/>
                <w:highlight w:val="none"/>
              </w:rPr>
              <w:t>建设地点</w:t>
            </w:r>
          </w:p>
        </w:tc>
        <w:tc>
          <w:tcPr>
            <w:tcW w:w="5558" w:type="dxa"/>
            <w:tcBorders>
              <w:right w:val="single" w:color="000000" w:sz="6" w:space="0"/>
            </w:tcBorders>
            <w:vAlign w:val="center"/>
          </w:tcPr>
          <w:p w14:paraId="1B657F4F">
            <w:pPr>
              <w:pStyle w:val="17"/>
              <w:keepNext w:val="0"/>
              <w:keepLines w:val="0"/>
              <w:pageBreakBefore w:val="0"/>
              <w:widowControl/>
              <w:kinsoku w:val="0"/>
              <w:wordWrap/>
              <w:overflowPunct/>
              <w:topLinePunct w:val="0"/>
              <w:autoSpaceDE w:val="0"/>
              <w:autoSpaceDN w:val="0"/>
              <w:bidi w:val="0"/>
              <w:adjustRightInd w:val="0"/>
              <w:snapToGrid w:val="0"/>
              <w:spacing w:before="106" w:line="231" w:lineRule="auto"/>
              <w:ind w:firstLine="107" w:firstLineChars="50"/>
              <w:jc w:val="both"/>
              <w:textAlignment w:val="baseline"/>
              <w:rPr>
                <w:rFonts w:hint="eastAsia" w:ascii="宋体" w:hAnsi="宋体" w:eastAsia="宋体" w:cs="宋体"/>
                <w:color w:val="auto"/>
                <w:spacing w:val="-13"/>
                <w:sz w:val="24"/>
                <w:szCs w:val="24"/>
                <w:highlight w:val="none"/>
                <w:lang w:val="en-US" w:eastAsia="zh-CN"/>
              </w:rPr>
            </w:pPr>
            <w:r>
              <w:rPr>
                <w:rFonts w:hint="eastAsia" w:ascii="宋体" w:hAnsi="宋体" w:eastAsia="宋体" w:cs="宋体"/>
                <w:color w:val="auto"/>
                <w:spacing w:val="-13"/>
                <w:sz w:val="24"/>
                <w:szCs w:val="24"/>
                <w:highlight w:val="none"/>
                <w:lang w:val="en-US" w:eastAsia="zh-CN"/>
              </w:rPr>
              <w:t>嵊州市</w:t>
            </w:r>
          </w:p>
        </w:tc>
      </w:tr>
      <w:tr w14:paraId="7E2C3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950" w:type="dxa"/>
            <w:tcBorders>
              <w:left w:val="single" w:color="000000" w:sz="6" w:space="0"/>
            </w:tcBorders>
            <w:vAlign w:val="top"/>
          </w:tcPr>
          <w:p w14:paraId="6D0BB47B">
            <w:pPr>
              <w:spacing w:before="256"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1.1.6</w:t>
            </w:r>
          </w:p>
        </w:tc>
        <w:tc>
          <w:tcPr>
            <w:tcW w:w="2370" w:type="dxa"/>
            <w:vAlign w:val="top"/>
          </w:tcPr>
          <w:p w14:paraId="21FDC5E2">
            <w:pPr>
              <w:pStyle w:val="17"/>
              <w:spacing w:before="218" w:line="220" w:lineRule="auto"/>
              <w:ind w:left="107"/>
              <w:rPr>
                <w:color w:val="auto"/>
                <w:sz w:val="24"/>
                <w:szCs w:val="24"/>
                <w:highlight w:val="none"/>
              </w:rPr>
            </w:pPr>
            <w:r>
              <w:rPr>
                <w:color w:val="auto"/>
                <w:spacing w:val="-2"/>
                <w:sz w:val="24"/>
                <w:szCs w:val="24"/>
                <w:highlight w:val="none"/>
              </w:rPr>
              <w:t>现场管理机构</w:t>
            </w:r>
          </w:p>
        </w:tc>
        <w:tc>
          <w:tcPr>
            <w:tcW w:w="5558" w:type="dxa"/>
            <w:tcBorders>
              <w:right w:val="single" w:color="000000" w:sz="6" w:space="0"/>
            </w:tcBorders>
            <w:vAlign w:val="top"/>
          </w:tcPr>
          <w:p w14:paraId="76070C80">
            <w:pPr>
              <w:pStyle w:val="17"/>
              <w:keepNext w:val="0"/>
              <w:keepLines w:val="0"/>
              <w:pageBreakBefore w:val="0"/>
              <w:widowControl/>
              <w:kinsoku w:val="0"/>
              <w:wordWrap/>
              <w:overflowPunct/>
              <w:topLinePunct w:val="0"/>
              <w:autoSpaceDE w:val="0"/>
              <w:autoSpaceDN w:val="0"/>
              <w:bidi w:val="0"/>
              <w:adjustRightInd w:val="0"/>
              <w:snapToGrid w:val="0"/>
              <w:spacing w:before="106" w:line="231" w:lineRule="auto"/>
              <w:ind w:firstLine="107" w:firstLineChars="50"/>
              <w:jc w:val="both"/>
              <w:textAlignment w:val="baseline"/>
              <w:rPr>
                <w:rFonts w:hint="eastAsia" w:ascii="宋体" w:hAnsi="宋体" w:eastAsia="宋体" w:cs="宋体"/>
                <w:color w:val="auto"/>
                <w:spacing w:val="-13"/>
                <w:sz w:val="24"/>
                <w:szCs w:val="24"/>
                <w:highlight w:val="none"/>
                <w:lang w:val="en-US" w:eastAsia="zh-CN"/>
              </w:rPr>
            </w:pPr>
            <w:r>
              <w:rPr>
                <w:rFonts w:hint="eastAsia" w:cs="宋体"/>
                <w:color w:val="auto"/>
                <w:spacing w:val="-13"/>
                <w:sz w:val="24"/>
                <w:szCs w:val="24"/>
                <w:highlight w:val="none"/>
                <w:lang w:val="en-US" w:eastAsia="zh-CN"/>
              </w:rPr>
              <w:t>/</w:t>
            </w:r>
          </w:p>
        </w:tc>
      </w:tr>
      <w:tr w14:paraId="4FC68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0" w:type="dxa"/>
            <w:tcBorders>
              <w:left w:val="single" w:color="000000" w:sz="6" w:space="0"/>
            </w:tcBorders>
            <w:vAlign w:val="top"/>
          </w:tcPr>
          <w:p w14:paraId="79BAC4AD">
            <w:pPr>
              <w:spacing w:before="254"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1.1.7</w:t>
            </w:r>
          </w:p>
        </w:tc>
        <w:tc>
          <w:tcPr>
            <w:tcW w:w="2370" w:type="dxa"/>
            <w:vAlign w:val="top"/>
          </w:tcPr>
          <w:p w14:paraId="00E6FC13">
            <w:pPr>
              <w:pStyle w:val="17"/>
              <w:spacing w:before="216" w:line="222" w:lineRule="auto"/>
              <w:ind w:left="109"/>
              <w:rPr>
                <w:color w:val="auto"/>
                <w:sz w:val="24"/>
                <w:szCs w:val="24"/>
                <w:highlight w:val="none"/>
              </w:rPr>
            </w:pPr>
            <w:r>
              <w:rPr>
                <w:color w:val="auto"/>
                <w:spacing w:val="-2"/>
                <w:sz w:val="24"/>
                <w:szCs w:val="24"/>
                <w:highlight w:val="none"/>
              </w:rPr>
              <w:t>设计人</w:t>
            </w:r>
          </w:p>
        </w:tc>
        <w:tc>
          <w:tcPr>
            <w:tcW w:w="5558" w:type="dxa"/>
            <w:tcBorders>
              <w:right w:val="single" w:color="000000" w:sz="6" w:space="0"/>
            </w:tcBorders>
            <w:vAlign w:val="top"/>
          </w:tcPr>
          <w:p w14:paraId="0D98B99C">
            <w:pPr>
              <w:pStyle w:val="17"/>
              <w:keepNext w:val="0"/>
              <w:keepLines w:val="0"/>
              <w:pageBreakBefore w:val="0"/>
              <w:widowControl/>
              <w:kinsoku w:val="0"/>
              <w:wordWrap/>
              <w:overflowPunct/>
              <w:topLinePunct w:val="0"/>
              <w:autoSpaceDE w:val="0"/>
              <w:autoSpaceDN w:val="0"/>
              <w:bidi w:val="0"/>
              <w:adjustRightInd w:val="0"/>
              <w:snapToGrid w:val="0"/>
              <w:spacing w:before="106" w:line="231" w:lineRule="auto"/>
              <w:jc w:val="both"/>
              <w:textAlignment w:val="baseline"/>
              <w:rPr>
                <w:rFonts w:hint="eastAsia" w:ascii="宋体" w:hAnsi="宋体" w:eastAsia="宋体" w:cs="宋体"/>
                <w:color w:val="auto"/>
                <w:spacing w:val="-13"/>
                <w:sz w:val="24"/>
                <w:szCs w:val="24"/>
                <w:highlight w:val="none"/>
                <w:lang w:val="en-US" w:eastAsia="zh-CN"/>
              </w:rPr>
            </w:pPr>
            <w:r>
              <w:rPr>
                <w:rFonts w:hint="eastAsia" w:cs="宋体"/>
                <w:color w:val="auto"/>
                <w:sz w:val="24"/>
                <w:szCs w:val="24"/>
                <w:highlight w:val="none"/>
                <w:lang w:val="en-US" w:eastAsia="zh-CN"/>
              </w:rPr>
              <w:t>慈溪市水利建筑勘测设计院有限公司</w:t>
            </w:r>
          </w:p>
        </w:tc>
      </w:tr>
      <w:tr w14:paraId="7FDF4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950" w:type="dxa"/>
            <w:tcBorders>
              <w:left w:val="single" w:color="000000" w:sz="6" w:space="0"/>
            </w:tcBorders>
            <w:vAlign w:val="top"/>
          </w:tcPr>
          <w:p w14:paraId="4ED4FD45">
            <w:pPr>
              <w:spacing w:before="255"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1.1.8</w:t>
            </w:r>
          </w:p>
        </w:tc>
        <w:tc>
          <w:tcPr>
            <w:tcW w:w="2370" w:type="dxa"/>
            <w:vAlign w:val="top"/>
          </w:tcPr>
          <w:p w14:paraId="140B9E49">
            <w:pPr>
              <w:pStyle w:val="17"/>
              <w:spacing w:before="217" w:line="223" w:lineRule="auto"/>
              <w:ind w:left="106"/>
              <w:rPr>
                <w:color w:val="auto"/>
                <w:sz w:val="24"/>
                <w:szCs w:val="24"/>
                <w:highlight w:val="none"/>
              </w:rPr>
            </w:pPr>
            <w:r>
              <w:rPr>
                <w:color w:val="auto"/>
                <w:spacing w:val="-2"/>
                <w:sz w:val="24"/>
                <w:szCs w:val="24"/>
                <w:highlight w:val="none"/>
              </w:rPr>
              <w:t>监理人</w:t>
            </w:r>
          </w:p>
        </w:tc>
        <w:tc>
          <w:tcPr>
            <w:tcW w:w="5558" w:type="dxa"/>
            <w:tcBorders>
              <w:right w:val="single" w:color="000000" w:sz="6" w:space="0"/>
            </w:tcBorders>
            <w:vAlign w:val="top"/>
          </w:tcPr>
          <w:p w14:paraId="0ABAC7E5">
            <w:pPr>
              <w:pStyle w:val="17"/>
              <w:spacing w:before="106" w:line="230" w:lineRule="auto"/>
              <w:ind w:left="321"/>
              <w:jc w:val="both"/>
              <w:rPr>
                <w:rFonts w:hint="default" w:ascii="宋体" w:hAnsi="宋体" w:eastAsia="宋体" w:cs="宋体"/>
                <w:color w:val="auto"/>
                <w:spacing w:val="-13"/>
                <w:sz w:val="24"/>
                <w:szCs w:val="24"/>
                <w:highlight w:val="none"/>
                <w:lang w:val="en-US" w:eastAsia="zh-CN"/>
              </w:rPr>
            </w:pPr>
            <w:r>
              <w:rPr>
                <w:rFonts w:hint="eastAsia" w:ascii="宋体" w:hAnsi="宋体" w:eastAsia="宋体" w:cs="宋体"/>
                <w:color w:val="auto"/>
                <w:spacing w:val="-13"/>
                <w:sz w:val="24"/>
                <w:szCs w:val="24"/>
                <w:highlight w:val="none"/>
                <w:lang w:val="en-US" w:eastAsia="zh-CN"/>
              </w:rPr>
              <w:t>/</w:t>
            </w:r>
          </w:p>
        </w:tc>
      </w:tr>
      <w:tr w14:paraId="5796D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950" w:type="dxa"/>
            <w:tcBorders>
              <w:left w:val="single" w:color="000000" w:sz="6" w:space="0"/>
            </w:tcBorders>
            <w:vAlign w:val="top"/>
          </w:tcPr>
          <w:p w14:paraId="437C6181">
            <w:pPr>
              <w:spacing w:before="259"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1.1.9</w:t>
            </w:r>
          </w:p>
        </w:tc>
        <w:tc>
          <w:tcPr>
            <w:tcW w:w="2370" w:type="dxa"/>
            <w:vAlign w:val="top"/>
          </w:tcPr>
          <w:p w14:paraId="0B05B6BD">
            <w:pPr>
              <w:pStyle w:val="17"/>
              <w:spacing w:before="220" w:line="220" w:lineRule="auto"/>
              <w:ind w:left="105"/>
              <w:rPr>
                <w:color w:val="auto"/>
                <w:sz w:val="24"/>
                <w:szCs w:val="24"/>
                <w:highlight w:val="none"/>
              </w:rPr>
            </w:pPr>
            <w:r>
              <w:rPr>
                <w:color w:val="auto"/>
                <w:spacing w:val="-1"/>
                <w:sz w:val="24"/>
                <w:szCs w:val="24"/>
                <w:highlight w:val="none"/>
              </w:rPr>
              <w:t>代建机构</w:t>
            </w:r>
          </w:p>
        </w:tc>
        <w:tc>
          <w:tcPr>
            <w:tcW w:w="5558" w:type="dxa"/>
            <w:tcBorders>
              <w:right w:val="single" w:color="000000" w:sz="6" w:space="0"/>
            </w:tcBorders>
            <w:vAlign w:val="top"/>
          </w:tcPr>
          <w:p w14:paraId="19925213">
            <w:pPr>
              <w:pStyle w:val="17"/>
              <w:spacing w:before="106" w:line="230" w:lineRule="auto"/>
              <w:ind w:left="321"/>
              <w:jc w:val="both"/>
              <w:rPr>
                <w:rFonts w:hint="default" w:ascii="宋体" w:hAnsi="宋体" w:eastAsia="宋体" w:cs="宋体"/>
                <w:color w:val="auto"/>
                <w:spacing w:val="-13"/>
                <w:sz w:val="24"/>
                <w:szCs w:val="24"/>
                <w:highlight w:val="none"/>
                <w:lang w:val="en-US" w:eastAsia="zh-CN"/>
              </w:rPr>
            </w:pPr>
            <w:r>
              <w:rPr>
                <w:rFonts w:hint="eastAsia" w:ascii="宋体" w:hAnsi="宋体" w:eastAsia="宋体" w:cs="宋体"/>
                <w:color w:val="auto"/>
                <w:spacing w:val="-13"/>
                <w:sz w:val="24"/>
                <w:szCs w:val="24"/>
                <w:highlight w:val="none"/>
                <w:lang w:val="en-US" w:eastAsia="zh-CN"/>
              </w:rPr>
              <w:t>/</w:t>
            </w:r>
          </w:p>
        </w:tc>
      </w:tr>
      <w:tr w14:paraId="25499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0" w:type="dxa"/>
            <w:tcBorders>
              <w:left w:val="single" w:color="000000" w:sz="6" w:space="0"/>
            </w:tcBorders>
            <w:vAlign w:val="top"/>
          </w:tcPr>
          <w:p w14:paraId="37CA553A">
            <w:pPr>
              <w:spacing w:before="257"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1.2.1</w:t>
            </w:r>
          </w:p>
        </w:tc>
        <w:tc>
          <w:tcPr>
            <w:tcW w:w="2370" w:type="dxa"/>
            <w:vAlign w:val="top"/>
          </w:tcPr>
          <w:p w14:paraId="081A8DD2">
            <w:pPr>
              <w:pStyle w:val="17"/>
              <w:spacing w:before="218" w:line="221" w:lineRule="auto"/>
              <w:ind w:left="115"/>
              <w:rPr>
                <w:color w:val="auto"/>
                <w:sz w:val="24"/>
                <w:szCs w:val="24"/>
                <w:highlight w:val="none"/>
              </w:rPr>
            </w:pPr>
            <w:r>
              <w:rPr>
                <w:color w:val="auto"/>
                <w:spacing w:val="-2"/>
                <w:sz w:val="24"/>
                <w:szCs w:val="24"/>
                <w:highlight w:val="none"/>
              </w:rPr>
              <w:t>资金来源及比例</w:t>
            </w:r>
          </w:p>
        </w:tc>
        <w:tc>
          <w:tcPr>
            <w:tcW w:w="5558" w:type="dxa"/>
            <w:tcBorders>
              <w:right w:val="single" w:color="000000" w:sz="6" w:space="0"/>
            </w:tcBorders>
            <w:vAlign w:val="top"/>
          </w:tcPr>
          <w:p w14:paraId="215063A6">
            <w:pPr>
              <w:pStyle w:val="17"/>
              <w:spacing w:before="106" w:line="230" w:lineRule="auto"/>
              <w:ind w:left="321"/>
              <w:jc w:val="both"/>
              <w:rPr>
                <w:rFonts w:hint="default" w:ascii="宋体" w:hAnsi="宋体" w:eastAsia="宋体" w:cs="宋体"/>
                <w:color w:val="auto"/>
                <w:spacing w:val="-13"/>
                <w:sz w:val="24"/>
                <w:szCs w:val="24"/>
                <w:highlight w:val="none"/>
                <w:lang w:val="en-US" w:eastAsia="zh-CN"/>
              </w:rPr>
            </w:pPr>
            <w:r>
              <w:rPr>
                <w:rFonts w:hint="eastAsia" w:ascii="宋体" w:hAnsi="宋体" w:eastAsia="宋体" w:cs="宋体"/>
                <w:color w:val="auto"/>
                <w:spacing w:val="-13"/>
                <w:sz w:val="24"/>
                <w:szCs w:val="24"/>
                <w:highlight w:val="none"/>
                <w:lang w:val="en-US" w:eastAsia="zh-CN"/>
              </w:rPr>
              <w:t>财政资金100%</w:t>
            </w:r>
          </w:p>
        </w:tc>
      </w:tr>
      <w:tr w14:paraId="2E541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950" w:type="dxa"/>
            <w:tcBorders>
              <w:left w:val="single" w:color="000000" w:sz="6" w:space="0"/>
            </w:tcBorders>
            <w:vAlign w:val="top"/>
          </w:tcPr>
          <w:p w14:paraId="64E9ACBC">
            <w:pPr>
              <w:spacing w:before="260"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5"/>
                <w:sz w:val="24"/>
                <w:szCs w:val="24"/>
                <w:highlight w:val="none"/>
              </w:rPr>
              <w:t>1.2.2</w:t>
            </w:r>
          </w:p>
        </w:tc>
        <w:tc>
          <w:tcPr>
            <w:tcW w:w="2370" w:type="dxa"/>
            <w:vAlign w:val="top"/>
          </w:tcPr>
          <w:p w14:paraId="57E869C4">
            <w:pPr>
              <w:pStyle w:val="17"/>
              <w:spacing w:before="222" w:line="221" w:lineRule="auto"/>
              <w:ind w:left="115"/>
              <w:rPr>
                <w:color w:val="auto"/>
                <w:sz w:val="24"/>
                <w:szCs w:val="24"/>
                <w:highlight w:val="none"/>
              </w:rPr>
            </w:pPr>
            <w:r>
              <w:rPr>
                <w:color w:val="auto"/>
                <w:spacing w:val="-3"/>
                <w:sz w:val="24"/>
                <w:szCs w:val="24"/>
                <w:highlight w:val="none"/>
              </w:rPr>
              <w:t>资金落实情况</w:t>
            </w:r>
          </w:p>
        </w:tc>
        <w:tc>
          <w:tcPr>
            <w:tcW w:w="5558" w:type="dxa"/>
            <w:tcBorders>
              <w:right w:val="single" w:color="000000" w:sz="6" w:space="0"/>
            </w:tcBorders>
            <w:vAlign w:val="top"/>
          </w:tcPr>
          <w:p w14:paraId="1E20737B">
            <w:pPr>
              <w:pStyle w:val="17"/>
              <w:spacing w:before="106" w:line="230" w:lineRule="auto"/>
              <w:ind w:left="321"/>
              <w:jc w:val="both"/>
              <w:rPr>
                <w:rFonts w:hint="default" w:ascii="宋体" w:hAnsi="宋体" w:eastAsia="宋体" w:cs="宋体"/>
                <w:color w:val="auto"/>
                <w:spacing w:val="-13"/>
                <w:sz w:val="24"/>
                <w:szCs w:val="24"/>
                <w:highlight w:val="none"/>
                <w:lang w:val="en-US" w:eastAsia="zh-CN"/>
              </w:rPr>
            </w:pPr>
            <w:r>
              <w:rPr>
                <w:rFonts w:hint="eastAsia" w:ascii="宋体" w:hAnsi="宋体" w:eastAsia="宋体" w:cs="宋体"/>
                <w:color w:val="auto"/>
                <w:spacing w:val="-13"/>
                <w:sz w:val="24"/>
                <w:szCs w:val="24"/>
                <w:highlight w:val="none"/>
                <w:lang w:val="en-US" w:eastAsia="zh-CN"/>
              </w:rPr>
              <w:t>已落实</w:t>
            </w:r>
          </w:p>
        </w:tc>
      </w:tr>
      <w:tr w14:paraId="71EED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50" w:type="dxa"/>
            <w:tcBorders>
              <w:left w:val="single" w:color="000000" w:sz="6" w:space="0"/>
            </w:tcBorders>
            <w:vAlign w:val="top"/>
          </w:tcPr>
          <w:p w14:paraId="2452CBB3">
            <w:pPr>
              <w:spacing w:before="258"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1.3.1</w:t>
            </w:r>
          </w:p>
        </w:tc>
        <w:tc>
          <w:tcPr>
            <w:tcW w:w="2370" w:type="dxa"/>
            <w:vAlign w:val="top"/>
          </w:tcPr>
          <w:p w14:paraId="306CAF66">
            <w:pPr>
              <w:pStyle w:val="17"/>
              <w:spacing w:before="220" w:line="221" w:lineRule="auto"/>
              <w:ind w:left="106"/>
              <w:rPr>
                <w:color w:val="auto"/>
                <w:sz w:val="24"/>
                <w:szCs w:val="24"/>
                <w:highlight w:val="none"/>
              </w:rPr>
            </w:pPr>
            <w:r>
              <w:rPr>
                <w:color w:val="auto"/>
                <w:spacing w:val="-2"/>
                <w:sz w:val="24"/>
                <w:szCs w:val="24"/>
                <w:highlight w:val="none"/>
              </w:rPr>
              <w:t>招标范围</w:t>
            </w:r>
          </w:p>
        </w:tc>
        <w:tc>
          <w:tcPr>
            <w:tcW w:w="5558" w:type="dxa"/>
            <w:tcBorders>
              <w:right w:val="single" w:color="000000" w:sz="6" w:space="0"/>
            </w:tcBorders>
            <w:vAlign w:val="top"/>
          </w:tcPr>
          <w:p w14:paraId="0EF7C165">
            <w:pPr>
              <w:pStyle w:val="17"/>
              <w:keepNext w:val="0"/>
              <w:keepLines w:val="0"/>
              <w:pageBreakBefore w:val="0"/>
              <w:widowControl/>
              <w:kinsoku w:val="0"/>
              <w:wordWrap/>
              <w:overflowPunct/>
              <w:topLinePunct w:val="0"/>
              <w:autoSpaceDE w:val="0"/>
              <w:autoSpaceDN w:val="0"/>
              <w:bidi w:val="0"/>
              <w:adjustRightInd w:val="0"/>
              <w:snapToGrid w:val="0"/>
              <w:spacing w:before="106" w:line="231" w:lineRule="auto"/>
              <w:ind w:firstLine="107" w:firstLineChars="50"/>
              <w:jc w:val="both"/>
              <w:textAlignment w:val="baseline"/>
              <w:rPr>
                <w:rFonts w:hint="eastAsia" w:ascii="宋体" w:hAnsi="宋体" w:eastAsia="宋体" w:cs="宋体"/>
                <w:color w:val="auto"/>
                <w:spacing w:val="-13"/>
                <w:sz w:val="24"/>
                <w:szCs w:val="24"/>
                <w:highlight w:val="none"/>
                <w:lang w:eastAsia="zh-CN"/>
              </w:rPr>
            </w:pPr>
            <w:r>
              <w:rPr>
                <w:rFonts w:hint="eastAsia" w:cs="宋体"/>
                <w:color w:val="auto"/>
                <w:spacing w:val="-13"/>
                <w:sz w:val="24"/>
                <w:szCs w:val="24"/>
                <w:highlight w:val="none"/>
                <w:lang w:eastAsia="zh-CN"/>
              </w:rPr>
              <w:t>2025年嵊州市浦口街道高标准农田建设项目(I标)</w:t>
            </w:r>
            <w:r>
              <w:rPr>
                <w:rFonts w:hint="eastAsia" w:ascii="宋体" w:hAnsi="宋体" w:eastAsia="宋体" w:cs="宋体"/>
                <w:color w:val="auto"/>
                <w:spacing w:val="-13"/>
                <w:sz w:val="24"/>
                <w:szCs w:val="24"/>
                <w:highlight w:val="none"/>
                <w:lang w:eastAsia="zh-CN"/>
              </w:rPr>
              <w:t>施工图中的全部内容（详见工程量清单）</w:t>
            </w:r>
          </w:p>
        </w:tc>
      </w:tr>
      <w:tr w14:paraId="60307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950" w:type="dxa"/>
            <w:tcBorders>
              <w:left w:val="single" w:color="000000" w:sz="6" w:space="0"/>
            </w:tcBorders>
            <w:vAlign w:val="top"/>
          </w:tcPr>
          <w:p w14:paraId="233BF837">
            <w:pPr>
              <w:spacing w:line="247" w:lineRule="auto"/>
              <w:rPr>
                <w:rFonts w:ascii="Arial"/>
                <w:color w:val="auto"/>
                <w:sz w:val="24"/>
                <w:szCs w:val="24"/>
                <w:highlight w:val="none"/>
              </w:rPr>
            </w:pPr>
          </w:p>
          <w:p w14:paraId="21E668F8">
            <w:pPr>
              <w:spacing w:line="247" w:lineRule="auto"/>
              <w:rPr>
                <w:rFonts w:ascii="Arial"/>
                <w:color w:val="auto"/>
                <w:sz w:val="24"/>
                <w:szCs w:val="24"/>
                <w:highlight w:val="none"/>
              </w:rPr>
            </w:pPr>
          </w:p>
          <w:p w14:paraId="7AD9868C">
            <w:pPr>
              <w:spacing w:line="248" w:lineRule="auto"/>
              <w:rPr>
                <w:rFonts w:ascii="Arial"/>
                <w:color w:val="auto"/>
                <w:sz w:val="24"/>
                <w:szCs w:val="24"/>
                <w:highlight w:val="none"/>
              </w:rPr>
            </w:pPr>
          </w:p>
          <w:p w14:paraId="0EF0F1A1">
            <w:pPr>
              <w:spacing w:line="248" w:lineRule="auto"/>
              <w:rPr>
                <w:rFonts w:ascii="Arial"/>
                <w:color w:val="auto"/>
                <w:sz w:val="24"/>
                <w:szCs w:val="24"/>
                <w:highlight w:val="none"/>
              </w:rPr>
            </w:pPr>
          </w:p>
          <w:p w14:paraId="0FA72EDE">
            <w:pPr>
              <w:spacing w:before="60"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1.3.2</w:t>
            </w:r>
          </w:p>
        </w:tc>
        <w:tc>
          <w:tcPr>
            <w:tcW w:w="2370" w:type="dxa"/>
            <w:vAlign w:val="top"/>
          </w:tcPr>
          <w:p w14:paraId="40BAE57F">
            <w:pPr>
              <w:spacing w:line="314" w:lineRule="auto"/>
              <w:rPr>
                <w:rFonts w:ascii="Arial"/>
                <w:color w:val="auto"/>
                <w:sz w:val="24"/>
                <w:szCs w:val="24"/>
                <w:highlight w:val="none"/>
              </w:rPr>
            </w:pPr>
          </w:p>
          <w:p w14:paraId="20084BB7">
            <w:pPr>
              <w:spacing w:line="315" w:lineRule="auto"/>
              <w:rPr>
                <w:rFonts w:ascii="Arial"/>
                <w:color w:val="auto"/>
                <w:sz w:val="24"/>
                <w:szCs w:val="24"/>
                <w:highlight w:val="none"/>
              </w:rPr>
            </w:pPr>
          </w:p>
          <w:p w14:paraId="247D24D4">
            <w:pPr>
              <w:spacing w:line="315" w:lineRule="auto"/>
              <w:rPr>
                <w:rFonts w:ascii="Arial"/>
                <w:color w:val="auto"/>
                <w:sz w:val="24"/>
                <w:szCs w:val="24"/>
                <w:highlight w:val="none"/>
              </w:rPr>
            </w:pPr>
          </w:p>
          <w:p w14:paraId="0A8CE2E2">
            <w:pPr>
              <w:pStyle w:val="17"/>
              <w:spacing w:before="68" w:line="221" w:lineRule="auto"/>
              <w:ind w:left="106"/>
              <w:rPr>
                <w:color w:val="auto"/>
                <w:sz w:val="24"/>
                <w:szCs w:val="24"/>
                <w:highlight w:val="none"/>
              </w:rPr>
            </w:pPr>
            <w:r>
              <w:rPr>
                <w:color w:val="auto"/>
                <w:spacing w:val="-2"/>
                <w:sz w:val="24"/>
                <w:szCs w:val="24"/>
                <w:highlight w:val="none"/>
              </w:rPr>
              <w:t>计划工期</w:t>
            </w:r>
          </w:p>
        </w:tc>
        <w:tc>
          <w:tcPr>
            <w:tcW w:w="5558" w:type="dxa"/>
            <w:tcBorders>
              <w:right w:val="single" w:color="000000" w:sz="6" w:space="0"/>
            </w:tcBorders>
            <w:vAlign w:val="top"/>
          </w:tcPr>
          <w:p w14:paraId="3478DC1D">
            <w:pPr>
              <w:pStyle w:val="17"/>
              <w:spacing w:before="119" w:line="308" w:lineRule="auto"/>
              <w:ind w:right="251"/>
              <w:rPr>
                <w:color w:val="auto"/>
                <w:sz w:val="24"/>
                <w:szCs w:val="24"/>
                <w:highlight w:val="none"/>
              </w:rPr>
            </w:pPr>
            <w:r>
              <w:rPr>
                <w:color w:val="auto"/>
                <w:spacing w:val="-1"/>
                <w:sz w:val="24"/>
                <w:szCs w:val="24"/>
                <w:highlight w:val="none"/>
              </w:rPr>
              <w:t>计划工期：</w:t>
            </w:r>
            <w:r>
              <w:rPr>
                <w:rFonts w:hint="eastAsia"/>
                <w:color w:val="auto"/>
                <w:spacing w:val="-1"/>
                <w:sz w:val="24"/>
                <w:szCs w:val="24"/>
                <w:highlight w:val="none"/>
                <w:u w:val="single"/>
                <w:lang w:val="en-US" w:eastAsia="zh-CN"/>
              </w:rPr>
              <w:t xml:space="preserve">180 </w:t>
            </w:r>
            <w:r>
              <w:rPr>
                <w:color w:val="auto"/>
                <w:spacing w:val="-1"/>
                <w:sz w:val="24"/>
                <w:szCs w:val="24"/>
                <w:highlight w:val="none"/>
              </w:rPr>
              <w:t>日历天。投标承诺工期不得超过该计划工期。</w:t>
            </w:r>
          </w:p>
          <w:p w14:paraId="14B25048">
            <w:pPr>
              <w:pStyle w:val="17"/>
              <w:spacing w:before="17" w:line="221" w:lineRule="auto"/>
              <w:rPr>
                <w:color w:val="auto"/>
                <w:sz w:val="24"/>
                <w:szCs w:val="24"/>
                <w:highlight w:val="none"/>
              </w:rPr>
            </w:pPr>
            <w:r>
              <w:rPr>
                <w:color w:val="auto"/>
                <w:spacing w:val="-2"/>
                <w:sz w:val="24"/>
                <w:szCs w:val="24"/>
                <w:highlight w:val="none"/>
              </w:rPr>
              <w:t xml:space="preserve">计划开工日期： </w:t>
            </w:r>
            <w:r>
              <w:rPr>
                <w:color w:val="auto"/>
                <w:spacing w:val="-2"/>
                <w:sz w:val="24"/>
                <w:szCs w:val="24"/>
                <w:highlight w:val="none"/>
                <w:u w:val="single" w:color="auto"/>
              </w:rPr>
              <w:t xml:space="preserve">     </w:t>
            </w:r>
            <w:r>
              <w:rPr>
                <w:color w:val="auto"/>
                <w:spacing w:val="-86"/>
                <w:sz w:val="24"/>
                <w:szCs w:val="24"/>
                <w:highlight w:val="none"/>
              </w:rPr>
              <w:t xml:space="preserve"> </w:t>
            </w:r>
            <w:r>
              <w:rPr>
                <w:color w:val="auto"/>
                <w:spacing w:val="-2"/>
                <w:sz w:val="24"/>
                <w:szCs w:val="24"/>
                <w:highlight w:val="none"/>
              </w:rPr>
              <w:t>年</w:t>
            </w:r>
            <w:r>
              <w:rPr>
                <w:color w:val="auto"/>
                <w:spacing w:val="-2"/>
                <w:sz w:val="24"/>
                <w:szCs w:val="24"/>
                <w:highlight w:val="none"/>
                <w:u w:val="single" w:color="auto"/>
              </w:rPr>
              <w:t xml:space="preserve">    </w:t>
            </w:r>
            <w:r>
              <w:rPr>
                <w:color w:val="auto"/>
                <w:spacing w:val="-91"/>
                <w:sz w:val="24"/>
                <w:szCs w:val="24"/>
                <w:highlight w:val="none"/>
              </w:rPr>
              <w:t xml:space="preserve"> </w:t>
            </w:r>
            <w:r>
              <w:rPr>
                <w:color w:val="auto"/>
                <w:spacing w:val="-2"/>
                <w:sz w:val="24"/>
                <w:szCs w:val="24"/>
                <w:highlight w:val="none"/>
              </w:rPr>
              <w:t>月</w:t>
            </w:r>
            <w:r>
              <w:rPr>
                <w:color w:val="auto"/>
                <w:spacing w:val="-105"/>
                <w:sz w:val="24"/>
                <w:szCs w:val="24"/>
                <w:highlight w:val="none"/>
              </w:rPr>
              <w:t xml:space="preserve"> </w:t>
            </w:r>
            <w:r>
              <w:rPr>
                <w:color w:val="auto"/>
                <w:spacing w:val="34"/>
                <w:sz w:val="24"/>
                <w:szCs w:val="24"/>
                <w:highlight w:val="none"/>
                <w:u w:val="single" w:color="auto"/>
              </w:rPr>
              <w:t xml:space="preserve">   </w:t>
            </w:r>
            <w:r>
              <w:rPr>
                <w:color w:val="auto"/>
                <w:spacing w:val="-60"/>
                <w:sz w:val="24"/>
                <w:szCs w:val="24"/>
                <w:highlight w:val="none"/>
              </w:rPr>
              <w:t xml:space="preserve"> </w:t>
            </w:r>
            <w:r>
              <w:rPr>
                <w:color w:val="auto"/>
                <w:spacing w:val="-2"/>
                <w:sz w:val="24"/>
                <w:szCs w:val="24"/>
                <w:highlight w:val="none"/>
              </w:rPr>
              <w:t>日</w:t>
            </w:r>
          </w:p>
          <w:p w14:paraId="3A2DE340">
            <w:pPr>
              <w:pStyle w:val="17"/>
              <w:spacing w:before="108" w:line="221" w:lineRule="auto"/>
              <w:rPr>
                <w:color w:val="auto"/>
                <w:sz w:val="24"/>
                <w:szCs w:val="24"/>
                <w:highlight w:val="none"/>
              </w:rPr>
            </w:pPr>
            <w:r>
              <w:rPr>
                <w:color w:val="auto"/>
                <w:spacing w:val="-2"/>
                <w:sz w:val="24"/>
                <w:szCs w:val="24"/>
                <w:highlight w:val="none"/>
              </w:rPr>
              <w:t xml:space="preserve">计划完工日期： </w:t>
            </w:r>
            <w:r>
              <w:rPr>
                <w:color w:val="auto"/>
                <w:spacing w:val="-2"/>
                <w:sz w:val="24"/>
                <w:szCs w:val="24"/>
                <w:highlight w:val="none"/>
                <w:u w:val="single" w:color="auto"/>
              </w:rPr>
              <w:t xml:space="preserve">     </w:t>
            </w:r>
            <w:r>
              <w:rPr>
                <w:color w:val="auto"/>
                <w:spacing w:val="-86"/>
                <w:sz w:val="24"/>
                <w:szCs w:val="24"/>
                <w:highlight w:val="none"/>
              </w:rPr>
              <w:t xml:space="preserve"> </w:t>
            </w:r>
            <w:r>
              <w:rPr>
                <w:color w:val="auto"/>
                <w:spacing w:val="-2"/>
                <w:sz w:val="24"/>
                <w:szCs w:val="24"/>
                <w:highlight w:val="none"/>
              </w:rPr>
              <w:t>年</w:t>
            </w:r>
            <w:r>
              <w:rPr>
                <w:color w:val="auto"/>
                <w:spacing w:val="-2"/>
                <w:sz w:val="24"/>
                <w:szCs w:val="24"/>
                <w:highlight w:val="none"/>
                <w:u w:val="single" w:color="auto"/>
              </w:rPr>
              <w:t xml:space="preserve">    </w:t>
            </w:r>
            <w:r>
              <w:rPr>
                <w:color w:val="auto"/>
                <w:spacing w:val="-91"/>
                <w:sz w:val="24"/>
                <w:szCs w:val="24"/>
                <w:highlight w:val="none"/>
              </w:rPr>
              <w:t xml:space="preserve"> </w:t>
            </w:r>
            <w:r>
              <w:rPr>
                <w:color w:val="auto"/>
                <w:spacing w:val="-2"/>
                <w:sz w:val="24"/>
                <w:szCs w:val="24"/>
                <w:highlight w:val="none"/>
              </w:rPr>
              <w:t>月</w:t>
            </w:r>
            <w:r>
              <w:rPr>
                <w:color w:val="auto"/>
                <w:spacing w:val="-105"/>
                <w:sz w:val="24"/>
                <w:szCs w:val="24"/>
                <w:highlight w:val="none"/>
              </w:rPr>
              <w:t xml:space="preserve"> </w:t>
            </w:r>
            <w:r>
              <w:rPr>
                <w:color w:val="auto"/>
                <w:spacing w:val="34"/>
                <w:sz w:val="24"/>
                <w:szCs w:val="24"/>
                <w:highlight w:val="none"/>
                <w:u w:val="single" w:color="auto"/>
              </w:rPr>
              <w:t xml:space="preserve">   </w:t>
            </w:r>
            <w:r>
              <w:rPr>
                <w:color w:val="auto"/>
                <w:spacing w:val="-60"/>
                <w:sz w:val="24"/>
                <w:szCs w:val="24"/>
                <w:highlight w:val="none"/>
              </w:rPr>
              <w:t xml:space="preserve"> </w:t>
            </w:r>
            <w:r>
              <w:rPr>
                <w:color w:val="auto"/>
                <w:spacing w:val="-2"/>
                <w:sz w:val="24"/>
                <w:szCs w:val="24"/>
                <w:highlight w:val="none"/>
              </w:rPr>
              <w:t>日</w:t>
            </w:r>
          </w:p>
          <w:p w14:paraId="461AC876">
            <w:pPr>
              <w:pStyle w:val="17"/>
              <w:spacing w:before="109" w:line="221" w:lineRule="auto"/>
              <w:rPr>
                <w:color w:val="auto"/>
                <w:sz w:val="24"/>
                <w:szCs w:val="24"/>
                <w:highlight w:val="none"/>
              </w:rPr>
            </w:pPr>
            <w:r>
              <w:rPr>
                <w:color w:val="auto"/>
                <w:spacing w:val="-1"/>
                <w:sz w:val="24"/>
                <w:szCs w:val="24"/>
                <w:highlight w:val="none"/>
              </w:rPr>
              <w:t xml:space="preserve">节点工期： </w:t>
            </w:r>
            <w:r>
              <w:rPr>
                <w:color w:val="auto"/>
                <w:spacing w:val="-1"/>
                <w:sz w:val="24"/>
                <w:szCs w:val="24"/>
                <w:highlight w:val="none"/>
                <w:u w:val="single" w:color="auto"/>
              </w:rPr>
              <w:t xml:space="preserve">      </w:t>
            </w:r>
            <w:r>
              <w:rPr>
                <w:rFonts w:hint="eastAsia"/>
                <w:color w:val="auto"/>
                <w:spacing w:val="-1"/>
                <w:sz w:val="24"/>
                <w:szCs w:val="24"/>
                <w:highlight w:val="none"/>
                <w:u w:val="single" w:color="auto"/>
                <w:lang w:val="en-US" w:eastAsia="zh-CN"/>
              </w:rPr>
              <w:t>/</w:t>
            </w:r>
            <w:r>
              <w:rPr>
                <w:color w:val="auto"/>
                <w:spacing w:val="-1"/>
                <w:sz w:val="24"/>
                <w:szCs w:val="24"/>
                <w:highlight w:val="none"/>
                <w:u w:val="single" w:color="auto"/>
              </w:rPr>
              <w:t xml:space="preserve">          </w:t>
            </w:r>
            <w:r>
              <w:rPr>
                <w:color w:val="auto"/>
                <w:spacing w:val="-1"/>
                <w:sz w:val="24"/>
                <w:szCs w:val="24"/>
                <w:highlight w:val="none"/>
              </w:rPr>
              <w:t>。</w:t>
            </w:r>
          </w:p>
          <w:p w14:paraId="7ADFBB82">
            <w:pPr>
              <w:pStyle w:val="17"/>
              <w:spacing w:before="107" w:line="206" w:lineRule="auto"/>
              <w:rPr>
                <w:color w:val="auto"/>
                <w:sz w:val="24"/>
                <w:szCs w:val="24"/>
                <w:highlight w:val="none"/>
              </w:rPr>
            </w:pPr>
            <w:r>
              <w:rPr>
                <w:color w:val="auto"/>
                <w:spacing w:val="-1"/>
                <w:sz w:val="24"/>
                <w:szCs w:val="24"/>
                <w:highlight w:val="none"/>
              </w:rPr>
              <w:t>实际开工日期以总监理工程师签发的开工通知为准。</w:t>
            </w:r>
          </w:p>
        </w:tc>
      </w:tr>
      <w:tr w14:paraId="0D206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950" w:type="dxa"/>
            <w:tcBorders>
              <w:left w:val="single" w:color="000000" w:sz="6" w:space="0"/>
              <w:bottom w:val="single" w:color="000000" w:sz="6" w:space="0"/>
            </w:tcBorders>
            <w:vAlign w:val="top"/>
          </w:tcPr>
          <w:p w14:paraId="1AD90401">
            <w:pPr>
              <w:spacing w:before="264"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1.3.3</w:t>
            </w:r>
          </w:p>
        </w:tc>
        <w:tc>
          <w:tcPr>
            <w:tcW w:w="2370" w:type="dxa"/>
            <w:tcBorders>
              <w:bottom w:val="single" w:color="000000" w:sz="6" w:space="0"/>
            </w:tcBorders>
            <w:vAlign w:val="center"/>
          </w:tcPr>
          <w:p w14:paraId="3DFD014C">
            <w:pPr>
              <w:pStyle w:val="17"/>
              <w:spacing w:before="220" w:line="221" w:lineRule="auto"/>
              <w:ind w:left="106"/>
              <w:jc w:val="both"/>
              <w:rPr>
                <w:color w:val="auto"/>
                <w:sz w:val="24"/>
                <w:szCs w:val="24"/>
                <w:highlight w:val="none"/>
              </w:rPr>
            </w:pPr>
            <w:r>
              <w:rPr>
                <w:color w:val="auto"/>
                <w:spacing w:val="-2"/>
                <w:sz w:val="24"/>
                <w:szCs w:val="24"/>
                <w:highlight w:val="none"/>
              </w:rPr>
              <w:t>质量要求</w:t>
            </w:r>
          </w:p>
        </w:tc>
        <w:tc>
          <w:tcPr>
            <w:tcW w:w="5558" w:type="dxa"/>
            <w:tcBorders>
              <w:bottom w:val="single" w:color="000000" w:sz="6" w:space="0"/>
              <w:right w:val="single" w:color="000000" w:sz="6" w:space="0"/>
            </w:tcBorders>
            <w:vAlign w:val="center"/>
          </w:tcPr>
          <w:p w14:paraId="52D2034D">
            <w:pPr>
              <w:pStyle w:val="17"/>
              <w:spacing w:before="106" w:line="230" w:lineRule="auto"/>
              <w:ind w:left="321"/>
              <w:jc w:val="both"/>
              <w:rPr>
                <w:rFonts w:ascii="Arial"/>
                <w:color w:val="auto"/>
                <w:sz w:val="24"/>
                <w:szCs w:val="24"/>
                <w:highlight w:val="none"/>
              </w:rPr>
            </w:pPr>
            <w:r>
              <w:rPr>
                <w:rFonts w:hint="eastAsia" w:ascii="宋体" w:hAnsi="宋体" w:eastAsia="宋体" w:cs="宋体"/>
                <w:color w:val="auto"/>
                <w:spacing w:val="-13"/>
                <w:sz w:val="24"/>
                <w:szCs w:val="24"/>
                <w:highlight w:val="none"/>
                <w:lang w:val="en-US" w:eastAsia="zh-CN"/>
              </w:rPr>
              <w:t>合格</w:t>
            </w:r>
          </w:p>
        </w:tc>
      </w:tr>
    </w:tbl>
    <w:p w14:paraId="69AE4AA5">
      <w:pPr>
        <w:spacing w:line="89" w:lineRule="auto"/>
        <w:rPr>
          <w:rFonts w:ascii="Arial"/>
          <w:color w:val="auto"/>
          <w:sz w:val="2"/>
          <w:highlight w:val="none"/>
        </w:rPr>
      </w:pPr>
    </w:p>
    <w:tbl>
      <w:tblPr>
        <w:tblStyle w:val="16"/>
        <w:tblW w:w="890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2451"/>
        <w:gridCol w:w="5496"/>
      </w:tblGrid>
      <w:tr w14:paraId="651C6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53" w:type="dxa"/>
            <w:tcBorders>
              <w:top w:val="single" w:color="000000" w:sz="6" w:space="0"/>
              <w:left w:val="single" w:color="000000" w:sz="6" w:space="0"/>
            </w:tcBorders>
            <w:vAlign w:val="top"/>
          </w:tcPr>
          <w:p w14:paraId="76088AC5">
            <w:pPr>
              <w:pStyle w:val="17"/>
              <w:spacing w:before="213" w:line="221" w:lineRule="auto"/>
              <w:ind w:left="158"/>
              <w:rPr>
                <w:color w:val="auto"/>
                <w:sz w:val="24"/>
                <w:szCs w:val="24"/>
                <w:highlight w:val="none"/>
              </w:rPr>
            </w:pPr>
            <w:r>
              <w:rPr>
                <w:b/>
                <w:bCs/>
                <w:color w:val="auto"/>
                <w:spacing w:val="-4"/>
                <w:sz w:val="24"/>
                <w:szCs w:val="24"/>
                <w:highlight w:val="none"/>
              </w:rPr>
              <w:t>条款号</w:t>
            </w:r>
          </w:p>
        </w:tc>
        <w:tc>
          <w:tcPr>
            <w:tcW w:w="2451" w:type="dxa"/>
            <w:tcBorders>
              <w:top w:val="single" w:color="000000" w:sz="6" w:space="0"/>
            </w:tcBorders>
            <w:vAlign w:val="top"/>
          </w:tcPr>
          <w:p w14:paraId="73B423C3">
            <w:pPr>
              <w:pStyle w:val="17"/>
              <w:spacing w:before="213" w:line="221" w:lineRule="auto"/>
              <w:ind w:left="642"/>
              <w:rPr>
                <w:color w:val="auto"/>
                <w:sz w:val="24"/>
                <w:szCs w:val="24"/>
                <w:highlight w:val="none"/>
              </w:rPr>
            </w:pPr>
            <w:r>
              <w:rPr>
                <w:b/>
                <w:bCs/>
                <w:color w:val="auto"/>
                <w:spacing w:val="-9"/>
                <w:sz w:val="24"/>
                <w:szCs w:val="24"/>
                <w:highlight w:val="none"/>
              </w:rPr>
              <w:t>条</w:t>
            </w:r>
            <w:r>
              <w:rPr>
                <w:color w:val="auto"/>
                <w:spacing w:val="9"/>
                <w:sz w:val="24"/>
                <w:szCs w:val="24"/>
                <w:highlight w:val="none"/>
              </w:rPr>
              <w:t xml:space="preserve"> </w:t>
            </w:r>
            <w:r>
              <w:rPr>
                <w:b/>
                <w:bCs/>
                <w:color w:val="auto"/>
                <w:spacing w:val="-9"/>
                <w:sz w:val="24"/>
                <w:szCs w:val="24"/>
                <w:highlight w:val="none"/>
              </w:rPr>
              <w:t>款</w:t>
            </w:r>
            <w:r>
              <w:rPr>
                <w:color w:val="auto"/>
                <w:spacing w:val="12"/>
                <w:sz w:val="24"/>
                <w:szCs w:val="24"/>
                <w:highlight w:val="none"/>
              </w:rPr>
              <w:t xml:space="preserve"> </w:t>
            </w:r>
            <w:r>
              <w:rPr>
                <w:b/>
                <w:bCs/>
                <w:color w:val="auto"/>
                <w:spacing w:val="-9"/>
                <w:sz w:val="24"/>
                <w:szCs w:val="24"/>
                <w:highlight w:val="none"/>
              </w:rPr>
              <w:t>名</w:t>
            </w:r>
            <w:r>
              <w:rPr>
                <w:color w:val="auto"/>
                <w:spacing w:val="5"/>
                <w:sz w:val="24"/>
                <w:szCs w:val="24"/>
                <w:highlight w:val="none"/>
              </w:rPr>
              <w:t xml:space="preserve"> </w:t>
            </w:r>
            <w:r>
              <w:rPr>
                <w:b/>
                <w:bCs/>
                <w:color w:val="auto"/>
                <w:spacing w:val="-9"/>
                <w:sz w:val="24"/>
                <w:szCs w:val="24"/>
                <w:highlight w:val="none"/>
              </w:rPr>
              <w:t>称</w:t>
            </w:r>
          </w:p>
        </w:tc>
        <w:tc>
          <w:tcPr>
            <w:tcW w:w="5496" w:type="dxa"/>
            <w:tcBorders>
              <w:top w:val="single" w:color="000000" w:sz="6" w:space="0"/>
              <w:right w:val="single" w:color="000000" w:sz="6" w:space="0"/>
            </w:tcBorders>
            <w:vAlign w:val="top"/>
          </w:tcPr>
          <w:p w14:paraId="0532E82A">
            <w:pPr>
              <w:pStyle w:val="17"/>
              <w:spacing w:before="213" w:line="221" w:lineRule="auto"/>
              <w:ind w:left="1702"/>
              <w:rPr>
                <w:color w:val="auto"/>
                <w:sz w:val="24"/>
                <w:szCs w:val="24"/>
                <w:highlight w:val="none"/>
              </w:rPr>
            </w:pPr>
            <w:r>
              <w:rPr>
                <w:b/>
                <w:bCs/>
                <w:color w:val="auto"/>
                <w:spacing w:val="-16"/>
                <w:sz w:val="24"/>
                <w:szCs w:val="24"/>
                <w:highlight w:val="none"/>
              </w:rPr>
              <w:t>编</w:t>
            </w:r>
            <w:r>
              <w:rPr>
                <w:color w:val="auto"/>
                <w:spacing w:val="4"/>
                <w:sz w:val="24"/>
                <w:szCs w:val="24"/>
                <w:highlight w:val="none"/>
              </w:rPr>
              <w:t xml:space="preserve">    </w:t>
            </w:r>
            <w:r>
              <w:rPr>
                <w:b/>
                <w:bCs/>
                <w:color w:val="auto"/>
                <w:spacing w:val="-16"/>
                <w:sz w:val="24"/>
                <w:szCs w:val="24"/>
                <w:highlight w:val="none"/>
              </w:rPr>
              <w:t>列</w:t>
            </w:r>
            <w:r>
              <w:rPr>
                <w:color w:val="auto"/>
                <w:spacing w:val="8"/>
                <w:sz w:val="24"/>
                <w:szCs w:val="24"/>
                <w:highlight w:val="none"/>
              </w:rPr>
              <w:t xml:space="preserve">    </w:t>
            </w:r>
            <w:r>
              <w:rPr>
                <w:b/>
                <w:bCs/>
                <w:color w:val="auto"/>
                <w:spacing w:val="-16"/>
                <w:sz w:val="24"/>
                <w:szCs w:val="24"/>
                <w:highlight w:val="none"/>
              </w:rPr>
              <w:t>内</w:t>
            </w:r>
            <w:r>
              <w:rPr>
                <w:color w:val="auto"/>
                <w:spacing w:val="3"/>
                <w:sz w:val="24"/>
                <w:szCs w:val="24"/>
                <w:highlight w:val="none"/>
              </w:rPr>
              <w:t xml:space="preserve">    </w:t>
            </w:r>
            <w:r>
              <w:rPr>
                <w:b/>
                <w:bCs/>
                <w:color w:val="auto"/>
                <w:spacing w:val="-16"/>
                <w:sz w:val="24"/>
                <w:szCs w:val="24"/>
                <w:highlight w:val="none"/>
              </w:rPr>
              <w:t>容</w:t>
            </w:r>
          </w:p>
        </w:tc>
      </w:tr>
      <w:tr w14:paraId="6C226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53" w:type="dxa"/>
            <w:tcBorders>
              <w:left w:val="single" w:color="000000" w:sz="6" w:space="0"/>
            </w:tcBorders>
            <w:vAlign w:val="top"/>
          </w:tcPr>
          <w:p w14:paraId="07FBF29E">
            <w:pPr>
              <w:spacing w:before="248"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1.4.1</w:t>
            </w:r>
          </w:p>
        </w:tc>
        <w:tc>
          <w:tcPr>
            <w:tcW w:w="2451" w:type="dxa"/>
            <w:vAlign w:val="top"/>
          </w:tcPr>
          <w:p w14:paraId="0D050AB8">
            <w:pPr>
              <w:pStyle w:val="17"/>
              <w:spacing w:before="69" w:line="221" w:lineRule="auto"/>
              <w:ind w:left="109"/>
              <w:rPr>
                <w:color w:val="auto"/>
                <w:sz w:val="24"/>
                <w:szCs w:val="24"/>
                <w:highlight w:val="none"/>
              </w:rPr>
            </w:pPr>
            <w:r>
              <w:rPr>
                <w:color w:val="auto"/>
                <w:spacing w:val="-1"/>
                <w:sz w:val="24"/>
                <w:szCs w:val="24"/>
                <w:highlight w:val="none"/>
              </w:rPr>
              <w:t>投标人资质条件、能力</w:t>
            </w:r>
          </w:p>
        </w:tc>
        <w:tc>
          <w:tcPr>
            <w:tcW w:w="5496" w:type="dxa"/>
            <w:tcBorders>
              <w:right w:val="single" w:color="000000" w:sz="6" w:space="0"/>
            </w:tcBorders>
            <w:vAlign w:val="top"/>
          </w:tcPr>
          <w:p w14:paraId="1A41DDC0">
            <w:pPr>
              <w:pStyle w:val="17"/>
              <w:spacing w:before="210" w:line="219" w:lineRule="auto"/>
              <w:ind w:left="323"/>
              <w:rPr>
                <w:color w:val="auto"/>
                <w:sz w:val="24"/>
                <w:szCs w:val="24"/>
                <w:highlight w:val="none"/>
              </w:rPr>
            </w:pPr>
            <w:r>
              <w:rPr>
                <w:color w:val="auto"/>
                <w:spacing w:val="-1"/>
                <w:sz w:val="24"/>
                <w:szCs w:val="24"/>
                <w:highlight w:val="none"/>
              </w:rPr>
              <w:t>详见招标公告（或投标邀请书）要求</w:t>
            </w:r>
          </w:p>
        </w:tc>
      </w:tr>
      <w:tr w14:paraId="7D068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953" w:type="dxa"/>
            <w:tcBorders>
              <w:left w:val="single" w:color="000000" w:sz="6" w:space="0"/>
            </w:tcBorders>
            <w:vAlign w:val="top"/>
          </w:tcPr>
          <w:p w14:paraId="6447B48D">
            <w:pPr>
              <w:spacing w:line="443" w:lineRule="auto"/>
              <w:rPr>
                <w:rFonts w:ascii="Arial"/>
                <w:color w:val="auto"/>
                <w:sz w:val="24"/>
                <w:szCs w:val="24"/>
                <w:highlight w:val="none"/>
              </w:rPr>
            </w:pPr>
          </w:p>
          <w:p w14:paraId="023B1C50">
            <w:pPr>
              <w:spacing w:before="61"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1.4.2</w:t>
            </w:r>
          </w:p>
        </w:tc>
        <w:tc>
          <w:tcPr>
            <w:tcW w:w="2451" w:type="dxa"/>
            <w:vAlign w:val="top"/>
          </w:tcPr>
          <w:p w14:paraId="66E5FDAB">
            <w:pPr>
              <w:spacing w:line="397" w:lineRule="auto"/>
              <w:rPr>
                <w:rFonts w:ascii="Arial"/>
                <w:color w:val="auto"/>
                <w:sz w:val="24"/>
                <w:szCs w:val="24"/>
                <w:highlight w:val="none"/>
              </w:rPr>
            </w:pPr>
          </w:p>
          <w:p w14:paraId="4735C612">
            <w:pPr>
              <w:pStyle w:val="17"/>
              <w:spacing w:before="69" w:line="221" w:lineRule="auto"/>
              <w:ind w:left="109"/>
              <w:rPr>
                <w:color w:val="auto"/>
                <w:sz w:val="24"/>
                <w:szCs w:val="24"/>
                <w:highlight w:val="none"/>
              </w:rPr>
            </w:pPr>
            <w:r>
              <w:rPr>
                <w:color w:val="auto"/>
                <w:spacing w:val="-1"/>
                <w:sz w:val="24"/>
                <w:szCs w:val="24"/>
                <w:highlight w:val="none"/>
              </w:rPr>
              <w:t>是否接受联合体投标</w:t>
            </w:r>
          </w:p>
        </w:tc>
        <w:tc>
          <w:tcPr>
            <w:tcW w:w="5496" w:type="dxa"/>
            <w:tcBorders>
              <w:right w:val="single" w:color="000000" w:sz="6" w:space="0"/>
            </w:tcBorders>
            <w:vAlign w:val="top"/>
          </w:tcPr>
          <w:p w14:paraId="2709C64E">
            <w:pPr>
              <w:pStyle w:val="17"/>
              <w:spacing w:before="108" w:line="222" w:lineRule="auto"/>
              <w:ind w:left="131"/>
              <w:rPr>
                <w:color w:val="auto"/>
                <w:sz w:val="24"/>
                <w:szCs w:val="24"/>
                <w:highlight w:val="none"/>
              </w:rPr>
            </w:pPr>
            <w:r>
              <w:rPr>
                <w:rFonts w:hint="eastAsia"/>
                <w:color w:val="auto"/>
                <w:spacing w:val="-10"/>
                <w:sz w:val="24"/>
                <w:szCs w:val="24"/>
                <w:highlight w:val="none"/>
                <w:lang w:eastAsia="zh-CN"/>
              </w:rPr>
              <w:t>☑</w:t>
            </w:r>
            <w:r>
              <w:rPr>
                <w:color w:val="auto"/>
                <w:spacing w:val="12"/>
                <w:sz w:val="24"/>
                <w:szCs w:val="24"/>
                <w:highlight w:val="none"/>
              </w:rPr>
              <w:t xml:space="preserve"> </w:t>
            </w:r>
            <w:r>
              <w:rPr>
                <w:color w:val="auto"/>
                <w:spacing w:val="-10"/>
                <w:sz w:val="24"/>
                <w:szCs w:val="24"/>
                <w:highlight w:val="none"/>
              </w:rPr>
              <w:t>不接受</w:t>
            </w:r>
          </w:p>
          <w:p w14:paraId="1C3A6F84">
            <w:pPr>
              <w:pStyle w:val="17"/>
              <w:spacing w:before="107" w:line="266" w:lineRule="auto"/>
              <w:ind w:left="110" w:right="96" w:firstLine="20"/>
              <w:rPr>
                <w:color w:val="auto"/>
                <w:spacing w:val="-4"/>
                <w:sz w:val="24"/>
                <w:szCs w:val="24"/>
                <w:highlight w:val="none"/>
              </w:rPr>
            </w:pPr>
            <w:r>
              <w:rPr>
                <w:rFonts w:hint="eastAsia"/>
                <w:color w:val="auto"/>
                <w:spacing w:val="-4"/>
                <w:sz w:val="24"/>
                <w:szCs w:val="24"/>
                <w:highlight w:val="none"/>
                <w:lang w:eastAsia="zh-CN"/>
              </w:rPr>
              <w:t>□</w:t>
            </w:r>
            <w:r>
              <w:rPr>
                <w:color w:val="auto"/>
                <w:spacing w:val="-4"/>
                <w:sz w:val="24"/>
                <w:szCs w:val="24"/>
                <w:highlight w:val="none"/>
              </w:rPr>
              <w:t xml:space="preserve"> 接受，应满足下列要求：见招标公告或投标邀请书及投标人须知相应条款内容要求。</w:t>
            </w:r>
          </w:p>
        </w:tc>
      </w:tr>
      <w:tr w14:paraId="39FB3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953" w:type="dxa"/>
            <w:tcBorders>
              <w:left w:val="single" w:color="000000" w:sz="6" w:space="0"/>
            </w:tcBorders>
            <w:vAlign w:val="top"/>
          </w:tcPr>
          <w:p w14:paraId="554B7F5B">
            <w:pPr>
              <w:spacing w:line="265" w:lineRule="auto"/>
              <w:rPr>
                <w:rFonts w:ascii="Arial"/>
                <w:color w:val="auto"/>
                <w:sz w:val="24"/>
                <w:szCs w:val="24"/>
                <w:highlight w:val="none"/>
              </w:rPr>
            </w:pPr>
          </w:p>
          <w:p w14:paraId="3D7AF3D2">
            <w:pPr>
              <w:spacing w:line="266" w:lineRule="auto"/>
              <w:rPr>
                <w:rFonts w:ascii="Arial"/>
                <w:color w:val="auto"/>
                <w:sz w:val="24"/>
                <w:szCs w:val="24"/>
                <w:highlight w:val="none"/>
              </w:rPr>
            </w:pPr>
          </w:p>
          <w:p w14:paraId="7D699B97">
            <w:pPr>
              <w:spacing w:before="60" w:line="187" w:lineRule="auto"/>
              <w:ind w:left="28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1.9.1</w:t>
            </w:r>
          </w:p>
        </w:tc>
        <w:tc>
          <w:tcPr>
            <w:tcW w:w="2451" w:type="dxa"/>
            <w:vAlign w:val="top"/>
          </w:tcPr>
          <w:p w14:paraId="383B0C14">
            <w:pPr>
              <w:spacing w:line="242" w:lineRule="auto"/>
              <w:rPr>
                <w:rFonts w:ascii="Arial"/>
                <w:color w:val="auto"/>
                <w:sz w:val="24"/>
                <w:szCs w:val="24"/>
                <w:highlight w:val="none"/>
              </w:rPr>
            </w:pPr>
          </w:p>
          <w:p w14:paraId="78A38AB7">
            <w:pPr>
              <w:spacing w:line="242" w:lineRule="auto"/>
              <w:rPr>
                <w:rFonts w:ascii="Arial"/>
                <w:color w:val="auto"/>
                <w:sz w:val="24"/>
                <w:szCs w:val="24"/>
                <w:highlight w:val="none"/>
              </w:rPr>
            </w:pPr>
          </w:p>
          <w:p w14:paraId="3AC6C9BA">
            <w:pPr>
              <w:pStyle w:val="17"/>
              <w:spacing w:before="68" w:line="221" w:lineRule="auto"/>
              <w:ind w:left="106"/>
              <w:rPr>
                <w:color w:val="auto"/>
                <w:sz w:val="24"/>
                <w:szCs w:val="24"/>
                <w:highlight w:val="none"/>
              </w:rPr>
            </w:pPr>
            <w:r>
              <w:rPr>
                <w:color w:val="auto"/>
                <w:spacing w:val="-2"/>
                <w:sz w:val="24"/>
                <w:szCs w:val="24"/>
                <w:highlight w:val="none"/>
              </w:rPr>
              <w:t>踏勘现场</w:t>
            </w:r>
          </w:p>
        </w:tc>
        <w:tc>
          <w:tcPr>
            <w:tcW w:w="5496" w:type="dxa"/>
            <w:tcBorders>
              <w:right w:val="single" w:color="000000" w:sz="6" w:space="0"/>
            </w:tcBorders>
            <w:vAlign w:val="top"/>
          </w:tcPr>
          <w:p w14:paraId="253A6F0E">
            <w:pPr>
              <w:pStyle w:val="17"/>
              <w:spacing w:before="196" w:line="223" w:lineRule="auto"/>
              <w:ind w:left="131"/>
              <w:rPr>
                <w:color w:val="auto"/>
                <w:sz w:val="24"/>
                <w:szCs w:val="24"/>
                <w:highlight w:val="none"/>
              </w:rPr>
            </w:pPr>
            <w:r>
              <w:rPr>
                <w:rFonts w:hint="eastAsia"/>
                <w:color w:val="auto"/>
                <w:spacing w:val="-10"/>
                <w:sz w:val="24"/>
                <w:szCs w:val="24"/>
                <w:highlight w:val="none"/>
                <w:lang w:eastAsia="zh-CN"/>
              </w:rPr>
              <w:t>☑</w:t>
            </w:r>
            <w:r>
              <w:rPr>
                <w:color w:val="auto"/>
                <w:spacing w:val="12"/>
                <w:sz w:val="24"/>
                <w:szCs w:val="24"/>
                <w:highlight w:val="none"/>
              </w:rPr>
              <w:t xml:space="preserve"> </w:t>
            </w:r>
            <w:r>
              <w:rPr>
                <w:color w:val="auto"/>
                <w:spacing w:val="-10"/>
                <w:sz w:val="24"/>
                <w:szCs w:val="24"/>
                <w:highlight w:val="none"/>
              </w:rPr>
              <w:t>不组织</w:t>
            </w:r>
          </w:p>
          <w:p w14:paraId="6B04E3C7">
            <w:pPr>
              <w:pStyle w:val="17"/>
              <w:spacing w:before="105" w:line="271" w:lineRule="auto"/>
              <w:ind w:left="120" w:right="99" w:firstLine="10"/>
              <w:rPr>
                <w:color w:val="auto"/>
                <w:sz w:val="24"/>
                <w:szCs w:val="24"/>
                <w:highlight w:val="none"/>
              </w:rPr>
            </w:pPr>
            <w:r>
              <w:rPr>
                <w:color w:val="auto"/>
                <w:spacing w:val="3"/>
                <w:sz w:val="24"/>
                <w:szCs w:val="24"/>
                <w:highlight w:val="none"/>
              </w:rPr>
              <w:t>□ 组织。踏勘时间</w:t>
            </w:r>
            <w:r>
              <w:rPr>
                <w:color w:val="auto"/>
                <w:spacing w:val="6"/>
                <w:sz w:val="24"/>
                <w:szCs w:val="24"/>
                <w:highlight w:val="none"/>
              </w:rPr>
              <w:t>：</w:t>
            </w:r>
            <w:r>
              <w:rPr>
                <w:color w:val="auto"/>
                <w:spacing w:val="2"/>
                <w:sz w:val="24"/>
                <w:szCs w:val="24"/>
                <w:highlight w:val="none"/>
                <w:u w:val="single" w:color="auto"/>
              </w:rPr>
              <w:t xml:space="preserve">                  </w:t>
            </w:r>
            <w:r>
              <w:rPr>
                <w:color w:val="auto"/>
                <w:spacing w:val="-79"/>
                <w:sz w:val="24"/>
                <w:szCs w:val="24"/>
                <w:highlight w:val="none"/>
              </w:rPr>
              <w:t xml:space="preserve"> </w:t>
            </w:r>
            <w:r>
              <w:rPr>
                <w:color w:val="auto"/>
                <w:spacing w:val="6"/>
                <w:sz w:val="24"/>
                <w:szCs w:val="24"/>
                <w:highlight w:val="none"/>
              </w:rPr>
              <w:t>，</w:t>
            </w:r>
            <w:r>
              <w:rPr>
                <w:color w:val="auto"/>
                <w:spacing w:val="3"/>
                <w:sz w:val="24"/>
                <w:szCs w:val="24"/>
                <w:highlight w:val="none"/>
              </w:rPr>
              <w:t>踏勘集中地</w:t>
            </w:r>
            <w:r>
              <w:rPr>
                <w:color w:val="auto"/>
                <w:spacing w:val="-5"/>
                <w:sz w:val="24"/>
                <w:szCs w:val="24"/>
                <w:highlight w:val="none"/>
              </w:rPr>
              <w:t xml:space="preserve">点： </w:t>
            </w:r>
            <w:r>
              <w:rPr>
                <w:color w:val="auto"/>
                <w:spacing w:val="3"/>
                <w:sz w:val="24"/>
                <w:szCs w:val="24"/>
                <w:highlight w:val="none"/>
                <w:u w:val="single" w:color="auto"/>
              </w:rPr>
              <w:t xml:space="preserve">         </w:t>
            </w:r>
            <w:r>
              <w:rPr>
                <w:color w:val="auto"/>
                <w:spacing w:val="-5"/>
                <w:sz w:val="24"/>
                <w:szCs w:val="24"/>
                <w:highlight w:val="none"/>
                <w:u w:val="single" w:color="auto"/>
              </w:rPr>
              <w:t>。</w:t>
            </w:r>
          </w:p>
        </w:tc>
      </w:tr>
      <w:tr w14:paraId="1884A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 w:hRule="atLeast"/>
        </w:trPr>
        <w:tc>
          <w:tcPr>
            <w:tcW w:w="953" w:type="dxa"/>
            <w:tcBorders>
              <w:left w:val="single" w:color="000000" w:sz="6" w:space="0"/>
            </w:tcBorders>
            <w:vAlign w:val="top"/>
          </w:tcPr>
          <w:p w14:paraId="68FAFCD9">
            <w:pPr>
              <w:spacing w:line="479" w:lineRule="auto"/>
              <w:rPr>
                <w:rFonts w:ascii="Arial"/>
                <w:color w:val="auto"/>
                <w:sz w:val="24"/>
                <w:szCs w:val="24"/>
                <w:highlight w:val="none"/>
              </w:rPr>
            </w:pPr>
          </w:p>
          <w:p w14:paraId="3A9D71FF">
            <w:pPr>
              <w:spacing w:before="60" w:line="187" w:lineRule="auto"/>
              <w:ind w:left="228"/>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3"/>
                <w:sz w:val="24"/>
                <w:szCs w:val="24"/>
                <w:highlight w:val="none"/>
              </w:rPr>
              <w:t>1.10.1</w:t>
            </w:r>
          </w:p>
        </w:tc>
        <w:tc>
          <w:tcPr>
            <w:tcW w:w="2451" w:type="dxa"/>
            <w:vAlign w:val="top"/>
          </w:tcPr>
          <w:p w14:paraId="0D590AA5">
            <w:pPr>
              <w:spacing w:line="433" w:lineRule="auto"/>
              <w:rPr>
                <w:rFonts w:ascii="Arial"/>
                <w:color w:val="auto"/>
                <w:sz w:val="24"/>
                <w:szCs w:val="24"/>
                <w:highlight w:val="none"/>
              </w:rPr>
            </w:pPr>
          </w:p>
          <w:p w14:paraId="6FA275E3">
            <w:pPr>
              <w:pStyle w:val="17"/>
              <w:spacing w:before="68" w:line="220" w:lineRule="auto"/>
              <w:ind w:left="108"/>
              <w:rPr>
                <w:color w:val="auto"/>
                <w:sz w:val="24"/>
                <w:szCs w:val="24"/>
                <w:highlight w:val="none"/>
              </w:rPr>
            </w:pPr>
            <w:r>
              <w:rPr>
                <w:color w:val="auto"/>
                <w:spacing w:val="-2"/>
                <w:sz w:val="24"/>
                <w:szCs w:val="24"/>
                <w:highlight w:val="none"/>
              </w:rPr>
              <w:t>投标预备会</w:t>
            </w:r>
          </w:p>
        </w:tc>
        <w:tc>
          <w:tcPr>
            <w:tcW w:w="5496" w:type="dxa"/>
            <w:tcBorders>
              <w:right w:val="single" w:color="000000" w:sz="6" w:space="0"/>
            </w:tcBorders>
            <w:vAlign w:val="top"/>
          </w:tcPr>
          <w:p w14:paraId="4EB65AF3">
            <w:pPr>
              <w:pStyle w:val="17"/>
              <w:spacing w:before="144" w:line="222" w:lineRule="auto"/>
              <w:ind w:left="131"/>
              <w:rPr>
                <w:color w:val="auto"/>
                <w:sz w:val="24"/>
                <w:szCs w:val="24"/>
                <w:highlight w:val="none"/>
              </w:rPr>
            </w:pPr>
            <w:r>
              <w:rPr>
                <w:rFonts w:hint="eastAsia"/>
                <w:color w:val="auto"/>
                <w:spacing w:val="-10"/>
                <w:sz w:val="24"/>
                <w:szCs w:val="24"/>
                <w:highlight w:val="none"/>
                <w:lang w:eastAsia="zh-CN"/>
              </w:rPr>
              <w:t>☑</w:t>
            </w:r>
            <w:r>
              <w:rPr>
                <w:color w:val="auto"/>
                <w:spacing w:val="12"/>
                <w:sz w:val="24"/>
                <w:szCs w:val="24"/>
                <w:highlight w:val="none"/>
              </w:rPr>
              <w:t xml:space="preserve"> </w:t>
            </w:r>
            <w:r>
              <w:rPr>
                <w:color w:val="auto"/>
                <w:spacing w:val="-10"/>
                <w:sz w:val="24"/>
                <w:szCs w:val="24"/>
                <w:highlight w:val="none"/>
              </w:rPr>
              <w:t>不召开</w:t>
            </w:r>
          </w:p>
          <w:p w14:paraId="707DB812">
            <w:pPr>
              <w:pStyle w:val="17"/>
              <w:spacing w:before="106" w:line="257" w:lineRule="auto"/>
              <w:ind w:left="144" w:right="77" w:hanging="13"/>
              <w:rPr>
                <w:color w:val="auto"/>
                <w:sz w:val="24"/>
                <w:szCs w:val="24"/>
                <w:highlight w:val="none"/>
              </w:rPr>
            </w:pPr>
            <w:r>
              <w:rPr>
                <w:color w:val="auto"/>
                <w:spacing w:val="-5"/>
                <w:sz w:val="24"/>
                <w:szCs w:val="24"/>
                <w:highlight w:val="none"/>
              </w:rPr>
              <w:t>□ 召开，定于</w:t>
            </w:r>
            <w:r>
              <w:rPr>
                <w:color w:val="auto"/>
                <w:spacing w:val="3"/>
                <w:sz w:val="24"/>
                <w:szCs w:val="24"/>
                <w:highlight w:val="none"/>
                <w:u w:val="single" w:color="auto"/>
              </w:rPr>
              <w:t xml:space="preserve">       </w:t>
            </w:r>
            <w:r>
              <w:rPr>
                <w:color w:val="auto"/>
                <w:spacing w:val="-5"/>
                <w:sz w:val="24"/>
                <w:szCs w:val="24"/>
                <w:highlight w:val="none"/>
              </w:rPr>
              <w:t>（</w:t>
            </w:r>
            <w:r>
              <w:rPr>
                <w:i/>
                <w:iCs/>
                <w:color w:val="auto"/>
                <w:spacing w:val="-5"/>
                <w:sz w:val="24"/>
                <w:szCs w:val="24"/>
                <w:highlight w:val="none"/>
              </w:rPr>
              <w:t>具体时间</w:t>
            </w:r>
            <w:r>
              <w:rPr>
                <w:color w:val="auto"/>
                <w:spacing w:val="-5"/>
                <w:sz w:val="24"/>
                <w:szCs w:val="24"/>
                <w:highlight w:val="none"/>
              </w:rPr>
              <w:t>）在</w:t>
            </w:r>
            <w:r>
              <w:rPr>
                <w:color w:val="auto"/>
                <w:spacing w:val="15"/>
                <w:sz w:val="24"/>
                <w:szCs w:val="24"/>
                <w:highlight w:val="none"/>
              </w:rPr>
              <w:t xml:space="preserve"> </w:t>
            </w:r>
            <w:r>
              <w:rPr>
                <w:color w:val="auto"/>
                <w:spacing w:val="2"/>
                <w:sz w:val="24"/>
                <w:szCs w:val="24"/>
                <w:highlight w:val="none"/>
                <w:u w:val="single" w:color="auto"/>
              </w:rPr>
              <w:t xml:space="preserve">       </w:t>
            </w:r>
            <w:r>
              <w:rPr>
                <w:color w:val="auto"/>
                <w:spacing w:val="-5"/>
                <w:sz w:val="24"/>
                <w:szCs w:val="24"/>
                <w:highlight w:val="none"/>
              </w:rPr>
              <w:t>（</w:t>
            </w:r>
            <w:r>
              <w:rPr>
                <w:i/>
                <w:iCs/>
                <w:color w:val="auto"/>
                <w:spacing w:val="-5"/>
                <w:sz w:val="24"/>
                <w:szCs w:val="24"/>
                <w:highlight w:val="none"/>
              </w:rPr>
              <w:t>投标预</w:t>
            </w:r>
            <w:r>
              <w:rPr>
                <w:i/>
                <w:iCs/>
                <w:color w:val="auto"/>
                <w:spacing w:val="-7"/>
                <w:sz w:val="24"/>
                <w:szCs w:val="24"/>
                <w:highlight w:val="none"/>
              </w:rPr>
              <w:t>备会地点</w:t>
            </w:r>
            <w:r>
              <w:rPr>
                <w:color w:val="auto"/>
                <w:spacing w:val="-7"/>
                <w:sz w:val="24"/>
                <w:szCs w:val="24"/>
                <w:highlight w:val="none"/>
              </w:rPr>
              <w:t>）召开投标预备会。</w:t>
            </w:r>
          </w:p>
        </w:tc>
      </w:tr>
      <w:tr w14:paraId="304BC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53" w:type="dxa"/>
            <w:tcBorders>
              <w:left w:val="single" w:color="000000" w:sz="6" w:space="0"/>
            </w:tcBorders>
            <w:vAlign w:val="top"/>
          </w:tcPr>
          <w:p w14:paraId="2F987857">
            <w:pPr>
              <w:spacing w:before="253" w:line="187" w:lineRule="auto"/>
              <w:ind w:left="228"/>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3"/>
                <w:sz w:val="24"/>
                <w:szCs w:val="24"/>
                <w:highlight w:val="none"/>
              </w:rPr>
              <w:t>1.10.3</w:t>
            </w:r>
          </w:p>
        </w:tc>
        <w:tc>
          <w:tcPr>
            <w:tcW w:w="2451" w:type="dxa"/>
            <w:vAlign w:val="top"/>
          </w:tcPr>
          <w:p w14:paraId="05B5FEA7">
            <w:pPr>
              <w:pStyle w:val="17"/>
              <w:spacing w:before="215" w:line="221" w:lineRule="auto"/>
              <w:ind w:left="108"/>
              <w:rPr>
                <w:color w:val="0000FF"/>
                <w:sz w:val="24"/>
                <w:szCs w:val="24"/>
                <w:highlight w:val="none"/>
              </w:rPr>
            </w:pPr>
            <w:r>
              <w:rPr>
                <w:color w:val="0000FF"/>
                <w:spacing w:val="-2"/>
                <w:sz w:val="24"/>
                <w:szCs w:val="24"/>
                <w:highlight w:val="none"/>
              </w:rPr>
              <w:t>投标截止时间</w:t>
            </w:r>
          </w:p>
        </w:tc>
        <w:tc>
          <w:tcPr>
            <w:tcW w:w="5496" w:type="dxa"/>
            <w:tcBorders>
              <w:right w:val="single" w:color="000000" w:sz="6" w:space="0"/>
            </w:tcBorders>
            <w:vAlign w:val="top"/>
          </w:tcPr>
          <w:p w14:paraId="7831CD2E">
            <w:pPr>
              <w:pStyle w:val="17"/>
              <w:spacing w:before="196" w:line="223" w:lineRule="auto"/>
              <w:ind w:left="131"/>
              <w:rPr>
                <w:rFonts w:hint="default" w:ascii="Arial" w:eastAsia="宋体"/>
                <w:color w:val="0000FF"/>
                <w:sz w:val="24"/>
                <w:szCs w:val="24"/>
                <w:highlight w:val="none"/>
                <w:lang w:val="en-US" w:eastAsia="zh-CN"/>
              </w:rPr>
            </w:pPr>
            <w:r>
              <w:rPr>
                <w:rFonts w:hint="eastAsia" w:ascii="宋体" w:hAnsi="宋体" w:eastAsia="宋体" w:cs="宋体"/>
                <w:color w:val="0000FF"/>
                <w:spacing w:val="0"/>
                <w:sz w:val="24"/>
                <w:szCs w:val="24"/>
                <w:highlight w:val="none"/>
              </w:rPr>
              <w:t>202</w:t>
            </w:r>
            <w:r>
              <w:rPr>
                <w:rFonts w:hint="eastAsia" w:cs="宋体"/>
                <w:color w:val="0000FF"/>
                <w:spacing w:val="0"/>
                <w:sz w:val="24"/>
                <w:szCs w:val="24"/>
                <w:highlight w:val="none"/>
                <w:lang w:val="en-US" w:eastAsia="zh-CN"/>
              </w:rPr>
              <w:t>6</w:t>
            </w:r>
            <w:r>
              <w:rPr>
                <w:rFonts w:hint="eastAsia" w:ascii="宋体" w:hAnsi="宋体" w:eastAsia="宋体" w:cs="宋体"/>
                <w:color w:val="0000FF"/>
                <w:spacing w:val="0"/>
                <w:sz w:val="24"/>
                <w:szCs w:val="24"/>
                <w:highlight w:val="none"/>
              </w:rPr>
              <w:t>年</w:t>
            </w:r>
            <w:r>
              <w:rPr>
                <w:rFonts w:hint="eastAsia" w:ascii="宋体" w:hAnsi="宋体" w:eastAsia="宋体" w:cs="宋体"/>
                <w:color w:val="0000FF"/>
                <w:spacing w:val="0"/>
                <w:sz w:val="24"/>
                <w:szCs w:val="24"/>
                <w:highlight w:val="none"/>
                <w:lang w:val="en-US" w:eastAsia="zh-CN"/>
              </w:rPr>
              <w:t xml:space="preserve">  </w:t>
            </w:r>
            <w:r>
              <w:rPr>
                <w:rFonts w:hint="eastAsia" w:ascii="宋体" w:hAnsi="宋体" w:eastAsia="宋体" w:cs="宋体"/>
                <w:color w:val="0000FF"/>
                <w:spacing w:val="0"/>
                <w:sz w:val="24"/>
                <w:szCs w:val="24"/>
                <w:highlight w:val="none"/>
              </w:rPr>
              <w:t>月</w:t>
            </w:r>
            <w:r>
              <w:rPr>
                <w:rFonts w:hint="eastAsia" w:ascii="宋体" w:hAnsi="宋体" w:eastAsia="宋体" w:cs="宋体"/>
                <w:color w:val="0000FF"/>
                <w:spacing w:val="0"/>
                <w:sz w:val="24"/>
                <w:szCs w:val="24"/>
                <w:highlight w:val="none"/>
                <w:lang w:val="en-US" w:eastAsia="zh-CN"/>
              </w:rPr>
              <w:t xml:space="preserve">  </w:t>
            </w:r>
            <w:r>
              <w:rPr>
                <w:rFonts w:hint="eastAsia" w:ascii="宋体" w:hAnsi="宋体" w:eastAsia="宋体" w:cs="宋体"/>
                <w:color w:val="0000FF"/>
                <w:spacing w:val="0"/>
                <w:sz w:val="24"/>
                <w:szCs w:val="24"/>
                <w:highlight w:val="none"/>
              </w:rPr>
              <w:t>日</w:t>
            </w:r>
            <w:r>
              <w:rPr>
                <w:rFonts w:hint="eastAsia" w:ascii="宋体" w:hAnsi="宋体" w:eastAsia="宋体" w:cs="宋体"/>
                <w:color w:val="0000FF"/>
                <w:spacing w:val="0"/>
                <w:sz w:val="24"/>
                <w:szCs w:val="24"/>
                <w:highlight w:val="none"/>
                <w:lang w:eastAsia="zh-CN"/>
              </w:rPr>
              <w:t>09</w:t>
            </w:r>
            <w:r>
              <w:rPr>
                <w:rFonts w:hint="eastAsia" w:ascii="宋体" w:hAnsi="宋体" w:eastAsia="宋体" w:cs="宋体"/>
                <w:color w:val="0000FF"/>
                <w:spacing w:val="0"/>
                <w:sz w:val="24"/>
                <w:szCs w:val="24"/>
                <w:highlight w:val="none"/>
                <w:lang w:val="en-US" w:eastAsia="zh-CN"/>
              </w:rPr>
              <w:t xml:space="preserve"> </w:t>
            </w:r>
            <w:r>
              <w:rPr>
                <w:rFonts w:hint="eastAsia" w:ascii="宋体" w:hAnsi="宋体" w:eastAsia="宋体" w:cs="宋体"/>
                <w:color w:val="0000FF"/>
                <w:spacing w:val="0"/>
                <w:sz w:val="24"/>
                <w:szCs w:val="24"/>
                <w:highlight w:val="none"/>
              </w:rPr>
              <w:t>时</w:t>
            </w:r>
            <w:r>
              <w:rPr>
                <w:rFonts w:hint="eastAsia" w:ascii="宋体" w:hAnsi="宋体" w:eastAsia="宋体" w:cs="宋体"/>
                <w:color w:val="0000FF"/>
                <w:spacing w:val="0"/>
                <w:sz w:val="24"/>
                <w:szCs w:val="24"/>
                <w:highlight w:val="none"/>
                <w:lang w:eastAsia="zh-CN"/>
              </w:rPr>
              <w:t>00</w:t>
            </w:r>
            <w:r>
              <w:rPr>
                <w:rFonts w:hint="eastAsia" w:ascii="宋体" w:hAnsi="宋体" w:eastAsia="宋体" w:cs="宋体"/>
                <w:color w:val="0000FF"/>
                <w:spacing w:val="0"/>
                <w:sz w:val="24"/>
                <w:szCs w:val="24"/>
                <w:highlight w:val="none"/>
              </w:rPr>
              <w:t>分</w:t>
            </w:r>
          </w:p>
        </w:tc>
      </w:tr>
      <w:tr w14:paraId="6A96E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953" w:type="dxa"/>
            <w:tcBorders>
              <w:left w:val="single" w:color="000000" w:sz="6" w:space="0"/>
            </w:tcBorders>
            <w:vAlign w:val="top"/>
          </w:tcPr>
          <w:p w14:paraId="74283303">
            <w:pPr>
              <w:spacing w:line="313" w:lineRule="auto"/>
              <w:rPr>
                <w:rFonts w:ascii="Arial"/>
                <w:color w:val="auto"/>
                <w:sz w:val="24"/>
                <w:szCs w:val="24"/>
                <w:highlight w:val="none"/>
              </w:rPr>
            </w:pPr>
          </w:p>
          <w:p w14:paraId="0261D599">
            <w:pPr>
              <w:spacing w:line="313" w:lineRule="auto"/>
              <w:rPr>
                <w:rFonts w:ascii="Arial"/>
                <w:color w:val="auto"/>
                <w:sz w:val="24"/>
                <w:szCs w:val="24"/>
                <w:highlight w:val="none"/>
              </w:rPr>
            </w:pPr>
          </w:p>
          <w:p w14:paraId="530379B1">
            <w:pPr>
              <w:spacing w:before="61" w:line="187" w:lineRule="auto"/>
              <w:ind w:left="307"/>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5"/>
                <w:sz w:val="24"/>
                <w:szCs w:val="24"/>
                <w:highlight w:val="none"/>
              </w:rPr>
              <w:t>1.11</w:t>
            </w:r>
          </w:p>
        </w:tc>
        <w:tc>
          <w:tcPr>
            <w:tcW w:w="2451" w:type="dxa"/>
            <w:vAlign w:val="top"/>
          </w:tcPr>
          <w:p w14:paraId="13EA63A3">
            <w:pPr>
              <w:spacing w:line="290" w:lineRule="auto"/>
              <w:rPr>
                <w:rFonts w:ascii="Arial"/>
                <w:color w:val="auto"/>
                <w:sz w:val="24"/>
                <w:szCs w:val="24"/>
                <w:highlight w:val="none"/>
              </w:rPr>
            </w:pPr>
          </w:p>
          <w:p w14:paraId="581D1A46">
            <w:pPr>
              <w:spacing w:line="291" w:lineRule="auto"/>
              <w:rPr>
                <w:rFonts w:ascii="Arial"/>
                <w:color w:val="auto"/>
                <w:sz w:val="24"/>
                <w:szCs w:val="24"/>
                <w:highlight w:val="none"/>
              </w:rPr>
            </w:pPr>
          </w:p>
          <w:p w14:paraId="1ECED61C">
            <w:pPr>
              <w:pStyle w:val="17"/>
              <w:spacing w:before="68" w:line="221" w:lineRule="auto"/>
              <w:ind w:left="108"/>
              <w:rPr>
                <w:color w:val="auto"/>
                <w:sz w:val="24"/>
                <w:szCs w:val="24"/>
                <w:highlight w:val="none"/>
              </w:rPr>
            </w:pPr>
            <w:r>
              <w:rPr>
                <w:color w:val="auto"/>
                <w:spacing w:val="-3"/>
                <w:sz w:val="24"/>
                <w:szCs w:val="24"/>
                <w:highlight w:val="none"/>
              </w:rPr>
              <w:t>分包</w:t>
            </w:r>
          </w:p>
        </w:tc>
        <w:tc>
          <w:tcPr>
            <w:tcW w:w="5496" w:type="dxa"/>
            <w:tcBorders>
              <w:right w:val="single" w:color="000000" w:sz="6" w:space="0"/>
            </w:tcBorders>
            <w:vAlign w:val="top"/>
          </w:tcPr>
          <w:p w14:paraId="6D4E6F31">
            <w:pPr>
              <w:pStyle w:val="17"/>
              <w:spacing w:before="112" w:line="221" w:lineRule="auto"/>
              <w:ind w:left="131"/>
              <w:rPr>
                <w:color w:val="auto"/>
                <w:sz w:val="24"/>
                <w:szCs w:val="24"/>
                <w:highlight w:val="none"/>
              </w:rPr>
            </w:pPr>
            <w:r>
              <w:rPr>
                <w:color w:val="auto"/>
                <w:spacing w:val="-3"/>
                <w:sz w:val="24"/>
                <w:szCs w:val="24"/>
                <w:highlight w:val="none"/>
              </w:rPr>
              <w:t>□ 允许，工程分包内容要求：</w:t>
            </w:r>
            <w:r>
              <w:rPr>
                <w:color w:val="auto"/>
                <w:spacing w:val="1"/>
                <w:sz w:val="24"/>
                <w:szCs w:val="24"/>
                <w:highlight w:val="none"/>
                <w:u w:val="single" w:color="auto"/>
              </w:rPr>
              <w:t xml:space="preserve">          </w:t>
            </w:r>
          </w:p>
          <w:p w14:paraId="52B29D62">
            <w:pPr>
              <w:pStyle w:val="17"/>
              <w:spacing w:before="108" w:line="221" w:lineRule="auto"/>
              <w:ind w:left="952"/>
              <w:rPr>
                <w:color w:val="auto"/>
                <w:sz w:val="24"/>
                <w:szCs w:val="24"/>
                <w:highlight w:val="none"/>
              </w:rPr>
            </w:pPr>
            <w:r>
              <w:rPr>
                <w:color w:val="auto"/>
                <w:spacing w:val="-2"/>
                <w:sz w:val="24"/>
                <w:szCs w:val="24"/>
                <w:highlight w:val="none"/>
              </w:rPr>
              <w:t>工程分包金额要求：</w:t>
            </w:r>
            <w:r>
              <w:rPr>
                <w:color w:val="auto"/>
                <w:sz w:val="24"/>
                <w:szCs w:val="24"/>
                <w:highlight w:val="none"/>
                <w:u w:val="single" w:color="auto"/>
              </w:rPr>
              <w:t xml:space="preserve">          </w:t>
            </w:r>
          </w:p>
          <w:p w14:paraId="577A5B77">
            <w:pPr>
              <w:pStyle w:val="17"/>
              <w:spacing w:before="108" w:line="221" w:lineRule="auto"/>
              <w:ind w:left="949"/>
              <w:rPr>
                <w:color w:val="auto"/>
                <w:sz w:val="24"/>
                <w:szCs w:val="24"/>
                <w:highlight w:val="none"/>
              </w:rPr>
            </w:pPr>
            <w:r>
              <w:rPr>
                <w:color w:val="auto"/>
                <w:spacing w:val="-1"/>
                <w:sz w:val="24"/>
                <w:szCs w:val="24"/>
                <w:highlight w:val="none"/>
              </w:rPr>
              <w:t>接受工程分包的第三人资质要求：</w:t>
            </w:r>
            <w:r>
              <w:rPr>
                <w:color w:val="auto"/>
                <w:spacing w:val="1"/>
                <w:sz w:val="24"/>
                <w:szCs w:val="24"/>
                <w:highlight w:val="none"/>
                <w:u w:val="single" w:color="auto"/>
              </w:rPr>
              <w:t xml:space="preserve">          </w:t>
            </w:r>
          </w:p>
          <w:p w14:paraId="77F8257C">
            <w:pPr>
              <w:pStyle w:val="17"/>
              <w:spacing w:before="109" w:line="211" w:lineRule="auto"/>
              <w:ind w:left="131"/>
              <w:rPr>
                <w:color w:val="auto"/>
                <w:sz w:val="24"/>
                <w:szCs w:val="24"/>
                <w:highlight w:val="none"/>
              </w:rPr>
            </w:pPr>
            <w:r>
              <w:rPr>
                <w:rFonts w:hint="eastAsia"/>
                <w:color w:val="auto"/>
                <w:spacing w:val="-10"/>
                <w:sz w:val="24"/>
                <w:szCs w:val="24"/>
                <w:highlight w:val="none"/>
                <w:lang w:eastAsia="zh-CN"/>
              </w:rPr>
              <w:t>☑</w:t>
            </w:r>
            <w:r>
              <w:rPr>
                <w:color w:val="auto"/>
                <w:spacing w:val="12"/>
                <w:sz w:val="24"/>
                <w:szCs w:val="24"/>
                <w:highlight w:val="none"/>
              </w:rPr>
              <w:t xml:space="preserve"> </w:t>
            </w:r>
            <w:r>
              <w:rPr>
                <w:color w:val="auto"/>
                <w:spacing w:val="-10"/>
                <w:sz w:val="24"/>
                <w:szCs w:val="24"/>
                <w:highlight w:val="none"/>
              </w:rPr>
              <w:t>不允许</w:t>
            </w:r>
          </w:p>
        </w:tc>
      </w:tr>
      <w:tr w14:paraId="6D09E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953" w:type="dxa"/>
            <w:tcBorders>
              <w:left w:val="single" w:color="000000" w:sz="6" w:space="0"/>
            </w:tcBorders>
            <w:vAlign w:val="top"/>
          </w:tcPr>
          <w:p w14:paraId="02534609">
            <w:pPr>
              <w:spacing w:line="273" w:lineRule="auto"/>
              <w:rPr>
                <w:rFonts w:ascii="Arial"/>
                <w:color w:val="auto"/>
                <w:sz w:val="24"/>
                <w:szCs w:val="24"/>
                <w:highlight w:val="none"/>
              </w:rPr>
            </w:pPr>
          </w:p>
          <w:p w14:paraId="5201B5A5">
            <w:pPr>
              <w:spacing w:before="60" w:line="187" w:lineRule="auto"/>
              <w:ind w:left="307"/>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5"/>
                <w:sz w:val="24"/>
                <w:szCs w:val="24"/>
                <w:highlight w:val="none"/>
              </w:rPr>
              <w:t>1.12</w:t>
            </w:r>
          </w:p>
        </w:tc>
        <w:tc>
          <w:tcPr>
            <w:tcW w:w="2451" w:type="dxa"/>
            <w:vAlign w:val="top"/>
          </w:tcPr>
          <w:p w14:paraId="4412E399">
            <w:pPr>
              <w:pStyle w:val="17"/>
              <w:spacing w:before="296" w:line="221" w:lineRule="auto"/>
              <w:ind w:left="106"/>
              <w:rPr>
                <w:color w:val="auto"/>
                <w:sz w:val="24"/>
                <w:szCs w:val="24"/>
                <w:highlight w:val="none"/>
              </w:rPr>
            </w:pPr>
            <w:r>
              <w:rPr>
                <w:color w:val="auto"/>
                <w:spacing w:val="-2"/>
                <w:sz w:val="24"/>
                <w:szCs w:val="24"/>
                <w:highlight w:val="none"/>
              </w:rPr>
              <w:t>偏离</w:t>
            </w:r>
          </w:p>
        </w:tc>
        <w:tc>
          <w:tcPr>
            <w:tcW w:w="5496" w:type="dxa"/>
            <w:tcBorders>
              <w:right w:val="single" w:color="000000" w:sz="6" w:space="0"/>
            </w:tcBorders>
            <w:vAlign w:val="top"/>
          </w:tcPr>
          <w:p w14:paraId="47EE3420">
            <w:pPr>
              <w:pStyle w:val="17"/>
              <w:spacing w:before="116" w:line="221" w:lineRule="auto"/>
              <w:ind w:left="131"/>
              <w:rPr>
                <w:color w:val="auto"/>
                <w:sz w:val="24"/>
                <w:szCs w:val="24"/>
                <w:highlight w:val="none"/>
              </w:rPr>
            </w:pPr>
            <w:r>
              <w:rPr>
                <w:rFonts w:hint="eastAsia"/>
                <w:color w:val="auto"/>
                <w:spacing w:val="-10"/>
                <w:sz w:val="24"/>
                <w:szCs w:val="24"/>
                <w:highlight w:val="none"/>
                <w:lang w:eastAsia="zh-CN"/>
              </w:rPr>
              <w:t>☑</w:t>
            </w:r>
            <w:r>
              <w:rPr>
                <w:color w:val="auto"/>
                <w:spacing w:val="12"/>
                <w:sz w:val="24"/>
                <w:szCs w:val="24"/>
                <w:highlight w:val="none"/>
              </w:rPr>
              <w:t xml:space="preserve"> </w:t>
            </w:r>
            <w:r>
              <w:rPr>
                <w:color w:val="auto"/>
                <w:spacing w:val="-10"/>
                <w:sz w:val="24"/>
                <w:szCs w:val="24"/>
                <w:highlight w:val="none"/>
              </w:rPr>
              <w:t>不允许</w:t>
            </w:r>
          </w:p>
          <w:p w14:paraId="613E5C3E">
            <w:pPr>
              <w:pStyle w:val="17"/>
              <w:spacing w:before="109" w:line="210" w:lineRule="auto"/>
              <w:ind w:left="131"/>
              <w:rPr>
                <w:color w:val="auto"/>
                <w:sz w:val="24"/>
                <w:szCs w:val="24"/>
                <w:highlight w:val="none"/>
              </w:rPr>
            </w:pPr>
            <w:r>
              <w:rPr>
                <w:color w:val="auto"/>
                <w:spacing w:val="-2"/>
                <w:sz w:val="24"/>
                <w:szCs w:val="24"/>
                <w:highlight w:val="none"/>
              </w:rPr>
              <w:t>□ 允许偏离的内容、范围和幅度：</w:t>
            </w:r>
            <w:r>
              <w:rPr>
                <w:color w:val="auto"/>
                <w:sz w:val="24"/>
                <w:szCs w:val="24"/>
                <w:highlight w:val="none"/>
                <w:u w:val="single" w:color="auto"/>
              </w:rPr>
              <w:t xml:space="preserve">          </w:t>
            </w:r>
          </w:p>
        </w:tc>
      </w:tr>
      <w:tr w14:paraId="5B8FE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53" w:type="dxa"/>
            <w:tcBorders>
              <w:left w:val="single" w:color="000000" w:sz="6" w:space="0"/>
            </w:tcBorders>
            <w:vAlign w:val="top"/>
          </w:tcPr>
          <w:p w14:paraId="6701586D">
            <w:pPr>
              <w:spacing w:line="271" w:lineRule="auto"/>
              <w:rPr>
                <w:rFonts w:ascii="Arial"/>
                <w:color w:val="auto"/>
                <w:sz w:val="24"/>
                <w:szCs w:val="24"/>
                <w:highlight w:val="none"/>
              </w:rPr>
            </w:pPr>
          </w:p>
          <w:p w14:paraId="5E7A6215">
            <w:pPr>
              <w:spacing w:before="61" w:line="187" w:lineRule="auto"/>
              <w:ind w:left="339"/>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
                <w:sz w:val="24"/>
                <w:szCs w:val="24"/>
                <w:highlight w:val="none"/>
              </w:rPr>
              <w:t>2.1</w:t>
            </w:r>
          </w:p>
        </w:tc>
        <w:tc>
          <w:tcPr>
            <w:tcW w:w="2451" w:type="dxa"/>
            <w:vAlign w:val="top"/>
          </w:tcPr>
          <w:p w14:paraId="668385B0">
            <w:pPr>
              <w:pStyle w:val="17"/>
              <w:spacing w:before="115" w:line="263" w:lineRule="auto"/>
              <w:ind w:left="106" w:right="106" w:firstLine="2"/>
              <w:rPr>
                <w:color w:val="auto"/>
                <w:sz w:val="24"/>
                <w:szCs w:val="24"/>
                <w:highlight w:val="none"/>
              </w:rPr>
            </w:pPr>
            <w:r>
              <w:rPr>
                <w:color w:val="auto"/>
                <w:spacing w:val="12"/>
                <w:sz w:val="24"/>
                <w:szCs w:val="24"/>
                <w:highlight w:val="none"/>
              </w:rPr>
              <w:t>构成招标文件的其他材</w:t>
            </w:r>
            <w:r>
              <w:rPr>
                <w:color w:val="auto"/>
                <w:sz w:val="24"/>
                <w:szCs w:val="24"/>
                <w:highlight w:val="none"/>
              </w:rPr>
              <w:t>料</w:t>
            </w:r>
          </w:p>
        </w:tc>
        <w:tc>
          <w:tcPr>
            <w:tcW w:w="5496" w:type="dxa"/>
            <w:tcBorders>
              <w:right w:val="single" w:color="000000" w:sz="6" w:space="0"/>
            </w:tcBorders>
            <w:vAlign w:val="center"/>
          </w:tcPr>
          <w:p w14:paraId="31BB81E9">
            <w:pPr>
              <w:jc w:val="center"/>
              <w:rPr>
                <w:rFonts w:hint="eastAsia" w:ascii="Arial" w:eastAsia="宋体"/>
                <w:color w:val="auto"/>
                <w:sz w:val="24"/>
                <w:szCs w:val="24"/>
                <w:highlight w:val="none"/>
                <w:lang w:val="en-US" w:eastAsia="zh-CN"/>
              </w:rPr>
            </w:pPr>
            <w:r>
              <w:rPr>
                <w:rFonts w:hint="eastAsia" w:eastAsia="宋体"/>
                <w:color w:val="auto"/>
                <w:sz w:val="24"/>
                <w:szCs w:val="24"/>
                <w:highlight w:val="none"/>
                <w:lang w:val="en-US" w:eastAsia="zh-CN"/>
              </w:rPr>
              <w:t>/</w:t>
            </w:r>
          </w:p>
        </w:tc>
      </w:tr>
      <w:tr w14:paraId="7081C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5" w:hRule="atLeast"/>
        </w:trPr>
        <w:tc>
          <w:tcPr>
            <w:tcW w:w="953" w:type="dxa"/>
            <w:tcBorders>
              <w:left w:val="single" w:color="000000" w:sz="6" w:space="0"/>
            </w:tcBorders>
            <w:vAlign w:val="top"/>
          </w:tcPr>
          <w:p w14:paraId="4BE5474F">
            <w:pPr>
              <w:spacing w:line="403" w:lineRule="auto"/>
              <w:rPr>
                <w:rFonts w:ascii="Arial"/>
                <w:color w:val="auto"/>
                <w:sz w:val="24"/>
                <w:szCs w:val="24"/>
                <w:highlight w:val="none"/>
              </w:rPr>
            </w:pPr>
          </w:p>
          <w:p w14:paraId="5CB134AD">
            <w:pPr>
              <w:spacing w:before="60" w:line="187" w:lineRule="auto"/>
              <w:ind w:left="26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
                <w:sz w:val="24"/>
                <w:szCs w:val="24"/>
                <w:highlight w:val="none"/>
              </w:rPr>
              <w:t>2.2.1</w:t>
            </w:r>
          </w:p>
        </w:tc>
        <w:tc>
          <w:tcPr>
            <w:tcW w:w="2451" w:type="dxa"/>
            <w:vAlign w:val="top"/>
          </w:tcPr>
          <w:p w14:paraId="34553CE4">
            <w:pPr>
              <w:pStyle w:val="17"/>
              <w:keepNext w:val="0"/>
              <w:keepLines w:val="0"/>
              <w:pageBreakBefore w:val="0"/>
              <w:widowControl/>
              <w:kinsoku w:val="0"/>
              <w:wordWrap/>
              <w:overflowPunct/>
              <w:topLinePunct w:val="0"/>
              <w:autoSpaceDE w:val="0"/>
              <w:autoSpaceDN w:val="0"/>
              <w:bidi w:val="0"/>
              <w:adjustRightInd w:val="0"/>
              <w:snapToGrid w:val="0"/>
              <w:spacing w:line="400" w:lineRule="exact"/>
              <w:ind w:left="115" w:right="106" w:hanging="7"/>
              <w:textAlignment w:val="baseline"/>
              <w:rPr>
                <w:color w:val="auto"/>
                <w:sz w:val="24"/>
                <w:szCs w:val="24"/>
                <w:highlight w:val="none"/>
              </w:rPr>
            </w:pPr>
            <w:r>
              <w:rPr>
                <w:color w:val="auto"/>
                <w:spacing w:val="12"/>
                <w:sz w:val="24"/>
                <w:szCs w:val="24"/>
                <w:highlight w:val="none"/>
              </w:rPr>
              <w:t>投标人提出澄清申请的</w:t>
            </w:r>
            <w:r>
              <w:rPr>
                <w:color w:val="auto"/>
                <w:spacing w:val="-3"/>
                <w:sz w:val="24"/>
                <w:szCs w:val="24"/>
                <w:highlight w:val="none"/>
              </w:rPr>
              <w:t>时间及形式</w:t>
            </w:r>
          </w:p>
        </w:tc>
        <w:tc>
          <w:tcPr>
            <w:tcW w:w="5496" w:type="dxa"/>
            <w:tcBorders>
              <w:right w:val="single" w:color="000000" w:sz="6" w:space="0"/>
            </w:tcBorders>
            <w:vAlign w:val="top"/>
          </w:tcPr>
          <w:p w14:paraId="64C96C89">
            <w:pPr>
              <w:pStyle w:val="3"/>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color w:val="FF0000"/>
                <w:sz w:val="24"/>
                <w:szCs w:val="24"/>
              </w:rPr>
            </w:pPr>
            <w:r>
              <w:rPr>
                <w:rFonts w:hint="eastAsia" w:ascii="宋体" w:hAnsi="宋体" w:eastAsia="宋体" w:cs="宋体"/>
                <w:color w:val="FF0000"/>
                <w:sz w:val="24"/>
                <w:szCs w:val="24"/>
              </w:rPr>
              <w:t>截止时间</w:t>
            </w:r>
            <w:r>
              <w:rPr>
                <w:rFonts w:hint="eastAsia" w:ascii="宋体" w:hAnsi="宋体" w:eastAsia="宋体" w:cs="宋体"/>
                <w:color w:val="FF0000"/>
                <w:sz w:val="24"/>
                <w:szCs w:val="24"/>
                <w:u w:val="none"/>
              </w:rPr>
              <w:t>：</w:t>
            </w:r>
            <w:r>
              <w:rPr>
                <w:rFonts w:hint="eastAsia" w:ascii="宋体" w:hAnsi="宋体" w:eastAsia="宋体" w:cs="宋体"/>
                <w:color w:val="FF0000"/>
                <w:sz w:val="24"/>
                <w:szCs w:val="24"/>
                <w:u w:val="single"/>
                <w:lang w:val="en-US" w:eastAsia="zh-CN"/>
              </w:rPr>
              <w:t xml:space="preserve">   </w:t>
            </w:r>
            <w:r>
              <w:rPr>
                <w:rFonts w:hint="eastAsia" w:ascii="宋体" w:hAnsi="宋体" w:eastAsia="宋体" w:cs="宋体"/>
                <w:color w:val="FF0000"/>
                <w:sz w:val="24"/>
                <w:szCs w:val="24"/>
              </w:rPr>
              <w:t>年</w:t>
            </w:r>
            <w:r>
              <w:rPr>
                <w:rFonts w:hint="eastAsia" w:ascii="宋体" w:hAnsi="宋体" w:eastAsia="宋体" w:cs="宋体"/>
                <w:color w:val="FF0000"/>
                <w:sz w:val="24"/>
                <w:szCs w:val="24"/>
                <w:u w:val="single"/>
                <w:lang w:val="en-US" w:eastAsia="zh-CN"/>
              </w:rPr>
              <w:t xml:space="preserve">   </w:t>
            </w:r>
            <w:r>
              <w:rPr>
                <w:rFonts w:hint="eastAsia" w:ascii="宋体" w:hAnsi="宋体" w:eastAsia="宋体" w:cs="宋体"/>
                <w:color w:val="FF0000"/>
                <w:sz w:val="24"/>
                <w:szCs w:val="24"/>
              </w:rPr>
              <w:t>月</w:t>
            </w:r>
            <w:r>
              <w:rPr>
                <w:rFonts w:hint="eastAsia" w:ascii="宋体" w:hAnsi="宋体" w:eastAsia="宋体" w:cs="宋体"/>
                <w:color w:val="FF0000"/>
                <w:sz w:val="24"/>
                <w:szCs w:val="24"/>
                <w:u w:val="single"/>
                <w:lang w:val="en-US" w:eastAsia="zh-CN"/>
              </w:rPr>
              <w:t xml:space="preserve">     </w:t>
            </w:r>
            <w:r>
              <w:rPr>
                <w:rFonts w:hint="eastAsia" w:ascii="宋体" w:hAnsi="宋体" w:eastAsia="宋体" w:cs="宋体"/>
                <w:color w:val="FF0000"/>
                <w:sz w:val="24"/>
                <w:szCs w:val="24"/>
              </w:rPr>
              <w:t>日</w:t>
            </w:r>
            <w:r>
              <w:rPr>
                <w:rFonts w:hint="eastAsia" w:ascii="宋体" w:hAnsi="宋体" w:eastAsia="宋体" w:cs="宋体"/>
                <w:color w:val="FF0000"/>
                <w:sz w:val="24"/>
                <w:szCs w:val="24"/>
                <w:u w:val="single"/>
                <w:lang w:val="en-US" w:eastAsia="zh-CN"/>
              </w:rPr>
              <w:t xml:space="preserve"> 9 </w:t>
            </w:r>
            <w:r>
              <w:rPr>
                <w:rFonts w:hint="eastAsia" w:ascii="宋体" w:hAnsi="宋体" w:eastAsia="宋体" w:cs="宋体"/>
                <w:color w:val="FF0000"/>
                <w:sz w:val="24"/>
                <w:szCs w:val="24"/>
              </w:rPr>
              <w:t>时</w:t>
            </w:r>
            <w:r>
              <w:rPr>
                <w:rFonts w:hint="eastAsia" w:ascii="宋体" w:hAnsi="宋体" w:eastAsia="宋体" w:cs="宋体"/>
                <w:color w:val="FF0000"/>
                <w:sz w:val="24"/>
                <w:szCs w:val="24"/>
                <w:u w:val="single"/>
                <w:lang w:val="en-US" w:eastAsia="zh-CN"/>
              </w:rPr>
              <w:t xml:space="preserve"> 00 </w:t>
            </w:r>
            <w:r>
              <w:rPr>
                <w:rFonts w:hint="eastAsia" w:ascii="宋体" w:hAnsi="宋体" w:eastAsia="宋体" w:cs="宋体"/>
                <w:color w:val="FF0000"/>
                <w:sz w:val="24"/>
                <w:szCs w:val="24"/>
              </w:rPr>
              <w:t>分。</w:t>
            </w:r>
          </w:p>
          <w:p w14:paraId="281FC4E0">
            <w:pPr>
              <w:pStyle w:val="17"/>
              <w:keepNext w:val="0"/>
              <w:keepLines w:val="0"/>
              <w:pageBreakBefore w:val="0"/>
              <w:widowControl/>
              <w:kinsoku w:val="0"/>
              <w:wordWrap/>
              <w:overflowPunct/>
              <w:topLinePunct w:val="0"/>
              <w:autoSpaceDE w:val="0"/>
              <w:autoSpaceDN w:val="0"/>
              <w:bidi w:val="0"/>
              <w:adjustRightInd w:val="0"/>
              <w:snapToGrid w:val="0"/>
              <w:spacing w:line="400" w:lineRule="exact"/>
              <w:ind w:left="130"/>
              <w:textAlignment w:val="baseline"/>
              <w:rPr>
                <w:color w:val="auto"/>
                <w:spacing w:val="-3"/>
                <w:sz w:val="24"/>
                <w:szCs w:val="24"/>
                <w:highlight w:val="none"/>
              </w:rPr>
            </w:pPr>
            <w:r>
              <w:rPr>
                <w:color w:val="auto"/>
                <w:spacing w:val="-3"/>
                <w:sz w:val="24"/>
                <w:szCs w:val="24"/>
                <w:highlight w:val="none"/>
              </w:rPr>
              <w:t>形式：通过下载招标文件的电子招标投标交易平台提出</w:t>
            </w:r>
            <w:r>
              <w:rPr>
                <w:rFonts w:hint="eastAsia"/>
                <w:color w:val="auto"/>
                <w:spacing w:val="-3"/>
                <w:sz w:val="24"/>
                <w:szCs w:val="24"/>
                <w:highlight w:val="none"/>
                <w:lang w:val="en-US" w:eastAsia="zh-CN"/>
              </w:rPr>
              <w:t>或纸质、电子扫描件（均需加盖投标单位公章，电子扫描件可加盖电子公章发送至邮箱65523876@qq.com）</w:t>
            </w:r>
            <w:r>
              <w:rPr>
                <w:color w:val="auto"/>
                <w:spacing w:val="-3"/>
                <w:sz w:val="24"/>
                <w:szCs w:val="24"/>
                <w:highlight w:val="none"/>
              </w:rPr>
              <w:t>。</w:t>
            </w:r>
          </w:p>
        </w:tc>
      </w:tr>
      <w:tr w14:paraId="1B0BE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953" w:type="dxa"/>
            <w:tcBorders>
              <w:left w:val="single" w:color="000000" w:sz="6" w:space="0"/>
            </w:tcBorders>
            <w:vAlign w:val="top"/>
          </w:tcPr>
          <w:p w14:paraId="2E9753CD">
            <w:pPr>
              <w:spacing w:line="474" w:lineRule="auto"/>
              <w:rPr>
                <w:rFonts w:ascii="Arial"/>
                <w:color w:val="auto"/>
                <w:sz w:val="24"/>
                <w:szCs w:val="24"/>
                <w:highlight w:val="none"/>
              </w:rPr>
            </w:pPr>
          </w:p>
          <w:p w14:paraId="0E92523B">
            <w:pPr>
              <w:spacing w:before="60" w:line="187" w:lineRule="auto"/>
              <w:ind w:left="26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
                <w:sz w:val="24"/>
                <w:szCs w:val="24"/>
                <w:highlight w:val="none"/>
              </w:rPr>
              <w:t>2.2.2</w:t>
            </w:r>
          </w:p>
        </w:tc>
        <w:tc>
          <w:tcPr>
            <w:tcW w:w="2451" w:type="dxa"/>
            <w:vAlign w:val="top"/>
          </w:tcPr>
          <w:p w14:paraId="005BA925">
            <w:pPr>
              <w:spacing w:line="428" w:lineRule="auto"/>
              <w:rPr>
                <w:rFonts w:ascii="Arial"/>
                <w:color w:val="auto"/>
                <w:sz w:val="24"/>
                <w:szCs w:val="24"/>
                <w:highlight w:val="none"/>
              </w:rPr>
            </w:pPr>
          </w:p>
          <w:p w14:paraId="288A8F8E">
            <w:pPr>
              <w:pStyle w:val="17"/>
              <w:spacing w:before="68" w:line="221" w:lineRule="auto"/>
              <w:ind w:left="106"/>
              <w:rPr>
                <w:color w:val="auto"/>
                <w:sz w:val="24"/>
                <w:szCs w:val="24"/>
                <w:highlight w:val="none"/>
              </w:rPr>
            </w:pPr>
            <w:r>
              <w:rPr>
                <w:color w:val="auto"/>
                <w:spacing w:val="-1"/>
                <w:sz w:val="24"/>
                <w:szCs w:val="24"/>
                <w:highlight w:val="none"/>
              </w:rPr>
              <w:t>招标人发出澄清的形式</w:t>
            </w:r>
          </w:p>
        </w:tc>
        <w:tc>
          <w:tcPr>
            <w:tcW w:w="5496" w:type="dxa"/>
            <w:tcBorders>
              <w:right w:val="single" w:color="000000" w:sz="6" w:space="0"/>
            </w:tcBorders>
            <w:vAlign w:val="top"/>
          </w:tcPr>
          <w:p w14:paraId="50F6A23A">
            <w:pPr>
              <w:pStyle w:val="17"/>
              <w:keepNext w:val="0"/>
              <w:keepLines w:val="0"/>
              <w:pageBreakBefore w:val="0"/>
              <w:widowControl/>
              <w:kinsoku w:val="0"/>
              <w:wordWrap/>
              <w:overflowPunct/>
              <w:topLinePunct w:val="0"/>
              <w:autoSpaceDE w:val="0"/>
              <w:autoSpaceDN w:val="0"/>
              <w:bidi w:val="0"/>
              <w:adjustRightInd w:val="0"/>
              <w:snapToGrid w:val="0"/>
              <w:spacing w:before="137" w:line="460" w:lineRule="exact"/>
              <w:ind w:left="108" w:right="136"/>
              <w:jc w:val="both"/>
              <w:textAlignment w:val="baseline"/>
              <w:rPr>
                <w:color w:val="auto"/>
                <w:sz w:val="24"/>
                <w:szCs w:val="24"/>
                <w:highlight w:val="none"/>
              </w:rPr>
            </w:pPr>
            <w:r>
              <w:rPr>
                <w:color w:val="auto"/>
                <w:spacing w:val="-1"/>
                <w:sz w:val="24"/>
                <w:szCs w:val="24"/>
                <w:highlight w:val="none"/>
              </w:rPr>
              <w:t>潜在投标人应自行关注电子招标投标交易平台公告，招标</w:t>
            </w:r>
            <w:r>
              <w:rPr>
                <w:color w:val="auto"/>
                <w:sz w:val="24"/>
                <w:szCs w:val="24"/>
                <w:highlight w:val="none"/>
              </w:rPr>
              <w:t>人不再一一通知。投标人因自身原因导致投标失败</w:t>
            </w:r>
            <w:r>
              <w:rPr>
                <w:color w:val="auto"/>
                <w:spacing w:val="-1"/>
                <w:sz w:val="24"/>
                <w:szCs w:val="24"/>
                <w:highlight w:val="none"/>
              </w:rPr>
              <w:t>的，责任自负。</w:t>
            </w:r>
          </w:p>
        </w:tc>
      </w:tr>
      <w:tr w14:paraId="3DF23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8" w:hRule="atLeast"/>
        </w:trPr>
        <w:tc>
          <w:tcPr>
            <w:tcW w:w="953" w:type="dxa"/>
            <w:tcBorders>
              <w:left w:val="single" w:color="000000" w:sz="6" w:space="0"/>
            </w:tcBorders>
            <w:vAlign w:val="top"/>
          </w:tcPr>
          <w:p w14:paraId="1CE58AE9">
            <w:pPr>
              <w:spacing w:line="254" w:lineRule="auto"/>
              <w:rPr>
                <w:rFonts w:ascii="Arial"/>
                <w:color w:val="auto"/>
                <w:sz w:val="24"/>
                <w:szCs w:val="24"/>
                <w:highlight w:val="none"/>
              </w:rPr>
            </w:pPr>
          </w:p>
          <w:p w14:paraId="03CBF6C7">
            <w:pPr>
              <w:spacing w:line="254" w:lineRule="auto"/>
              <w:rPr>
                <w:rFonts w:ascii="Arial"/>
                <w:color w:val="auto"/>
                <w:sz w:val="24"/>
                <w:szCs w:val="24"/>
                <w:highlight w:val="none"/>
              </w:rPr>
            </w:pPr>
          </w:p>
          <w:p w14:paraId="6B2DA1BB">
            <w:pPr>
              <w:spacing w:line="254" w:lineRule="auto"/>
              <w:rPr>
                <w:rFonts w:ascii="Arial"/>
                <w:color w:val="auto"/>
                <w:sz w:val="24"/>
                <w:szCs w:val="24"/>
                <w:highlight w:val="none"/>
              </w:rPr>
            </w:pPr>
          </w:p>
          <w:p w14:paraId="09B4D613">
            <w:pPr>
              <w:spacing w:line="254" w:lineRule="auto"/>
              <w:rPr>
                <w:rFonts w:ascii="Arial"/>
                <w:color w:val="auto"/>
                <w:sz w:val="24"/>
                <w:szCs w:val="24"/>
                <w:highlight w:val="none"/>
              </w:rPr>
            </w:pPr>
          </w:p>
          <w:p w14:paraId="401E2D0F">
            <w:pPr>
              <w:spacing w:line="255" w:lineRule="auto"/>
              <w:rPr>
                <w:rFonts w:ascii="Arial"/>
                <w:color w:val="auto"/>
                <w:sz w:val="24"/>
                <w:szCs w:val="24"/>
                <w:highlight w:val="none"/>
              </w:rPr>
            </w:pPr>
          </w:p>
          <w:p w14:paraId="6DE6BCDA">
            <w:pPr>
              <w:spacing w:line="255" w:lineRule="auto"/>
              <w:rPr>
                <w:rFonts w:ascii="Arial"/>
                <w:color w:val="auto"/>
                <w:sz w:val="24"/>
                <w:szCs w:val="24"/>
                <w:highlight w:val="none"/>
              </w:rPr>
            </w:pPr>
          </w:p>
          <w:p w14:paraId="569B2AC8">
            <w:pPr>
              <w:spacing w:before="61" w:line="187" w:lineRule="auto"/>
              <w:ind w:left="260"/>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
                <w:sz w:val="24"/>
                <w:szCs w:val="24"/>
                <w:highlight w:val="none"/>
              </w:rPr>
              <w:t>2.3.1</w:t>
            </w:r>
          </w:p>
        </w:tc>
        <w:tc>
          <w:tcPr>
            <w:tcW w:w="2451" w:type="dxa"/>
            <w:vAlign w:val="top"/>
          </w:tcPr>
          <w:p w14:paraId="2D54C174">
            <w:pPr>
              <w:spacing w:line="260" w:lineRule="auto"/>
              <w:rPr>
                <w:rFonts w:ascii="Arial"/>
                <w:color w:val="auto"/>
                <w:sz w:val="24"/>
                <w:szCs w:val="24"/>
                <w:highlight w:val="none"/>
              </w:rPr>
            </w:pPr>
          </w:p>
          <w:p w14:paraId="4062C67E">
            <w:pPr>
              <w:spacing w:line="260" w:lineRule="auto"/>
              <w:rPr>
                <w:rFonts w:ascii="Arial"/>
                <w:color w:val="auto"/>
                <w:sz w:val="24"/>
                <w:szCs w:val="24"/>
                <w:highlight w:val="none"/>
              </w:rPr>
            </w:pPr>
          </w:p>
          <w:p w14:paraId="7532720A">
            <w:pPr>
              <w:spacing w:line="260" w:lineRule="auto"/>
              <w:rPr>
                <w:rFonts w:ascii="Arial"/>
                <w:color w:val="auto"/>
                <w:sz w:val="24"/>
                <w:szCs w:val="24"/>
                <w:highlight w:val="none"/>
              </w:rPr>
            </w:pPr>
          </w:p>
          <w:p w14:paraId="473E4D2E">
            <w:pPr>
              <w:spacing w:line="261" w:lineRule="auto"/>
              <w:rPr>
                <w:rFonts w:ascii="Arial"/>
                <w:color w:val="auto"/>
                <w:sz w:val="24"/>
                <w:szCs w:val="24"/>
                <w:highlight w:val="none"/>
              </w:rPr>
            </w:pPr>
          </w:p>
          <w:p w14:paraId="3D1F2296">
            <w:pPr>
              <w:spacing w:line="261" w:lineRule="auto"/>
              <w:rPr>
                <w:rFonts w:ascii="Arial"/>
                <w:color w:val="auto"/>
                <w:sz w:val="24"/>
                <w:szCs w:val="24"/>
                <w:highlight w:val="none"/>
              </w:rPr>
            </w:pPr>
          </w:p>
          <w:p w14:paraId="70D766B4">
            <w:pPr>
              <w:pStyle w:val="17"/>
              <w:spacing w:before="68" w:line="319" w:lineRule="auto"/>
              <w:ind w:left="107" w:right="106" w:hanging="1"/>
              <w:rPr>
                <w:color w:val="auto"/>
                <w:sz w:val="24"/>
                <w:szCs w:val="24"/>
                <w:highlight w:val="none"/>
              </w:rPr>
            </w:pPr>
            <w:r>
              <w:rPr>
                <w:color w:val="auto"/>
                <w:spacing w:val="12"/>
                <w:sz w:val="24"/>
                <w:szCs w:val="24"/>
                <w:highlight w:val="none"/>
              </w:rPr>
              <w:t>招标人发出修改通知的</w:t>
            </w:r>
            <w:r>
              <w:rPr>
                <w:color w:val="auto"/>
                <w:spacing w:val="-3"/>
                <w:sz w:val="24"/>
                <w:szCs w:val="24"/>
                <w:highlight w:val="none"/>
              </w:rPr>
              <w:t>形式</w:t>
            </w:r>
          </w:p>
        </w:tc>
        <w:tc>
          <w:tcPr>
            <w:tcW w:w="5496" w:type="dxa"/>
            <w:tcBorders>
              <w:right w:val="single" w:color="000000" w:sz="6" w:space="0"/>
            </w:tcBorders>
            <w:vAlign w:val="top"/>
          </w:tcPr>
          <w:p w14:paraId="631DF99E">
            <w:pPr>
              <w:pStyle w:val="17"/>
              <w:spacing w:before="116" w:line="317" w:lineRule="auto"/>
              <w:ind w:left="113" w:right="135" w:firstLine="207"/>
              <w:rPr>
                <w:color w:val="auto"/>
                <w:sz w:val="24"/>
                <w:szCs w:val="24"/>
                <w:highlight w:val="none"/>
              </w:rPr>
            </w:pPr>
            <w:r>
              <w:rPr>
                <w:color w:val="auto"/>
                <w:sz w:val="24"/>
                <w:szCs w:val="24"/>
                <w:highlight w:val="none"/>
              </w:rPr>
              <w:t>修改的内容影响投标文件编制的，招标人将</w:t>
            </w:r>
            <w:r>
              <w:rPr>
                <w:color w:val="auto"/>
                <w:spacing w:val="-1"/>
                <w:sz w:val="24"/>
                <w:szCs w:val="24"/>
                <w:highlight w:val="none"/>
              </w:rPr>
              <w:t>在投标截止时间</w:t>
            </w:r>
            <w:r>
              <w:rPr>
                <w:rFonts w:ascii="Times New Roman" w:hAnsi="Times New Roman" w:eastAsia="Times New Roman" w:cs="Times New Roman"/>
                <w:color w:val="auto"/>
                <w:spacing w:val="-1"/>
                <w:sz w:val="24"/>
                <w:szCs w:val="24"/>
                <w:highlight w:val="none"/>
                <w:u w:val="none"/>
              </w:rPr>
              <w:t>15</w:t>
            </w:r>
            <w:r>
              <w:rPr>
                <w:rFonts w:hint="eastAsia" w:ascii="Times New Roman" w:hAnsi="Times New Roman" w:cs="Times New Roman"/>
                <w:color w:val="auto"/>
                <w:spacing w:val="-1"/>
                <w:sz w:val="24"/>
                <w:szCs w:val="24"/>
                <w:highlight w:val="none"/>
                <w:u w:val="none"/>
                <w:lang w:val="en-US" w:eastAsia="zh-CN"/>
              </w:rPr>
              <w:t xml:space="preserve"> </w:t>
            </w:r>
            <w:r>
              <w:rPr>
                <w:color w:val="auto"/>
                <w:spacing w:val="-1"/>
                <w:sz w:val="24"/>
                <w:szCs w:val="24"/>
                <w:highlight w:val="none"/>
              </w:rPr>
              <w:t>日前，在下载招标文件的电子招标投标交易平台</w:t>
            </w:r>
            <w:r>
              <w:rPr>
                <w:color w:val="auto"/>
                <w:sz w:val="24"/>
                <w:szCs w:val="24"/>
                <w:highlight w:val="none"/>
              </w:rPr>
              <w:t>发出修改通知，不足</w:t>
            </w:r>
            <w:r>
              <w:rPr>
                <w:rFonts w:ascii="Times New Roman" w:hAnsi="Times New Roman" w:eastAsia="Times New Roman" w:cs="Times New Roman"/>
                <w:color w:val="auto"/>
                <w:spacing w:val="-1"/>
                <w:sz w:val="24"/>
                <w:szCs w:val="24"/>
                <w:highlight w:val="none"/>
                <w:u w:val="none"/>
              </w:rPr>
              <w:t>15</w:t>
            </w:r>
            <w:r>
              <w:rPr>
                <w:rFonts w:hint="eastAsia" w:ascii="Times New Roman" w:hAnsi="Times New Roman" w:cs="Times New Roman"/>
                <w:color w:val="auto"/>
                <w:spacing w:val="-1"/>
                <w:sz w:val="24"/>
                <w:szCs w:val="24"/>
                <w:highlight w:val="none"/>
                <w:u w:val="none"/>
                <w:lang w:val="en-US" w:eastAsia="zh-CN"/>
              </w:rPr>
              <w:t xml:space="preserve"> </w:t>
            </w:r>
            <w:r>
              <w:rPr>
                <w:color w:val="auto"/>
                <w:sz w:val="24"/>
                <w:szCs w:val="24"/>
                <w:highlight w:val="none"/>
              </w:rPr>
              <w:t>日的，招标人将顺</w:t>
            </w:r>
            <w:r>
              <w:rPr>
                <w:color w:val="auto"/>
                <w:spacing w:val="-1"/>
                <w:sz w:val="24"/>
                <w:szCs w:val="24"/>
                <w:highlight w:val="none"/>
              </w:rPr>
              <w:t>延递交投标文件</w:t>
            </w:r>
            <w:r>
              <w:rPr>
                <w:color w:val="auto"/>
                <w:spacing w:val="-2"/>
                <w:sz w:val="24"/>
                <w:szCs w:val="24"/>
                <w:highlight w:val="none"/>
              </w:rPr>
              <w:t>的截止时间。</w:t>
            </w:r>
          </w:p>
          <w:p w14:paraId="7E5A65AA">
            <w:pPr>
              <w:pStyle w:val="17"/>
              <w:spacing w:line="316" w:lineRule="auto"/>
              <w:ind w:left="109" w:right="135" w:firstLine="212"/>
              <w:rPr>
                <w:rFonts w:hint="eastAsia" w:eastAsia="宋体"/>
                <w:color w:val="auto"/>
                <w:sz w:val="24"/>
                <w:szCs w:val="24"/>
                <w:highlight w:val="none"/>
                <w:lang w:eastAsia="zh-CN"/>
              </w:rPr>
            </w:pPr>
            <w:r>
              <w:rPr>
                <w:color w:val="auto"/>
                <w:sz w:val="24"/>
                <w:szCs w:val="24"/>
                <w:highlight w:val="none"/>
              </w:rPr>
              <w:t>修改的内容不影响投标文件编制的，将在投</w:t>
            </w:r>
            <w:r>
              <w:rPr>
                <w:color w:val="auto"/>
                <w:spacing w:val="-1"/>
                <w:sz w:val="24"/>
                <w:szCs w:val="24"/>
                <w:highlight w:val="none"/>
              </w:rPr>
              <w:t>标文件递交截止时间</w:t>
            </w:r>
            <w:r>
              <w:rPr>
                <w:color w:val="auto"/>
                <w:spacing w:val="-1"/>
                <w:sz w:val="24"/>
                <w:szCs w:val="24"/>
                <w:highlight w:val="none"/>
                <w:u w:val="single"/>
              </w:rPr>
              <w:t xml:space="preserve"> </w:t>
            </w:r>
            <w:r>
              <w:rPr>
                <w:rFonts w:hint="eastAsia" w:ascii="Times New Roman" w:hAnsi="Times New Roman" w:cs="Times New Roman"/>
                <w:color w:val="auto"/>
                <w:spacing w:val="-1"/>
                <w:sz w:val="24"/>
                <w:szCs w:val="24"/>
                <w:highlight w:val="none"/>
                <w:u w:val="single"/>
                <w:lang w:val="en-US" w:eastAsia="zh-CN"/>
              </w:rPr>
              <w:t xml:space="preserve">7 </w:t>
            </w:r>
            <w:r>
              <w:rPr>
                <w:color w:val="auto"/>
                <w:spacing w:val="-1"/>
                <w:sz w:val="24"/>
                <w:szCs w:val="24"/>
                <w:highlight w:val="none"/>
              </w:rPr>
              <w:t>天前，以上款相同的形式发布</w:t>
            </w:r>
            <w:r>
              <w:rPr>
                <w:rFonts w:hint="eastAsia"/>
                <w:color w:val="auto"/>
                <w:spacing w:val="-1"/>
                <w:sz w:val="24"/>
                <w:szCs w:val="24"/>
                <w:highlight w:val="none"/>
                <w:lang w:eastAsia="zh-CN"/>
              </w:rPr>
              <w:t>。</w:t>
            </w:r>
          </w:p>
          <w:p w14:paraId="210349BA">
            <w:pPr>
              <w:pStyle w:val="17"/>
              <w:spacing w:line="284" w:lineRule="auto"/>
              <w:ind w:left="110" w:right="99" w:firstLine="209"/>
              <w:rPr>
                <w:color w:val="auto"/>
                <w:sz w:val="24"/>
                <w:szCs w:val="24"/>
                <w:highlight w:val="none"/>
              </w:rPr>
            </w:pPr>
            <w:r>
              <w:rPr>
                <w:color w:val="auto"/>
                <w:spacing w:val="1"/>
                <w:sz w:val="24"/>
                <w:szCs w:val="24"/>
                <w:highlight w:val="none"/>
              </w:rPr>
              <w:t>潜在投标人应自行关注电子招标投标交易平台公告，招标人不再一一通知。投标人因自身原因导致投标失败的，</w:t>
            </w:r>
            <w:r>
              <w:rPr>
                <w:color w:val="auto"/>
                <w:spacing w:val="-5"/>
                <w:sz w:val="24"/>
                <w:szCs w:val="24"/>
                <w:highlight w:val="none"/>
              </w:rPr>
              <w:t>责任自负。</w:t>
            </w:r>
          </w:p>
        </w:tc>
      </w:tr>
      <w:tr w14:paraId="6100A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953" w:type="dxa"/>
            <w:tcBorders>
              <w:left w:val="single" w:color="000000" w:sz="6" w:space="0"/>
            </w:tcBorders>
            <w:vAlign w:val="top"/>
          </w:tcPr>
          <w:p w14:paraId="33775F1C">
            <w:pPr>
              <w:spacing w:line="242" w:lineRule="auto"/>
              <w:rPr>
                <w:rFonts w:ascii="Arial"/>
                <w:color w:val="auto"/>
                <w:sz w:val="24"/>
                <w:szCs w:val="24"/>
                <w:highlight w:val="none"/>
              </w:rPr>
            </w:pPr>
          </w:p>
          <w:p w14:paraId="5627CC7C">
            <w:pPr>
              <w:spacing w:before="60" w:line="187" w:lineRule="auto"/>
              <w:ind w:left="264" w:leftChars="0"/>
              <w:rPr>
                <w:rFonts w:ascii="Times New Roman" w:hAnsi="Times New Roman" w:eastAsia="Times New Roman" w:cs="Times New Roman"/>
                <w:color w:val="auto"/>
                <w:spacing w:val="-1"/>
                <w:sz w:val="24"/>
                <w:szCs w:val="24"/>
                <w:highlight w:val="none"/>
              </w:rPr>
            </w:pPr>
            <w:r>
              <w:rPr>
                <w:rFonts w:ascii="Times New Roman" w:hAnsi="Times New Roman" w:eastAsia="Times New Roman" w:cs="Times New Roman"/>
                <w:color w:val="auto"/>
                <w:spacing w:val="-1"/>
                <w:sz w:val="24"/>
                <w:szCs w:val="24"/>
                <w:highlight w:val="none"/>
              </w:rPr>
              <w:t>3.3.1</w:t>
            </w:r>
          </w:p>
        </w:tc>
        <w:tc>
          <w:tcPr>
            <w:tcW w:w="2451" w:type="dxa"/>
            <w:vAlign w:val="top"/>
          </w:tcPr>
          <w:p w14:paraId="17162692">
            <w:pPr>
              <w:pStyle w:val="17"/>
              <w:spacing w:before="265" w:line="221" w:lineRule="auto"/>
              <w:ind w:left="108" w:leftChars="0"/>
              <w:rPr>
                <w:color w:val="auto"/>
                <w:spacing w:val="12"/>
                <w:sz w:val="24"/>
                <w:szCs w:val="24"/>
                <w:highlight w:val="none"/>
              </w:rPr>
            </w:pPr>
            <w:r>
              <w:rPr>
                <w:color w:val="auto"/>
                <w:spacing w:val="-2"/>
                <w:sz w:val="24"/>
                <w:szCs w:val="24"/>
                <w:highlight w:val="none"/>
              </w:rPr>
              <w:t>投标有效期</w:t>
            </w:r>
          </w:p>
        </w:tc>
        <w:tc>
          <w:tcPr>
            <w:tcW w:w="5496" w:type="dxa"/>
            <w:tcBorders>
              <w:right w:val="single" w:color="000000" w:sz="6" w:space="0"/>
            </w:tcBorders>
            <w:vAlign w:val="top"/>
          </w:tcPr>
          <w:p w14:paraId="29B2AF2E">
            <w:pPr>
              <w:pStyle w:val="17"/>
              <w:spacing w:before="265" w:line="221" w:lineRule="auto"/>
              <w:ind w:left="144" w:leftChars="0"/>
              <w:rPr>
                <w:color w:val="auto"/>
                <w:spacing w:val="1"/>
                <w:sz w:val="24"/>
                <w:szCs w:val="24"/>
                <w:highlight w:val="none"/>
              </w:rPr>
            </w:pPr>
            <w:r>
              <w:rPr>
                <w:color w:val="auto"/>
                <w:spacing w:val="-3"/>
                <w:sz w:val="24"/>
                <w:szCs w:val="24"/>
                <w:highlight w:val="none"/>
              </w:rPr>
              <w:t>自投标截止时间起生效，有效期为</w:t>
            </w:r>
            <w:r>
              <w:rPr>
                <w:color w:val="auto"/>
                <w:spacing w:val="-3"/>
                <w:sz w:val="24"/>
                <w:szCs w:val="24"/>
                <w:highlight w:val="none"/>
                <w:u w:val="single" w:color="auto"/>
              </w:rPr>
              <w:t xml:space="preserve"> </w:t>
            </w:r>
            <w:r>
              <w:rPr>
                <w:rFonts w:hint="eastAsia"/>
                <w:color w:val="auto"/>
                <w:spacing w:val="-3"/>
                <w:sz w:val="24"/>
                <w:szCs w:val="24"/>
                <w:highlight w:val="none"/>
                <w:u w:val="single" w:color="auto"/>
                <w:lang w:val="en-US" w:eastAsia="zh-CN"/>
              </w:rPr>
              <w:t>90</w:t>
            </w:r>
            <w:r>
              <w:rPr>
                <w:color w:val="auto"/>
                <w:spacing w:val="-3"/>
                <w:sz w:val="24"/>
                <w:szCs w:val="24"/>
                <w:highlight w:val="none"/>
                <w:u w:val="single" w:color="auto"/>
              </w:rPr>
              <w:t xml:space="preserve"> </w:t>
            </w:r>
            <w:r>
              <w:rPr>
                <w:color w:val="auto"/>
                <w:spacing w:val="-3"/>
                <w:sz w:val="24"/>
                <w:szCs w:val="24"/>
                <w:highlight w:val="none"/>
              </w:rPr>
              <w:t>天。</w:t>
            </w:r>
          </w:p>
        </w:tc>
      </w:tr>
      <w:tr w14:paraId="0B7AC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8" w:hRule="atLeast"/>
        </w:trPr>
        <w:tc>
          <w:tcPr>
            <w:tcW w:w="953" w:type="dxa"/>
            <w:tcBorders>
              <w:left w:val="single" w:color="000000" w:sz="6" w:space="0"/>
            </w:tcBorders>
            <w:vAlign w:val="top"/>
          </w:tcPr>
          <w:p w14:paraId="58EB1A7B">
            <w:pPr>
              <w:spacing w:line="245" w:lineRule="auto"/>
              <w:rPr>
                <w:rFonts w:ascii="Arial"/>
                <w:color w:val="auto"/>
                <w:sz w:val="24"/>
                <w:szCs w:val="24"/>
                <w:highlight w:val="none"/>
              </w:rPr>
            </w:pPr>
          </w:p>
          <w:p w14:paraId="39C48749">
            <w:pPr>
              <w:spacing w:line="245" w:lineRule="auto"/>
              <w:rPr>
                <w:rFonts w:ascii="Arial"/>
                <w:color w:val="auto"/>
                <w:sz w:val="24"/>
                <w:szCs w:val="24"/>
                <w:highlight w:val="none"/>
              </w:rPr>
            </w:pPr>
          </w:p>
          <w:p w14:paraId="1045748E">
            <w:pPr>
              <w:spacing w:line="245" w:lineRule="auto"/>
              <w:rPr>
                <w:rFonts w:ascii="Arial"/>
                <w:color w:val="auto"/>
                <w:sz w:val="24"/>
                <w:szCs w:val="24"/>
                <w:highlight w:val="none"/>
              </w:rPr>
            </w:pPr>
          </w:p>
          <w:p w14:paraId="648E6136">
            <w:pPr>
              <w:spacing w:line="245" w:lineRule="auto"/>
              <w:rPr>
                <w:rFonts w:ascii="Arial"/>
                <w:color w:val="auto"/>
                <w:sz w:val="24"/>
                <w:szCs w:val="24"/>
                <w:highlight w:val="none"/>
              </w:rPr>
            </w:pPr>
          </w:p>
          <w:p w14:paraId="30F73DAF">
            <w:pPr>
              <w:spacing w:line="246" w:lineRule="auto"/>
              <w:rPr>
                <w:rFonts w:ascii="Arial"/>
                <w:color w:val="auto"/>
                <w:sz w:val="24"/>
                <w:szCs w:val="24"/>
                <w:highlight w:val="none"/>
              </w:rPr>
            </w:pPr>
          </w:p>
          <w:p w14:paraId="4B3902F6">
            <w:pPr>
              <w:spacing w:line="246" w:lineRule="auto"/>
              <w:rPr>
                <w:rFonts w:ascii="Arial"/>
                <w:color w:val="auto"/>
                <w:sz w:val="24"/>
                <w:szCs w:val="24"/>
                <w:highlight w:val="none"/>
              </w:rPr>
            </w:pPr>
          </w:p>
          <w:p w14:paraId="328F134F">
            <w:pPr>
              <w:spacing w:line="246" w:lineRule="auto"/>
              <w:rPr>
                <w:rFonts w:ascii="Arial"/>
                <w:color w:val="auto"/>
                <w:sz w:val="24"/>
                <w:szCs w:val="24"/>
                <w:highlight w:val="none"/>
              </w:rPr>
            </w:pPr>
          </w:p>
          <w:p w14:paraId="539E5E12">
            <w:pPr>
              <w:spacing w:line="246" w:lineRule="auto"/>
              <w:rPr>
                <w:rFonts w:ascii="Arial"/>
                <w:color w:val="auto"/>
                <w:sz w:val="24"/>
                <w:szCs w:val="24"/>
                <w:highlight w:val="none"/>
              </w:rPr>
            </w:pPr>
          </w:p>
          <w:p w14:paraId="1C84C9A9">
            <w:pPr>
              <w:spacing w:line="246" w:lineRule="auto"/>
              <w:rPr>
                <w:rFonts w:ascii="Arial"/>
                <w:color w:val="auto"/>
                <w:sz w:val="24"/>
                <w:szCs w:val="24"/>
                <w:highlight w:val="none"/>
              </w:rPr>
            </w:pPr>
          </w:p>
          <w:p w14:paraId="50432C09">
            <w:pPr>
              <w:spacing w:line="246" w:lineRule="auto"/>
              <w:rPr>
                <w:rFonts w:ascii="Arial"/>
                <w:color w:val="auto"/>
                <w:sz w:val="24"/>
                <w:szCs w:val="24"/>
                <w:highlight w:val="none"/>
              </w:rPr>
            </w:pPr>
          </w:p>
          <w:p w14:paraId="6A28F13E">
            <w:pPr>
              <w:spacing w:line="246" w:lineRule="auto"/>
              <w:rPr>
                <w:rFonts w:ascii="Arial"/>
                <w:color w:val="auto"/>
                <w:sz w:val="24"/>
                <w:szCs w:val="24"/>
                <w:highlight w:val="none"/>
              </w:rPr>
            </w:pPr>
          </w:p>
          <w:p w14:paraId="1984426F">
            <w:pPr>
              <w:spacing w:line="246" w:lineRule="auto"/>
              <w:rPr>
                <w:rFonts w:ascii="Arial"/>
                <w:color w:val="auto"/>
                <w:sz w:val="24"/>
                <w:szCs w:val="24"/>
                <w:highlight w:val="none"/>
              </w:rPr>
            </w:pPr>
          </w:p>
          <w:p w14:paraId="200D1E0E">
            <w:pPr>
              <w:spacing w:before="60" w:line="187" w:lineRule="auto"/>
              <w:ind w:left="264" w:leftChars="0"/>
              <w:rPr>
                <w:rFonts w:ascii="Times New Roman" w:hAnsi="Times New Roman" w:eastAsia="Times New Roman" w:cs="Times New Roman"/>
                <w:color w:val="auto"/>
                <w:spacing w:val="-1"/>
                <w:sz w:val="24"/>
                <w:szCs w:val="24"/>
                <w:highlight w:val="none"/>
              </w:rPr>
            </w:pPr>
            <w:r>
              <w:rPr>
                <w:rFonts w:ascii="Times New Roman" w:hAnsi="Times New Roman" w:eastAsia="Times New Roman" w:cs="Times New Roman"/>
                <w:color w:val="auto"/>
                <w:spacing w:val="-1"/>
                <w:sz w:val="24"/>
                <w:szCs w:val="24"/>
                <w:highlight w:val="none"/>
              </w:rPr>
              <w:t>3.4.1</w:t>
            </w:r>
          </w:p>
        </w:tc>
        <w:tc>
          <w:tcPr>
            <w:tcW w:w="2451" w:type="dxa"/>
            <w:vAlign w:val="top"/>
          </w:tcPr>
          <w:p w14:paraId="015F6403">
            <w:pPr>
              <w:spacing w:line="241" w:lineRule="auto"/>
              <w:rPr>
                <w:rFonts w:ascii="Arial"/>
                <w:color w:val="auto"/>
                <w:sz w:val="24"/>
                <w:szCs w:val="24"/>
                <w:highlight w:val="none"/>
              </w:rPr>
            </w:pPr>
          </w:p>
          <w:p w14:paraId="6A610DCD">
            <w:pPr>
              <w:spacing w:line="241" w:lineRule="auto"/>
              <w:rPr>
                <w:rFonts w:ascii="Arial"/>
                <w:color w:val="auto"/>
                <w:sz w:val="24"/>
                <w:szCs w:val="24"/>
                <w:highlight w:val="none"/>
              </w:rPr>
            </w:pPr>
          </w:p>
          <w:p w14:paraId="4A916465">
            <w:pPr>
              <w:spacing w:line="242" w:lineRule="auto"/>
              <w:rPr>
                <w:rFonts w:ascii="Arial"/>
                <w:color w:val="auto"/>
                <w:sz w:val="24"/>
                <w:szCs w:val="24"/>
                <w:highlight w:val="none"/>
              </w:rPr>
            </w:pPr>
          </w:p>
          <w:p w14:paraId="6BB50E39">
            <w:pPr>
              <w:spacing w:line="242" w:lineRule="auto"/>
              <w:rPr>
                <w:rFonts w:ascii="Arial"/>
                <w:color w:val="auto"/>
                <w:sz w:val="24"/>
                <w:szCs w:val="24"/>
                <w:highlight w:val="none"/>
              </w:rPr>
            </w:pPr>
          </w:p>
          <w:p w14:paraId="3E5599C6">
            <w:pPr>
              <w:spacing w:line="242" w:lineRule="auto"/>
              <w:rPr>
                <w:rFonts w:ascii="Arial"/>
                <w:color w:val="auto"/>
                <w:sz w:val="24"/>
                <w:szCs w:val="24"/>
                <w:highlight w:val="none"/>
              </w:rPr>
            </w:pPr>
          </w:p>
          <w:p w14:paraId="4801D38C">
            <w:pPr>
              <w:spacing w:line="242" w:lineRule="auto"/>
              <w:rPr>
                <w:rFonts w:ascii="Arial"/>
                <w:color w:val="auto"/>
                <w:sz w:val="24"/>
                <w:szCs w:val="24"/>
                <w:highlight w:val="none"/>
              </w:rPr>
            </w:pPr>
          </w:p>
          <w:p w14:paraId="3069461B">
            <w:pPr>
              <w:spacing w:line="242" w:lineRule="auto"/>
              <w:rPr>
                <w:rFonts w:ascii="Arial"/>
                <w:color w:val="auto"/>
                <w:sz w:val="24"/>
                <w:szCs w:val="24"/>
                <w:highlight w:val="none"/>
              </w:rPr>
            </w:pPr>
          </w:p>
          <w:p w14:paraId="653DFF85">
            <w:pPr>
              <w:spacing w:line="242" w:lineRule="auto"/>
              <w:rPr>
                <w:rFonts w:ascii="Arial"/>
                <w:color w:val="auto"/>
                <w:sz w:val="24"/>
                <w:szCs w:val="24"/>
                <w:highlight w:val="none"/>
              </w:rPr>
            </w:pPr>
          </w:p>
          <w:p w14:paraId="686B0FF0">
            <w:pPr>
              <w:spacing w:line="242" w:lineRule="auto"/>
              <w:rPr>
                <w:rFonts w:ascii="Arial"/>
                <w:color w:val="auto"/>
                <w:sz w:val="24"/>
                <w:szCs w:val="24"/>
                <w:highlight w:val="none"/>
              </w:rPr>
            </w:pPr>
          </w:p>
          <w:p w14:paraId="30E1D92C">
            <w:pPr>
              <w:spacing w:line="242" w:lineRule="auto"/>
              <w:rPr>
                <w:rFonts w:ascii="Arial"/>
                <w:color w:val="auto"/>
                <w:sz w:val="24"/>
                <w:szCs w:val="24"/>
                <w:highlight w:val="none"/>
              </w:rPr>
            </w:pPr>
          </w:p>
          <w:p w14:paraId="76B3288E">
            <w:pPr>
              <w:spacing w:line="242" w:lineRule="auto"/>
              <w:rPr>
                <w:rFonts w:ascii="Arial"/>
                <w:color w:val="auto"/>
                <w:sz w:val="24"/>
                <w:szCs w:val="24"/>
                <w:highlight w:val="none"/>
              </w:rPr>
            </w:pPr>
          </w:p>
          <w:p w14:paraId="4D8C19CC">
            <w:pPr>
              <w:spacing w:line="242" w:lineRule="auto"/>
              <w:rPr>
                <w:rFonts w:ascii="Arial"/>
                <w:color w:val="auto"/>
                <w:sz w:val="24"/>
                <w:szCs w:val="24"/>
                <w:highlight w:val="none"/>
              </w:rPr>
            </w:pPr>
          </w:p>
          <w:p w14:paraId="2B786EBF">
            <w:pPr>
              <w:pStyle w:val="17"/>
              <w:spacing w:before="68" w:line="221" w:lineRule="auto"/>
              <w:ind w:left="108" w:leftChars="0"/>
              <w:rPr>
                <w:color w:val="auto"/>
                <w:spacing w:val="12"/>
                <w:sz w:val="24"/>
                <w:szCs w:val="24"/>
                <w:highlight w:val="none"/>
              </w:rPr>
            </w:pPr>
            <w:r>
              <w:rPr>
                <w:color w:val="auto"/>
                <w:spacing w:val="-2"/>
                <w:sz w:val="24"/>
                <w:szCs w:val="24"/>
                <w:highlight w:val="none"/>
              </w:rPr>
              <w:t>投标保证金</w:t>
            </w:r>
          </w:p>
        </w:tc>
        <w:tc>
          <w:tcPr>
            <w:tcW w:w="5496" w:type="dxa"/>
            <w:tcBorders>
              <w:right w:val="single" w:color="000000" w:sz="6" w:space="0"/>
            </w:tcBorders>
            <w:vAlign w:val="top"/>
          </w:tcPr>
          <w:p w14:paraId="1BB2254B">
            <w:pPr>
              <w:pStyle w:val="17"/>
              <w:spacing w:before="108" w:line="221" w:lineRule="auto"/>
              <w:ind w:left="237"/>
              <w:rPr>
                <w:color w:val="auto"/>
                <w:sz w:val="24"/>
                <w:szCs w:val="24"/>
                <w:highlight w:val="none"/>
              </w:rPr>
            </w:pPr>
            <w:r>
              <w:rPr>
                <w:rFonts w:hint="eastAsia"/>
                <w:color w:val="auto"/>
                <w:spacing w:val="-4"/>
                <w:sz w:val="24"/>
                <w:szCs w:val="24"/>
                <w:highlight w:val="none"/>
                <w:lang w:eastAsia="zh-CN"/>
              </w:rPr>
              <w:t>□</w:t>
            </w:r>
            <w:r>
              <w:rPr>
                <w:color w:val="auto"/>
                <w:spacing w:val="-4"/>
                <w:sz w:val="24"/>
                <w:szCs w:val="24"/>
                <w:highlight w:val="none"/>
              </w:rPr>
              <w:t>不要求递交投标保证金。</w:t>
            </w:r>
          </w:p>
          <w:p w14:paraId="7D9446B6">
            <w:pPr>
              <w:pStyle w:val="17"/>
              <w:spacing w:before="108" w:line="221" w:lineRule="auto"/>
              <w:ind w:left="237"/>
              <w:rPr>
                <w:color w:val="auto"/>
                <w:sz w:val="24"/>
                <w:szCs w:val="24"/>
                <w:highlight w:val="none"/>
              </w:rPr>
            </w:pPr>
            <w:r>
              <w:rPr>
                <w:rFonts w:hint="eastAsia"/>
                <w:color w:val="auto"/>
                <w:spacing w:val="-4"/>
                <w:sz w:val="24"/>
                <w:szCs w:val="24"/>
                <w:highlight w:val="none"/>
                <w:lang w:eastAsia="zh-CN"/>
              </w:rPr>
              <w:t>☑</w:t>
            </w:r>
            <w:r>
              <w:rPr>
                <w:color w:val="auto"/>
                <w:spacing w:val="-4"/>
                <w:sz w:val="24"/>
                <w:szCs w:val="24"/>
                <w:highlight w:val="none"/>
              </w:rPr>
              <w:t>要求递交投标保证金。</w:t>
            </w:r>
          </w:p>
          <w:p w14:paraId="2F5CD433">
            <w:pPr>
              <w:pStyle w:val="17"/>
              <w:spacing w:before="107" w:line="285" w:lineRule="auto"/>
              <w:ind w:left="110" w:right="135" w:firstLine="128"/>
              <w:rPr>
                <w:color w:val="auto"/>
                <w:sz w:val="24"/>
                <w:szCs w:val="24"/>
                <w:highlight w:val="none"/>
              </w:rPr>
            </w:pPr>
            <w:r>
              <w:rPr>
                <w:color w:val="auto"/>
                <w:spacing w:val="-1"/>
                <w:sz w:val="24"/>
                <w:szCs w:val="24"/>
                <w:highlight w:val="none"/>
              </w:rPr>
              <w:t>□浙江省水利建设市场信用评价等级（施工类）A</w:t>
            </w:r>
            <w:r>
              <w:rPr>
                <w:color w:val="auto"/>
                <w:spacing w:val="-2"/>
                <w:sz w:val="24"/>
                <w:szCs w:val="24"/>
                <w:highlight w:val="none"/>
              </w:rPr>
              <w:t>级的投</w:t>
            </w:r>
            <w:r>
              <w:rPr>
                <w:color w:val="auto"/>
                <w:spacing w:val="-1"/>
                <w:sz w:val="24"/>
                <w:szCs w:val="24"/>
                <w:highlight w:val="none"/>
              </w:rPr>
              <w:t>标人（联合体投标的，以牵头人的信用评价等级为准</w:t>
            </w:r>
            <w:r>
              <w:rPr>
                <w:color w:val="auto"/>
                <w:spacing w:val="9"/>
                <w:sz w:val="24"/>
                <w:szCs w:val="24"/>
                <w:highlight w:val="none"/>
              </w:rPr>
              <w:t>），</w:t>
            </w:r>
            <w:r>
              <w:rPr>
                <w:color w:val="auto"/>
                <w:spacing w:val="-3"/>
                <w:sz w:val="24"/>
                <w:szCs w:val="24"/>
                <w:highlight w:val="none"/>
              </w:rPr>
              <w:t>可免交投标保证金。</w:t>
            </w:r>
          </w:p>
          <w:p w14:paraId="4DE8B4EF">
            <w:pPr>
              <w:pStyle w:val="17"/>
              <w:spacing w:before="108" w:line="316" w:lineRule="auto"/>
              <w:ind w:left="121" w:right="99" w:firstLine="202"/>
              <w:rPr>
                <w:rFonts w:hint="eastAsia"/>
                <w:color w:val="auto"/>
                <w:spacing w:val="1"/>
                <w:sz w:val="24"/>
                <w:szCs w:val="24"/>
                <w:highlight w:val="none"/>
              </w:rPr>
            </w:pPr>
            <w:r>
              <w:rPr>
                <w:rFonts w:hint="eastAsia"/>
                <w:color w:val="auto"/>
                <w:spacing w:val="1"/>
                <w:sz w:val="24"/>
                <w:szCs w:val="24"/>
                <w:highlight w:val="none"/>
              </w:rPr>
              <w:t>投标保证金的形式：电子保函、转账（电汇）、网银支付，由投标人自行选择。</w:t>
            </w:r>
          </w:p>
          <w:p w14:paraId="57A56979">
            <w:pPr>
              <w:pStyle w:val="17"/>
              <w:spacing w:before="108" w:line="316" w:lineRule="auto"/>
              <w:ind w:left="121" w:right="99" w:firstLine="20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投标保证金的金额：人民币</w:t>
            </w:r>
            <w:r>
              <w:rPr>
                <w:rFonts w:hint="eastAsia" w:cs="宋体"/>
                <w:color w:val="auto"/>
                <w:spacing w:val="1"/>
                <w:sz w:val="24"/>
                <w:szCs w:val="24"/>
                <w:highlight w:val="none"/>
                <w:u w:val="single"/>
                <w:lang w:val="en-US" w:eastAsia="zh-CN"/>
              </w:rPr>
              <w:t>20万元（大写：贰拾万元整）</w:t>
            </w:r>
            <w:r>
              <w:rPr>
                <w:rFonts w:hint="eastAsia" w:ascii="宋体" w:hAnsi="宋体" w:eastAsia="宋体" w:cs="宋体"/>
                <w:color w:val="auto"/>
                <w:spacing w:val="1"/>
                <w:sz w:val="24"/>
                <w:szCs w:val="24"/>
                <w:highlight w:val="none"/>
              </w:rPr>
              <w:t>（最高不得超过50万元）</w:t>
            </w:r>
          </w:p>
          <w:p w14:paraId="15D4EB57">
            <w:pPr>
              <w:pStyle w:val="17"/>
              <w:spacing w:before="108" w:line="316" w:lineRule="auto"/>
              <w:ind w:left="121" w:right="99" w:firstLine="20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使用电子保函方式缴纳的，具体操作流程详见《嵊州市公共资源交易电子交易平台电子保函操作手册（试行）》，电子保函的保险期限必须不少于投标有效期；投标保证金提交时间：</w:t>
            </w:r>
            <w:r>
              <w:rPr>
                <w:rFonts w:hint="eastAsia" w:ascii="宋体" w:hAnsi="宋体" w:eastAsia="宋体" w:cs="宋体"/>
                <w:color w:val="0000FF"/>
                <w:spacing w:val="1"/>
                <w:sz w:val="24"/>
                <w:szCs w:val="24"/>
                <w:highlight w:val="none"/>
              </w:rPr>
              <w:t>应在202</w:t>
            </w:r>
            <w:r>
              <w:rPr>
                <w:rFonts w:hint="eastAsia" w:cs="宋体"/>
                <w:color w:val="0000FF"/>
                <w:spacing w:val="1"/>
                <w:sz w:val="24"/>
                <w:szCs w:val="24"/>
                <w:highlight w:val="none"/>
                <w:lang w:val="en-US" w:eastAsia="zh-CN"/>
              </w:rPr>
              <w:t>6</w:t>
            </w:r>
            <w:r>
              <w:rPr>
                <w:rFonts w:hint="eastAsia" w:ascii="宋体" w:hAnsi="宋体" w:eastAsia="宋体" w:cs="宋体"/>
                <w:color w:val="0000FF"/>
                <w:spacing w:val="1"/>
                <w:sz w:val="24"/>
                <w:szCs w:val="24"/>
                <w:highlight w:val="none"/>
              </w:rPr>
              <w:t>年</w:t>
            </w:r>
            <w:r>
              <w:rPr>
                <w:rFonts w:hint="eastAsia" w:cs="宋体"/>
                <w:color w:val="0000FF"/>
                <w:spacing w:val="1"/>
                <w:sz w:val="24"/>
                <w:szCs w:val="24"/>
                <w:highlight w:val="none"/>
                <w:lang w:val="en-US" w:eastAsia="zh-CN"/>
              </w:rPr>
              <w:t xml:space="preserve"> </w:t>
            </w:r>
            <w:r>
              <w:rPr>
                <w:rFonts w:hint="eastAsia" w:ascii="宋体" w:hAnsi="宋体" w:eastAsia="宋体" w:cs="宋体"/>
                <w:color w:val="0000FF"/>
                <w:spacing w:val="1"/>
                <w:sz w:val="24"/>
                <w:szCs w:val="24"/>
                <w:highlight w:val="none"/>
              </w:rPr>
              <w:t>月</w:t>
            </w:r>
            <w:r>
              <w:rPr>
                <w:rFonts w:hint="eastAsia" w:cs="宋体"/>
                <w:color w:val="0000FF"/>
                <w:spacing w:val="1"/>
                <w:sz w:val="24"/>
                <w:szCs w:val="24"/>
                <w:highlight w:val="none"/>
                <w:lang w:val="en-US" w:eastAsia="zh-CN"/>
              </w:rPr>
              <w:t xml:space="preserve"> </w:t>
            </w:r>
            <w:r>
              <w:rPr>
                <w:rFonts w:hint="eastAsia" w:ascii="宋体" w:hAnsi="宋体" w:eastAsia="宋体" w:cs="宋体"/>
                <w:color w:val="0000FF"/>
                <w:spacing w:val="1"/>
                <w:sz w:val="24"/>
                <w:szCs w:val="24"/>
                <w:highlight w:val="none"/>
              </w:rPr>
              <w:t>日09:00时</w:t>
            </w:r>
            <w:r>
              <w:rPr>
                <w:rFonts w:hint="eastAsia" w:ascii="宋体" w:hAnsi="宋体" w:eastAsia="宋体" w:cs="宋体"/>
                <w:color w:val="auto"/>
                <w:spacing w:val="1"/>
                <w:sz w:val="24"/>
                <w:szCs w:val="24"/>
                <w:highlight w:val="none"/>
              </w:rPr>
              <w:t>（北京时间）前到账，投标保证金以到账时间为准（包括提交电子保函）</w:t>
            </w:r>
            <w:r>
              <w:rPr>
                <w:rFonts w:hint="eastAsia"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如因投标人自身原因，造成投标单位保证金未及时到账的或者未从其基本账户转出，一律视为不响应招标文件，其投标文件不予以接受。投标人的投标保证金必须从其基本账户转出并在缴存投标保证金时填写项目名称。</w:t>
            </w:r>
          </w:p>
          <w:p w14:paraId="3FF3D190">
            <w:pPr>
              <w:pStyle w:val="17"/>
              <w:spacing w:before="108" w:line="240" w:lineRule="auto"/>
              <w:ind w:left="121" w:right="99" w:firstLine="20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开户名称：嵊州市公共资源交易中心</w:t>
            </w:r>
          </w:p>
          <w:p w14:paraId="27658898">
            <w:pPr>
              <w:pStyle w:val="17"/>
              <w:spacing w:before="108" w:line="240" w:lineRule="auto"/>
              <w:ind w:left="121" w:right="99" w:firstLine="202"/>
              <w:rPr>
                <w:rFonts w:hint="eastAsia" w:ascii="宋体" w:hAnsi="宋体" w:eastAsia="宋体" w:cs="宋体"/>
                <w:color w:val="0000FF"/>
                <w:spacing w:val="1"/>
                <w:sz w:val="24"/>
                <w:szCs w:val="24"/>
                <w:highlight w:val="none"/>
              </w:rPr>
            </w:pPr>
            <w:r>
              <w:rPr>
                <w:rFonts w:hint="eastAsia" w:ascii="宋体" w:hAnsi="宋体" w:eastAsia="宋体" w:cs="宋体"/>
                <w:color w:val="0000FF"/>
                <w:spacing w:val="1"/>
                <w:sz w:val="24"/>
                <w:szCs w:val="24"/>
                <w:highlight w:val="none"/>
              </w:rPr>
              <w:t>开户银行：</w:t>
            </w:r>
          </w:p>
          <w:p w14:paraId="4035A305">
            <w:pPr>
              <w:pStyle w:val="17"/>
              <w:spacing w:before="108" w:line="240" w:lineRule="auto"/>
              <w:ind w:left="121" w:right="99" w:firstLine="202"/>
              <w:rPr>
                <w:rFonts w:hint="eastAsia" w:ascii="宋体" w:hAnsi="宋体" w:eastAsia="宋体" w:cs="宋体"/>
                <w:color w:val="0000FF"/>
                <w:spacing w:val="1"/>
                <w:sz w:val="24"/>
                <w:szCs w:val="24"/>
                <w:highlight w:val="none"/>
              </w:rPr>
            </w:pPr>
            <w:r>
              <w:rPr>
                <w:rFonts w:hint="eastAsia" w:ascii="宋体" w:hAnsi="宋体" w:eastAsia="宋体" w:cs="宋体"/>
                <w:color w:val="0000FF"/>
                <w:spacing w:val="1"/>
                <w:sz w:val="24"/>
                <w:szCs w:val="24"/>
                <w:highlight w:val="none"/>
              </w:rPr>
              <w:t>账   号：</w:t>
            </w:r>
          </w:p>
          <w:p w14:paraId="462F2CFF">
            <w:pPr>
              <w:pStyle w:val="17"/>
              <w:spacing w:before="108" w:line="240" w:lineRule="auto"/>
              <w:ind w:left="121" w:right="99" w:firstLine="202"/>
              <w:rPr>
                <w:rFonts w:hint="eastAsia" w:ascii="宋体" w:hAnsi="宋体" w:eastAsia="宋体" w:cs="宋体"/>
                <w:color w:val="0000FF"/>
                <w:spacing w:val="1"/>
                <w:sz w:val="24"/>
                <w:szCs w:val="24"/>
                <w:highlight w:val="none"/>
              </w:rPr>
            </w:pPr>
            <w:r>
              <w:rPr>
                <w:rFonts w:hint="eastAsia" w:ascii="宋体" w:hAnsi="宋体" w:eastAsia="宋体" w:cs="宋体"/>
                <w:color w:val="0000FF"/>
                <w:spacing w:val="1"/>
                <w:sz w:val="24"/>
                <w:szCs w:val="24"/>
                <w:highlight w:val="none"/>
              </w:rPr>
              <w:t>开户银行：</w:t>
            </w:r>
          </w:p>
          <w:p w14:paraId="2D95012C">
            <w:pPr>
              <w:pStyle w:val="17"/>
              <w:spacing w:before="108" w:line="240" w:lineRule="auto"/>
              <w:ind w:left="121" w:right="99" w:firstLine="202"/>
              <w:rPr>
                <w:rFonts w:hint="eastAsia" w:ascii="宋体" w:hAnsi="宋体" w:eastAsia="宋体" w:cs="宋体"/>
                <w:color w:val="0000FF"/>
                <w:spacing w:val="1"/>
                <w:sz w:val="24"/>
                <w:szCs w:val="24"/>
                <w:highlight w:val="none"/>
              </w:rPr>
            </w:pPr>
            <w:r>
              <w:rPr>
                <w:rFonts w:hint="eastAsia" w:ascii="宋体" w:hAnsi="宋体" w:eastAsia="宋体" w:cs="宋体"/>
                <w:color w:val="0000FF"/>
                <w:spacing w:val="1"/>
                <w:sz w:val="24"/>
                <w:szCs w:val="24"/>
                <w:highlight w:val="none"/>
              </w:rPr>
              <w:t>账    号：</w:t>
            </w:r>
          </w:p>
          <w:p w14:paraId="2E06848B">
            <w:pPr>
              <w:pStyle w:val="17"/>
              <w:spacing w:before="108" w:line="240" w:lineRule="auto"/>
              <w:ind w:left="121" w:right="99" w:firstLine="20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投标人在可供选择的开户银行自行选择缴纳。</w:t>
            </w:r>
          </w:p>
          <w:p w14:paraId="0818EFEB">
            <w:pPr>
              <w:pStyle w:val="17"/>
              <w:spacing w:before="108" w:line="240" w:lineRule="auto"/>
              <w:ind w:left="121" w:right="99" w:firstLine="202"/>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投标保证金的有效期：同投标有效期。</w:t>
            </w:r>
          </w:p>
          <w:p w14:paraId="63EEB4ED">
            <w:pPr>
              <w:pStyle w:val="17"/>
              <w:spacing w:before="108" w:line="316" w:lineRule="auto"/>
              <w:ind w:left="121" w:right="99" w:firstLine="202"/>
              <w:rPr>
                <w:color w:val="auto"/>
                <w:spacing w:val="1"/>
                <w:sz w:val="24"/>
                <w:szCs w:val="24"/>
                <w:highlight w:val="none"/>
              </w:rPr>
            </w:pPr>
            <w:r>
              <w:rPr>
                <w:rFonts w:hint="eastAsia" w:ascii="宋体" w:hAnsi="宋体" w:eastAsia="宋体" w:cs="宋体"/>
                <w:color w:val="auto"/>
                <w:spacing w:val="1"/>
                <w:sz w:val="24"/>
                <w:szCs w:val="24"/>
                <w:highlight w:val="none"/>
              </w:rPr>
              <w:t>备注：重新招标项目，参与投标的投标人仍需按上述规定要求重新递交投标保证金。</w:t>
            </w:r>
          </w:p>
        </w:tc>
      </w:tr>
      <w:tr w14:paraId="1C338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953" w:type="dxa"/>
            <w:tcBorders>
              <w:left w:val="single" w:color="000000" w:sz="6" w:space="0"/>
            </w:tcBorders>
            <w:vAlign w:val="top"/>
          </w:tcPr>
          <w:p w14:paraId="2EAA0746">
            <w:pPr>
              <w:spacing w:line="246" w:lineRule="auto"/>
              <w:rPr>
                <w:rFonts w:ascii="Arial"/>
                <w:color w:val="auto"/>
                <w:sz w:val="24"/>
                <w:szCs w:val="24"/>
                <w:highlight w:val="none"/>
              </w:rPr>
            </w:pPr>
          </w:p>
          <w:p w14:paraId="69675557">
            <w:pPr>
              <w:spacing w:line="246" w:lineRule="auto"/>
              <w:rPr>
                <w:rFonts w:ascii="Arial"/>
                <w:color w:val="auto"/>
                <w:sz w:val="24"/>
                <w:szCs w:val="24"/>
                <w:highlight w:val="none"/>
              </w:rPr>
            </w:pPr>
          </w:p>
          <w:p w14:paraId="13393032">
            <w:pPr>
              <w:spacing w:line="246" w:lineRule="auto"/>
              <w:rPr>
                <w:rFonts w:ascii="Arial"/>
                <w:color w:val="auto"/>
                <w:sz w:val="24"/>
                <w:szCs w:val="24"/>
                <w:highlight w:val="none"/>
              </w:rPr>
            </w:pPr>
          </w:p>
          <w:p w14:paraId="73154F48">
            <w:pPr>
              <w:spacing w:line="246" w:lineRule="auto"/>
              <w:rPr>
                <w:rFonts w:ascii="Arial"/>
                <w:color w:val="auto"/>
                <w:sz w:val="24"/>
                <w:szCs w:val="24"/>
                <w:highlight w:val="none"/>
              </w:rPr>
            </w:pPr>
          </w:p>
          <w:p w14:paraId="43D8F10B">
            <w:pPr>
              <w:spacing w:line="246" w:lineRule="auto"/>
              <w:rPr>
                <w:rFonts w:ascii="Arial"/>
                <w:color w:val="auto"/>
                <w:sz w:val="24"/>
                <w:szCs w:val="24"/>
                <w:highlight w:val="none"/>
              </w:rPr>
            </w:pPr>
          </w:p>
          <w:p w14:paraId="60080BA6">
            <w:pPr>
              <w:spacing w:line="246" w:lineRule="auto"/>
              <w:rPr>
                <w:rFonts w:ascii="Arial"/>
                <w:color w:val="auto"/>
                <w:sz w:val="24"/>
                <w:szCs w:val="24"/>
                <w:highlight w:val="none"/>
              </w:rPr>
            </w:pPr>
          </w:p>
          <w:p w14:paraId="6CBF2721">
            <w:pPr>
              <w:spacing w:line="246" w:lineRule="auto"/>
              <w:rPr>
                <w:rFonts w:ascii="Arial"/>
                <w:color w:val="auto"/>
                <w:sz w:val="24"/>
                <w:szCs w:val="24"/>
                <w:highlight w:val="none"/>
              </w:rPr>
            </w:pPr>
          </w:p>
          <w:p w14:paraId="151F0F10">
            <w:pPr>
              <w:spacing w:line="246" w:lineRule="auto"/>
              <w:rPr>
                <w:rFonts w:ascii="Arial"/>
                <w:color w:val="auto"/>
                <w:sz w:val="24"/>
                <w:szCs w:val="24"/>
                <w:highlight w:val="none"/>
              </w:rPr>
            </w:pPr>
          </w:p>
          <w:p w14:paraId="3AB0803D">
            <w:pPr>
              <w:spacing w:line="246" w:lineRule="auto"/>
              <w:rPr>
                <w:rFonts w:ascii="Arial"/>
                <w:color w:val="auto"/>
                <w:sz w:val="24"/>
                <w:szCs w:val="24"/>
                <w:highlight w:val="none"/>
              </w:rPr>
            </w:pPr>
          </w:p>
          <w:p w14:paraId="4D975DFD">
            <w:pPr>
              <w:spacing w:line="246" w:lineRule="auto"/>
              <w:rPr>
                <w:rFonts w:ascii="Arial"/>
                <w:color w:val="auto"/>
                <w:sz w:val="24"/>
                <w:szCs w:val="24"/>
                <w:highlight w:val="none"/>
              </w:rPr>
            </w:pPr>
          </w:p>
          <w:p w14:paraId="32859EF7">
            <w:pPr>
              <w:spacing w:line="247" w:lineRule="auto"/>
              <w:rPr>
                <w:rFonts w:ascii="Arial"/>
                <w:color w:val="auto"/>
                <w:sz w:val="24"/>
                <w:szCs w:val="24"/>
                <w:highlight w:val="none"/>
              </w:rPr>
            </w:pPr>
          </w:p>
          <w:p w14:paraId="06FE06F1">
            <w:pPr>
              <w:spacing w:line="247" w:lineRule="auto"/>
              <w:rPr>
                <w:rFonts w:ascii="Arial"/>
                <w:color w:val="auto"/>
                <w:sz w:val="24"/>
                <w:szCs w:val="24"/>
                <w:highlight w:val="none"/>
              </w:rPr>
            </w:pPr>
          </w:p>
          <w:p w14:paraId="727BCBE9">
            <w:pPr>
              <w:spacing w:before="60" w:line="187" w:lineRule="auto"/>
              <w:ind w:left="264" w:leftChars="0"/>
              <w:rPr>
                <w:rFonts w:ascii="Times New Roman" w:hAnsi="Times New Roman" w:eastAsia="Times New Roman" w:cs="Times New Roman"/>
                <w:color w:val="auto"/>
                <w:spacing w:val="-1"/>
                <w:sz w:val="24"/>
                <w:szCs w:val="24"/>
                <w:highlight w:val="none"/>
              </w:rPr>
            </w:pPr>
            <w:r>
              <w:rPr>
                <w:rFonts w:ascii="Times New Roman" w:hAnsi="Times New Roman" w:eastAsia="Times New Roman" w:cs="Times New Roman"/>
                <w:color w:val="auto"/>
                <w:spacing w:val="-1"/>
                <w:sz w:val="24"/>
                <w:szCs w:val="24"/>
                <w:highlight w:val="none"/>
              </w:rPr>
              <w:t>3.4.4</w:t>
            </w:r>
          </w:p>
        </w:tc>
        <w:tc>
          <w:tcPr>
            <w:tcW w:w="2451" w:type="dxa"/>
            <w:vAlign w:val="top"/>
          </w:tcPr>
          <w:p w14:paraId="514C4012">
            <w:pPr>
              <w:spacing w:line="248" w:lineRule="auto"/>
              <w:rPr>
                <w:rFonts w:ascii="Arial"/>
                <w:color w:val="auto"/>
                <w:sz w:val="24"/>
                <w:szCs w:val="24"/>
                <w:highlight w:val="none"/>
              </w:rPr>
            </w:pPr>
          </w:p>
          <w:p w14:paraId="2DB21A92">
            <w:pPr>
              <w:spacing w:line="248" w:lineRule="auto"/>
              <w:rPr>
                <w:rFonts w:ascii="Arial"/>
                <w:color w:val="auto"/>
                <w:sz w:val="24"/>
                <w:szCs w:val="24"/>
                <w:highlight w:val="none"/>
              </w:rPr>
            </w:pPr>
          </w:p>
          <w:p w14:paraId="1C8AB6AF">
            <w:pPr>
              <w:spacing w:line="248" w:lineRule="auto"/>
              <w:rPr>
                <w:rFonts w:ascii="Arial"/>
                <w:color w:val="auto"/>
                <w:sz w:val="24"/>
                <w:szCs w:val="24"/>
                <w:highlight w:val="none"/>
              </w:rPr>
            </w:pPr>
          </w:p>
          <w:p w14:paraId="3237B66B">
            <w:pPr>
              <w:spacing w:line="248" w:lineRule="auto"/>
              <w:rPr>
                <w:rFonts w:ascii="Arial"/>
                <w:color w:val="auto"/>
                <w:sz w:val="24"/>
                <w:szCs w:val="24"/>
                <w:highlight w:val="none"/>
              </w:rPr>
            </w:pPr>
          </w:p>
          <w:p w14:paraId="7DAFDB58">
            <w:pPr>
              <w:spacing w:line="248" w:lineRule="auto"/>
              <w:rPr>
                <w:rFonts w:ascii="Arial"/>
                <w:color w:val="auto"/>
                <w:sz w:val="24"/>
                <w:szCs w:val="24"/>
                <w:highlight w:val="none"/>
              </w:rPr>
            </w:pPr>
          </w:p>
          <w:p w14:paraId="4C3C21A6">
            <w:pPr>
              <w:spacing w:line="248" w:lineRule="auto"/>
              <w:rPr>
                <w:rFonts w:ascii="Arial"/>
                <w:color w:val="auto"/>
                <w:sz w:val="24"/>
                <w:szCs w:val="24"/>
                <w:highlight w:val="none"/>
              </w:rPr>
            </w:pPr>
          </w:p>
          <w:p w14:paraId="0BA5FFB3">
            <w:pPr>
              <w:spacing w:line="248" w:lineRule="auto"/>
              <w:rPr>
                <w:rFonts w:ascii="Arial"/>
                <w:color w:val="auto"/>
                <w:sz w:val="24"/>
                <w:szCs w:val="24"/>
                <w:highlight w:val="none"/>
              </w:rPr>
            </w:pPr>
          </w:p>
          <w:p w14:paraId="51A710F8">
            <w:pPr>
              <w:spacing w:line="248" w:lineRule="auto"/>
              <w:rPr>
                <w:rFonts w:ascii="Arial"/>
                <w:color w:val="auto"/>
                <w:sz w:val="24"/>
                <w:szCs w:val="24"/>
                <w:highlight w:val="none"/>
              </w:rPr>
            </w:pPr>
          </w:p>
          <w:p w14:paraId="59AF0136">
            <w:pPr>
              <w:spacing w:line="248" w:lineRule="auto"/>
              <w:rPr>
                <w:rFonts w:ascii="Arial"/>
                <w:color w:val="auto"/>
                <w:sz w:val="24"/>
                <w:szCs w:val="24"/>
                <w:highlight w:val="none"/>
              </w:rPr>
            </w:pPr>
          </w:p>
          <w:p w14:paraId="057C8ED9">
            <w:pPr>
              <w:spacing w:line="248" w:lineRule="auto"/>
              <w:rPr>
                <w:rFonts w:ascii="Arial"/>
                <w:color w:val="auto"/>
                <w:sz w:val="24"/>
                <w:szCs w:val="24"/>
                <w:highlight w:val="none"/>
              </w:rPr>
            </w:pPr>
          </w:p>
          <w:p w14:paraId="4CB12010">
            <w:pPr>
              <w:spacing w:line="249" w:lineRule="auto"/>
              <w:rPr>
                <w:rFonts w:ascii="Arial"/>
                <w:color w:val="auto"/>
                <w:sz w:val="24"/>
                <w:szCs w:val="24"/>
                <w:highlight w:val="none"/>
              </w:rPr>
            </w:pPr>
          </w:p>
          <w:p w14:paraId="4DB0233F">
            <w:pPr>
              <w:pStyle w:val="17"/>
              <w:spacing w:before="68" w:line="319" w:lineRule="auto"/>
              <w:ind w:left="106" w:leftChars="0" w:right="238" w:rightChars="0" w:firstLine="2" w:firstLineChars="0"/>
              <w:rPr>
                <w:color w:val="auto"/>
                <w:spacing w:val="-2"/>
                <w:sz w:val="24"/>
                <w:szCs w:val="24"/>
                <w:highlight w:val="none"/>
              </w:rPr>
            </w:pPr>
            <w:r>
              <w:rPr>
                <w:color w:val="auto"/>
                <w:spacing w:val="-1"/>
                <w:sz w:val="24"/>
                <w:szCs w:val="24"/>
                <w:highlight w:val="none"/>
              </w:rPr>
              <w:t>不予退还投标保证金的</w:t>
            </w:r>
            <w:r>
              <w:rPr>
                <w:color w:val="auto"/>
                <w:spacing w:val="-2"/>
                <w:sz w:val="24"/>
                <w:szCs w:val="24"/>
                <w:highlight w:val="none"/>
              </w:rPr>
              <w:t>情形</w:t>
            </w:r>
          </w:p>
        </w:tc>
        <w:tc>
          <w:tcPr>
            <w:tcW w:w="5496" w:type="dxa"/>
            <w:tcBorders>
              <w:right w:val="single" w:color="000000" w:sz="6" w:space="0"/>
            </w:tcBorders>
            <w:vAlign w:val="top"/>
          </w:tcPr>
          <w:p w14:paraId="1C0AE979">
            <w:pPr>
              <w:pStyle w:val="17"/>
              <w:spacing w:before="114" w:line="221" w:lineRule="auto"/>
              <w:ind w:left="126"/>
              <w:rPr>
                <w:color w:val="auto"/>
                <w:sz w:val="24"/>
                <w:szCs w:val="24"/>
                <w:highlight w:val="none"/>
              </w:rPr>
            </w:pPr>
            <w:r>
              <w:rPr>
                <w:rFonts w:ascii="Times New Roman" w:hAnsi="Times New Roman" w:eastAsia="Times New Roman" w:cs="Times New Roman"/>
                <w:color w:val="auto"/>
                <w:spacing w:val="-2"/>
                <w:sz w:val="24"/>
                <w:szCs w:val="24"/>
                <w:highlight w:val="none"/>
              </w:rPr>
              <w:t>1</w:t>
            </w:r>
            <w:r>
              <w:rPr>
                <w:rFonts w:ascii="Times New Roman" w:hAnsi="Times New Roman" w:eastAsia="Times New Roman" w:cs="Times New Roman"/>
                <w:b/>
                <w:bCs/>
                <w:color w:val="auto"/>
                <w:spacing w:val="-2"/>
                <w:sz w:val="24"/>
                <w:szCs w:val="24"/>
                <w:highlight w:val="none"/>
              </w:rPr>
              <w:t xml:space="preserve">.  </w:t>
            </w:r>
            <w:r>
              <w:rPr>
                <w:color w:val="auto"/>
                <w:spacing w:val="-2"/>
                <w:sz w:val="24"/>
                <w:szCs w:val="24"/>
                <w:highlight w:val="none"/>
              </w:rPr>
              <w:t>投标人在规定的投标有效期内撤销或修改其投标文件。</w:t>
            </w:r>
          </w:p>
          <w:p w14:paraId="2D62E8B0">
            <w:pPr>
              <w:pStyle w:val="17"/>
              <w:spacing w:before="109" w:line="268" w:lineRule="auto"/>
              <w:ind w:left="114" w:right="96" w:hanging="8"/>
              <w:rPr>
                <w:color w:val="auto"/>
                <w:sz w:val="24"/>
                <w:szCs w:val="24"/>
                <w:highlight w:val="none"/>
              </w:rPr>
            </w:pPr>
            <w:r>
              <w:rPr>
                <w:rFonts w:ascii="Times New Roman" w:hAnsi="Times New Roman" w:eastAsia="Times New Roman" w:cs="Times New Roman"/>
                <w:color w:val="auto"/>
                <w:spacing w:val="-2"/>
                <w:sz w:val="24"/>
                <w:szCs w:val="24"/>
                <w:highlight w:val="none"/>
              </w:rPr>
              <w:t>2</w:t>
            </w:r>
            <w:r>
              <w:rPr>
                <w:rFonts w:ascii="Times New Roman" w:hAnsi="Times New Roman" w:eastAsia="Times New Roman" w:cs="Times New Roman"/>
                <w:b/>
                <w:bCs/>
                <w:color w:val="auto"/>
                <w:spacing w:val="-2"/>
                <w:sz w:val="24"/>
                <w:szCs w:val="24"/>
                <w:highlight w:val="none"/>
              </w:rPr>
              <w:t>.</w:t>
            </w:r>
            <w:r>
              <w:rPr>
                <w:rFonts w:ascii="Times New Roman" w:hAnsi="Times New Roman" w:eastAsia="Times New Roman" w:cs="Times New Roman"/>
                <w:b/>
                <w:bCs/>
                <w:color w:val="auto"/>
                <w:spacing w:val="19"/>
                <w:sz w:val="24"/>
                <w:szCs w:val="24"/>
                <w:highlight w:val="none"/>
              </w:rPr>
              <w:t xml:space="preserve">  </w:t>
            </w:r>
            <w:r>
              <w:rPr>
                <w:color w:val="auto"/>
                <w:spacing w:val="-2"/>
                <w:sz w:val="24"/>
                <w:szCs w:val="24"/>
                <w:highlight w:val="none"/>
              </w:rPr>
              <w:t>中标人在收到中标通知书后</w:t>
            </w:r>
            <w:r>
              <w:rPr>
                <w:rFonts w:hint="eastAsia"/>
                <w:color w:val="auto"/>
                <w:spacing w:val="-2"/>
                <w:sz w:val="24"/>
                <w:szCs w:val="24"/>
                <w:highlight w:val="none"/>
                <w:lang w:eastAsia="zh-CN"/>
              </w:rPr>
              <w:t>，</w:t>
            </w:r>
            <w:r>
              <w:rPr>
                <w:color w:val="auto"/>
                <w:spacing w:val="-2"/>
                <w:sz w:val="24"/>
                <w:szCs w:val="24"/>
                <w:highlight w:val="none"/>
              </w:rPr>
              <w:t>无正当理由拒签合同协议</w:t>
            </w:r>
            <w:r>
              <w:rPr>
                <w:color w:val="auto"/>
                <w:spacing w:val="-1"/>
                <w:sz w:val="24"/>
                <w:szCs w:val="24"/>
                <w:highlight w:val="none"/>
              </w:rPr>
              <w:t>书或未按招标文件规定提交履约担保。</w:t>
            </w:r>
          </w:p>
          <w:p w14:paraId="608DB281">
            <w:pPr>
              <w:pStyle w:val="17"/>
              <w:spacing w:before="110" w:line="268" w:lineRule="auto"/>
              <w:ind w:left="110" w:right="295"/>
              <w:rPr>
                <w:color w:val="auto"/>
                <w:sz w:val="24"/>
                <w:szCs w:val="24"/>
                <w:highlight w:val="none"/>
              </w:rPr>
            </w:pPr>
            <w:r>
              <w:rPr>
                <w:rFonts w:ascii="Times New Roman" w:hAnsi="Times New Roman" w:eastAsia="Times New Roman" w:cs="Times New Roman"/>
                <w:color w:val="auto"/>
                <w:sz w:val="24"/>
                <w:szCs w:val="24"/>
                <w:highlight w:val="none"/>
              </w:rPr>
              <w:t>3</w:t>
            </w:r>
            <w:r>
              <w:rPr>
                <w:rFonts w:ascii="Times New Roman" w:hAnsi="Times New Roman" w:eastAsia="Times New Roman" w:cs="Times New Roman"/>
                <w:b/>
                <w:bCs/>
                <w:color w:val="auto"/>
                <w:sz w:val="24"/>
                <w:szCs w:val="24"/>
                <w:highlight w:val="none"/>
              </w:rPr>
              <w:t xml:space="preserve">.  </w:t>
            </w:r>
            <w:r>
              <w:rPr>
                <w:color w:val="auto"/>
                <w:sz w:val="24"/>
                <w:szCs w:val="24"/>
                <w:highlight w:val="none"/>
              </w:rPr>
              <w:t>经查实，投标人在投标过程中存在串</w:t>
            </w:r>
            <w:r>
              <w:rPr>
                <w:color w:val="auto"/>
                <w:spacing w:val="-1"/>
                <w:sz w:val="24"/>
                <w:szCs w:val="24"/>
                <w:highlight w:val="none"/>
              </w:rPr>
              <w:t>通投标或弄虚作</w:t>
            </w:r>
            <w:r>
              <w:rPr>
                <w:color w:val="auto"/>
                <w:spacing w:val="-8"/>
                <w:sz w:val="24"/>
                <w:szCs w:val="24"/>
                <w:highlight w:val="none"/>
              </w:rPr>
              <w:t>假的。</w:t>
            </w:r>
          </w:p>
          <w:p w14:paraId="5862043A">
            <w:pPr>
              <w:pStyle w:val="17"/>
              <w:spacing w:before="109" w:line="285" w:lineRule="auto"/>
              <w:ind w:left="112" w:right="156" w:hanging="7"/>
              <w:rPr>
                <w:color w:val="auto"/>
                <w:sz w:val="24"/>
                <w:szCs w:val="24"/>
                <w:highlight w:val="none"/>
              </w:rPr>
            </w:pPr>
            <w:r>
              <w:rPr>
                <w:rFonts w:ascii="Times New Roman" w:hAnsi="Times New Roman" w:eastAsia="Times New Roman" w:cs="Times New Roman"/>
                <w:color w:val="auto"/>
                <w:spacing w:val="-2"/>
                <w:sz w:val="24"/>
                <w:szCs w:val="24"/>
                <w:highlight w:val="none"/>
              </w:rPr>
              <w:t>4</w:t>
            </w:r>
            <w:r>
              <w:rPr>
                <w:rFonts w:ascii="Times New Roman" w:hAnsi="Times New Roman" w:eastAsia="Times New Roman" w:cs="Times New Roman"/>
                <w:b/>
                <w:bCs/>
                <w:color w:val="auto"/>
                <w:spacing w:val="-2"/>
                <w:sz w:val="24"/>
                <w:szCs w:val="24"/>
                <w:highlight w:val="none"/>
              </w:rPr>
              <w:t>.</w:t>
            </w:r>
            <w:r>
              <w:rPr>
                <w:rFonts w:ascii="Times New Roman" w:hAnsi="Times New Roman" w:eastAsia="Times New Roman" w:cs="Times New Roman"/>
                <w:b/>
                <w:bCs/>
                <w:color w:val="auto"/>
                <w:spacing w:val="24"/>
                <w:sz w:val="24"/>
                <w:szCs w:val="24"/>
                <w:highlight w:val="none"/>
              </w:rPr>
              <w:t xml:space="preserve">  </w:t>
            </w:r>
            <w:r>
              <w:rPr>
                <w:rFonts w:hint="eastAsia"/>
                <w:color w:val="auto"/>
                <w:spacing w:val="-2"/>
                <w:sz w:val="24"/>
                <w:szCs w:val="24"/>
                <w:highlight w:val="none"/>
                <w:lang w:eastAsia="zh-CN"/>
              </w:rPr>
              <w:t>☑</w:t>
            </w:r>
            <w:r>
              <w:rPr>
                <w:color w:val="auto"/>
                <w:spacing w:val="-2"/>
                <w:sz w:val="24"/>
                <w:szCs w:val="24"/>
                <w:highlight w:val="none"/>
              </w:rPr>
              <w:t>拟派项目负责人在投标截止时间有在其他在建合同</w:t>
            </w:r>
            <w:r>
              <w:rPr>
                <w:color w:val="auto"/>
                <w:spacing w:val="-1"/>
                <w:sz w:val="24"/>
                <w:szCs w:val="24"/>
                <w:highlight w:val="none"/>
              </w:rPr>
              <w:t>工程上担任项目负责人（包括工程总承包项目中的</w:t>
            </w:r>
            <w:r>
              <w:rPr>
                <w:color w:val="auto"/>
                <w:spacing w:val="-2"/>
                <w:sz w:val="24"/>
                <w:szCs w:val="24"/>
                <w:highlight w:val="none"/>
              </w:rPr>
              <w:t>施工负</w:t>
            </w:r>
            <w:r>
              <w:rPr>
                <w:color w:val="auto"/>
                <w:spacing w:val="-4"/>
                <w:sz w:val="24"/>
                <w:szCs w:val="24"/>
                <w:highlight w:val="none"/>
              </w:rPr>
              <w:t>责人）的情形。</w:t>
            </w:r>
          </w:p>
          <w:p w14:paraId="036647CD">
            <w:pPr>
              <w:pStyle w:val="17"/>
              <w:spacing w:before="108" w:line="213" w:lineRule="auto"/>
              <w:ind w:left="112"/>
              <w:rPr>
                <w:color w:val="auto"/>
                <w:sz w:val="24"/>
                <w:szCs w:val="24"/>
                <w:highlight w:val="none"/>
              </w:rPr>
            </w:pPr>
            <w:r>
              <w:rPr>
                <w:rFonts w:ascii="Times New Roman" w:hAnsi="Times New Roman" w:eastAsia="Times New Roman" w:cs="Times New Roman"/>
                <w:color w:val="auto"/>
                <w:spacing w:val="-1"/>
                <w:sz w:val="24"/>
                <w:szCs w:val="24"/>
                <w:highlight w:val="none"/>
              </w:rPr>
              <w:t>5</w:t>
            </w:r>
            <w:r>
              <w:rPr>
                <w:rFonts w:ascii="Times New Roman" w:hAnsi="Times New Roman" w:eastAsia="Times New Roman" w:cs="Times New Roman"/>
                <w:b/>
                <w:bCs/>
                <w:color w:val="auto"/>
                <w:spacing w:val="-1"/>
                <w:sz w:val="24"/>
                <w:szCs w:val="24"/>
                <w:highlight w:val="none"/>
              </w:rPr>
              <w:t>.</w:t>
            </w:r>
            <w:r>
              <w:rPr>
                <w:color w:val="auto"/>
                <w:spacing w:val="-1"/>
                <w:sz w:val="24"/>
                <w:szCs w:val="24"/>
                <w:highlight w:val="none"/>
              </w:rPr>
              <w:t>其他：</w:t>
            </w:r>
            <w:r>
              <w:rPr>
                <w:rFonts w:hint="eastAsia"/>
                <w:color w:val="auto"/>
                <w:spacing w:val="-1"/>
                <w:sz w:val="24"/>
                <w:szCs w:val="24"/>
                <w:highlight w:val="none"/>
                <w:u w:val="single"/>
                <w:lang w:val="en-US" w:eastAsia="zh-CN"/>
              </w:rPr>
              <w:t xml:space="preserve">  /  </w:t>
            </w:r>
            <w:r>
              <w:rPr>
                <w:color w:val="auto"/>
                <w:spacing w:val="-1"/>
                <w:sz w:val="24"/>
                <w:szCs w:val="24"/>
                <w:highlight w:val="none"/>
              </w:rPr>
              <w:t>。</w:t>
            </w:r>
          </w:p>
          <w:p w14:paraId="099D9BA3">
            <w:pPr>
              <w:pStyle w:val="17"/>
              <w:spacing w:before="117" w:line="220" w:lineRule="auto"/>
              <w:ind w:left="321"/>
              <w:rPr>
                <w:color w:val="auto"/>
                <w:sz w:val="24"/>
                <w:szCs w:val="24"/>
                <w:highlight w:val="none"/>
              </w:rPr>
            </w:pPr>
            <w:r>
              <w:rPr>
                <w:color w:val="auto"/>
                <w:spacing w:val="-2"/>
                <w:sz w:val="24"/>
                <w:szCs w:val="24"/>
                <w:highlight w:val="none"/>
              </w:rPr>
              <w:t>注：本招标文件的</w:t>
            </w:r>
            <w:r>
              <w:rPr>
                <w:rFonts w:ascii="Times New Roman" w:hAnsi="Times New Roman" w:eastAsia="Times New Roman" w:cs="Times New Roman"/>
                <w:color w:val="auto"/>
                <w:spacing w:val="-2"/>
                <w:sz w:val="24"/>
                <w:szCs w:val="24"/>
                <w:highlight w:val="none"/>
              </w:rPr>
              <w:t>“</w:t>
            </w:r>
            <w:r>
              <w:rPr>
                <w:color w:val="auto"/>
                <w:spacing w:val="-2"/>
                <w:sz w:val="24"/>
                <w:szCs w:val="24"/>
                <w:highlight w:val="none"/>
              </w:rPr>
              <w:t>投标保证金不予退还</w:t>
            </w:r>
            <w:r>
              <w:rPr>
                <w:rFonts w:ascii="Times New Roman" w:hAnsi="Times New Roman" w:eastAsia="Times New Roman" w:cs="Times New Roman"/>
                <w:color w:val="auto"/>
                <w:spacing w:val="-2"/>
                <w:sz w:val="24"/>
                <w:szCs w:val="24"/>
                <w:highlight w:val="none"/>
              </w:rPr>
              <w:t>”</w:t>
            </w:r>
            <w:r>
              <w:rPr>
                <w:color w:val="auto"/>
                <w:spacing w:val="-2"/>
                <w:sz w:val="24"/>
                <w:szCs w:val="24"/>
                <w:highlight w:val="none"/>
              </w:rPr>
              <w:t>是指：</w:t>
            </w:r>
          </w:p>
          <w:p w14:paraId="56EA1B66">
            <w:pPr>
              <w:pStyle w:val="17"/>
              <w:spacing w:before="111" w:line="221" w:lineRule="auto"/>
              <w:ind w:left="327"/>
              <w:rPr>
                <w:color w:val="auto"/>
                <w:sz w:val="24"/>
                <w:szCs w:val="24"/>
                <w:highlight w:val="none"/>
              </w:rPr>
            </w:pPr>
            <w:r>
              <w:rPr>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color w:val="auto"/>
                <w:spacing w:val="-2"/>
                <w:sz w:val="24"/>
                <w:szCs w:val="24"/>
                <w:highlight w:val="none"/>
              </w:rPr>
              <w:t>）以现金转账形式，转账现金不予退还。</w:t>
            </w:r>
          </w:p>
          <w:p w14:paraId="7137E8F8">
            <w:pPr>
              <w:pStyle w:val="17"/>
              <w:spacing w:before="107" w:line="269" w:lineRule="auto"/>
              <w:ind w:left="114" w:right="242" w:firstLine="213"/>
              <w:rPr>
                <w:color w:val="auto"/>
                <w:sz w:val="24"/>
                <w:szCs w:val="24"/>
                <w:highlight w:val="none"/>
              </w:rPr>
            </w:pPr>
            <w:r>
              <w:rPr>
                <w:color w:val="auto"/>
                <w:spacing w:val="-1"/>
                <w:sz w:val="24"/>
                <w:szCs w:val="24"/>
                <w:highlight w:val="none"/>
              </w:rPr>
              <w:t>（</w:t>
            </w:r>
            <w:r>
              <w:rPr>
                <w:rFonts w:ascii="Times New Roman" w:hAnsi="Times New Roman" w:eastAsia="Times New Roman" w:cs="Times New Roman"/>
                <w:color w:val="auto"/>
                <w:spacing w:val="-1"/>
                <w:sz w:val="24"/>
                <w:szCs w:val="24"/>
                <w:highlight w:val="none"/>
              </w:rPr>
              <w:t>2</w:t>
            </w:r>
            <w:r>
              <w:rPr>
                <w:color w:val="auto"/>
                <w:spacing w:val="-1"/>
                <w:sz w:val="24"/>
                <w:szCs w:val="24"/>
                <w:highlight w:val="none"/>
              </w:rPr>
              <w:t>）以银行保函形式，招标人作为受益人向银行提起</w:t>
            </w:r>
            <w:r>
              <w:rPr>
                <w:color w:val="auto"/>
                <w:spacing w:val="-9"/>
                <w:sz w:val="24"/>
                <w:szCs w:val="24"/>
                <w:highlight w:val="none"/>
              </w:rPr>
              <w:t>索赔。</w:t>
            </w:r>
          </w:p>
          <w:p w14:paraId="75FD8CA0">
            <w:pPr>
              <w:pStyle w:val="17"/>
              <w:spacing w:before="108" w:line="269" w:lineRule="auto"/>
              <w:ind w:left="111" w:right="461" w:firstLine="215"/>
              <w:rPr>
                <w:color w:val="auto"/>
                <w:sz w:val="24"/>
                <w:szCs w:val="24"/>
                <w:highlight w:val="none"/>
              </w:rPr>
            </w:pPr>
            <w:r>
              <w:rPr>
                <w:color w:val="auto"/>
                <w:spacing w:val="-1"/>
                <w:sz w:val="24"/>
                <w:szCs w:val="24"/>
                <w:highlight w:val="none"/>
              </w:rPr>
              <w:t>（</w:t>
            </w:r>
            <w:r>
              <w:rPr>
                <w:rFonts w:ascii="Times New Roman" w:hAnsi="Times New Roman" w:eastAsia="Times New Roman" w:cs="Times New Roman"/>
                <w:color w:val="auto"/>
                <w:spacing w:val="-1"/>
                <w:sz w:val="24"/>
                <w:szCs w:val="24"/>
                <w:highlight w:val="none"/>
              </w:rPr>
              <w:t>3</w:t>
            </w:r>
            <w:r>
              <w:rPr>
                <w:color w:val="auto"/>
                <w:spacing w:val="-1"/>
                <w:sz w:val="24"/>
                <w:szCs w:val="24"/>
                <w:highlight w:val="none"/>
              </w:rPr>
              <w:t>）以保证保险形式，招标人作为被保险人（受益</w:t>
            </w:r>
            <w:r>
              <w:rPr>
                <w:color w:val="auto"/>
                <w:spacing w:val="-5"/>
                <w:sz w:val="24"/>
                <w:szCs w:val="24"/>
                <w:highlight w:val="none"/>
              </w:rPr>
              <w:t>人）向保险人提起索赔。</w:t>
            </w:r>
          </w:p>
          <w:p w14:paraId="13738225">
            <w:pPr>
              <w:pStyle w:val="17"/>
              <w:spacing w:before="108" w:line="267" w:lineRule="auto"/>
              <w:ind w:left="111" w:leftChars="0" w:right="242" w:rightChars="0" w:firstLine="215" w:firstLineChars="0"/>
              <w:rPr>
                <w:rFonts w:hint="eastAsia" w:ascii="宋体" w:hAnsi="宋体" w:eastAsia="宋体" w:cs="宋体"/>
                <w:color w:val="auto"/>
                <w:spacing w:val="1"/>
                <w:sz w:val="24"/>
                <w:szCs w:val="24"/>
                <w:highlight w:val="none"/>
              </w:rPr>
            </w:pPr>
            <w:r>
              <w:rPr>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color w:val="auto"/>
                <w:spacing w:val="-1"/>
                <w:sz w:val="24"/>
                <w:szCs w:val="24"/>
                <w:highlight w:val="none"/>
              </w:rPr>
              <w:t>）以担保公司担保形式，招标人作为受益人向担保</w:t>
            </w:r>
            <w:r>
              <w:rPr>
                <w:color w:val="auto"/>
                <w:spacing w:val="-2"/>
                <w:sz w:val="24"/>
                <w:szCs w:val="24"/>
                <w:highlight w:val="none"/>
              </w:rPr>
              <w:t>人提起索赔。</w:t>
            </w:r>
          </w:p>
        </w:tc>
      </w:tr>
      <w:tr w14:paraId="54B8A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953" w:type="dxa"/>
            <w:tcBorders>
              <w:left w:val="single" w:color="000000" w:sz="6" w:space="0"/>
            </w:tcBorders>
            <w:shd w:val="clear" w:color="auto" w:fill="auto"/>
            <w:vAlign w:val="top"/>
          </w:tcPr>
          <w:p w14:paraId="3654BAC3">
            <w:pPr>
              <w:spacing w:line="263" w:lineRule="auto"/>
              <w:rPr>
                <w:rFonts w:ascii="Arial"/>
                <w:color w:val="auto"/>
                <w:sz w:val="24"/>
                <w:szCs w:val="24"/>
                <w:highlight w:val="none"/>
              </w:rPr>
            </w:pPr>
          </w:p>
          <w:p w14:paraId="3A10F25F">
            <w:pPr>
              <w:spacing w:before="61" w:line="187" w:lineRule="auto"/>
              <w:ind w:left="264" w:leftChars="0"/>
              <w:rPr>
                <w:rFonts w:ascii="Times New Roman" w:hAnsi="Times New Roman" w:eastAsia="Times New Roman" w:cs="Times New Roman"/>
                <w:snapToGrid w:val="0"/>
                <w:color w:val="auto"/>
                <w:kern w:val="0"/>
                <w:sz w:val="24"/>
                <w:szCs w:val="24"/>
                <w:highlight w:val="none"/>
                <w:lang w:val="en-US" w:eastAsia="en-US" w:bidi="ar-SA"/>
              </w:rPr>
            </w:pPr>
            <w:r>
              <w:rPr>
                <w:rFonts w:ascii="Times New Roman" w:hAnsi="Times New Roman" w:eastAsia="Times New Roman" w:cs="Times New Roman"/>
                <w:color w:val="auto"/>
                <w:spacing w:val="-1"/>
                <w:sz w:val="24"/>
                <w:szCs w:val="24"/>
                <w:highlight w:val="none"/>
              </w:rPr>
              <w:t>3.5.2</w:t>
            </w:r>
          </w:p>
        </w:tc>
        <w:tc>
          <w:tcPr>
            <w:tcW w:w="2451" w:type="dxa"/>
            <w:shd w:val="clear" w:color="auto" w:fill="auto"/>
            <w:vAlign w:val="top"/>
          </w:tcPr>
          <w:p w14:paraId="5ADCFE99">
            <w:pPr>
              <w:pStyle w:val="17"/>
              <w:spacing w:before="106" w:line="267" w:lineRule="auto"/>
              <w:ind w:left="107" w:leftChars="0" w:right="106" w:rightChars="0" w:hanging="2" w:firstLineChars="0"/>
              <w:rPr>
                <w:rFonts w:ascii="宋体" w:hAnsi="宋体" w:eastAsia="宋体" w:cs="宋体"/>
                <w:snapToGrid w:val="0"/>
                <w:color w:val="auto"/>
                <w:kern w:val="0"/>
                <w:sz w:val="24"/>
                <w:szCs w:val="24"/>
                <w:highlight w:val="none"/>
                <w:lang w:val="en-US" w:eastAsia="en-US" w:bidi="ar-SA"/>
              </w:rPr>
            </w:pPr>
            <w:r>
              <w:rPr>
                <w:color w:val="auto"/>
                <w:spacing w:val="12"/>
                <w:sz w:val="24"/>
                <w:szCs w:val="24"/>
                <w:highlight w:val="none"/>
              </w:rPr>
              <w:t>近年财务状况的年份要</w:t>
            </w:r>
            <w:r>
              <w:rPr>
                <w:color w:val="auto"/>
                <w:sz w:val="24"/>
                <w:szCs w:val="24"/>
                <w:highlight w:val="none"/>
              </w:rPr>
              <w:t>求</w:t>
            </w:r>
          </w:p>
        </w:tc>
        <w:tc>
          <w:tcPr>
            <w:tcW w:w="5496" w:type="dxa"/>
            <w:tcBorders>
              <w:right w:val="single" w:color="000000" w:sz="6" w:space="0"/>
            </w:tcBorders>
            <w:shd w:val="clear" w:color="auto" w:fill="auto"/>
            <w:vAlign w:val="top"/>
          </w:tcPr>
          <w:p w14:paraId="3C8D864F">
            <w:pPr>
              <w:pStyle w:val="17"/>
              <w:tabs>
                <w:tab w:val="left" w:pos="838"/>
              </w:tabs>
              <w:spacing w:before="286" w:line="221" w:lineRule="auto"/>
              <w:ind w:left="313" w:leftChars="0"/>
              <w:rPr>
                <w:rFonts w:ascii="宋体" w:hAnsi="宋体" w:eastAsia="宋体" w:cs="宋体"/>
                <w:snapToGrid w:val="0"/>
                <w:color w:val="auto"/>
                <w:kern w:val="0"/>
                <w:sz w:val="24"/>
                <w:szCs w:val="24"/>
                <w:highlight w:val="none"/>
                <w:lang w:val="en-US" w:eastAsia="en-US" w:bidi="ar-SA"/>
              </w:rPr>
            </w:pPr>
            <w:r>
              <w:rPr>
                <w:color w:val="auto"/>
                <w:spacing w:val="25"/>
                <w:sz w:val="24"/>
                <w:szCs w:val="24"/>
                <w:highlight w:val="none"/>
                <w:u w:val="single" w:color="auto"/>
              </w:rPr>
              <w:t xml:space="preserve"> </w:t>
            </w:r>
            <w:r>
              <w:rPr>
                <w:rFonts w:hint="eastAsia"/>
                <w:color w:val="auto"/>
                <w:sz w:val="24"/>
                <w:szCs w:val="24"/>
                <w:highlight w:val="none"/>
                <w:u w:val="single" w:color="auto"/>
                <w:lang w:val="en-US" w:eastAsia="zh-CN"/>
              </w:rPr>
              <w:t xml:space="preserve">/ </w:t>
            </w:r>
            <w:r>
              <w:rPr>
                <w:color w:val="auto"/>
                <w:spacing w:val="-92"/>
                <w:sz w:val="24"/>
                <w:szCs w:val="24"/>
                <w:highlight w:val="none"/>
              </w:rPr>
              <w:t xml:space="preserve"> </w:t>
            </w:r>
            <w:r>
              <w:rPr>
                <w:rFonts w:hint="eastAsia"/>
                <w:color w:val="auto"/>
                <w:spacing w:val="-92"/>
                <w:sz w:val="24"/>
                <w:szCs w:val="24"/>
                <w:highlight w:val="none"/>
                <w:lang w:val="en-US" w:eastAsia="zh-CN"/>
              </w:rPr>
              <w:t xml:space="preserve"> </w:t>
            </w:r>
            <w:r>
              <w:rPr>
                <w:color w:val="auto"/>
                <w:spacing w:val="-92"/>
                <w:sz w:val="24"/>
                <w:szCs w:val="24"/>
                <w:highlight w:val="none"/>
              </w:rPr>
              <w:t xml:space="preserve"> </w:t>
            </w:r>
            <w:r>
              <w:rPr>
                <w:color w:val="auto"/>
                <w:spacing w:val="-3"/>
                <w:sz w:val="24"/>
                <w:szCs w:val="24"/>
                <w:highlight w:val="none"/>
              </w:rPr>
              <w:t>年（</w:t>
            </w:r>
            <w:r>
              <w:rPr>
                <w:color w:val="auto"/>
                <w:spacing w:val="-3"/>
                <w:sz w:val="24"/>
                <w:szCs w:val="24"/>
                <w:highlight w:val="none"/>
                <w:u w:val="single" w:color="auto"/>
              </w:rPr>
              <w:t xml:space="preserve">  </w:t>
            </w:r>
            <w:r>
              <w:rPr>
                <w:rFonts w:hint="eastAsia"/>
                <w:color w:val="auto"/>
                <w:sz w:val="24"/>
                <w:szCs w:val="24"/>
                <w:highlight w:val="none"/>
                <w:u w:val="single" w:color="auto"/>
                <w:lang w:val="en-US" w:eastAsia="zh-CN"/>
              </w:rPr>
              <w:t>/</w:t>
            </w:r>
            <w:r>
              <w:rPr>
                <w:color w:val="auto"/>
                <w:spacing w:val="-3"/>
                <w:sz w:val="24"/>
                <w:szCs w:val="24"/>
                <w:highlight w:val="none"/>
                <w:u w:val="single" w:color="auto"/>
              </w:rPr>
              <w:t xml:space="preserve">  </w:t>
            </w:r>
            <w:r>
              <w:rPr>
                <w:color w:val="auto"/>
                <w:spacing w:val="-96"/>
                <w:sz w:val="24"/>
                <w:szCs w:val="24"/>
                <w:highlight w:val="none"/>
              </w:rPr>
              <w:t xml:space="preserve"> </w:t>
            </w:r>
            <w:r>
              <w:rPr>
                <w:color w:val="auto"/>
                <w:spacing w:val="-3"/>
                <w:sz w:val="24"/>
                <w:szCs w:val="24"/>
                <w:highlight w:val="none"/>
              </w:rPr>
              <w:t>年至</w:t>
            </w:r>
            <w:r>
              <w:rPr>
                <w:color w:val="auto"/>
                <w:spacing w:val="25"/>
                <w:sz w:val="24"/>
                <w:szCs w:val="24"/>
                <w:highlight w:val="none"/>
                <w:u w:val="single" w:color="auto"/>
              </w:rPr>
              <w:t xml:space="preserve">  </w:t>
            </w:r>
            <w:r>
              <w:rPr>
                <w:rFonts w:hint="eastAsia"/>
                <w:color w:val="auto"/>
                <w:sz w:val="24"/>
                <w:szCs w:val="24"/>
                <w:highlight w:val="none"/>
                <w:u w:val="single" w:color="auto"/>
                <w:lang w:val="en-US" w:eastAsia="zh-CN"/>
              </w:rPr>
              <w:t>/</w:t>
            </w:r>
            <w:r>
              <w:rPr>
                <w:color w:val="auto"/>
                <w:spacing w:val="25"/>
                <w:sz w:val="24"/>
                <w:szCs w:val="24"/>
                <w:highlight w:val="none"/>
                <w:u w:val="single" w:color="auto"/>
              </w:rPr>
              <w:t xml:space="preserve">  </w:t>
            </w:r>
            <w:r>
              <w:rPr>
                <w:color w:val="auto"/>
                <w:spacing w:val="-93"/>
                <w:sz w:val="24"/>
                <w:szCs w:val="24"/>
                <w:highlight w:val="none"/>
              </w:rPr>
              <w:t xml:space="preserve"> </w:t>
            </w:r>
            <w:r>
              <w:rPr>
                <w:color w:val="auto"/>
                <w:spacing w:val="-3"/>
                <w:sz w:val="24"/>
                <w:szCs w:val="24"/>
                <w:highlight w:val="none"/>
              </w:rPr>
              <w:t>年）</w:t>
            </w:r>
          </w:p>
        </w:tc>
      </w:tr>
      <w:tr w14:paraId="6FF3E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953" w:type="dxa"/>
            <w:tcBorders>
              <w:left w:val="single" w:color="000000" w:sz="6" w:space="0"/>
            </w:tcBorders>
            <w:shd w:val="clear" w:color="auto" w:fill="auto"/>
            <w:vAlign w:val="top"/>
          </w:tcPr>
          <w:p w14:paraId="15B96E86">
            <w:pPr>
              <w:spacing w:line="264" w:lineRule="auto"/>
              <w:rPr>
                <w:rFonts w:ascii="Arial"/>
                <w:color w:val="auto"/>
                <w:sz w:val="24"/>
                <w:szCs w:val="24"/>
                <w:highlight w:val="none"/>
              </w:rPr>
            </w:pPr>
          </w:p>
          <w:p w14:paraId="75481252">
            <w:pPr>
              <w:spacing w:before="60" w:line="187" w:lineRule="auto"/>
              <w:ind w:left="264" w:leftChars="0"/>
              <w:rPr>
                <w:rFonts w:ascii="Times New Roman" w:hAnsi="Times New Roman" w:eastAsia="Times New Roman" w:cs="Times New Roman"/>
                <w:snapToGrid w:val="0"/>
                <w:color w:val="auto"/>
                <w:kern w:val="0"/>
                <w:sz w:val="24"/>
                <w:szCs w:val="24"/>
                <w:highlight w:val="none"/>
                <w:lang w:val="en-US" w:eastAsia="en-US" w:bidi="ar-SA"/>
              </w:rPr>
            </w:pPr>
            <w:r>
              <w:rPr>
                <w:rFonts w:ascii="Times New Roman" w:hAnsi="Times New Roman" w:eastAsia="Times New Roman" w:cs="Times New Roman"/>
                <w:color w:val="auto"/>
                <w:spacing w:val="-1"/>
                <w:sz w:val="24"/>
                <w:szCs w:val="24"/>
                <w:highlight w:val="none"/>
              </w:rPr>
              <w:t>3.5.3</w:t>
            </w:r>
          </w:p>
        </w:tc>
        <w:tc>
          <w:tcPr>
            <w:tcW w:w="2451" w:type="dxa"/>
            <w:shd w:val="clear" w:color="auto" w:fill="auto"/>
            <w:vAlign w:val="top"/>
          </w:tcPr>
          <w:p w14:paraId="0A5D0E0D">
            <w:pPr>
              <w:pStyle w:val="17"/>
              <w:spacing w:before="108" w:line="266" w:lineRule="auto"/>
              <w:ind w:left="107" w:leftChars="0" w:right="106" w:rightChars="0" w:hanging="2" w:firstLineChars="0"/>
              <w:rPr>
                <w:rFonts w:ascii="宋体" w:hAnsi="宋体" w:eastAsia="宋体" w:cs="宋体"/>
                <w:snapToGrid w:val="0"/>
                <w:color w:val="auto"/>
                <w:kern w:val="0"/>
                <w:sz w:val="24"/>
                <w:szCs w:val="24"/>
                <w:highlight w:val="none"/>
                <w:lang w:val="en-US" w:eastAsia="en-US" w:bidi="ar-SA"/>
              </w:rPr>
            </w:pPr>
            <w:r>
              <w:rPr>
                <w:color w:val="auto"/>
                <w:spacing w:val="12"/>
                <w:sz w:val="24"/>
                <w:szCs w:val="24"/>
                <w:highlight w:val="none"/>
              </w:rPr>
              <w:t>近年完成的类似项目情</w:t>
            </w:r>
            <w:r>
              <w:rPr>
                <w:color w:val="auto"/>
                <w:spacing w:val="-2"/>
                <w:sz w:val="24"/>
                <w:szCs w:val="24"/>
                <w:highlight w:val="none"/>
              </w:rPr>
              <w:t>况的年份要求</w:t>
            </w:r>
          </w:p>
        </w:tc>
        <w:tc>
          <w:tcPr>
            <w:tcW w:w="5496" w:type="dxa"/>
            <w:tcBorders>
              <w:right w:val="single" w:color="000000" w:sz="6" w:space="0"/>
            </w:tcBorders>
            <w:shd w:val="clear" w:color="auto" w:fill="auto"/>
            <w:vAlign w:val="top"/>
          </w:tcPr>
          <w:p w14:paraId="199B3988">
            <w:pPr>
              <w:pStyle w:val="17"/>
              <w:tabs>
                <w:tab w:val="left" w:pos="838"/>
              </w:tabs>
              <w:spacing w:before="287" w:line="221" w:lineRule="auto"/>
              <w:ind w:left="313" w:leftChars="0"/>
              <w:rPr>
                <w:rFonts w:ascii="宋体" w:hAnsi="宋体" w:eastAsia="宋体" w:cs="宋体"/>
                <w:snapToGrid w:val="0"/>
                <w:color w:val="auto"/>
                <w:kern w:val="0"/>
                <w:sz w:val="24"/>
                <w:szCs w:val="24"/>
                <w:highlight w:val="none"/>
                <w:lang w:val="en-US" w:eastAsia="en-US" w:bidi="ar-SA"/>
              </w:rPr>
            </w:pPr>
            <w:r>
              <w:rPr>
                <w:rFonts w:hint="eastAsia"/>
                <w:color w:val="auto"/>
                <w:spacing w:val="-79"/>
                <w:sz w:val="24"/>
                <w:szCs w:val="24"/>
                <w:highlight w:val="none"/>
                <w:u w:val="single"/>
                <w:lang w:val="en-US" w:eastAsia="zh-CN"/>
              </w:rPr>
              <w:t xml:space="preserve">      /     </w:t>
            </w:r>
            <w:r>
              <w:rPr>
                <w:color w:val="auto"/>
                <w:spacing w:val="-4"/>
                <w:sz w:val="24"/>
                <w:szCs w:val="24"/>
                <w:highlight w:val="none"/>
              </w:rPr>
              <w:t>年（</w:t>
            </w:r>
            <w:r>
              <w:rPr>
                <w:color w:val="auto"/>
                <w:spacing w:val="-4"/>
                <w:sz w:val="24"/>
                <w:szCs w:val="24"/>
                <w:highlight w:val="none"/>
                <w:u w:val="single" w:color="auto"/>
              </w:rPr>
              <w:t xml:space="preserve"> </w:t>
            </w:r>
            <w:r>
              <w:rPr>
                <w:rFonts w:hint="eastAsia"/>
                <w:color w:val="auto"/>
                <w:spacing w:val="-4"/>
                <w:sz w:val="24"/>
                <w:szCs w:val="24"/>
                <w:highlight w:val="none"/>
                <w:u w:val="single" w:color="auto"/>
                <w:lang w:val="en-US" w:eastAsia="zh-CN"/>
              </w:rPr>
              <w:t>/</w:t>
            </w:r>
            <w:r>
              <w:rPr>
                <w:color w:val="auto"/>
                <w:spacing w:val="-4"/>
                <w:sz w:val="24"/>
                <w:szCs w:val="24"/>
                <w:highlight w:val="none"/>
                <w:u w:val="single" w:color="auto"/>
              </w:rPr>
              <w:t xml:space="preserve"> </w:t>
            </w:r>
            <w:r>
              <w:rPr>
                <w:color w:val="auto"/>
                <w:spacing w:val="-4"/>
                <w:sz w:val="24"/>
                <w:szCs w:val="24"/>
                <w:highlight w:val="none"/>
              </w:rPr>
              <w:t>年</w:t>
            </w:r>
            <w:r>
              <w:rPr>
                <w:color w:val="auto"/>
                <w:spacing w:val="-4"/>
                <w:sz w:val="24"/>
                <w:szCs w:val="24"/>
                <w:highlight w:val="none"/>
                <w:u w:val="single" w:color="auto"/>
              </w:rPr>
              <w:t xml:space="preserve">  </w:t>
            </w:r>
            <w:r>
              <w:rPr>
                <w:rFonts w:hint="eastAsia"/>
                <w:color w:val="auto"/>
                <w:spacing w:val="-4"/>
                <w:sz w:val="24"/>
                <w:szCs w:val="24"/>
                <w:highlight w:val="none"/>
                <w:u w:val="single" w:color="auto"/>
                <w:lang w:val="en-US" w:eastAsia="zh-CN"/>
              </w:rPr>
              <w:t>/</w:t>
            </w:r>
            <w:r>
              <w:rPr>
                <w:color w:val="auto"/>
                <w:spacing w:val="-4"/>
                <w:sz w:val="24"/>
                <w:szCs w:val="24"/>
                <w:highlight w:val="none"/>
                <w:u w:val="single" w:color="auto"/>
              </w:rPr>
              <w:t xml:space="preserve"> </w:t>
            </w:r>
            <w:r>
              <w:rPr>
                <w:color w:val="auto"/>
                <w:spacing w:val="-4"/>
                <w:sz w:val="24"/>
                <w:szCs w:val="24"/>
                <w:highlight w:val="none"/>
              </w:rPr>
              <w:t>月</w:t>
            </w:r>
            <w:r>
              <w:rPr>
                <w:color w:val="auto"/>
                <w:spacing w:val="-4"/>
                <w:sz w:val="24"/>
                <w:szCs w:val="24"/>
                <w:highlight w:val="none"/>
                <w:u w:val="single" w:color="auto"/>
              </w:rPr>
              <w:t xml:space="preserve"> </w:t>
            </w:r>
            <w:r>
              <w:rPr>
                <w:rFonts w:hint="eastAsia"/>
                <w:color w:val="auto"/>
                <w:spacing w:val="-4"/>
                <w:sz w:val="24"/>
                <w:szCs w:val="24"/>
                <w:highlight w:val="none"/>
                <w:u w:val="single" w:color="auto"/>
                <w:lang w:val="en-US" w:eastAsia="zh-CN"/>
              </w:rPr>
              <w:t>/</w:t>
            </w:r>
            <w:r>
              <w:rPr>
                <w:color w:val="auto"/>
                <w:spacing w:val="-4"/>
                <w:sz w:val="24"/>
                <w:szCs w:val="24"/>
                <w:highlight w:val="none"/>
                <w:u w:val="single" w:color="auto"/>
              </w:rPr>
              <w:t xml:space="preserve"> </w:t>
            </w:r>
            <w:r>
              <w:rPr>
                <w:color w:val="auto"/>
                <w:spacing w:val="-4"/>
                <w:sz w:val="24"/>
                <w:szCs w:val="24"/>
                <w:highlight w:val="none"/>
              </w:rPr>
              <w:t>日至投标截止时间）</w:t>
            </w:r>
          </w:p>
        </w:tc>
      </w:tr>
      <w:tr w14:paraId="473D8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953" w:type="dxa"/>
            <w:tcBorders>
              <w:left w:val="single" w:color="000000" w:sz="6" w:space="0"/>
              <w:bottom w:val="single" w:color="000000" w:sz="6" w:space="0"/>
            </w:tcBorders>
            <w:shd w:val="clear" w:color="auto" w:fill="auto"/>
            <w:vAlign w:val="top"/>
          </w:tcPr>
          <w:p w14:paraId="463CD647">
            <w:pPr>
              <w:spacing w:line="264" w:lineRule="auto"/>
              <w:rPr>
                <w:rFonts w:ascii="Arial"/>
                <w:color w:val="auto"/>
                <w:sz w:val="24"/>
                <w:szCs w:val="24"/>
                <w:highlight w:val="none"/>
              </w:rPr>
            </w:pPr>
          </w:p>
          <w:p w14:paraId="52635AB3">
            <w:pPr>
              <w:spacing w:before="61" w:line="187" w:lineRule="auto"/>
              <w:ind w:left="344" w:leftChars="0"/>
              <w:rPr>
                <w:rFonts w:ascii="Times New Roman" w:hAnsi="Times New Roman" w:eastAsia="Times New Roman" w:cs="Times New Roman"/>
                <w:snapToGrid w:val="0"/>
                <w:color w:val="auto"/>
                <w:kern w:val="0"/>
                <w:sz w:val="24"/>
                <w:szCs w:val="24"/>
                <w:highlight w:val="none"/>
                <w:lang w:val="en-US" w:eastAsia="en-US" w:bidi="ar-SA"/>
              </w:rPr>
            </w:pPr>
            <w:r>
              <w:rPr>
                <w:rFonts w:ascii="Times New Roman" w:hAnsi="Times New Roman" w:eastAsia="Times New Roman" w:cs="Times New Roman"/>
                <w:color w:val="auto"/>
                <w:spacing w:val="-2"/>
                <w:sz w:val="24"/>
                <w:szCs w:val="24"/>
                <w:highlight w:val="none"/>
              </w:rPr>
              <w:t>3.6</w:t>
            </w:r>
          </w:p>
        </w:tc>
        <w:tc>
          <w:tcPr>
            <w:tcW w:w="2451" w:type="dxa"/>
            <w:tcBorders>
              <w:bottom w:val="single" w:color="000000" w:sz="6" w:space="0"/>
            </w:tcBorders>
            <w:shd w:val="clear" w:color="auto" w:fill="auto"/>
            <w:vAlign w:val="top"/>
          </w:tcPr>
          <w:p w14:paraId="77628EEC">
            <w:pPr>
              <w:pStyle w:val="17"/>
              <w:spacing w:before="108" w:line="266" w:lineRule="auto"/>
              <w:ind w:left="106" w:leftChars="0" w:right="238" w:rightChars="0" w:firstLine="2" w:firstLineChars="0"/>
              <w:rPr>
                <w:rFonts w:ascii="宋体" w:hAnsi="宋体" w:eastAsia="宋体" w:cs="宋体"/>
                <w:snapToGrid w:val="0"/>
                <w:color w:val="auto"/>
                <w:kern w:val="0"/>
                <w:sz w:val="24"/>
                <w:szCs w:val="24"/>
                <w:highlight w:val="none"/>
                <w:lang w:val="en-US" w:eastAsia="en-US" w:bidi="ar-SA"/>
              </w:rPr>
            </w:pPr>
            <w:r>
              <w:rPr>
                <w:color w:val="auto"/>
                <w:spacing w:val="-1"/>
                <w:sz w:val="24"/>
                <w:szCs w:val="24"/>
                <w:highlight w:val="none"/>
              </w:rPr>
              <w:t>是否允许递交备选投标</w:t>
            </w:r>
            <w:r>
              <w:rPr>
                <w:color w:val="auto"/>
                <w:spacing w:val="-2"/>
                <w:sz w:val="24"/>
                <w:szCs w:val="24"/>
                <w:highlight w:val="none"/>
              </w:rPr>
              <w:t>方案</w:t>
            </w:r>
          </w:p>
        </w:tc>
        <w:tc>
          <w:tcPr>
            <w:tcW w:w="5496" w:type="dxa"/>
            <w:tcBorders>
              <w:bottom w:val="single" w:color="000000" w:sz="6" w:space="0"/>
              <w:right w:val="single" w:color="000000" w:sz="6" w:space="0"/>
            </w:tcBorders>
            <w:shd w:val="clear" w:color="auto" w:fill="auto"/>
            <w:vAlign w:val="top"/>
          </w:tcPr>
          <w:p w14:paraId="7674F8E7">
            <w:pPr>
              <w:pStyle w:val="17"/>
              <w:spacing w:before="107" w:line="221" w:lineRule="auto"/>
              <w:ind w:left="237"/>
              <w:rPr>
                <w:color w:val="auto"/>
                <w:sz w:val="24"/>
                <w:szCs w:val="24"/>
                <w:highlight w:val="none"/>
              </w:rPr>
            </w:pPr>
            <w:r>
              <w:rPr>
                <w:rFonts w:hint="eastAsia"/>
                <w:color w:val="auto"/>
                <w:spacing w:val="-9"/>
                <w:sz w:val="24"/>
                <w:szCs w:val="24"/>
                <w:highlight w:val="none"/>
                <w:lang w:eastAsia="zh-CN"/>
              </w:rPr>
              <w:t>☑</w:t>
            </w:r>
            <w:r>
              <w:rPr>
                <w:color w:val="auto"/>
                <w:spacing w:val="-9"/>
                <w:sz w:val="24"/>
                <w:szCs w:val="24"/>
                <w:highlight w:val="none"/>
              </w:rPr>
              <w:t>不允许。</w:t>
            </w:r>
          </w:p>
          <w:p w14:paraId="54DABC3C">
            <w:pPr>
              <w:pStyle w:val="17"/>
              <w:spacing w:before="109" w:line="216" w:lineRule="auto"/>
              <w:ind w:left="237" w:leftChars="0"/>
              <w:rPr>
                <w:rFonts w:ascii="宋体" w:hAnsi="宋体" w:eastAsia="宋体" w:cs="宋体"/>
                <w:snapToGrid w:val="0"/>
                <w:color w:val="auto"/>
                <w:kern w:val="0"/>
                <w:sz w:val="24"/>
                <w:szCs w:val="24"/>
                <w:highlight w:val="none"/>
                <w:lang w:val="en-US" w:eastAsia="en-US" w:bidi="ar-SA"/>
              </w:rPr>
            </w:pPr>
            <w:r>
              <w:rPr>
                <w:color w:val="auto"/>
                <w:spacing w:val="-7"/>
                <w:sz w:val="24"/>
                <w:szCs w:val="24"/>
                <w:highlight w:val="none"/>
              </w:rPr>
              <w:t>□允许。</w:t>
            </w:r>
          </w:p>
        </w:tc>
      </w:tr>
    </w:tbl>
    <w:p w14:paraId="3F71CF0A">
      <w:pPr>
        <w:rPr>
          <w:color w:val="auto"/>
          <w:highlight w:val="none"/>
        </w:rPr>
        <w:sectPr>
          <w:footerReference r:id="rId9" w:type="default"/>
          <w:pgSz w:w="11907" w:h="16841"/>
          <w:pgMar w:top="1431" w:right="1466" w:bottom="1254" w:left="1523" w:header="0" w:footer="1093" w:gutter="0"/>
          <w:pgNumType w:fmt="decimal"/>
          <w:cols w:space="720" w:num="1"/>
        </w:sectPr>
      </w:pPr>
    </w:p>
    <w:p w14:paraId="0CC339EE">
      <w:pPr>
        <w:spacing w:line="89" w:lineRule="auto"/>
        <w:rPr>
          <w:rFonts w:ascii="Arial"/>
          <w:color w:val="auto"/>
          <w:sz w:val="2"/>
          <w:highlight w:val="none"/>
        </w:rPr>
      </w:pPr>
    </w:p>
    <w:p w14:paraId="366F5234">
      <w:pPr>
        <w:spacing w:line="89" w:lineRule="auto"/>
        <w:rPr>
          <w:rFonts w:ascii="Arial"/>
          <w:color w:val="auto"/>
          <w:sz w:val="2"/>
          <w:highlight w:val="none"/>
        </w:rPr>
      </w:pPr>
    </w:p>
    <w:tbl>
      <w:tblPr>
        <w:tblStyle w:val="16"/>
        <w:tblW w:w="89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2279"/>
        <w:gridCol w:w="5739"/>
      </w:tblGrid>
      <w:tr w14:paraId="59A45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53" w:type="dxa"/>
            <w:tcBorders>
              <w:top w:val="single" w:color="000000" w:sz="6" w:space="0"/>
              <w:left w:val="single" w:color="000000" w:sz="6" w:space="0"/>
            </w:tcBorders>
            <w:vAlign w:val="top"/>
          </w:tcPr>
          <w:p w14:paraId="4E8324F2">
            <w:pPr>
              <w:pStyle w:val="17"/>
              <w:spacing w:before="213" w:line="221" w:lineRule="auto"/>
              <w:ind w:left="158"/>
              <w:rPr>
                <w:color w:val="auto"/>
                <w:sz w:val="24"/>
                <w:szCs w:val="24"/>
                <w:highlight w:val="none"/>
              </w:rPr>
            </w:pPr>
            <w:r>
              <w:rPr>
                <w:b/>
                <w:bCs/>
                <w:color w:val="auto"/>
                <w:spacing w:val="-4"/>
                <w:sz w:val="24"/>
                <w:szCs w:val="24"/>
                <w:highlight w:val="none"/>
              </w:rPr>
              <w:t>条款号</w:t>
            </w:r>
          </w:p>
        </w:tc>
        <w:tc>
          <w:tcPr>
            <w:tcW w:w="2279" w:type="dxa"/>
            <w:tcBorders>
              <w:top w:val="single" w:color="000000" w:sz="6" w:space="0"/>
            </w:tcBorders>
            <w:vAlign w:val="top"/>
          </w:tcPr>
          <w:p w14:paraId="6EA05F1C">
            <w:pPr>
              <w:pStyle w:val="17"/>
              <w:spacing w:before="213" w:line="221" w:lineRule="auto"/>
              <w:ind w:left="642"/>
              <w:rPr>
                <w:color w:val="auto"/>
                <w:sz w:val="24"/>
                <w:szCs w:val="24"/>
                <w:highlight w:val="none"/>
              </w:rPr>
            </w:pPr>
            <w:r>
              <w:rPr>
                <w:b/>
                <w:bCs/>
                <w:color w:val="auto"/>
                <w:spacing w:val="-9"/>
                <w:sz w:val="24"/>
                <w:szCs w:val="24"/>
                <w:highlight w:val="none"/>
              </w:rPr>
              <w:t>条</w:t>
            </w:r>
            <w:r>
              <w:rPr>
                <w:color w:val="auto"/>
                <w:spacing w:val="9"/>
                <w:sz w:val="24"/>
                <w:szCs w:val="24"/>
                <w:highlight w:val="none"/>
              </w:rPr>
              <w:t xml:space="preserve"> </w:t>
            </w:r>
            <w:r>
              <w:rPr>
                <w:b/>
                <w:bCs/>
                <w:color w:val="auto"/>
                <w:spacing w:val="-9"/>
                <w:sz w:val="24"/>
                <w:szCs w:val="24"/>
                <w:highlight w:val="none"/>
              </w:rPr>
              <w:t>款</w:t>
            </w:r>
            <w:r>
              <w:rPr>
                <w:color w:val="auto"/>
                <w:spacing w:val="12"/>
                <w:sz w:val="24"/>
                <w:szCs w:val="24"/>
                <w:highlight w:val="none"/>
              </w:rPr>
              <w:t xml:space="preserve"> </w:t>
            </w:r>
            <w:r>
              <w:rPr>
                <w:b/>
                <w:bCs/>
                <w:color w:val="auto"/>
                <w:spacing w:val="-9"/>
                <w:sz w:val="24"/>
                <w:szCs w:val="24"/>
                <w:highlight w:val="none"/>
              </w:rPr>
              <w:t>名</w:t>
            </w:r>
            <w:r>
              <w:rPr>
                <w:color w:val="auto"/>
                <w:spacing w:val="5"/>
                <w:sz w:val="24"/>
                <w:szCs w:val="24"/>
                <w:highlight w:val="none"/>
              </w:rPr>
              <w:t xml:space="preserve"> </w:t>
            </w:r>
            <w:r>
              <w:rPr>
                <w:b/>
                <w:bCs/>
                <w:color w:val="auto"/>
                <w:spacing w:val="-9"/>
                <w:sz w:val="24"/>
                <w:szCs w:val="24"/>
                <w:highlight w:val="none"/>
              </w:rPr>
              <w:t>称</w:t>
            </w:r>
          </w:p>
        </w:tc>
        <w:tc>
          <w:tcPr>
            <w:tcW w:w="5739" w:type="dxa"/>
            <w:tcBorders>
              <w:top w:val="single" w:color="000000" w:sz="6" w:space="0"/>
              <w:right w:val="single" w:color="000000" w:sz="6" w:space="0"/>
            </w:tcBorders>
            <w:vAlign w:val="top"/>
          </w:tcPr>
          <w:p w14:paraId="2788A6E3">
            <w:pPr>
              <w:pStyle w:val="17"/>
              <w:spacing w:before="213" w:line="221" w:lineRule="auto"/>
              <w:ind w:left="1702"/>
              <w:rPr>
                <w:color w:val="auto"/>
                <w:sz w:val="24"/>
                <w:szCs w:val="24"/>
                <w:highlight w:val="none"/>
              </w:rPr>
            </w:pPr>
            <w:r>
              <w:rPr>
                <w:b/>
                <w:bCs/>
                <w:color w:val="auto"/>
                <w:spacing w:val="-16"/>
                <w:sz w:val="24"/>
                <w:szCs w:val="24"/>
                <w:highlight w:val="none"/>
              </w:rPr>
              <w:t>编</w:t>
            </w:r>
            <w:r>
              <w:rPr>
                <w:color w:val="auto"/>
                <w:spacing w:val="4"/>
                <w:sz w:val="24"/>
                <w:szCs w:val="24"/>
                <w:highlight w:val="none"/>
              </w:rPr>
              <w:t xml:space="preserve">    </w:t>
            </w:r>
            <w:r>
              <w:rPr>
                <w:b/>
                <w:bCs/>
                <w:color w:val="auto"/>
                <w:spacing w:val="-16"/>
                <w:sz w:val="24"/>
                <w:szCs w:val="24"/>
                <w:highlight w:val="none"/>
              </w:rPr>
              <w:t>列</w:t>
            </w:r>
            <w:r>
              <w:rPr>
                <w:color w:val="auto"/>
                <w:spacing w:val="8"/>
                <w:sz w:val="24"/>
                <w:szCs w:val="24"/>
                <w:highlight w:val="none"/>
              </w:rPr>
              <w:t xml:space="preserve">    </w:t>
            </w:r>
            <w:r>
              <w:rPr>
                <w:b/>
                <w:bCs/>
                <w:color w:val="auto"/>
                <w:spacing w:val="-16"/>
                <w:sz w:val="24"/>
                <w:szCs w:val="24"/>
                <w:highlight w:val="none"/>
              </w:rPr>
              <w:t>内</w:t>
            </w:r>
            <w:r>
              <w:rPr>
                <w:color w:val="auto"/>
                <w:spacing w:val="3"/>
                <w:sz w:val="24"/>
                <w:szCs w:val="24"/>
                <w:highlight w:val="none"/>
              </w:rPr>
              <w:t xml:space="preserve">    </w:t>
            </w:r>
            <w:r>
              <w:rPr>
                <w:b/>
                <w:bCs/>
                <w:color w:val="auto"/>
                <w:spacing w:val="-16"/>
                <w:sz w:val="24"/>
                <w:szCs w:val="24"/>
                <w:highlight w:val="none"/>
              </w:rPr>
              <w:t>容</w:t>
            </w:r>
          </w:p>
        </w:tc>
      </w:tr>
      <w:tr w14:paraId="6B3C2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0" w:hRule="atLeast"/>
        </w:trPr>
        <w:tc>
          <w:tcPr>
            <w:tcW w:w="953" w:type="dxa"/>
            <w:tcBorders>
              <w:left w:val="single" w:color="000000" w:sz="6" w:space="0"/>
            </w:tcBorders>
            <w:vAlign w:val="top"/>
          </w:tcPr>
          <w:p w14:paraId="043D089C">
            <w:pPr>
              <w:spacing w:line="256" w:lineRule="auto"/>
              <w:rPr>
                <w:rFonts w:ascii="Arial"/>
                <w:color w:val="auto"/>
                <w:sz w:val="24"/>
                <w:szCs w:val="24"/>
                <w:highlight w:val="none"/>
              </w:rPr>
            </w:pPr>
          </w:p>
          <w:p w14:paraId="5BE79B32">
            <w:pPr>
              <w:spacing w:line="256" w:lineRule="auto"/>
              <w:rPr>
                <w:rFonts w:ascii="Arial"/>
                <w:color w:val="auto"/>
                <w:sz w:val="24"/>
                <w:szCs w:val="24"/>
                <w:highlight w:val="none"/>
              </w:rPr>
            </w:pPr>
          </w:p>
          <w:p w14:paraId="1C3842E4">
            <w:pPr>
              <w:spacing w:line="257" w:lineRule="auto"/>
              <w:rPr>
                <w:rFonts w:ascii="Arial"/>
                <w:color w:val="auto"/>
                <w:sz w:val="24"/>
                <w:szCs w:val="24"/>
                <w:highlight w:val="none"/>
              </w:rPr>
            </w:pPr>
          </w:p>
          <w:p w14:paraId="1322A383">
            <w:pPr>
              <w:spacing w:line="257" w:lineRule="auto"/>
              <w:rPr>
                <w:rFonts w:ascii="Arial"/>
                <w:color w:val="auto"/>
                <w:sz w:val="24"/>
                <w:szCs w:val="24"/>
                <w:highlight w:val="none"/>
              </w:rPr>
            </w:pPr>
          </w:p>
          <w:p w14:paraId="2C465B91">
            <w:pPr>
              <w:spacing w:line="257" w:lineRule="auto"/>
              <w:rPr>
                <w:rFonts w:ascii="Arial"/>
                <w:color w:val="auto"/>
                <w:sz w:val="24"/>
                <w:szCs w:val="24"/>
                <w:highlight w:val="none"/>
              </w:rPr>
            </w:pPr>
          </w:p>
          <w:p w14:paraId="45FC17B1">
            <w:pPr>
              <w:spacing w:line="257" w:lineRule="auto"/>
              <w:rPr>
                <w:rFonts w:ascii="Arial"/>
                <w:color w:val="auto"/>
                <w:sz w:val="24"/>
                <w:szCs w:val="24"/>
                <w:highlight w:val="none"/>
              </w:rPr>
            </w:pPr>
          </w:p>
          <w:p w14:paraId="19EB0552">
            <w:pPr>
              <w:spacing w:line="257" w:lineRule="auto"/>
              <w:rPr>
                <w:rFonts w:ascii="Arial"/>
                <w:color w:val="auto"/>
                <w:sz w:val="24"/>
                <w:szCs w:val="24"/>
                <w:highlight w:val="none"/>
              </w:rPr>
            </w:pPr>
          </w:p>
          <w:p w14:paraId="71872305">
            <w:pPr>
              <w:spacing w:line="257" w:lineRule="auto"/>
              <w:rPr>
                <w:rFonts w:ascii="Arial"/>
                <w:color w:val="auto"/>
                <w:sz w:val="24"/>
                <w:szCs w:val="24"/>
                <w:highlight w:val="none"/>
              </w:rPr>
            </w:pPr>
          </w:p>
          <w:p w14:paraId="18EFA128">
            <w:pPr>
              <w:spacing w:before="60" w:line="187" w:lineRule="auto"/>
              <w:ind w:left="264"/>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
                <w:sz w:val="24"/>
                <w:szCs w:val="24"/>
                <w:highlight w:val="none"/>
              </w:rPr>
              <w:t>3.7.3</w:t>
            </w:r>
          </w:p>
        </w:tc>
        <w:tc>
          <w:tcPr>
            <w:tcW w:w="2279" w:type="dxa"/>
            <w:vAlign w:val="top"/>
          </w:tcPr>
          <w:p w14:paraId="4815193B">
            <w:pPr>
              <w:spacing w:line="250" w:lineRule="auto"/>
              <w:rPr>
                <w:rFonts w:ascii="Arial"/>
                <w:color w:val="auto"/>
                <w:sz w:val="24"/>
                <w:szCs w:val="24"/>
                <w:highlight w:val="none"/>
              </w:rPr>
            </w:pPr>
          </w:p>
          <w:p w14:paraId="5E647A8E">
            <w:pPr>
              <w:spacing w:line="251" w:lineRule="auto"/>
              <w:rPr>
                <w:rFonts w:ascii="Arial"/>
                <w:color w:val="auto"/>
                <w:sz w:val="24"/>
                <w:szCs w:val="24"/>
                <w:highlight w:val="none"/>
              </w:rPr>
            </w:pPr>
          </w:p>
          <w:p w14:paraId="4D0A7A72">
            <w:pPr>
              <w:spacing w:line="251" w:lineRule="auto"/>
              <w:rPr>
                <w:rFonts w:ascii="Arial"/>
                <w:color w:val="auto"/>
                <w:sz w:val="24"/>
                <w:szCs w:val="24"/>
                <w:highlight w:val="none"/>
              </w:rPr>
            </w:pPr>
          </w:p>
          <w:p w14:paraId="37BE25CD">
            <w:pPr>
              <w:spacing w:line="251" w:lineRule="auto"/>
              <w:rPr>
                <w:rFonts w:ascii="Arial"/>
                <w:color w:val="auto"/>
                <w:sz w:val="24"/>
                <w:szCs w:val="24"/>
                <w:highlight w:val="none"/>
              </w:rPr>
            </w:pPr>
          </w:p>
          <w:p w14:paraId="73F60CE9">
            <w:pPr>
              <w:spacing w:line="251" w:lineRule="auto"/>
              <w:rPr>
                <w:rFonts w:ascii="Arial"/>
                <w:color w:val="auto"/>
                <w:sz w:val="24"/>
                <w:szCs w:val="24"/>
                <w:highlight w:val="none"/>
              </w:rPr>
            </w:pPr>
          </w:p>
          <w:p w14:paraId="05DE2E65">
            <w:pPr>
              <w:spacing w:line="251" w:lineRule="auto"/>
              <w:rPr>
                <w:rFonts w:ascii="Arial"/>
                <w:color w:val="auto"/>
                <w:sz w:val="24"/>
                <w:szCs w:val="24"/>
                <w:highlight w:val="none"/>
              </w:rPr>
            </w:pPr>
          </w:p>
          <w:p w14:paraId="7F27B294">
            <w:pPr>
              <w:spacing w:line="251" w:lineRule="auto"/>
              <w:rPr>
                <w:rFonts w:ascii="Arial"/>
                <w:color w:val="auto"/>
                <w:sz w:val="24"/>
                <w:szCs w:val="24"/>
                <w:highlight w:val="none"/>
              </w:rPr>
            </w:pPr>
          </w:p>
          <w:p w14:paraId="45A5BD1B">
            <w:pPr>
              <w:spacing w:line="251" w:lineRule="auto"/>
              <w:rPr>
                <w:rFonts w:ascii="Arial"/>
                <w:color w:val="auto"/>
                <w:sz w:val="24"/>
                <w:szCs w:val="24"/>
                <w:highlight w:val="none"/>
              </w:rPr>
            </w:pPr>
          </w:p>
          <w:p w14:paraId="272810E1">
            <w:pPr>
              <w:pStyle w:val="17"/>
              <w:spacing w:before="69" w:line="221" w:lineRule="auto"/>
              <w:ind w:left="108"/>
              <w:rPr>
                <w:color w:val="auto"/>
                <w:sz w:val="24"/>
                <w:szCs w:val="24"/>
                <w:highlight w:val="none"/>
              </w:rPr>
            </w:pPr>
            <w:r>
              <w:rPr>
                <w:color w:val="auto"/>
                <w:spacing w:val="-2"/>
                <w:sz w:val="24"/>
                <w:szCs w:val="24"/>
                <w:highlight w:val="none"/>
              </w:rPr>
              <w:t>投标文件制作要求</w:t>
            </w:r>
          </w:p>
        </w:tc>
        <w:tc>
          <w:tcPr>
            <w:tcW w:w="5739" w:type="dxa"/>
            <w:tcBorders>
              <w:right w:val="single" w:color="000000" w:sz="6" w:space="0"/>
            </w:tcBorders>
            <w:vAlign w:val="top"/>
          </w:tcPr>
          <w:p w14:paraId="798053D6">
            <w:pPr>
              <w:pStyle w:val="17"/>
              <w:spacing w:before="106" w:line="307" w:lineRule="auto"/>
              <w:ind w:left="110" w:right="98" w:firstLine="227"/>
              <w:rPr>
                <w:color w:val="auto"/>
                <w:sz w:val="24"/>
                <w:szCs w:val="24"/>
                <w:highlight w:val="none"/>
              </w:rPr>
            </w:pPr>
            <w:r>
              <w:rPr>
                <w:rFonts w:ascii="Times New Roman" w:hAnsi="Times New Roman" w:eastAsia="Times New Roman" w:cs="Times New Roman"/>
                <w:color w:val="auto"/>
                <w:spacing w:val="3"/>
                <w:sz w:val="24"/>
                <w:szCs w:val="24"/>
                <w:highlight w:val="none"/>
              </w:rPr>
              <w:t>1</w:t>
            </w:r>
            <w:r>
              <w:rPr>
                <w:rFonts w:ascii="Times New Roman" w:hAnsi="Times New Roman" w:eastAsia="Times New Roman" w:cs="Times New Roman"/>
                <w:b/>
                <w:bCs/>
                <w:color w:val="auto"/>
                <w:spacing w:val="3"/>
                <w:sz w:val="24"/>
                <w:szCs w:val="24"/>
                <w:highlight w:val="none"/>
              </w:rPr>
              <w:t xml:space="preserve">.  </w:t>
            </w:r>
            <w:r>
              <w:rPr>
                <w:color w:val="auto"/>
                <w:spacing w:val="3"/>
                <w:sz w:val="24"/>
                <w:szCs w:val="24"/>
                <w:highlight w:val="none"/>
              </w:rPr>
              <w:t>投标文件格式文件要求法定代表人签字或盖章的</w:t>
            </w:r>
            <w:r>
              <w:rPr>
                <w:rFonts w:hint="eastAsia" w:ascii="Times New Roman" w:hAnsi="Times New Roman" w:cs="Times New Roman"/>
                <w:color w:val="auto"/>
                <w:spacing w:val="3"/>
                <w:sz w:val="24"/>
                <w:szCs w:val="24"/>
                <w:highlight w:val="none"/>
                <w:lang w:eastAsia="zh-CN"/>
              </w:rPr>
              <w:t>，</w:t>
            </w:r>
            <w:r>
              <w:rPr>
                <w:color w:val="auto"/>
                <w:spacing w:val="3"/>
                <w:sz w:val="24"/>
                <w:szCs w:val="24"/>
                <w:highlight w:val="none"/>
              </w:rPr>
              <w:t>电</w:t>
            </w:r>
            <w:r>
              <w:rPr>
                <w:color w:val="auto"/>
                <w:spacing w:val="6"/>
                <w:sz w:val="24"/>
                <w:szCs w:val="24"/>
                <w:highlight w:val="none"/>
              </w:rPr>
              <w:t>子投标文件应使用</w:t>
            </w:r>
            <w:r>
              <w:rPr>
                <w:rFonts w:ascii="Times New Roman" w:hAnsi="Times New Roman" w:eastAsia="Times New Roman" w:cs="Times New Roman"/>
                <w:b/>
                <w:bCs/>
                <w:color w:val="auto"/>
                <w:sz w:val="24"/>
                <w:szCs w:val="24"/>
                <w:highlight w:val="none"/>
              </w:rPr>
              <w:t>CA</w:t>
            </w:r>
            <w:r>
              <w:rPr>
                <w:color w:val="auto"/>
                <w:spacing w:val="6"/>
                <w:sz w:val="24"/>
                <w:szCs w:val="24"/>
                <w:highlight w:val="none"/>
              </w:rPr>
              <w:t>数字证书加盖法定代表人个人电子</w:t>
            </w:r>
            <w:r>
              <w:rPr>
                <w:color w:val="auto"/>
                <w:spacing w:val="1"/>
                <w:sz w:val="24"/>
                <w:szCs w:val="24"/>
                <w:highlight w:val="none"/>
              </w:rPr>
              <w:t>印章；投标格式文件中要求投标人单位盖章的，电子投标</w:t>
            </w:r>
            <w:r>
              <w:rPr>
                <w:color w:val="auto"/>
                <w:spacing w:val="-3"/>
                <w:sz w:val="24"/>
                <w:szCs w:val="24"/>
                <w:highlight w:val="none"/>
              </w:rPr>
              <w:t>文件应使用</w:t>
            </w:r>
            <w:r>
              <w:rPr>
                <w:rFonts w:ascii="Times New Roman" w:hAnsi="Times New Roman" w:eastAsia="Times New Roman" w:cs="Times New Roman"/>
                <w:b/>
                <w:bCs/>
                <w:color w:val="auto"/>
                <w:spacing w:val="-3"/>
                <w:sz w:val="24"/>
                <w:szCs w:val="24"/>
                <w:highlight w:val="none"/>
              </w:rPr>
              <w:t>CA</w:t>
            </w:r>
            <w:r>
              <w:rPr>
                <w:color w:val="auto"/>
                <w:spacing w:val="-3"/>
                <w:sz w:val="24"/>
                <w:szCs w:val="24"/>
                <w:highlight w:val="none"/>
              </w:rPr>
              <w:t>数字证书加盖投标人单位电子印章。联合体</w:t>
            </w:r>
            <w:r>
              <w:rPr>
                <w:color w:val="auto"/>
                <w:spacing w:val="1"/>
                <w:sz w:val="24"/>
                <w:szCs w:val="24"/>
                <w:highlight w:val="none"/>
              </w:rPr>
              <w:t>投标的，除联合体协议书之外，其余由联合体牵头人加盖单位电子印章、法定代表人个人电子印章即可。工程量清单报价表封面由注册一级造价工程师（水利工程）或浙江省二级造价工程师（水利工程）签字并加盖执业专用章，并提供造价工程师注册证书。投标人可委托工程造价咨询</w:t>
            </w:r>
            <w:r>
              <w:rPr>
                <w:color w:val="auto"/>
                <w:spacing w:val="-1"/>
                <w:sz w:val="24"/>
                <w:szCs w:val="24"/>
                <w:highlight w:val="none"/>
              </w:rPr>
              <w:t>人编制投标报价。</w:t>
            </w:r>
          </w:p>
          <w:p w14:paraId="279B1BE4">
            <w:pPr>
              <w:pStyle w:val="17"/>
              <w:spacing w:before="110" w:line="221" w:lineRule="auto"/>
              <w:ind w:left="317"/>
              <w:rPr>
                <w:color w:val="auto"/>
                <w:sz w:val="24"/>
                <w:szCs w:val="24"/>
                <w:highlight w:val="none"/>
              </w:rPr>
            </w:pPr>
            <w:r>
              <w:rPr>
                <w:rFonts w:ascii="Times New Roman" w:hAnsi="Times New Roman" w:eastAsia="Times New Roman" w:cs="Times New Roman"/>
                <w:color w:val="auto"/>
                <w:spacing w:val="-3"/>
                <w:sz w:val="24"/>
                <w:szCs w:val="24"/>
                <w:highlight w:val="none"/>
              </w:rPr>
              <w:t>2</w:t>
            </w:r>
            <w:r>
              <w:rPr>
                <w:rFonts w:ascii="Times New Roman" w:hAnsi="Times New Roman" w:eastAsia="Times New Roman" w:cs="Times New Roman"/>
                <w:b/>
                <w:bCs/>
                <w:color w:val="auto"/>
                <w:spacing w:val="-3"/>
                <w:sz w:val="24"/>
                <w:szCs w:val="24"/>
                <w:highlight w:val="none"/>
              </w:rPr>
              <w:t>.</w:t>
            </w:r>
            <w:r>
              <w:rPr>
                <w:rFonts w:ascii="Times New Roman" w:hAnsi="Times New Roman" w:eastAsia="Times New Roman" w:cs="Times New Roman"/>
                <w:b/>
                <w:bCs/>
                <w:color w:val="auto"/>
                <w:spacing w:val="17"/>
                <w:sz w:val="24"/>
                <w:szCs w:val="24"/>
                <w:highlight w:val="none"/>
              </w:rPr>
              <w:t xml:space="preserve">  </w:t>
            </w:r>
            <w:r>
              <w:rPr>
                <w:rFonts w:hint="eastAsia"/>
                <w:color w:val="auto"/>
                <w:spacing w:val="-3"/>
                <w:sz w:val="24"/>
                <w:szCs w:val="24"/>
                <w:highlight w:val="none"/>
                <w:lang w:eastAsia="zh-CN"/>
              </w:rPr>
              <w:t>☑</w:t>
            </w:r>
            <w:r>
              <w:rPr>
                <w:color w:val="auto"/>
                <w:spacing w:val="-3"/>
                <w:sz w:val="24"/>
                <w:szCs w:val="24"/>
                <w:highlight w:val="none"/>
              </w:rPr>
              <w:t>施工组织设计页数不超过</w:t>
            </w:r>
            <w:r>
              <w:rPr>
                <w:color w:val="auto"/>
                <w:spacing w:val="-105"/>
                <w:sz w:val="24"/>
                <w:szCs w:val="24"/>
                <w:highlight w:val="none"/>
              </w:rPr>
              <w:t xml:space="preserve"> </w:t>
            </w:r>
            <w:r>
              <w:rPr>
                <w:color w:val="auto"/>
                <w:spacing w:val="7"/>
                <w:sz w:val="24"/>
                <w:szCs w:val="24"/>
                <w:highlight w:val="none"/>
                <w:u w:val="single" w:color="auto"/>
              </w:rPr>
              <w:t xml:space="preserve"> </w:t>
            </w:r>
            <w:r>
              <w:rPr>
                <w:rFonts w:hint="eastAsia"/>
                <w:color w:val="auto"/>
                <w:spacing w:val="7"/>
                <w:sz w:val="24"/>
                <w:szCs w:val="24"/>
                <w:highlight w:val="none"/>
                <w:u w:val="single" w:color="auto"/>
                <w:lang w:val="en-US" w:eastAsia="zh-CN"/>
              </w:rPr>
              <w:t xml:space="preserve">100 </w:t>
            </w:r>
            <w:r>
              <w:rPr>
                <w:color w:val="auto"/>
                <w:spacing w:val="-3"/>
                <w:sz w:val="24"/>
                <w:szCs w:val="24"/>
                <w:highlight w:val="none"/>
              </w:rPr>
              <w:t>页；</w:t>
            </w:r>
          </w:p>
          <w:p w14:paraId="603F95AB">
            <w:pPr>
              <w:pStyle w:val="17"/>
              <w:spacing w:before="108" w:line="212" w:lineRule="auto"/>
              <w:ind w:left="321"/>
              <w:rPr>
                <w:color w:val="auto"/>
                <w:sz w:val="24"/>
                <w:szCs w:val="24"/>
                <w:highlight w:val="none"/>
              </w:rPr>
            </w:pPr>
            <w:r>
              <w:rPr>
                <w:rFonts w:ascii="Times New Roman" w:hAnsi="Times New Roman" w:eastAsia="Times New Roman" w:cs="Times New Roman"/>
                <w:color w:val="auto"/>
                <w:spacing w:val="-5"/>
                <w:sz w:val="24"/>
                <w:szCs w:val="24"/>
                <w:highlight w:val="none"/>
              </w:rPr>
              <w:t>3</w:t>
            </w:r>
            <w:r>
              <w:rPr>
                <w:rFonts w:ascii="Times New Roman" w:hAnsi="Times New Roman" w:eastAsia="Times New Roman" w:cs="Times New Roman"/>
                <w:b/>
                <w:bCs/>
                <w:color w:val="auto"/>
                <w:spacing w:val="-5"/>
                <w:sz w:val="24"/>
                <w:szCs w:val="24"/>
                <w:highlight w:val="none"/>
              </w:rPr>
              <w:t>.</w:t>
            </w:r>
            <w:r>
              <w:rPr>
                <w:rFonts w:ascii="Times New Roman" w:hAnsi="Times New Roman" w:eastAsia="Times New Roman" w:cs="Times New Roman"/>
                <w:b/>
                <w:bCs/>
                <w:color w:val="auto"/>
                <w:spacing w:val="15"/>
                <w:w w:val="101"/>
                <w:sz w:val="24"/>
                <w:szCs w:val="24"/>
                <w:highlight w:val="none"/>
              </w:rPr>
              <w:t xml:space="preserve">  </w:t>
            </w:r>
            <w:r>
              <w:rPr>
                <w:color w:val="auto"/>
                <w:spacing w:val="-5"/>
                <w:sz w:val="24"/>
                <w:szCs w:val="24"/>
                <w:highlight w:val="none"/>
              </w:rPr>
              <w:t>□其他要求：</w:t>
            </w:r>
            <w:r>
              <w:rPr>
                <w:color w:val="auto"/>
                <w:sz w:val="24"/>
                <w:szCs w:val="24"/>
                <w:highlight w:val="none"/>
                <w:u w:val="single" w:color="auto"/>
              </w:rPr>
              <w:t xml:space="preserve">                     </w:t>
            </w:r>
          </w:p>
        </w:tc>
      </w:tr>
      <w:tr w14:paraId="685A5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953" w:type="dxa"/>
            <w:tcBorders>
              <w:left w:val="single" w:color="000000" w:sz="6" w:space="0"/>
            </w:tcBorders>
            <w:vAlign w:val="top"/>
          </w:tcPr>
          <w:p w14:paraId="0DD11A9D">
            <w:pPr>
              <w:spacing w:line="365" w:lineRule="auto"/>
              <w:rPr>
                <w:rFonts w:ascii="Arial"/>
                <w:color w:val="auto"/>
                <w:sz w:val="24"/>
                <w:szCs w:val="24"/>
                <w:highlight w:val="none"/>
              </w:rPr>
            </w:pPr>
          </w:p>
          <w:p w14:paraId="211D9AD6">
            <w:pPr>
              <w:spacing w:before="60" w:line="187" w:lineRule="auto"/>
              <w:ind w:left="264"/>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
                <w:sz w:val="24"/>
                <w:szCs w:val="24"/>
                <w:highlight w:val="none"/>
              </w:rPr>
              <w:t>3.7.4</w:t>
            </w:r>
          </w:p>
        </w:tc>
        <w:tc>
          <w:tcPr>
            <w:tcW w:w="2279" w:type="dxa"/>
            <w:vAlign w:val="top"/>
          </w:tcPr>
          <w:p w14:paraId="6E25AC75">
            <w:pPr>
              <w:spacing w:line="318" w:lineRule="auto"/>
              <w:rPr>
                <w:rFonts w:ascii="Arial"/>
                <w:color w:val="auto"/>
                <w:sz w:val="24"/>
                <w:szCs w:val="24"/>
                <w:highlight w:val="none"/>
              </w:rPr>
            </w:pPr>
          </w:p>
          <w:p w14:paraId="63E43298">
            <w:pPr>
              <w:pStyle w:val="17"/>
              <w:spacing w:before="69" w:line="221" w:lineRule="auto"/>
              <w:ind w:left="108"/>
              <w:rPr>
                <w:color w:val="auto"/>
                <w:sz w:val="24"/>
                <w:szCs w:val="24"/>
                <w:highlight w:val="none"/>
              </w:rPr>
            </w:pPr>
            <w:r>
              <w:rPr>
                <w:color w:val="auto"/>
                <w:spacing w:val="-2"/>
                <w:sz w:val="24"/>
                <w:szCs w:val="24"/>
                <w:highlight w:val="none"/>
              </w:rPr>
              <w:t>投标文件的份数</w:t>
            </w:r>
          </w:p>
        </w:tc>
        <w:tc>
          <w:tcPr>
            <w:tcW w:w="5739" w:type="dxa"/>
            <w:tcBorders>
              <w:right w:val="single" w:color="000000" w:sz="6" w:space="0"/>
            </w:tcBorders>
            <w:vAlign w:val="top"/>
          </w:tcPr>
          <w:p w14:paraId="1633214E">
            <w:pPr>
              <w:pStyle w:val="17"/>
              <w:spacing w:before="210" w:line="292" w:lineRule="auto"/>
              <w:ind w:left="148" w:right="131" w:firstLine="173"/>
              <w:rPr>
                <w:color w:val="auto"/>
                <w:sz w:val="24"/>
                <w:szCs w:val="24"/>
                <w:highlight w:val="none"/>
              </w:rPr>
            </w:pPr>
            <w:r>
              <w:rPr>
                <w:color w:val="auto"/>
                <w:spacing w:val="-8"/>
                <w:sz w:val="24"/>
                <w:szCs w:val="24"/>
                <w:highlight w:val="none"/>
              </w:rPr>
              <w:t>加密电子投标文件一份上传至</w:t>
            </w:r>
            <w:r>
              <w:rPr>
                <w:color w:val="auto"/>
                <w:spacing w:val="-11"/>
                <w:sz w:val="24"/>
                <w:szCs w:val="24"/>
                <w:highlight w:val="none"/>
              </w:rPr>
              <w:t>：</w:t>
            </w:r>
            <w:r>
              <w:rPr>
                <w:color w:val="auto"/>
                <w:spacing w:val="-11"/>
                <w:sz w:val="24"/>
                <w:szCs w:val="24"/>
                <w:highlight w:val="none"/>
                <w:u w:val="single" w:color="auto"/>
              </w:rPr>
              <w:t>（</w:t>
            </w:r>
            <w:r>
              <w:rPr>
                <w:rFonts w:hint="eastAsia"/>
                <w:color w:val="auto"/>
                <w:spacing w:val="-11"/>
                <w:sz w:val="24"/>
                <w:szCs w:val="24"/>
                <w:highlight w:val="none"/>
                <w:u w:val="single" w:color="auto"/>
                <w:lang w:val="en-US" w:eastAsia="zh-CN"/>
              </w:rPr>
              <w:t>上传至</w:t>
            </w:r>
            <w:r>
              <w:rPr>
                <w:rFonts w:hint="eastAsia"/>
                <w:color w:val="auto"/>
                <w:kern w:val="21"/>
                <w:sz w:val="24"/>
                <w:szCs w:val="24"/>
                <w:highlight w:val="none"/>
                <w:u w:val="single" w:color="auto"/>
                <w:lang w:eastAsia="zh-CN"/>
              </w:rPr>
              <w:t>嵊州市公共资源交易中心电子招投标交易平台</w:t>
            </w:r>
            <w:r>
              <w:rPr>
                <w:color w:val="auto"/>
                <w:spacing w:val="-16"/>
                <w:sz w:val="24"/>
                <w:szCs w:val="24"/>
                <w:highlight w:val="none"/>
                <w:u w:val="single" w:color="auto"/>
              </w:rPr>
              <w:t>）</w:t>
            </w:r>
            <w:r>
              <w:rPr>
                <w:color w:val="auto"/>
                <w:spacing w:val="-16"/>
                <w:sz w:val="24"/>
                <w:szCs w:val="24"/>
                <w:highlight w:val="none"/>
              </w:rPr>
              <w:t>，</w:t>
            </w:r>
            <w:r>
              <w:rPr>
                <w:color w:val="auto"/>
                <w:spacing w:val="-4"/>
                <w:sz w:val="24"/>
                <w:szCs w:val="24"/>
                <w:highlight w:val="none"/>
              </w:rPr>
              <w:t>作为投标文件正本。</w:t>
            </w:r>
          </w:p>
        </w:tc>
      </w:tr>
      <w:tr w14:paraId="098BD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953" w:type="dxa"/>
            <w:tcBorders>
              <w:left w:val="single" w:color="000000" w:sz="6" w:space="0"/>
            </w:tcBorders>
            <w:vAlign w:val="top"/>
          </w:tcPr>
          <w:p w14:paraId="0E18DE15">
            <w:pPr>
              <w:spacing w:line="284" w:lineRule="auto"/>
              <w:rPr>
                <w:rFonts w:ascii="Arial"/>
                <w:color w:val="auto"/>
                <w:sz w:val="24"/>
                <w:szCs w:val="24"/>
                <w:highlight w:val="none"/>
              </w:rPr>
            </w:pPr>
          </w:p>
          <w:p w14:paraId="270C0171">
            <w:pPr>
              <w:spacing w:line="284" w:lineRule="auto"/>
              <w:rPr>
                <w:rFonts w:ascii="Arial"/>
                <w:color w:val="auto"/>
                <w:sz w:val="24"/>
                <w:szCs w:val="24"/>
                <w:highlight w:val="none"/>
              </w:rPr>
            </w:pPr>
          </w:p>
          <w:p w14:paraId="62AD8B3E">
            <w:pPr>
              <w:spacing w:before="61" w:line="187" w:lineRule="auto"/>
              <w:ind w:left="259"/>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
                <w:sz w:val="24"/>
                <w:szCs w:val="24"/>
                <w:highlight w:val="none"/>
              </w:rPr>
              <w:t>4.2.2</w:t>
            </w:r>
          </w:p>
        </w:tc>
        <w:tc>
          <w:tcPr>
            <w:tcW w:w="2279" w:type="dxa"/>
            <w:vAlign w:val="top"/>
          </w:tcPr>
          <w:p w14:paraId="281D7150">
            <w:pPr>
              <w:spacing w:line="343" w:lineRule="auto"/>
              <w:rPr>
                <w:rFonts w:ascii="Arial"/>
                <w:color w:val="auto"/>
                <w:sz w:val="24"/>
                <w:szCs w:val="24"/>
                <w:highlight w:val="none"/>
              </w:rPr>
            </w:pPr>
          </w:p>
          <w:p w14:paraId="3CE189E5">
            <w:pPr>
              <w:pStyle w:val="17"/>
              <w:spacing w:before="68" w:line="321" w:lineRule="auto"/>
              <w:ind w:left="115" w:right="106" w:hanging="9"/>
              <w:rPr>
                <w:color w:val="auto"/>
                <w:sz w:val="24"/>
                <w:szCs w:val="24"/>
                <w:highlight w:val="none"/>
              </w:rPr>
            </w:pPr>
            <w:r>
              <w:rPr>
                <w:color w:val="auto"/>
                <w:spacing w:val="12"/>
                <w:sz w:val="24"/>
                <w:szCs w:val="24"/>
                <w:highlight w:val="none"/>
              </w:rPr>
              <w:t>递交投标文件方式和地</w:t>
            </w:r>
            <w:r>
              <w:rPr>
                <w:color w:val="auto"/>
                <w:sz w:val="24"/>
                <w:szCs w:val="24"/>
                <w:highlight w:val="none"/>
              </w:rPr>
              <w:t>点</w:t>
            </w:r>
          </w:p>
        </w:tc>
        <w:tc>
          <w:tcPr>
            <w:tcW w:w="5739" w:type="dxa"/>
            <w:tcBorders>
              <w:right w:val="single" w:color="000000" w:sz="6" w:space="0"/>
            </w:tcBorders>
            <w:vAlign w:val="top"/>
          </w:tcPr>
          <w:p w14:paraId="459328FF">
            <w:pPr>
              <w:pStyle w:val="17"/>
              <w:spacing w:before="235" w:line="306" w:lineRule="auto"/>
              <w:ind w:left="109" w:right="135" w:firstLine="210"/>
              <w:jc w:val="both"/>
              <w:rPr>
                <w:color w:val="auto"/>
                <w:sz w:val="24"/>
                <w:szCs w:val="24"/>
                <w:highlight w:val="none"/>
              </w:rPr>
            </w:pPr>
            <w:r>
              <w:rPr>
                <w:color w:val="auto"/>
                <w:sz w:val="24"/>
                <w:szCs w:val="24"/>
                <w:highlight w:val="none"/>
              </w:rPr>
              <w:t>将由投标文件制作工具制作生成的加密投标文件</w:t>
            </w:r>
            <w:r>
              <w:rPr>
                <w:color w:val="auto"/>
                <w:spacing w:val="-1"/>
                <w:sz w:val="24"/>
                <w:szCs w:val="24"/>
                <w:highlight w:val="none"/>
              </w:rPr>
              <w:t>在投标</w:t>
            </w:r>
            <w:r>
              <w:rPr>
                <w:color w:val="auto"/>
                <w:sz w:val="24"/>
                <w:szCs w:val="24"/>
                <w:highlight w:val="none"/>
              </w:rPr>
              <w:t>截止时间前（以上传完成时间为准）上传至</w:t>
            </w:r>
            <w:r>
              <w:rPr>
                <w:rFonts w:hint="eastAsia"/>
                <w:b/>
                <w:bCs/>
                <w:color w:val="auto"/>
                <w:kern w:val="21"/>
                <w:sz w:val="24"/>
                <w:szCs w:val="24"/>
                <w:highlight w:val="none"/>
                <w:u w:val="single"/>
                <w:lang w:eastAsia="zh-CN"/>
              </w:rPr>
              <w:t>嵊州市公共资源交易中心电子招投标交易平台</w:t>
            </w:r>
            <w:r>
              <w:rPr>
                <w:color w:val="auto"/>
                <w:spacing w:val="-7"/>
                <w:sz w:val="24"/>
                <w:szCs w:val="24"/>
                <w:highlight w:val="none"/>
              </w:rPr>
              <w:t>。</w:t>
            </w:r>
          </w:p>
        </w:tc>
      </w:tr>
      <w:tr w14:paraId="7AF22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4" w:hRule="atLeast"/>
        </w:trPr>
        <w:tc>
          <w:tcPr>
            <w:tcW w:w="953" w:type="dxa"/>
            <w:tcBorders>
              <w:left w:val="single" w:color="000000" w:sz="6" w:space="0"/>
            </w:tcBorders>
            <w:vAlign w:val="top"/>
          </w:tcPr>
          <w:p w14:paraId="4C8BD446">
            <w:pPr>
              <w:spacing w:line="291" w:lineRule="auto"/>
              <w:rPr>
                <w:rFonts w:ascii="Arial"/>
                <w:color w:val="auto"/>
                <w:sz w:val="24"/>
                <w:szCs w:val="24"/>
                <w:highlight w:val="none"/>
              </w:rPr>
            </w:pPr>
          </w:p>
          <w:p w14:paraId="63004F84">
            <w:pPr>
              <w:spacing w:line="291" w:lineRule="auto"/>
              <w:rPr>
                <w:rFonts w:ascii="Arial"/>
                <w:color w:val="auto"/>
                <w:sz w:val="24"/>
                <w:szCs w:val="24"/>
                <w:highlight w:val="none"/>
              </w:rPr>
            </w:pPr>
          </w:p>
          <w:p w14:paraId="1EF2CF5D">
            <w:pPr>
              <w:spacing w:line="291" w:lineRule="auto"/>
              <w:rPr>
                <w:rFonts w:ascii="Arial"/>
                <w:color w:val="auto"/>
                <w:sz w:val="24"/>
                <w:szCs w:val="24"/>
                <w:highlight w:val="none"/>
              </w:rPr>
            </w:pPr>
          </w:p>
          <w:p w14:paraId="6B848258">
            <w:pPr>
              <w:spacing w:before="60" w:line="187" w:lineRule="auto"/>
              <w:ind w:left="259"/>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
                <w:sz w:val="24"/>
                <w:szCs w:val="24"/>
                <w:highlight w:val="none"/>
              </w:rPr>
              <w:t>4.2.5</w:t>
            </w:r>
          </w:p>
        </w:tc>
        <w:tc>
          <w:tcPr>
            <w:tcW w:w="2279" w:type="dxa"/>
            <w:vAlign w:val="top"/>
          </w:tcPr>
          <w:p w14:paraId="61D8351E">
            <w:pPr>
              <w:spacing w:line="275" w:lineRule="auto"/>
              <w:rPr>
                <w:rFonts w:ascii="Arial"/>
                <w:color w:val="auto"/>
                <w:sz w:val="24"/>
                <w:szCs w:val="24"/>
                <w:highlight w:val="none"/>
              </w:rPr>
            </w:pPr>
          </w:p>
          <w:p w14:paraId="7258640E">
            <w:pPr>
              <w:spacing w:line="275" w:lineRule="auto"/>
              <w:rPr>
                <w:rFonts w:ascii="Arial"/>
                <w:color w:val="auto"/>
                <w:sz w:val="24"/>
                <w:szCs w:val="24"/>
                <w:highlight w:val="none"/>
              </w:rPr>
            </w:pPr>
          </w:p>
          <w:p w14:paraId="305156A5">
            <w:pPr>
              <w:spacing w:line="276" w:lineRule="auto"/>
              <w:rPr>
                <w:rFonts w:ascii="Arial"/>
                <w:color w:val="auto"/>
                <w:sz w:val="24"/>
                <w:szCs w:val="24"/>
                <w:highlight w:val="none"/>
              </w:rPr>
            </w:pPr>
          </w:p>
          <w:p w14:paraId="791FF8BB">
            <w:pPr>
              <w:pStyle w:val="17"/>
              <w:spacing w:before="69" w:line="221" w:lineRule="auto"/>
              <w:ind w:left="108"/>
              <w:rPr>
                <w:color w:val="auto"/>
                <w:sz w:val="24"/>
                <w:szCs w:val="24"/>
                <w:highlight w:val="none"/>
              </w:rPr>
            </w:pPr>
            <w:r>
              <w:rPr>
                <w:color w:val="auto"/>
                <w:spacing w:val="-1"/>
                <w:sz w:val="24"/>
                <w:szCs w:val="24"/>
                <w:highlight w:val="none"/>
              </w:rPr>
              <w:t>投标文件拒收的情形</w:t>
            </w:r>
          </w:p>
        </w:tc>
        <w:tc>
          <w:tcPr>
            <w:tcW w:w="5739" w:type="dxa"/>
            <w:tcBorders>
              <w:right w:val="single" w:color="000000" w:sz="6" w:space="0"/>
            </w:tcBorders>
            <w:vAlign w:val="top"/>
          </w:tcPr>
          <w:p w14:paraId="5A143FA2">
            <w:pPr>
              <w:pStyle w:val="17"/>
              <w:spacing w:before="179" w:line="271" w:lineRule="auto"/>
              <w:ind w:left="110" w:right="293" w:firstLine="20"/>
              <w:rPr>
                <w:color w:val="auto"/>
                <w:sz w:val="24"/>
                <w:szCs w:val="24"/>
                <w:highlight w:val="none"/>
              </w:rPr>
            </w:pPr>
            <w:r>
              <w:rPr>
                <w:rFonts w:hint="eastAsia"/>
                <w:color w:val="auto"/>
                <w:spacing w:val="-1"/>
                <w:sz w:val="24"/>
                <w:szCs w:val="24"/>
                <w:highlight w:val="none"/>
                <w:lang w:eastAsia="zh-CN"/>
              </w:rPr>
              <w:t>☑</w:t>
            </w:r>
            <w:r>
              <w:rPr>
                <w:rFonts w:ascii="Times New Roman" w:hAnsi="Times New Roman" w:eastAsia="Times New Roman" w:cs="Times New Roman"/>
                <w:color w:val="auto"/>
                <w:spacing w:val="-1"/>
                <w:sz w:val="24"/>
                <w:szCs w:val="24"/>
                <w:highlight w:val="none"/>
              </w:rPr>
              <w:t>1</w:t>
            </w:r>
            <w:r>
              <w:rPr>
                <w:rFonts w:ascii="Times New Roman" w:hAnsi="Times New Roman" w:eastAsia="Times New Roman" w:cs="Times New Roman"/>
                <w:b/>
                <w:bCs/>
                <w:color w:val="auto"/>
                <w:spacing w:val="-1"/>
                <w:sz w:val="24"/>
                <w:szCs w:val="24"/>
                <w:highlight w:val="none"/>
              </w:rPr>
              <w:t xml:space="preserve">.  </w:t>
            </w:r>
            <w:r>
              <w:rPr>
                <w:color w:val="auto"/>
                <w:spacing w:val="-1"/>
                <w:sz w:val="24"/>
                <w:szCs w:val="24"/>
                <w:highlight w:val="none"/>
              </w:rPr>
              <w:t>投标文件未按招标文件要求上传或未按规定进行加</w:t>
            </w:r>
            <w:r>
              <w:rPr>
                <w:color w:val="auto"/>
                <w:spacing w:val="-10"/>
                <w:sz w:val="24"/>
                <w:szCs w:val="24"/>
                <w:highlight w:val="none"/>
              </w:rPr>
              <w:t>密。</w:t>
            </w:r>
          </w:p>
          <w:p w14:paraId="22953345">
            <w:pPr>
              <w:pStyle w:val="17"/>
              <w:spacing w:before="104" w:line="269" w:lineRule="auto"/>
              <w:ind w:left="120" w:right="293" w:firstLine="10"/>
              <w:rPr>
                <w:color w:val="auto"/>
                <w:sz w:val="24"/>
                <w:szCs w:val="24"/>
                <w:highlight w:val="none"/>
              </w:rPr>
            </w:pPr>
            <w:r>
              <w:rPr>
                <w:color w:val="auto"/>
                <w:spacing w:val="-1"/>
                <w:sz w:val="24"/>
                <w:szCs w:val="24"/>
                <w:highlight w:val="none"/>
              </w:rPr>
              <w:t>□</w:t>
            </w:r>
            <w:r>
              <w:rPr>
                <w:rFonts w:ascii="Times New Roman" w:hAnsi="Times New Roman" w:eastAsia="Times New Roman" w:cs="Times New Roman"/>
                <w:color w:val="auto"/>
                <w:spacing w:val="-1"/>
                <w:sz w:val="24"/>
                <w:szCs w:val="24"/>
                <w:highlight w:val="none"/>
              </w:rPr>
              <w:t>2</w:t>
            </w:r>
            <w:r>
              <w:rPr>
                <w:rFonts w:ascii="Times New Roman" w:hAnsi="Times New Roman" w:eastAsia="Times New Roman" w:cs="Times New Roman"/>
                <w:b/>
                <w:bCs/>
                <w:color w:val="auto"/>
                <w:spacing w:val="-1"/>
                <w:sz w:val="24"/>
                <w:szCs w:val="24"/>
                <w:highlight w:val="none"/>
              </w:rPr>
              <w:t xml:space="preserve">.  </w:t>
            </w:r>
            <w:r>
              <w:rPr>
                <w:color w:val="auto"/>
                <w:spacing w:val="-1"/>
                <w:sz w:val="24"/>
                <w:szCs w:val="24"/>
                <w:highlight w:val="none"/>
              </w:rPr>
              <w:t>未通过资格预审的申请人提交投标文件的（资格预</w:t>
            </w:r>
            <w:r>
              <w:rPr>
                <w:color w:val="auto"/>
                <w:spacing w:val="-2"/>
                <w:sz w:val="24"/>
                <w:szCs w:val="24"/>
                <w:highlight w:val="none"/>
              </w:rPr>
              <w:t>审方式招标的选用）。</w:t>
            </w:r>
          </w:p>
        </w:tc>
      </w:tr>
      <w:tr w14:paraId="705C9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6" w:hRule="atLeast"/>
        </w:trPr>
        <w:tc>
          <w:tcPr>
            <w:tcW w:w="953" w:type="dxa"/>
            <w:tcBorders>
              <w:left w:val="single" w:color="000000" w:sz="6" w:space="0"/>
            </w:tcBorders>
            <w:vAlign w:val="top"/>
          </w:tcPr>
          <w:p w14:paraId="7FCA5238">
            <w:pPr>
              <w:spacing w:line="292" w:lineRule="auto"/>
              <w:rPr>
                <w:rFonts w:ascii="Arial"/>
                <w:color w:val="auto"/>
                <w:sz w:val="24"/>
                <w:szCs w:val="24"/>
                <w:highlight w:val="none"/>
              </w:rPr>
            </w:pPr>
          </w:p>
          <w:p w14:paraId="3CCA119F">
            <w:pPr>
              <w:spacing w:line="292" w:lineRule="auto"/>
              <w:rPr>
                <w:rFonts w:ascii="Arial"/>
                <w:color w:val="auto"/>
                <w:sz w:val="24"/>
                <w:szCs w:val="24"/>
                <w:highlight w:val="none"/>
              </w:rPr>
            </w:pPr>
          </w:p>
          <w:p w14:paraId="05327B09">
            <w:pPr>
              <w:spacing w:line="292" w:lineRule="auto"/>
              <w:rPr>
                <w:rFonts w:ascii="Arial"/>
                <w:color w:val="auto"/>
                <w:sz w:val="24"/>
                <w:szCs w:val="24"/>
                <w:highlight w:val="none"/>
              </w:rPr>
            </w:pPr>
          </w:p>
          <w:p w14:paraId="24DC3B01">
            <w:pPr>
              <w:spacing w:line="293" w:lineRule="auto"/>
              <w:rPr>
                <w:rFonts w:ascii="Arial"/>
                <w:color w:val="auto"/>
                <w:sz w:val="24"/>
                <w:szCs w:val="24"/>
                <w:highlight w:val="none"/>
              </w:rPr>
            </w:pPr>
          </w:p>
          <w:p w14:paraId="4EDCC6FB">
            <w:pPr>
              <w:spacing w:before="60" w:line="187" w:lineRule="auto"/>
              <w:ind w:left="323"/>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2"/>
                <w:sz w:val="24"/>
                <w:szCs w:val="24"/>
                <w:highlight w:val="none"/>
              </w:rPr>
              <w:t>5.1</w:t>
            </w:r>
          </w:p>
        </w:tc>
        <w:tc>
          <w:tcPr>
            <w:tcW w:w="2279" w:type="dxa"/>
            <w:vAlign w:val="top"/>
          </w:tcPr>
          <w:p w14:paraId="5C596860">
            <w:pPr>
              <w:spacing w:line="280" w:lineRule="auto"/>
              <w:rPr>
                <w:rFonts w:ascii="Arial"/>
                <w:color w:val="auto"/>
                <w:sz w:val="24"/>
                <w:szCs w:val="24"/>
                <w:highlight w:val="none"/>
              </w:rPr>
            </w:pPr>
          </w:p>
          <w:p w14:paraId="7A97CBB8">
            <w:pPr>
              <w:spacing w:line="281" w:lineRule="auto"/>
              <w:rPr>
                <w:rFonts w:ascii="Arial"/>
                <w:color w:val="auto"/>
                <w:sz w:val="24"/>
                <w:szCs w:val="24"/>
                <w:highlight w:val="none"/>
              </w:rPr>
            </w:pPr>
          </w:p>
          <w:p w14:paraId="66341FD4">
            <w:pPr>
              <w:spacing w:line="281" w:lineRule="auto"/>
              <w:rPr>
                <w:rFonts w:ascii="Arial"/>
                <w:color w:val="auto"/>
                <w:sz w:val="24"/>
                <w:szCs w:val="24"/>
                <w:highlight w:val="none"/>
              </w:rPr>
            </w:pPr>
          </w:p>
          <w:p w14:paraId="3327E6D3">
            <w:pPr>
              <w:spacing w:line="281" w:lineRule="auto"/>
              <w:rPr>
                <w:rFonts w:ascii="Arial"/>
                <w:color w:val="auto"/>
                <w:sz w:val="24"/>
                <w:szCs w:val="24"/>
                <w:highlight w:val="none"/>
              </w:rPr>
            </w:pPr>
          </w:p>
          <w:p w14:paraId="1552665B">
            <w:pPr>
              <w:pStyle w:val="17"/>
              <w:spacing w:before="68" w:line="221" w:lineRule="auto"/>
              <w:ind w:left="106"/>
              <w:rPr>
                <w:color w:val="auto"/>
                <w:sz w:val="24"/>
                <w:szCs w:val="24"/>
                <w:highlight w:val="none"/>
              </w:rPr>
            </w:pPr>
            <w:r>
              <w:rPr>
                <w:color w:val="auto"/>
                <w:spacing w:val="-1"/>
                <w:sz w:val="24"/>
                <w:szCs w:val="24"/>
                <w:highlight w:val="none"/>
              </w:rPr>
              <w:t>开标时间和地点</w:t>
            </w:r>
          </w:p>
        </w:tc>
        <w:tc>
          <w:tcPr>
            <w:tcW w:w="5739" w:type="dxa"/>
            <w:tcBorders>
              <w:right w:val="single" w:color="000000" w:sz="6" w:space="0"/>
            </w:tcBorders>
            <w:vAlign w:val="top"/>
          </w:tcPr>
          <w:p w14:paraId="5686B4A0">
            <w:pPr>
              <w:pStyle w:val="17"/>
              <w:spacing w:before="118" w:line="221" w:lineRule="auto"/>
              <w:rPr>
                <w:color w:val="auto"/>
                <w:sz w:val="24"/>
                <w:szCs w:val="24"/>
                <w:highlight w:val="none"/>
              </w:rPr>
            </w:pPr>
            <w:r>
              <w:rPr>
                <w:color w:val="auto"/>
                <w:spacing w:val="-1"/>
                <w:sz w:val="24"/>
                <w:szCs w:val="24"/>
                <w:highlight w:val="none"/>
              </w:rPr>
              <w:t>一、开标时间：同投标截止时间。</w:t>
            </w:r>
          </w:p>
          <w:p w14:paraId="43CA6315">
            <w:pPr>
              <w:pStyle w:val="17"/>
              <w:keepNext w:val="0"/>
              <w:keepLines w:val="0"/>
              <w:pageBreakBefore w:val="0"/>
              <w:widowControl/>
              <w:kinsoku w:val="0"/>
              <w:wordWrap w:val="0"/>
              <w:overflowPunct/>
              <w:topLinePunct w:val="0"/>
              <w:autoSpaceDE w:val="0"/>
              <w:autoSpaceDN w:val="0"/>
              <w:bidi w:val="0"/>
              <w:adjustRightInd w:val="0"/>
              <w:snapToGrid w:val="0"/>
              <w:spacing w:line="440" w:lineRule="exact"/>
              <w:ind w:left="0" w:leftChars="0" w:right="102"/>
              <w:jc w:val="left"/>
              <w:textAlignment w:val="baseline"/>
              <w:rPr>
                <w:color w:val="auto"/>
                <w:sz w:val="24"/>
                <w:szCs w:val="24"/>
                <w:highlight w:val="none"/>
              </w:rPr>
            </w:pPr>
            <w:r>
              <w:rPr>
                <w:color w:val="auto"/>
                <w:sz w:val="24"/>
                <w:szCs w:val="24"/>
                <w:highlight w:val="none"/>
              </w:rPr>
              <w:t>二、本项目采用网上远程开标方式，开标网</w:t>
            </w:r>
            <w:r>
              <w:rPr>
                <w:color w:val="auto"/>
                <w:spacing w:val="-1"/>
                <w:sz w:val="24"/>
                <w:szCs w:val="24"/>
                <w:highlight w:val="none"/>
              </w:rPr>
              <w:t>址：</w:t>
            </w:r>
            <w:r>
              <w:rPr>
                <w:rFonts w:hint="eastAsia" w:ascii="仿宋" w:hAnsi="仿宋" w:eastAsia="仿宋" w:cs="仿宋"/>
                <w:b w:val="0"/>
                <w:bCs w:val="0"/>
                <w:i w:val="0"/>
                <w:iCs w:val="0"/>
                <w:color w:val="auto"/>
                <w:sz w:val="24"/>
                <w:szCs w:val="24"/>
                <w:highlight w:val="none"/>
                <w:u w:val="single"/>
                <w:shd w:val="clear" w:color="auto" w:fill="auto"/>
              </w:rPr>
              <w:t>（</w:t>
            </w:r>
            <w:r>
              <w:rPr>
                <w:color w:val="auto"/>
                <w:highlight w:val="none"/>
                <w:u w:val="single"/>
              </w:rPr>
              <w:fldChar w:fldCharType="begin"/>
            </w:r>
            <w:r>
              <w:rPr>
                <w:color w:val="auto"/>
                <w:highlight w:val="none"/>
                <w:u w:val="single"/>
              </w:rPr>
              <w:instrText xml:space="preserve"> HYPERLINK "http://220.187.226.36/BidOpening/bidopeninghallaction/hall/login" </w:instrText>
            </w:r>
            <w:r>
              <w:rPr>
                <w:color w:val="auto"/>
                <w:highlight w:val="none"/>
                <w:u w:val="single"/>
              </w:rPr>
              <w:fldChar w:fldCharType="separate"/>
            </w:r>
            <w:r>
              <w:rPr>
                <w:rFonts w:ascii="宋体" w:hAnsi="宋体" w:eastAsia="宋体" w:cs="宋体"/>
                <w:color w:val="auto"/>
                <w:sz w:val="24"/>
                <w:szCs w:val="24"/>
                <w:highlight w:val="none"/>
                <w:u w:val="single"/>
              </w:rPr>
              <w:t>http</w:t>
            </w:r>
            <w:r>
              <w:rPr>
                <w:rFonts w:ascii="宋体" w:hAnsi="宋体" w:eastAsia="宋体" w:cs="宋体"/>
                <w:color w:val="auto"/>
                <w:spacing w:val="2"/>
                <w:sz w:val="24"/>
                <w:szCs w:val="24"/>
                <w:highlight w:val="none"/>
                <w:u w:val="single"/>
              </w:rPr>
              <w:t>://220.187.226.36/</w:t>
            </w:r>
            <w:r>
              <w:rPr>
                <w:rFonts w:ascii="宋体" w:hAnsi="宋体" w:eastAsia="宋体" w:cs="宋体"/>
                <w:color w:val="auto"/>
                <w:sz w:val="24"/>
                <w:szCs w:val="24"/>
                <w:highlight w:val="none"/>
                <w:u w:val="single"/>
              </w:rPr>
              <w:t>BidOpening</w:t>
            </w:r>
            <w:r>
              <w:rPr>
                <w:rFonts w:ascii="宋体" w:hAnsi="宋体" w:eastAsia="宋体" w:cs="宋体"/>
                <w:color w:val="auto"/>
                <w:spacing w:val="2"/>
                <w:sz w:val="24"/>
                <w:szCs w:val="24"/>
                <w:highlight w:val="none"/>
                <w:u w:val="single"/>
              </w:rPr>
              <w:t>/</w:t>
            </w:r>
            <w:r>
              <w:rPr>
                <w:rFonts w:ascii="宋体" w:hAnsi="宋体" w:eastAsia="宋体" w:cs="宋体"/>
                <w:color w:val="auto"/>
                <w:sz w:val="24"/>
                <w:szCs w:val="24"/>
                <w:highlight w:val="none"/>
                <w:u w:val="single"/>
              </w:rPr>
              <w:t>bidopeninghallaction</w:t>
            </w:r>
            <w:r>
              <w:rPr>
                <w:rFonts w:ascii="宋体" w:hAnsi="宋体" w:eastAsia="宋体" w:cs="宋体"/>
                <w:color w:val="auto"/>
                <w:spacing w:val="2"/>
                <w:sz w:val="24"/>
                <w:szCs w:val="24"/>
                <w:highlight w:val="none"/>
                <w:u w:val="single"/>
              </w:rPr>
              <w:t>/</w:t>
            </w:r>
            <w:r>
              <w:rPr>
                <w:rFonts w:ascii="宋体" w:hAnsi="宋体" w:eastAsia="宋体" w:cs="宋体"/>
                <w:color w:val="auto"/>
                <w:sz w:val="24"/>
                <w:szCs w:val="24"/>
                <w:highlight w:val="none"/>
                <w:u w:val="single"/>
              </w:rPr>
              <w:t>hall</w:t>
            </w:r>
            <w:r>
              <w:rPr>
                <w:rFonts w:ascii="宋体" w:hAnsi="宋体" w:eastAsia="宋体" w:cs="宋体"/>
                <w:color w:val="auto"/>
                <w:spacing w:val="2"/>
                <w:sz w:val="24"/>
                <w:szCs w:val="24"/>
                <w:highlight w:val="none"/>
                <w:u w:val="single"/>
              </w:rPr>
              <w:t>/</w:t>
            </w:r>
            <w:r>
              <w:rPr>
                <w:rFonts w:ascii="宋体" w:hAnsi="宋体" w:eastAsia="宋体" w:cs="宋体"/>
                <w:color w:val="auto"/>
                <w:sz w:val="24"/>
                <w:szCs w:val="24"/>
                <w:highlight w:val="none"/>
                <w:u w:val="single"/>
              </w:rPr>
              <w:t>login</w:t>
            </w:r>
            <w:r>
              <w:rPr>
                <w:rFonts w:ascii="宋体" w:hAnsi="宋体" w:eastAsia="宋体" w:cs="宋体"/>
                <w:color w:val="auto"/>
                <w:sz w:val="24"/>
                <w:szCs w:val="24"/>
                <w:highlight w:val="none"/>
                <w:u w:val="single"/>
              </w:rPr>
              <w:fldChar w:fldCharType="end"/>
            </w:r>
            <w:r>
              <w:rPr>
                <w:rFonts w:hint="eastAsia" w:ascii="仿宋" w:hAnsi="仿宋" w:eastAsia="仿宋" w:cs="仿宋"/>
                <w:b w:val="0"/>
                <w:bCs w:val="0"/>
                <w:i w:val="0"/>
                <w:iCs w:val="0"/>
                <w:color w:val="auto"/>
                <w:sz w:val="24"/>
                <w:szCs w:val="24"/>
                <w:highlight w:val="none"/>
                <w:u w:val="single"/>
                <w:shd w:val="clear" w:color="auto" w:fill="auto"/>
              </w:rPr>
              <w:t>）</w:t>
            </w:r>
          </w:p>
          <w:p w14:paraId="60EAB725">
            <w:pPr>
              <w:pStyle w:val="17"/>
              <w:keepNext w:val="0"/>
              <w:keepLines w:val="0"/>
              <w:pageBreakBefore w:val="0"/>
              <w:widowControl/>
              <w:kinsoku w:val="0"/>
              <w:wordWrap/>
              <w:overflowPunct/>
              <w:topLinePunct w:val="0"/>
              <w:autoSpaceDE w:val="0"/>
              <w:autoSpaceDN w:val="0"/>
              <w:bidi w:val="0"/>
              <w:adjustRightInd w:val="0"/>
              <w:snapToGrid w:val="0"/>
              <w:spacing w:before="108" w:line="284" w:lineRule="auto"/>
              <w:ind w:left="108"/>
              <w:textAlignment w:val="baseline"/>
              <w:rPr>
                <w:rFonts w:ascii="宋体" w:hAnsi="宋体" w:eastAsia="宋体" w:cs="宋体"/>
                <w:color w:val="auto"/>
                <w:sz w:val="24"/>
                <w:szCs w:val="24"/>
                <w:highlight w:val="none"/>
                <w:u w:val="single"/>
              </w:rPr>
            </w:pPr>
            <w:r>
              <w:rPr>
                <w:color w:val="auto"/>
                <w:spacing w:val="-1"/>
                <w:sz w:val="24"/>
                <w:szCs w:val="24"/>
                <w:highlight w:val="none"/>
              </w:rPr>
              <w:t>三、参加开标会议的要求：</w:t>
            </w:r>
            <w:r>
              <w:rPr>
                <w:rFonts w:hint="eastAsia" w:ascii="宋体" w:hAnsi="宋体" w:eastAsia="宋体" w:cs="宋体"/>
                <w:color w:val="auto"/>
                <w:sz w:val="24"/>
                <w:szCs w:val="24"/>
                <w:highlight w:val="none"/>
                <w:u w:val="single"/>
              </w:rPr>
              <w:t>投标人应在投标截止时间之前使用数字证书（CA）自行登录不见面开标大厅，在线等待开标，并在开标期间保持通讯畅通。请各投标人务必使用IE11及以上浏览器访问不见面开标大厅，完成远程开标。投标人可全程在线观看开标过程，无需到现场开标。</w:t>
            </w:r>
          </w:p>
          <w:p w14:paraId="36C18FE4">
            <w:pPr>
              <w:pStyle w:val="17"/>
              <w:keepNext w:val="0"/>
              <w:keepLines w:val="0"/>
              <w:pageBreakBefore w:val="0"/>
              <w:widowControl/>
              <w:kinsoku w:val="0"/>
              <w:wordWrap/>
              <w:overflowPunct/>
              <w:topLinePunct w:val="0"/>
              <w:autoSpaceDE w:val="0"/>
              <w:autoSpaceDN w:val="0"/>
              <w:bidi w:val="0"/>
              <w:adjustRightInd w:val="0"/>
              <w:snapToGrid w:val="0"/>
              <w:spacing w:before="108" w:line="284" w:lineRule="auto"/>
              <w:ind w:left="113" w:right="136" w:firstLine="17"/>
              <w:textAlignment w:val="baseline"/>
              <w:rPr>
                <w:color w:val="auto"/>
                <w:sz w:val="24"/>
                <w:szCs w:val="24"/>
                <w:highlight w:val="none"/>
              </w:rPr>
            </w:pPr>
            <w:r>
              <w:rPr>
                <w:color w:val="auto"/>
                <w:spacing w:val="-1"/>
                <w:sz w:val="24"/>
                <w:szCs w:val="24"/>
                <w:highlight w:val="none"/>
              </w:rPr>
              <w:t>四、开标期间，各交易主体使用数字证书（</w:t>
            </w:r>
            <w:r>
              <w:rPr>
                <w:rFonts w:ascii="Times New Roman" w:hAnsi="Times New Roman" w:eastAsia="Times New Roman" w:cs="Times New Roman"/>
                <w:color w:val="auto"/>
                <w:spacing w:val="-1"/>
                <w:sz w:val="24"/>
                <w:szCs w:val="24"/>
                <w:highlight w:val="none"/>
              </w:rPr>
              <w:t>CA</w:t>
            </w:r>
            <w:r>
              <w:rPr>
                <w:color w:val="auto"/>
                <w:spacing w:val="-1"/>
                <w:sz w:val="24"/>
                <w:szCs w:val="24"/>
                <w:highlight w:val="none"/>
              </w:rPr>
              <w:t>）在各自的电脑终端上的所有操作、音视频及文字交互均被视为各交易主体的行为，并承担相应的法律责任。</w:t>
            </w:r>
          </w:p>
        </w:tc>
      </w:tr>
      <w:tr w14:paraId="3A777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6" w:hRule="atLeast"/>
        </w:trPr>
        <w:tc>
          <w:tcPr>
            <w:tcW w:w="953" w:type="dxa"/>
            <w:tcBorders>
              <w:left w:val="single" w:color="000000" w:sz="6" w:space="0"/>
            </w:tcBorders>
            <w:vAlign w:val="center"/>
          </w:tcPr>
          <w:p w14:paraId="3F9D057D">
            <w:pPr>
              <w:spacing w:line="244" w:lineRule="auto"/>
              <w:jc w:val="both"/>
              <w:rPr>
                <w:rFonts w:ascii="Arial"/>
                <w:color w:val="auto"/>
                <w:sz w:val="24"/>
                <w:szCs w:val="24"/>
                <w:highlight w:val="none"/>
              </w:rPr>
            </w:pPr>
          </w:p>
          <w:p w14:paraId="324B2E43">
            <w:pPr>
              <w:spacing w:line="244" w:lineRule="auto"/>
              <w:jc w:val="both"/>
              <w:rPr>
                <w:rFonts w:ascii="Arial"/>
                <w:color w:val="auto"/>
                <w:sz w:val="24"/>
                <w:szCs w:val="24"/>
                <w:highlight w:val="none"/>
              </w:rPr>
            </w:pPr>
          </w:p>
          <w:p w14:paraId="60DBEBEB">
            <w:pPr>
              <w:spacing w:line="244" w:lineRule="auto"/>
              <w:jc w:val="both"/>
              <w:rPr>
                <w:rFonts w:ascii="Arial"/>
                <w:color w:val="auto"/>
                <w:sz w:val="24"/>
                <w:szCs w:val="24"/>
                <w:highlight w:val="none"/>
              </w:rPr>
            </w:pPr>
          </w:p>
          <w:p w14:paraId="64F058A1">
            <w:pPr>
              <w:spacing w:line="244" w:lineRule="auto"/>
              <w:jc w:val="both"/>
              <w:rPr>
                <w:rFonts w:ascii="Arial"/>
                <w:color w:val="auto"/>
                <w:sz w:val="24"/>
                <w:szCs w:val="24"/>
                <w:highlight w:val="none"/>
              </w:rPr>
            </w:pPr>
          </w:p>
          <w:p w14:paraId="54DAA399">
            <w:pPr>
              <w:spacing w:line="244" w:lineRule="auto"/>
              <w:jc w:val="both"/>
              <w:rPr>
                <w:rFonts w:ascii="Arial"/>
                <w:color w:val="auto"/>
                <w:sz w:val="24"/>
                <w:szCs w:val="24"/>
                <w:highlight w:val="none"/>
              </w:rPr>
            </w:pPr>
          </w:p>
          <w:p w14:paraId="1FB7783A">
            <w:pPr>
              <w:spacing w:before="61" w:line="187" w:lineRule="auto"/>
              <w:ind w:left="345" w:leftChars="0"/>
              <w:jc w:val="both"/>
              <w:rPr>
                <w:rFonts w:ascii="Times New Roman" w:hAnsi="Times New Roman" w:eastAsia="Times New Roman" w:cs="Times New Roman"/>
                <w:color w:val="auto"/>
                <w:spacing w:val="-2"/>
                <w:sz w:val="24"/>
                <w:szCs w:val="24"/>
                <w:highlight w:val="none"/>
              </w:rPr>
            </w:pPr>
            <w:r>
              <w:rPr>
                <w:rFonts w:ascii="Times New Roman" w:hAnsi="Times New Roman" w:eastAsia="Times New Roman" w:cs="Times New Roman"/>
                <w:color w:val="auto"/>
                <w:spacing w:val="-2"/>
                <w:sz w:val="24"/>
                <w:szCs w:val="24"/>
                <w:highlight w:val="none"/>
              </w:rPr>
              <w:t>5.2</w:t>
            </w:r>
          </w:p>
        </w:tc>
        <w:tc>
          <w:tcPr>
            <w:tcW w:w="2279" w:type="dxa"/>
            <w:vAlign w:val="center"/>
          </w:tcPr>
          <w:p w14:paraId="63F42B88">
            <w:pPr>
              <w:spacing w:line="242" w:lineRule="auto"/>
              <w:jc w:val="both"/>
              <w:rPr>
                <w:rFonts w:ascii="Arial"/>
                <w:color w:val="auto"/>
                <w:sz w:val="24"/>
                <w:szCs w:val="24"/>
                <w:highlight w:val="none"/>
              </w:rPr>
            </w:pPr>
          </w:p>
          <w:p w14:paraId="5E80EFC6">
            <w:pPr>
              <w:spacing w:line="242" w:lineRule="auto"/>
              <w:jc w:val="both"/>
              <w:rPr>
                <w:rFonts w:ascii="Arial"/>
                <w:color w:val="auto"/>
                <w:sz w:val="24"/>
                <w:szCs w:val="24"/>
                <w:highlight w:val="none"/>
              </w:rPr>
            </w:pPr>
          </w:p>
          <w:p w14:paraId="5DEB1853">
            <w:pPr>
              <w:spacing w:line="242" w:lineRule="auto"/>
              <w:jc w:val="both"/>
              <w:rPr>
                <w:rFonts w:ascii="Arial"/>
                <w:color w:val="auto"/>
                <w:sz w:val="24"/>
                <w:szCs w:val="24"/>
                <w:highlight w:val="none"/>
              </w:rPr>
            </w:pPr>
          </w:p>
          <w:p w14:paraId="77277606">
            <w:pPr>
              <w:spacing w:line="242" w:lineRule="auto"/>
              <w:jc w:val="both"/>
              <w:rPr>
                <w:rFonts w:ascii="Arial"/>
                <w:color w:val="auto"/>
                <w:sz w:val="24"/>
                <w:szCs w:val="24"/>
                <w:highlight w:val="none"/>
              </w:rPr>
            </w:pPr>
          </w:p>
          <w:p w14:paraId="607FFA0F">
            <w:pPr>
              <w:spacing w:line="243" w:lineRule="auto"/>
              <w:jc w:val="both"/>
              <w:rPr>
                <w:rFonts w:ascii="Arial"/>
                <w:color w:val="auto"/>
                <w:sz w:val="24"/>
                <w:szCs w:val="24"/>
                <w:highlight w:val="none"/>
              </w:rPr>
            </w:pPr>
          </w:p>
          <w:p w14:paraId="56994E95">
            <w:pPr>
              <w:pStyle w:val="17"/>
              <w:spacing w:before="68" w:line="221" w:lineRule="auto"/>
              <w:ind w:left="106" w:leftChars="0"/>
              <w:jc w:val="both"/>
              <w:rPr>
                <w:color w:val="auto"/>
                <w:spacing w:val="-1"/>
                <w:sz w:val="24"/>
                <w:szCs w:val="24"/>
                <w:highlight w:val="none"/>
              </w:rPr>
            </w:pPr>
            <w:r>
              <w:rPr>
                <w:color w:val="auto"/>
                <w:spacing w:val="-2"/>
                <w:sz w:val="24"/>
                <w:szCs w:val="24"/>
                <w:highlight w:val="none"/>
              </w:rPr>
              <w:t>开标程序</w:t>
            </w:r>
          </w:p>
        </w:tc>
        <w:tc>
          <w:tcPr>
            <w:tcW w:w="5739" w:type="dxa"/>
            <w:tcBorders>
              <w:right w:val="single" w:color="000000" w:sz="6" w:space="0"/>
            </w:tcBorders>
            <w:vAlign w:val="top"/>
          </w:tcPr>
          <w:p w14:paraId="73E5F8E9">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firstLine="240" w:firstLineChars="100"/>
              <w:jc w:val="left"/>
              <w:rPr>
                <w:rFonts w:hint="eastAsia"/>
                <w:color w:val="auto"/>
                <w:kern w:val="21"/>
                <w:sz w:val="24"/>
                <w:szCs w:val="24"/>
                <w:highlight w:val="none"/>
              </w:rPr>
            </w:pPr>
            <w:r>
              <w:rPr>
                <w:rFonts w:hint="eastAsia"/>
                <w:color w:val="auto"/>
                <w:kern w:val="21"/>
                <w:sz w:val="24"/>
                <w:szCs w:val="24"/>
                <w:highlight w:val="none"/>
              </w:rPr>
              <w:t>1.开标程序</w:t>
            </w:r>
          </w:p>
          <w:p w14:paraId="45B4D445">
            <w:pPr>
              <w:pStyle w:val="17"/>
              <w:keepNext w:val="0"/>
              <w:keepLines w:val="0"/>
              <w:pageBreakBefore w:val="0"/>
              <w:widowControl/>
              <w:kinsoku w:val="0"/>
              <w:wordWrap/>
              <w:overflowPunct/>
              <w:topLinePunct w:val="0"/>
              <w:autoSpaceDE w:val="0"/>
              <w:autoSpaceDN w:val="0"/>
              <w:bidi w:val="0"/>
              <w:adjustRightInd w:val="0"/>
              <w:snapToGrid w:val="0"/>
              <w:spacing w:before="108" w:line="284" w:lineRule="auto"/>
              <w:ind w:left="113" w:right="136" w:firstLine="17"/>
              <w:textAlignment w:val="baseline"/>
              <w:rPr>
                <w:rFonts w:hint="eastAsia"/>
                <w:color w:val="auto"/>
                <w:spacing w:val="-1"/>
                <w:sz w:val="24"/>
                <w:szCs w:val="24"/>
                <w:highlight w:val="none"/>
              </w:rPr>
            </w:pPr>
            <w:r>
              <w:rPr>
                <w:rFonts w:hint="eastAsia"/>
                <w:color w:val="auto"/>
                <w:spacing w:val="-1"/>
                <w:sz w:val="24"/>
                <w:szCs w:val="24"/>
                <w:highlight w:val="none"/>
              </w:rPr>
              <w:t>（一）宣布开始</w:t>
            </w:r>
          </w:p>
          <w:p w14:paraId="6126F7BD">
            <w:pPr>
              <w:pStyle w:val="17"/>
              <w:keepNext w:val="0"/>
              <w:keepLines w:val="0"/>
              <w:pageBreakBefore w:val="0"/>
              <w:widowControl/>
              <w:kinsoku w:val="0"/>
              <w:wordWrap/>
              <w:overflowPunct/>
              <w:topLinePunct w:val="0"/>
              <w:autoSpaceDE w:val="0"/>
              <w:autoSpaceDN w:val="0"/>
              <w:bidi w:val="0"/>
              <w:adjustRightInd w:val="0"/>
              <w:snapToGrid w:val="0"/>
              <w:spacing w:before="108" w:line="284" w:lineRule="auto"/>
              <w:ind w:left="113" w:right="136" w:firstLine="257" w:firstLineChars="108"/>
              <w:textAlignment w:val="baseline"/>
              <w:rPr>
                <w:rFonts w:hint="eastAsia"/>
                <w:color w:val="auto"/>
                <w:spacing w:val="-1"/>
                <w:sz w:val="24"/>
                <w:szCs w:val="24"/>
                <w:highlight w:val="none"/>
              </w:rPr>
            </w:pPr>
            <w:r>
              <w:rPr>
                <w:rFonts w:hint="eastAsia"/>
                <w:color w:val="auto"/>
                <w:spacing w:val="-1"/>
                <w:sz w:val="24"/>
                <w:szCs w:val="24"/>
                <w:highlight w:val="none"/>
              </w:rPr>
              <w:t>至投标截止时间，招标人宣布开始开标，宣布开标项目名称、招标人代表、交易中心见证代表、</w:t>
            </w:r>
            <w:r>
              <w:rPr>
                <w:rFonts w:hint="eastAsia"/>
                <w:color w:val="auto"/>
                <w:spacing w:val="-1"/>
                <w:sz w:val="24"/>
                <w:szCs w:val="24"/>
                <w:highlight w:val="none"/>
                <w:lang w:eastAsia="zh-CN"/>
              </w:rPr>
              <w:t>监标人</w:t>
            </w:r>
            <w:r>
              <w:rPr>
                <w:rFonts w:hint="eastAsia"/>
                <w:color w:val="auto"/>
                <w:spacing w:val="-1"/>
                <w:sz w:val="24"/>
                <w:szCs w:val="24"/>
                <w:highlight w:val="none"/>
              </w:rPr>
              <w:t>等有关人员姓名。</w:t>
            </w:r>
          </w:p>
          <w:p w14:paraId="7EEC3319">
            <w:pPr>
              <w:pStyle w:val="17"/>
              <w:keepNext w:val="0"/>
              <w:keepLines w:val="0"/>
              <w:pageBreakBefore w:val="0"/>
              <w:widowControl/>
              <w:kinsoku w:val="0"/>
              <w:wordWrap/>
              <w:overflowPunct/>
              <w:topLinePunct w:val="0"/>
              <w:autoSpaceDE w:val="0"/>
              <w:autoSpaceDN w:val="0"/>
              <w:bidi w:val="0"/>
              <w:adjustRightInd w:val="0"/>
              <w:snapToGrid w:val="0"/>
              <w:spacing w:before="108" w:line="284" w:lineRule="auto"/>
              <w:ind w:left="113" w:right="136" w:firstLine="17"/>
              <w:textAlignment w:val="baseline"/>
              <w:rPr>
                <w:rFonts w:hint="eastAsia"/>
                <w:color w:val="auto"/>
                <w:spacing w:val="-1"/>
                <w:sz w:val="24"/>
                <w:szCs w:val="24"/>
                <w:highlight w:val="none"/>
              </w:rPr>
            </w:pPr>
            <w:r>
              <w:rPr>
                <w:rFonts w:hint="eastAsia"/>
                <w:color w:val="auto"/>
                <w:spacing w:val="-1"/>
                <w:sz w:val="24"/>
                <w:szCs w:val="24"/>
                <w:highlight w:val="none"/>
              </w:rPr>
              <w:t>（二）公布投标人数量</w:t>
            </w:r>
          </w:p>
          <w:p w14:paraId="03215898">
            <w:pPr>
              <w:pStyle w:val="17"/>
              <w:keepNext w:val="0"/>
              <w:keepLines w:val="0"/>
              <w:pageBreakBefore w:val="0"/>
              <w:widowControl/>
              <w:kinsoku w:val="0"/>
              <w:wordWrap/>
              <w:overflowPunct/>
              <w:topLinePunct w:val="0"/>
              <w:autoSpaceDE w:val="0"/>
              <w:autoSpaceDN w:val="0"/>
              <w:bidi w:val="0"/>
              <w:adjustRightInd w:val="0"/>
              <w:snapToGrid w:val="0"/>
              <w:spacing w:before="108" w:line="284" w:lineRule="auto"/>
              <w:ind w:left="113" w:right="136" w:firstLine="257" w:firstLineChars="108"/>
              <w:textAlignment w:val="baseline"/>
              <w:rPr>
                <w:rFonts w:hint="eastAsia"/>
                <w:color w:val="auto"/>
                <w:sz w:val="24"/>
                <w:szCs w:val="24"/>
                <w:highlight w:val="none"/>
              </w:rPr>
            </w:pPr>
            <w:r>
              <w:rPr>
                <w:rFonts w:hint="eastAsia"/>
                <w:color w:val="auto"/>
                <w:spacing w:val="-1"/>
                <w:sz w:val="24"/>
                <w:szCs w:val="24"/>
                <w:highlight w:val="none"/>
              </w:rPr>
              <w:t>招标人公布投标人数量及投</w:t>
            </w:r>
            <w:r>
              <w:rPr>
                <w:rFonts w:hint="eastAsia"/>
                <w:color w:val="auto"/>
                <w:sz w:val="24"/>
                <w:szCs w:val="24"/>
                <w:highlight w:val="none"/>
              </w:rPr>
              <w:t>标保证金缴纳情况。若开标系统显示已递交投标文件的单位数量少于3家，招标人公布已递交投标文件单位名称，当场宣布招标失败，结束开标。</w:t>
            </w:r>
          </w:p>
          <w:p w14:paraId="0A8D6A49">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（三）投标人解密</w:t>
            </w:r>
          </w:p>
          <w:p w14:paraId="09361AA4">
            <w:pPr>
              <w:pStyle w:val="17"/>
              <w:keepNext w:val="0"/>
              <w:keepLines w:val="0"/>
              <w:pageBreakBefore w:val="0"/>
              <w:widowControl/>
              <w:kinsoku w:val="0"/>
              <w:wordWrap w:val="0"/>
              <w:overflowPunct/>
              <w:topLinePunct w:val="0"/>
              <w:autoSpaceDE w:val="0"/>
              <w:autoSpaceDN w:val="0"/>
              <w:bidi w:val="0"/>
              <w:adjustRightInd w:val="0"/>
              <w:snapToGrid w:val="0"/>
              <w:spacing w:line="440" w:lineRule="exact"/>
              <w:ind w:left="0" w:leftChars="0" w:right="142"/>
              <w:jc w:val="left"/>
              <w:textAlignment w:val="baseline"/>
              <w:rPr>
                <w:rFonts w:hint="eastAsia"/>
                <w:color w:val="auto"/>
                <w:kern w:val="21"/>
                <w:sz w:val="24"/>
                <w:szCs w:val="24"/>
                <w:highlight w:val="none"/>
              </w:rPr>
            </w:pPr>
            <w:r>
              <w:rPr>
                <w:rFonts w:hint="eastAsia"/>
                <w:color w:val="auto"/>
                <w:kern w:val="21"/>
                <w:sz w:val="24"/>
                <w:szCs w:val="24"/>
                <w:highlight w:val="none"/>
              </w:rPr>
              <w:t>投标人数量大于等于</w:t>
            </w:r>
            <w:r>
              <w:rPr>
                <w:rFonts w:hint="eastAsia"/>
                <w:color w:val="auto"/>
                <w:kern w:val="21"/>
                <w:sz w:val="24"/>
                <w:szCs w:val="24"/>
                <w:highlight w:val="none"/>
                <w:u w:val="single"/>
              </w:rPr>
              <w:t>3</w:t>
            </w:r>
            <w:r>
              <w:rPr>
                <w:rFonts w:hint="eastAsia"/>
                <w:color w:val="auto"/>
                <w:kern w:val="21"/>
                <w:sz w:val="24"/>
                <w:szCs w:val="24"/>
                <w:highlight w:val="none"/>
              </w:rPr>
              <w:t>家，进入投标人解密环节。投标人解密时间：30分钟。投标人解密方式：投标人使用IE11及以上浏览器自行登录不见面开标大厅</w:t>
            </w:r>
            <w:r>
              <w:rPr>
                <w:rFonts w:hint="eastAsia" w:ascii="仿宋" w:hAnsi="仿宋" w:eastAsia="仿宋" w:cs="仿宋"/>
                <w:b w:val="0"/>
                <w:bCs w:val="0"/>
                <w:i w:val="0"/>
                <w:iCs w:val="0"/>
                <w:color w:val="auto"/>
                <w:sz w:val="24"/>
                <w:szCs w:val="24"/>
                <w:highlight w:val="none"/>
                <w:u w:val="single"/>
                <w:shd w:val="clear" w:color="auto" w:fill="auto"/>
              </w:rPr>
              <w:t>（</w:t>
            </w:r>
            <w:r>
              <w:rPr>
                <w:color w:val="auto"/>
                <w:highlight w:val="none"/>
                <w:u w:val="single"/>
              </w:rPr>
              <w:fldChar w:fldCharType="begin"/>
            </w:r>
            <w:r>
              <w:rPr>
                <w:color w:val="auto"/>
                <w:highlight w:val="none"/>
                <w:u w:val="single"/>
              </w:rPr>
              <w:instrText xml:space="preserve"> HYPERLINK "http://220.187.226.36/BidOpening/bidopeninghallaction/hall/login" </w:instrText>
            </w:r>
            <w:r>
              <w:rPr>
                <w:color w:val="auto"/>
                <w:highlight w:val="none"/>
                <w:u w:val="single"/>
              </w:rPr>
              <w:fldChar w:fldCharType="separate"/>
            </w:r>
            <w:r>
              <w:rPr>
                <w:rFonts w:ascii="宋体" w:hAnsi="宋体" w:eastAsia="宋体" w:cs="宋体"/>
                <w:color w:val="auto"/>
                <w:sz w:val="24"/>
                <w:szCs w:val="24"/>
                <w:highlight w:val="none"/>
                <w:u w:val="single"/>
              </w:rPr>
              <w:t>http</w:t>
            </w:r>
            <w:r>
              <w:rPr>
                <w:rFonts w:ascii="宋体" w:hAnsi="宋体" w:eastAsia="宋体" w:cs="宋体"/>
                <w:color w:val="auto"/>
                <w:spacing w:val="2"/>
                <w:sz w:val="24"/>
                <w:szCs w:val="24"/>
                <w:highlight w:val="none"/>
                <w:u w:val="single"/>
              </w:rPr>
              <w:t>://220.187.226.36/</w:t>
            </w:r>
            <w:r>
              <w:rPr>
                <w:rFonts w:ascii="宋体" w:hAnsi="宋体" w:eastAsia="宋体" w:cs="宋体"/>
                <w:color w:val="auto"/>
                <w:sz w:val="24"/>
                <w:szCs w:val="24"/>
                <w:highlight w:val="none"/>
                <w:u w:val="single"/>
              </w:rPr>
              <w:t>BidOpening</w:t>
            </w:r>
            <w:r>
              <w:rPr>
                <w:rFonts w:ascii="宋体" w:hAnsi="宋体" w:eastAsia="宋体" w:cs="宋体"/>
                <w:color w:val="auto"/>
                <w:spacing w:val="2"/>
                <w:sz w:val="24"/>
                <w:szCs w:val="24"/>
                <w:highlight w:val="none"/>
                <w:u w:val="single"/>
              </w:rPr>
              <w:t>/</w:t>
            </w:r>
            <w:r>
              <w:rPr>
                <w:rFonts w:ascii="宋体" w:hAnsi="宋体" w:eastAsia="宋体" w:cs="宋体"/>
                <w:color w:val="auto"/>
                <w:sz w:val="24"/>
                <w:szCs w:val="24"/>
                <w:highlight w:val="none"/>
                <w:u w:val="single"/>
              </w:rPr>
              <w:t>bidopeninghallaction</w:t>
            </w:r>
            <w:r>
              <w:rPr>
                <w:rFonts w:ascii="宋体" w:hAnsi="宋体" w:eastAsia="宋体" w:cs="宋体"/>
                <w:color w:val="auto"/>
                <w:spacing w:val="2"/>
                <w:sz w:val="24"/>
                <w:szCs w:val="24"/>
                <w:highlight w:val="none"/>
                <w:u w:val="single"/>
              </w:rPr>
              <w:t>/</w:t>
            </w:r>
            <w:r>
              <w:rPr>
                <w:rFonts w:ascii="宋体" w:hAnsi="宋体" w:eastAsia="宋体" w:cs="宋体"/>
                <w:color w:val="auto"/>
                <w:sz w:val="24"/>
                <w:szCs w:val="24"/>
                <w:highlight w:val="none"/>
                <w:u w:val="single"/>
              </w:rPr>
              <w:t>hall</w:t>
            </w:r>
            <w:r>
              <w:rPr>
                <w:rFonts w:ascii="宋体" w:hAnsi="宋体" w:eastAsia="宋体" w:cs="宋体"/>
                <w:color w:val="auto"/>
                <w:spacing w:val="2"/>
                <w:sz w:val="24"/>
                <w:szCs w:val="24"/>
                <w:highlight w:val="none"/>
                <w:u w:val="single"/>
              </w:rPr>
              <w:t>/</w:t>
            </w:r>
            <w:r>
              <w:rPr>
                <w:rFonts w:ascii="宋体" w:hAnsi="宋体" w:eastAsia="宋体" w:cs="宋体"/>
                <w:color w:val="auto"/>
                <w:sz w:val="24"/>
                <w:szCs w:val="24"/>
                <w:highlight w:val="none"/>
                <w:u w:val="single"/>
              </w:rPr>
              <w:t>login</w:t>
            </w:r>
            <w:r>
              <w:rPr>
                <w:rFonts w:ascii="宋体" w:hAnsi="宋体" w:eastAsia="宋体" w:cs="宋体"/>
                <w:color w:val="auto"/>
                <w:sz w:val="24"/>
                <w:szCs w:val="24"/>
                <w:highlight w:val="none"/>
                <w:u w:val="single"/>
              </w:rPr>
              <w:fldChar w:fldCharType="end"/>
            </w:r>
            <w:r>
              <w:rPr>
                <w:rFonts w:ascii="宋体" w:hAnsi="宋体" w:eastAsia="宋体" w:cs="宋体"/>
                <w:color w:val="auto"/>
                <w:spacing w:val="-40"/>
                <w:sz w:val="24"/>
                <w:szCs w:val="24"/>
                <w:highlight w:val="none"/>
                <w:u w:val="single"/>
              </w:rPr>
              <w:t xml:space="preserve"> </w:t>
            </w:r>
            <w:r>
              <w:rPr>
                <w:rFonts w:hint="eastAsia" w:ascii="仿宋" w:hAnsi="仿宋" w:eastAsia="仿宋" w:cs="仿宋"/>
                <w:b w:val="0"/>
                <w:bCs w:val="0"/>
                <w:i w:val="0"/>
                <w:iCs w:val="0"/>
                <w:color w:val="auto"/>
                <w:sz w:val="24"/>
                <w:szCs w:val="24"/>
                <w:highlight w:val="none"/>
                <w:u w:val="single"/>
                <w:shd w:val="clear" w:color="auto" w:fill="auto"/>
              </w:rPr>
              <w:t>）</w:t>
            </w:r>
            <w:r>
              <w:rPr>
                <w:rFonts w:hint="eastAsia"/>
                <w:color w:val="auto"/>
                <w:kern w:val="21"/>
                <w:sz w:val="24"/>
                <w:szCs w:val="24"/>
                <w:highlight w:val="none"/>
              </w:rPr>
              <w:t>。待招标人点击解密指令后，投标人使用生成投标文件的CA数字证书在线解密。</w:t>
            </w:r>
          </w:p>
          <w:p w14:paraId="7B3DE84F">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若成功解密的投标人少于</w:t>
            </w:r>
            <w:r>
              <w:rPr>
                <w:rFonts w:hint="eastAsia"/>
                <w:color w:val="auto"/>
                <w:kern w:val="21"/>
                <w:sz w:val="24"/>
                <w:szCs w:val="24"/>
                <w:highlight w:val="none"/>
                <w:u w:val="single"/>
              </w:rPr>
              <w:t>3</w:t>
            </w:r>
            <w:r>
              <w:rPr>
                <w:rFonts w:hint="eastAsia"/>
                <w:color w:val="auto"/>
                <w:kern w:val="21"/>
                <w:sz w:val="24"/>
                <w:szCs w:val="24"/>
                <w:highlight w:val="none"/>
              </w:rPr>
              <w:t>家，招标人宣布本次招标失败。</w:t>
            </w:r>
          </w:p>
          <w:p w14:paraId="27510BAA">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（四）招标人解密</w:t>
            </w:r>
          </w:p>
          <w:p w14:paraId="55333D92">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全部投标人解密完成后或投标人解密时间结束，招标人使用生成招标文件的CA数字证书解密投标文件。</w:t>
            </w:r>
          </w:p>
          <w:p w14:paraId="3635445C">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（五）抽取系数（若有）</w:t>
            </w:r>
          </w:p>
          <w:p w14:paraId="0C9D33CA">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（六）公布开标结果</w:t>
            </w:r>
          </w:p>
          <w:p w14:paraId="34FA7D08">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招标解密完成后，开标系统公布投标单位、项目负责人、投标报价、工期、质量目标等内容。</w:t>
            </w:r>
          </w:p>
          <w:p w14:paraId="0DFABB20">
            <w:pPr>
              <w:pStyle w:val="17"/>
              <w:keepNext w:val="0"/>
              <w:keepLines w:val="0"/>
              <w:pageBreakBefore w:val="0"/>
              <w:widowControl/>
              <w:numPr>
                <w:ilvl w:val="0"/>
                <w:numId w:val="1"/>
              </w:numPr>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投标人确认</w:t>
            </w:r>
          </w:p>
          <w:p w14:paraId="7895C0C1">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ascii="宋体" w:hAnsi="宋体" w:eastAsia="宋体" w:cs="宋体"/>
                <w:snapToGrid w:val="0"/>
                <w:color w:val="auto"/>
                <w:kern w:val="0"/>
                <w:sz w:val="20"/>
                <w:szCs w:val="20"/>
                <w:highlight w:val="none"/>
                <w:lang w:val="en-US" w:eastAsia="zh-CN" w:bidi="ar"/>
              </w:rPr>
              <w:t>（</w:t>
            </w:r>
            <w:r>
              <w:rPr>
                <w:rFonts w:hint="eastAsia"/>
                <w:color w:val="auto"/>
                <w:kern w:val="21"/>
                <w:sz w:val="24"/>
                <w:szCs w:val="24"/>
                <w:highlight w:val="none"/>
                <w:lang w:val="en-US" w:eastAsia="zh-CN"/>
              </w:rPr>
              <w:t xml:space="preserve">八）异议及回复 </w:t>
            </w:r>
          </w:p>
          <w:p w14:paraId="7B0DA7F9">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lang w:val="en-US" w:eastAsia="zh-CN"/>
              </w:rPr>
              <w:t xml:space="preserve">投标人对开标有异议的，应在开标结果公布后5分钟内通过不见面开标大厅的“我有异议 ”按钮进行异议，招标人通过不见面开标大厅在线文字答复。 </w:t>
            </w:r>
          </w:p>
          <w:p w14:paraId="3DC71FD0">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lang w:val="en-US" w:eastAsia="zh-CN"/>
              </w:rPr>
              <w:t xml:space="preserve">（九）开标结束 </w:t>
            </w:r>
          </w:p>
          <w:p w14:paraId="0EBE23E8">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lang w:val="en-US" w:eastAsia="zh-CN"/>
              </w:rPr>
              <w:t>招标人宣布本次开标结束。</w:t>
            </w:r>
          </w:p>
        </w:tc>
      </w:tr>
      <w:tr w14:paraId="3B29B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953" w:type="dxa"/>
            <w:tcBorders>
              <w:left w:val="single" w:color="000000" w:sz="6" w:space="0"/>
            </w:tcBorders>
            <w:vAlign w:val="center"/>
          </w:tcPr>
          <w:p w14:paraId="71952D71">
            <w:pPr>
              <w:keepNext w:val="0"/>
              <w:keepLines w:val="0"/>
              <w:pageBreakBefore w:val="0"/>
              <w:wordWrap/>
              <w:overflowPunct/>
              <w:topLinePunct w:val="0"/>
              <w:bidi w:val="0"/>
              <w:spacing w:line="440" w:lineRule="exact"/>
              <w:ind w:left="0" w:leftChars="0"/>
              <w:jc w:val="center"/>
              <w:rPr>
                <w:rFonts w:ascii="Times New Roman" w:hAnsi="Times New Roman" w:eastAsia="Times New Roman" w:cs="Times New Roman"/>
                <w:color w:val="auto"/>
                <w:spacing w:val="-2"/>
                <w:sz w:val="24"/>
                <w:szCs w:val="24"/>
                <w:highlight w:val="none"/>
              </w:rPr>
            </w:pPr>
            <w:r>
              <w:rPr>
                <w:rFonts w:hint="eastAsia" w:ascii="宋体" w:hAnsi="宋体" w:eastAsia="宋体" w:cs="宋体"/>
                <w:b/>
                <w:bCs/>
                <w:color w:val="auto"/>
                <w:kern w:val="21"/>
                <w:sz w:val="24"/>
                <w:szCs w:val="24"/>
                <w:highlight w:val="none"/>
              </w:rPr>
              <w:t>5.3</w:t>
            </w:r>
          </w:p>
        </w:tc>
        <w:tc>
          <w:tcPr>
            <w:tcW w:w="2279" w:type="dxa"/>
            <w:vAlign w:val="center"/>
          </w:tcPr>
          <w:p w14:paraId="651F6E67">
            <w:pPr>
              <w:pStyle w:val="17"/>
              <w:keepNext w:val="0"/>
              <w:keepLines w:val="0"/>
              <w:pageBreakBefore w:val="0"/>
              <w:wordWrap/>
              <w:overflowPunct/>
              <w:topLinePunct w:val="0"/>
              <w:bidi w:val="0"/>
              <w:spacing w:line="440" w:lineRule="exact"/>
              <w:ind w:left="0" w:leftChars="0"/>
              <w:jc w:val="center"/>
              <w:rPr>
                <w:color w:val="auto"/>
                <w:spacing w:val="-2"/>
                <w:sz w:val="24"/>
                <w:szCs w:val="24"/>
                <w:highlight w:val="none"/>
              </w:rPr>
            </w:pPr>
            <w:r>
              <w:rPr>
                <w:rFonts w:hint="eastAsia"/>
                <w:color w:val="auto"/>
                <w:kern w:val="21"/>
                <w:sz w:val="24"/>
                <w:szCs w:val="24"/>
                <w:highlight w:val="none"/>
              </w:rPr>
              <w:t>特殊情况处置</w:t>
            </w:r>
          </w:p>
        </w:tc>
        <w:tc>
          <w:tcPr>
            <w:tcW w:w="5739" w:type="dxa"/>
            <w:tcBorders>
              <w:right w:val="single" w:color="000000" w:sz="6" w:space="0"/>
            </w:tcBorders>
            <w:vAlign w:val="center"/>
          </w:tcPr>
          <w:p w14:paraId="03E383E8">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1.特殊情况的处置</w:t>
            </w:r>
          </w:p>
          <w:p w14:paraId="309AA900">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（一）如遇网络故障、网络安全问题等意外情况，所有投标人均无法解密，或因招标人CA锁原因导致招标人解密环节出现问题，招标人应向监管部门申请并征得同意后可延长开标时间或推迟时间重新开标</w:t>
            </w:r>
            <w:r>
              <w:rPr>
                <w:rFonts w:hint="eastAsia"/>
                <w:color w:val="auto"/>
                <w:kern w:val="21"/>
                <w:sz w:val="24"/>
                <w:szCs w:val="24"/>
                <w:highlight w:val="none"/>
                <w:lang w:eastAsia="zh-CN"/>
              </w:rPr>
              <w:t>，</w:t>
            </w:r>
            <w:r>
              <w:rPr>
                <w:rFonts w:hint="eastAsia"/>
                <w:color w:val="auto"/>
                <w:kern w:val="21"/>
                <w:sz w:val="24"/>
                <w:szCs w:val="24"/>
                <w:highlight w:val="none"/>
              </w:rPr>
              <w:t>具体安排另行通知。</w:t>
            </w:r>
          </w:p>
          <w:p w14:paraId="26C659D0">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（二）因电子交易系统故障、投标人数量过多等非投标人原因，导致投标文件不能在规定时间内完成解密的，招标人可向监管部门申请并征得同意后延长解密时间，并告知在线的投标人。</w:t>
            </w:r>
          </w:p>
          <w:p w14:paraId="6B66FEAA">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2.开标特别说明</w:t>
            </w:r>
          </w:p>
          <w:p w14:paraId="7CDBC191">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（一）开标解密使用投标人上传的电子投标文件。</w:t>
            </w:r>
          </w:p>
          <w:p w14:paraId="1EA62AB6">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（二）因投标人原因造成其电子投标文件未解密的，视为撤销其投标文件；因投标人之外的原因造成电子投标文件未解密的，视为撤回其投标文件。</w:t>
            </w:r>
          </w:p>
          <w:p w14:paraId="0A666006">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（三）部分投标人的电子投标文件无法解密的，其他投标文件的开标可以继续进行。</w:t>
            </w:r>
          </w:p>
          <w:p w14:paraId="7B1512A2">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jc w:val="left"/>
              <w:rPr>
                <w:rFonts w:hint="eastAsia"/>
                <w:color w:val="auto"/>
                <w:kern w:val="21"/>
                <w:sz w:val="24"/>
                <w:szCs w:val="24"/>
                <w:highlight w:val="none"/>
              </w:rPr>
            </w:pPr>
            <w:r>
              <w:rPr>
                <w:rFonts w:hint="eastAsia"/>
                <w:color w:val="auto"/>
                <w:kern w:val="21"/>
                <w:sz w:val="24"/>
                <w:szCs w:val="24"/>
                <w:highlight w:val="none"/>
              </w:rPr>
              <w:t>（四）投标人必须使用生成电子投标文件的CA数字证书解密电子投标文件。</w:t>
            </w:r>
          </w:p>
          <w:p w14:paraId="51D14238">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0" w:rightChars="0"/>
              <w:jc w:val="left"/>
              <w:rPr>
                <w:rFonts w:hint="eastAsia"/>
                <w:color w:val="auto"/>
                <w:kern w:val="21"/>
                <w:sz w:val="24"/>
                <w:szCs w:val="24"/>
                <w:highlight w:val="none"/>
              </w:rPr>
            </w:pPr>
            <w:r>
              <w:rPr>
                <w:rFonts w:hint="eastAsia"/>
                <w:color w:val="auto"/>
                <w:kern w:val="21"/>
                <w:sz w:val="24"/>
                <w:szCs w:val="24"/>
                <w:highlight w:val="none"/>
              </w:rPr>
              <w:t>（五）其他：</w:t>
            </w:r>
            <w:r>
              <w:rPr>
                <w:rFonts w:hint="eastAsia"/>
                <w:color w:val="auto"/>
                <w:kern w:val="21"/>
                <w:sz w:val="24"/>
                <w:szCs w:val="24"/>
                <w:highlight w:val="none"/>
                <w:u w:val="single"/>
                <w:lang w:eastAsia="zh-CN"/>
              </w:rPr>
              <w:t xml:space="preserve">     /  </w:t>
            </w:r>
            <w:r>
              <w:rPr>
                <w:rFonts w:hint="eastAsia"/>
                <w:color w:val="auto"/>
                <w:kern w:val="21"/>
                <w:sz w:val="24"/>
                <w:szCs w:val="24"/>
                <w:highlight w:val="none"/>
              </w:rPr>
              <w:t>。</w:t>
            </w:r>
          </w:p>
        </w:tc>
      </w:tr>
      <w:tr w14:paraId="63978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953" w:type="dxa"/>
            <w:tcBorders>
              <w:left w:val="single" w:color="000000" w:sz="6" w:space="0"/>
            </w:tcBorders>
            <w:vAlign w:val="top"/>
          </w:tcPr>
          <w:p w14:paraId="3065193B">
            <w:pPr>
              <w:spacing w:line="269" w:lineRule="auto"/>
              <w:rPr>
                <w:rFonts w:ascii="Arial"/>
                <w:color w:val="auto"/>
                <w:sz w:val="24"/>
                <w:szCs w:val="24"/>
                <w:highlight w:val="none"/>
              </w:rPr>
            </w:pPr>
          </w:p>
          <w:p w14:paraId="297A4F76">
            <w:pPr>
              <w:spacing w:line="269" w:lineRule="auto"/>
              <w:rPr>
                <w:rFonts w:ascii="Arial"/>
                <w:color w:val="auto"/>
                <w:sz w:val="24"/>
                <w:szCs w:val="24"/>
                <w:highlight w:val="none"/>
              </w:rPr>
            </w:pPr>
          </w:p>
          <w:p w14:paraId="6AA70CA9">
            <w:pPr>
              <w:spacing w:line="269" w:lineRule="auto"/>
              <w:rPr>
                <w:rFonts w:ascii="Arial"/>
                <w:color w:val="auto"/>
                <w:sz w:val="24"/>
                <w:szCs w:val="24"/>
                <w:highlight w:val="none"/>
              </w:rPr>
            </w:pPr>
          </w:p>
          <w:p w14:paraId="6AFCCB14">
            <w:pPr>
              <w:spacing w:line="269" w:lineRule="auto"/>
              <w:rPr>
                <w:rFonts w:ascii="Arial"/>
                <w:color w:val="auto"/>
                <w:sz w:val="24"/>
                <w:szCs w:val="24"/>
                <w:highlight w:val="none"/>
              </w:rPr>
            </w:pPr>
          </w:p>
          <w:p w14:paraId="573559F6">
            <w:pPr>
              <w:spacing w:line="269" w:lineRule="auto"/>
              <w:rPr>
                <w:rFonts w:ascii="Arial"/>
                <w:color w:val="auto"/>
                <w:sz w:val="24"/>
                <w:szCs w:val="24"/>
                <w:highlight w:val="none"/>
              </w:rPr>
            </w:pPr>
          </w:p>
          <w:p w14:paraId="305D56E6">
            <w:pPr>
              <w:spacing w:before="61" w:line="187" w:lineRule="auto"/>
              <w:ind w:left="265" w:leftChars="0"/>
              <w:rPr>
                <w:rFonts w:hint="eastAsia" w:ascii="宋体" w:hAnsi="宋体" w:eastAsia="宋体" w:cs="宋体"/>
                <w:b/>
                <w:bCs/>
                <w:color w:val="auto"/>
                <w:kern w:val="21"/>
                <w:sz w:val="24"/>
                <w:szCs w:val="24"/>
                <w:highlight w:val="none"/>
              </w:rPr>
            </w:pPr>
            <w:r>
              <w:rPr>
                <w:rFonts w:ascii="Times New Roman" w:hAnsi="Times New Roman" w:eastAsia="Times New Roman" w:cs="Times New Roman"/>
                <w:color w:val="auto"/>
                <w:spacing w:val="-2"/>
                <w:sz w:val="24"/>
                <w:szCs w:val="24"/>
                <w:highlight w:val="none"/>
              </w:rPr>
              <w:t>6.1.1</w:t>
            </w:r>
          </w:p>
        </w:tc>
        <w:tc>
          <w:tcPr>
            <w:tcW w:w="2279" w:type="dxa"/>
            <w:vAlign w:val="top"/>
          </w:tcPr>
          <w:p w14:paraId="58C87AF8">
            <w:pPr>
              <w:spacing w:line="259" w:lineRule="auto"/>
              <w:rPr>
                <w:rFonts w:ascii="Arial"/>
                <w:color w:val="auto"/>
                <w:sz w:val="24"/>
                <w:szCs w:val="24"/>
                <w:highlight w:val="none"/>
              </w:rPr>
            </w:pPr>
          </w:p>
          <w:p w14:paraId="67EEA87F">
            <w:pPr>
              <w:spacing w:line="260" w:lineRule="auto"/>
              <w:rPr>
                <w:rFonts w:ascii="Arial"/>
                <w:color w:val="auto"/>
                <w:sz w:val="24"/>
                <w:szCs w:val="24"/>
                <w:highlight w:val="none"/>
              </w:rPr>
            </w:pPr>
          </w:p>
          <w:p w14:paraId="3029BC1D">
            <w:pPr>
              <w:spacing w:line="260" w:lineRule="auto"/>
              <w:rPr>
                <w:rFonts w:ascii="Arial"/>
                <w:color w:val="auto"/>
                <w:sz w:val="24"/>
                <w:szCs w:val="24"/>
                <w:highlight w:val="none"/>
              </w:rPr>
            </w:pPr>
          </w:p>
          <w:p w14:paraId="364660C9">
            <w:pPr>
              <w:spacing w:line="260" w:lineRule="auto"/>
              <w:rPr>
                <w:rFonts w:ascii="Arial"/>
                <w:color w:val="auto"/>
                <w:sz w:val="24"/>
                <w:szCs w:val="24"/>
                <w:highlight w:val="none"/>
              </w:rPr>
            </w:pPr>
          </w:p>
          <w:p w14:paraId="6159F9B2">
            <w:pPr>
              <w:spacing w:line="260" w:lineRule="auto"/>
              <w:rPr>
                <w:rFonts w:ascii="Arial"/>
                <w:color w:val="auto"/>
                <w:sz w:val="24"/>
                <w:szCs w:val="24"/>
                <w:highlight w:val="none"/>
              </w:rPr>
            </w:pPr>
          </w:p>
          <w:p w14:paraId="25153989">
            <w:pPr>
              <w:pStyle w:val="17"/>
              <w:spacing w:before="68" w:line="220" w:lineRule="auto"/>
              <w:ind w:left="105" w:leftChars="0"/>
              <w:rPr>
                <w:rFonts w:hint="eastAsia"/>
                <w:color w:val="auto"/>
                <w:kern w:val="21"/>
                <w:sz w:val="24"/>
                <w:szCs w:val="24"/>
                <w:highlight w:val="none"/>
              </w:rPr>
            </w:pPr>
            <w:r>
              <w:rPr>
                <w:color w:val="auto"/>
                <w:spacing w:val="-1"/>
                <w:sz w:val="24"/>
                <w:szCs w:val="24"/>
                <w:highlight w:val="none"/>
              </w:rPr>
              <w:t>评标委员会的组建</w:t>
            </w:r>
          </w:p>
        </w:tc>
        <w:tc>
          <w:tcPr>
            <w:tcW w:w="5739" w:type="dxa"/>
            <w:tcBorders>
              <w:right w:val="single" w:color="000000" w:sz="6" w:space="0"/>
            </w:tcBorders>
            <w:vAlign w:val="top"/>
          </w:tcPr>
          <w:p w14:paraId="3966C250">
            <w:pPr>
              <w:pStyle w:val="17"/>
              <w:spacing w:before="116" w:line="302" w:lineRule="auto"/>
              <w:ind w:left="109" w:right="80"/>
              <w:rPr>
                <w:i w:val="0"/>
                <w:iCs w:val="0"/>
                <w:color w:val="auto"/>
                <w:sz w:val="24"/>
                <w:szCs w:val="24"/>
                <w:highlight w:val="none"/>
              </w:rPr>
            </w:pPr>
            <w:r>
              <w:rPr>
                <w:i w:val="0"/>
                <w:iCs w:val="0"/>
                <w:color w:val="auto"/>
                <w:spacing w:val="-3"/>
                <w:sz w:val="24"/>
                <w:szCs w:val="24"/>
                <w:highlight w:val="none"/>
              </w:rPr>
              <w:t>评标委员会成员人数：</w:t>
            </w:r>
            <w:r>
              <w:rPr>
                <w:i w:val="0"/>
                <w:iCs w:val="0"/>
                <w:color w:val="auto"/>
                <w:spacing w:val="-3"/>
                <w:sz w:val="24"/>
                <w:szCs w:val="24"/>
                <w:highlight w:val="none"/>
                <w:u w:val="single" w:color="auto"/>
              </w:rPr>
              <w:t xml:space="preserve"> </w:t>
            </w:r>
            <w:r>
              <w:rPr>
                <w:rFonts w:hint="eastAsia"/>
                <w:i w:val="0"/>
                <w:iCs w:val="0"/>
                <w:color w:val="auto"/>
                <w:spacing w:val="-3"/>
                <w:sz w:val="24"/>
                <w:szCs w:val="24"/>
                <w:highlight w:val="none"/>
                <w:u w:val="single" w:color="auto"/>
                <w:lang w:val="en-US" w:eastAsia="zh-CN"/>
              </w:rPr>
              <w:t>5</w:t>
            </w:r>
            <w:r>
              <w:rPr>
                <w:i w:val="0"/>
                <w:iCs w:val="0"/>
                <w:color w:val="auto"/>
                <w:spacing w:val="-3"/>
                <w:sz w:val="24"/>
                <w:szCs w:val="24"/>
                <w:highlight w:val="none"/>
                <w:u w:val="single" w:color="auto"/>
              </w:rPr>
              <w:t xml:space="preserve"> </w:t>
            </w:r>
            <w:r>
              <w:rPr>
                <w:i w:val="0"/>
                <w:iCs w:val="0"/>
                <w:color w:val="auto"/>
                <w:spacing w:val="-79"/>
                <w:sz w:val="24"/>
                <w:szCs w:val="24"/>
                <w:highlight w:val="none"/>
              </w:rPr>
              <w:t xml:space="preserve"> </w:t>
            </w:r>
            <w:r>
              <w:rPr>
                <w:i w:val="0"/>
                <w:iCs w:val="0"/>
                <w:color w:val="auto"/>
                <w:spacing w:val="-3"/>
                <w:sz w:val="24"/>
                <w:szCs w:val="24"/>
                <w:highlight w:val="none"/>
              </w:rPr>
              <w:t>人及以上单数</w:t>
            </w:r>
            <w:r>
              <w:rPr>
                <w:rFonts w:ascii="Times New Roman" w:hAnsi="Times New Roman" w:eastAsia="Times New Roman" w:cs="Times New Roman"/>
                <w:i w:val="0"/>
                <w:iCs w:val="0"/>
                <w:color w:val="auto"/>
                <w:spacing w:val="-3"/>
                <w:sz w:val="24"/>
                <w:szCs w:val="24"/>
                <w:highlight w:val="none"/>
              </w:rPr>
              <w:t>(</w:t>
            </w:r>
            <w:r>
              <w:rPr>
                <w:i w:val="0"/>
                <w:iCs w:val="0"/>
                <w:color w:val="auto"/>
                <w:spacing w:val="-3"/>
                <w:sz w:val="24"/>
                <w:szCs w:val="24"/>
                <w:highlight w:val="none"/>
              </w:rPr>
              <w:t>不得少于</w:t>
            </w:r>
            <w:r>
              <w:rPr>
                <w:rFonts w:ascii="Times New Roman" w:hAnsi="Times New Roman" w:eastAsia="Times New Roman" w:cs="Times New Roman"/>
                <w:i w:val="0"/>
                <w:iCs w:val="0"/>
                <w:color w:val="auto"/>
                <w:spacing w:val="-3"/>
                <w:sz w:val="24"/>
                <w:szCs w:val="24"/>
                <w:highlight w:val="none"/>
              </w:rPr>
              <w:t>5</w:t>
            </w:r>
            <w:r>
              <w:rPr>
                <w:i w:val="0"/>
                <w:iCs w:val="0"/>
                <w:color w:val="auto"/>
                <w:spacing w:val="-3"/>
                <w:sz w:val="24"/>
                <w:szCs w:val="24"/>
                <w:highlight w:val="none"/>
              </w:rPr>
              <w:t>人</w:t>
            </w:r>
            <w:r>
              <w:rPr>
                <w:rFonts w:ascii="Times New Roman" w:hAnsi="Times New Roman" w:eastAsia="Times New Roman" w:cs="Times New Roman"/>
                <w:i w:val="0"/>
                <w:iCs w:val="0"/>
                <w:color w:val="auto"/>
                <w:spacing w:val="-3"/>
                <w:sz w:val="24"/>
                <w:szCs w:val="24"/>
                <w:highlight w:val="none"/>
              </w:rPr>
              <w:t>)</w:t>
            </w:r>
            <w:r>
              <w:rPr>
                <w:rFonts w:ascii="Times New Roman" w:hAnsi="Times New Roman" w:eastAsia="Times New Roman" w:cs="Times New Roman"/>
                <w:i w:val="0"/>
                <w:iCs w:val="0"/>
                <w:color w:val="auto"/>
                <w:spacing w:val="-24"/>
                <w:sz w:val="24"/>
                <w:szCs w:val="24"/>
                <w:highlight w:val="none"/>
              </w:rPr>
              <w:t xml:space="preserve"> </w:t>
            </w:r>
            <w:r>
              <w:rPr>
                <w:i w:val="0"/>
                <w:iCs w:val="0"/>
                <w:color w:val="auto"/>
                <w:spacing w:val="-3"/>
                <w:sz w:val="24"/>
                <w:szCs w:val="24"/>
                <w:highlight w:val="none"/>
              </w:rPr>
              <w:t>。</w:t>
            </w:r>
            <w:r>
              <w:rPr>
                <w:i w:val="0"/>
                <w:iCs w:val="0"/>
                <w:color w:val="auto"/>
                <w:sz w:val="24"/>
                <w:szCs w:val="24"/>
                <w:highlight w:val="none"/>
              </w:rPr>
              <w:t>评标委员会成员确定方式：招标人代表</w:t>
            </w:r>
            <w:r>
              <w:rPr>
                <w:i w:val="0"/>
                <w:iCs w:val="0"/>
                <w:color w:val="auto"/>
                <w:spacing w:val="-103"/>
                <w:sz w:val="24"/>
                <w:szCs w:val="24"/>
                <w:highlight w:val="none"/>
              </w:rPr>
              <w:t xml:space="preserve"> </w:t>
            </w:r>
            <w:r>
              <w:rPr>
                <w:i w:val="0"/>
                <w:iCs w:val="0"/>
                <w:color w:val="auto"/>
                <w:sz w:val="24"/>
                <w:szCs w:val="24"/>
                <w:highlight w:val="none"/>
                <w:u w:val="single" w:color="auto"/>
              </w:rPr>
              <w:t xml:space="preserve"> </w:t>
            </w:r>
            <w:r>
              <w:rPr>
                <w:rFonts w:hint="eastAsia"/>
                <w:i w:val="0"/>
                <w:iCs w:val="0"/>
                <w:color w:val="auto"/>
                <w:sz w:val="24"/>
                <w:szCs w:val="24"/>
                <w:highlight w:val="none"/>
                <w:u w:val="single" w:color="auto"/>
                <w:lang w:val="en-US" w:eastAsia="zh-CN"/>
              </w:rPr>
              <w:t>0</w:t>
            </w:r>
            <w:r>
              <w:rPr>
                <w:i w:val="0"/>
                <w:iCs w:val="0"/>
                <w:color w:val="auto"/>
                <w:sz w:val="24"/>
                <w:szCs w:val="24"/>
                <w:highlight w:val="none"/>
                <w:u w:val="single" w:color="auto"/>
              </w:rPr>
              <w:t xml:space="preserve"> </w:t>
            </w:r>
            <w:r>
              <w:rPr>
                <w:i w:val="0"/>
                <w:iCs w:val="0"/>
                <w:color w:val="auto"/>
                <w:spacing w:val="-95"/>
                <w:sz w:val="24"/>
                <w:szCs w:val="24"/>
                <w:highlight w:val="none"/>
              </w:rPr>
              <w:t xml:space="preserve"> </w:t>
            </w:r>
            <w:r>
              <w:rPr>
                <w:i w:val="0"/>
                <w:iCs w:val="0"/>
                <w:color w:val="auto"/>
                <w:sz w:val="24"/>
                <w:szCs w:val="24"/>
                <w:highlight w:val="none"/>
              </w:rPr>
              <w:t>人（招标人原</w:t>
            </w:r>
            <w:r>
              <w:rPr>
                <w:i w:val="0"/>
                <w:iCs w:val="0"/>
                <w:color w:val="auto"/>
                <w:spacing w:val="-7"/>
                <w:sz w:val="24"/>
                <w:szCs w:val="24"/>
                <w:highlight w:val="none"/>
              </w:rPr>
              <w:t>则上应派代表参加</w:t>
            </w:r>
            <w:r>
              <w:rPr>
                <w:i w:val="0"/>
                <w:iCs w:val="0"/>
                <w:color w:val="auto"/>
                <w:spacing w:val="-48"/>
                <w:sz w:val="24"/>
                <w:szCs w:val="24"/>
                <w:highlight w:val="none"/>
              </w:rPr>
              <w:t>），</w:t>
            </w:r>
            <w:r>
              <w:rPr>
                <w:i w:val="0"/>
                <w:iCs w:val="0"/>
                <w:color w:val="auto"/>
                <w:spacing w:val="-7"/>
                <w:sz w:val="24"/>
                <w:szCs w:val="24"/>
                <w:highlight w:val="none"/>
              </w:rPr>
              <w:t>库选技术、经济专家</w:t>
            </w:r>
            <w:r>
              <w:rPr>
                <w:i w:val="0"/>
                <w:iCs w:val="0"/>
                <w:color w:val="auto"/>
                <w:spacing w:val="-7"/>
                <w:sz w:val="24"/>
                <w:szCs w:val="24"/>
                <w:highlight w:val="none"/>
                <w:u w:val="single" w:color="auto"/>
              </w:rPr>
              <w:t xml:space="preserve">  </w:t>
            </w:r>
            <w:r>
              <w:rPr>
                <w:rFonts w:hint="eastAsia"/>
                <w:i w:val="0"/>
                <w:iCs w:val="0"/>
                <w:color w:val="auto"/>
                <w:spacing w:val="-7"/>
                <w:sz w:val="24"/>
                <w:szCs w:val="24"/>
                <w:highlight w:val="none"/>
                <w:u w:val="single" w:color="auto"/>
                <w:lang w:val="en-US" w:eastAsia="zh-CN"/>
              </w:rPr>
              <w:t>5</w:t>
            </w:r>
            <w:r>
              <w:rPr>
                <w:i w:val="0"/>
                <w:iCs w:val="0"/>
                <w:color w:val="auto"/>
                <w:spacing w:val="-7"/>
                <w:sz w:val="24"/>
                <w:szCs w:val="24"/>
                <w:highlight w:val="none"/>
                <w:u w:val="single" w:color="auto"/>
              </w:rPr>
              <w:t xml:space="preserve">  </w:t>
            </w:r>
            <w:r>
              <w:rPr>
                <w:i w:val="0"/>
                <w:iCs w:val="0"/>
                <w:color w:val="auto"/>
                <w:spacing w:val="-95"/>
                <w:sz w:val="24"/>
                <w:szCs w:val="24"/>
                <w:highlight w:val="none"/>
              </w:rPr>
              <w:t xml:space="preserve"> </w:t>
            </w:r>
            <w:r>
              <w:rPr>
                <w:i w:val="0"/>
                <w:iCs w:val="0"/>
                <w:color w:val="auto"/>
                <w:spacing w:val="-7"/>
                <w:sz w:val="24"/>
                <w:szCs w:val="24"/>
                <w:highlight w:val="none"/>
              </w:rPr>
              <w:t>人（库选经</w:t>
            </w:r>
            <w:r>
              <w:rPr>
                <w:i w:val="0"/>
                <w:iCs w:val="0"/>
                <w:color w:val="auto"/>
                <w:spacing w:val="-9"/>
                <w:sz w:val="24"/>
                <w:szCs w:val="24"/>
                <w:highlight w:val="none"/>
              </w:rPr>
              <w:t>济、技术专家不得少于专家人数的</w:t>
            </w:r>
            <w:r>
              <w:rPr>
                <w:rFonts w:ascii="Times New Roman" w:hAnsi="Times New Roman" w:eastAsia="Times New Roman" w:cs="Times New Roman"/>
                <w:i w:val="0"/>
                <w:iCs w:val="0"/>
                <w:color w:val="auto"/>
                <w:spacing w:val="-9"/>
                <w:sz w:val="24"/>
                <w:szCs w:val="24"/>
                <w:highlight w:val="none"/>
              </w:rPr>
              <w:t>2/3</w:t>
            </w:r>
            <w:r>
              <w:rPr>
                <w:i w:val="0"/>
                <w:iCs w:val="0"/>
                <w:color w:val="auto"/>
                <w:spacing w:val="-9"/>
                <w:sz w:val="24"/>
                <w:szCs w:val="24"/>
                <w:highlight w:val="none"/>
              </w:rPr>
              <w:t>）；</w:t>
            </w:r>
          </w:p>
          <w:p w14:paraId="121AE25A">
            <w:pPr>
              <w:pStyle w:val="17"/>
              <w:spacing w:before="1" w:line="289" w:lineRule="auto"/>
              <w:ind w:left="109" w:leftChars="0" w:right="96" w:rightChars="0" w:firstLine="22" w:firstLineChars="0"/>
              <w:jc w:val="both"/>
              <w:rPr>
                <w:rFonts w:hint="eastAsia"/>
                <w:color w:val="auto"/>
                <w:kern w:val="21"/>
                <w:sz w:val="24"/>
                <w:szCs w:val="24"/>
                <w:highlight w:val="none"/>
              </w:rPr>
            </w:pPr>
            <w:r>
              <w:rPr>
                <w:color w:val="auto"/>
                <w:sz w:val="24"/>
                <w:szCs w:val="24"/>
                <w:highlight w:val="none"/>
              </w:rPr>
              <w:t>□ 在保证评标委员会实际参与评标的成员符合</w:t>
            </w:r>
            <w:r>
              <w:rPr>
                <w:rFonts w:ascii="Times New Roman" w:hAnsi="Times New Roman" w:eastAsia="Times New Roman" w:cs="Times New Roman"/>
                <w:color w:val="auto"/>
                <w:sz w:val="24"/>
                <w:szCs w:val="24"/>
                <w:highlight w:val="none"/>
              </w:rPr>
              <w:t>5</w:t>
            </w:r>
            <w:r>
              <w:rPr>
                <w:color w:val="auto"/>
                <w:sz w:val="24"/>
                <w:szCs w:val="24"/>
                <w:highlight w:val="none"/>
              </w:rPr>
              <w:t>人及以上</w:t>
            </w:r>
            <w:r>
              <w:rPr>
                <w:color w:val="auto"/>
                <w:spacing w:val="-3"/>
                <w:sz w:val="24"/>
                <w:szCs w:val="24"/>
                <w:highlight w:val="none"/>
              </w:rPr>
              <w:t>单数的前提下，如出现</w:t>
            </w:r>
            <w:r>
              <w:rPr>
                <w:rFonts w:ascii="Times New Roman" w:hAnsi="Times New Roman" w:eastAsia="Times New Roman" w:cs="Times New Roman"/>
                <w:color w:val="auto"/>
                <w:spacing w:val="-3"/>
                <w:sz w:val="24"/>
                <w:szCs w:val="24"/>
                <w:highlight w:val="none"/>
              </w:rPr>
              <w:t>1</w:t>
            </w:r>
            <w:r>
              <w:rPr>
                <w:color w:val="auto"/>
                <w:spacing w:val="-3"/>
                <w:sz w:val="24"/>
                <w:szCs w:val="24"/>
                <w:highlight w:val="none"/>
              </w:rPr>
              <w:t>位库选专家不能参与评标的，评标</w:t>
            </w:r>
            <w:r>
              <w:rPr>
                <w:color w:val="auto"/>
                <w:spacing w:val="1"/>
                <w:sz w:val="24"/>
                <w:szCs w:val="24"/>
                <w:highlight w:val="none"/>
              </w:rPr>
              <w:t>委员会自动取消</w:t>
            </w:r>
            <w:r>
              <w:rPr>
                <w:rFonts w:ascii="Times New Roman" w:hAnsi="Times New Roman" w:eastAsia="Times New Roman" w:cs="Times New Roman"/>
                <w:color w:val="auto"/>
                <w:spacing w:val="1"/>
                <w:sz w:val="24"/>
                <w:szCs w:val="24"/>
                <w:highlight w:val="none"/>
              </w:rPr>
              <w:t>1</w:t>
            </w:r>
            <w:r>
              <w:rPr>
                <w:color w:val="auto"/>
                <w:spacing w:val="1"/>
                <w:sz w:val="24"/>
                <w:szCs w:val="24"/>
                <w:highlight w:val="none"/>
              </w:rPr>
              <w:t>名招标人代表；</w:t>
            </w:r>
            <w:r>
              <w:rPr>
                <w:rFonts w:ascii="Times New Roman" w:hAnsi="Times New Roman" w:eastAsia="Times New Roman" w:cs="Times New Roman"/>
                <w:color w:val="auto"/>
                <w:spacing w:val="1"/>
                <w:sz w:val="24"/>
                <w:szCs w:val="24"/>
                <w:highlight w:val="none"/>
              </w:rPr>
              <w:t>2</w:t>
            </w:r>
            <w:r>
              <w:rPr>
                <w:color w:val="auto"/>
                <w:spacing w:val="1"/>
                <w:sz w:val="24"/>
                <w:szCs w:val="24"/>
                <w:highlight w:val="none"/>
              </w:rPr>
              <w:t>位库选专家不能参与评</w:t>
            </w:r>
            <w:r>
              <w:rPr>
                <w:color w:val="auto"/>
                <w:spacing w:val="-1"/>
                <w:sz w:val="24"/>
                <w:szCs w:val="24"/>
                <w:highlight w:val="none"/>
              </w:rPr>
              <w:t>标的，不再补抽。</w:t>
            </w:r>
          </w:p>
        </w:tc>
      </w:tr>
      <w:tr w14:paraId="0E08F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953" w:type="dxa"/>
            <w:tcBorders>
              <w:left w:val="single" w:color="000000" w:sz="6" w:space="0"/>
            </w:tcBorders>
            <w:vAlign w:val="top"/>
          </w:tcPr>
          <w:p w14:paraId="67733F3E">
            <w:pPr>
              <w:spacing w:line="269" w:lineRule="auto"/>
              <w:rPr>
                <w:rFonts w:ascii="Arial"/>
                <w:color w:val="auto"/>
                <w:sz w:val="24"/>
                <w:szCs w:val="24"/>
                <w:highlight w:val="none"/>
              </w:rPr>
            </w:pPr>
          </w:p>
          <w:p w14:paraId="091AF63D">
            <w:pPr>
              <w:spacing w:line="269" w:lineRule="auto"/>
              <w:rPr>
                <w:rFonts w:ascii="Arial"/>
                <w:color w:val="auto"/>
                <w:sz w:val="24"/>
                <w:szCs w:val="24"/>
                <w:highlight w:val="none"/>
              </w:rPr>
            </w:pPr>
          </w:p>
          <w:p w14:paraId="0A29DDB6">
            <w:pPr>
              <w:spacing w:line="270" w:lineRule="auto"/>
              <w:rPr>
                <w:rFonts w:ascii="Arial"/>
                <w:color w:val="auto"/>
                <w:sz w:val="24"/>
                <w:szCs w:val="24"/>
                <w:highlight w:val="none"/>
              </w:rPr>
            </w:pPr>
          </w:p>
          <w:p w14:paraId="2D800A66">
            <w:pPr>
              <w:spacing w:line="270" w:lineRule="auto"/>
              <w:rPr>
                <w:rFonts w:ascii="Arial"/>
                <w:color w:val="auto"/>
                <w:sz w:val="24"/>
                <w:szCs w:val="24"/>
                <w:highlight w:val="none"/>
              </w:rPr>
            </w:pPr>
          </w:p>
          <w:p w14:paraId="29D1218B">
            <w:pPr>
              <w:spacing w:line="270" w:lineRule="auto"/>
              <w:rPr>
                <w:rFonts w:ascii="Arial"/>
                <w:color w:val="auto"/>
                <w:sz w:val="24"/>
                <w:szCs w:val="24"/>
                <w:highlight w:val="none"/>
              </w:rPr>
            </w:pPr>
          </w:p>
          <w:p w14:paraId="6A008E8E">
            <w:pPr>
              <w:spacing w:before="60" w:line="187" w:lineRule="auto"/>
              <w:ind w:left="344" w:leftChars="0"/>
              <w:rPr>
                <w:rFonts w:ascii="Times New Roman" w:hAnsi="Times New Roman" w:eastAsia="Times New Roman" w:cs="Times New Roman"/>
                <w:color w:val="auto"/>
                <w:spacing w:val="-2"/>
                <w:sz w:val="24"/>
                <w:szCs w:val="24"/>
                <w:highlight w:val="none"/>
              </w:rPr>
            </w:pPr>
            <w:r>
              <w:rPr>
                <w:rFonts w:ascii="Times New Roman" w:hAnsi="Times New Roman" w:eastAsia="Times New Roman" w:cs="Times New Roman"/>
                <w:color w:val="auto"/>
                <w:spacing w:val="-2"/>
                <w:sz w:val="24"/>
                <w:szCs w:val="24"/>
                <w:highlight w:val="none"/>
              </w:rPr>
              <w:t>6.3</w:t>
            </w:r>
          </w:p>
        </w:tc>
        <w:tc>
          <w:tcPr>
            <w:tcW w:w="2279" w:type="dxa"/>
            <w:vAlign w:val="top"/>
          </w:tcPr>
          <w:p w14:paraId="4608B6BE">
            <w:pPr>
              <w:spacing w:line="280" w:lineRule="auto"/>
              <w:rPr>
                <w:rFonts w:ascii="Arial"/>
                <w:color w:val="auto"/>
                <w:sz w:val="24"/>
                <w:szCs w:val="24"/>
                <w:highlight w:val="none"/>
              </w:rPr>
            </w:pPr>
          </w:p>
          <w:p w14:paraId="0D896AC1">
            <w:pPr>
              <w:spacing w:line="281" w:lineRule="auto"/>
              <w:rPr>
                <w:rFonts w:ascii="Arial"/>
                <w:color w:val="auto"/>
                <w:sz w:val="24"/>
                <w:szCs w:val="24"/>
                <w:highlight w:val="none"/>
              </w:rPr>
            </w:pPr>
          </w:p>
          <w:p w14:paraId="3C6D9C32">
            <w:pPr>
              <w:spacing w:line="281" w:lineRule="auto"/>
              <w:rPr>
                <w:rFonts w:ascii="Arial"/>
                <w:color w:val="auto"/>
                <w:sz w:val="24"/>
                <w:szCs w:val="24"/>
                <w:highlight w:val="none"/>
              </w:rPr>
            </w:pPr>
          </w:p>
          <w:p w14:paraId="4BB860CA">
            <w:pPr>
              <w:spacing w:line="281" w:lineRule="auto"/>
              <w:rPr>
                <w:rFonts w:ascii="Arial"/>
                <w:color w:val="auto"/>
                <w:sz w:val="24"/>
                <w:szCs w:val="24"/>
                <w:highlight w:val="none"/>
              </w:rPr>
            </w:pPr>
          </w:p>
          <w:p w14:paraId="74DB7467">
            <w:pPr>
              <w:pStyle w:val="17"/>
              <w:spacing w:before="68" w:line="318" w:lineRule="auto"/>
              <w:ind w:left="105" w:leftChars="0" w:right="106" w:rightChars="0"/>
              <w:rPr>
                <w:color w:val="auto"/>
                <w:spacing w:val="-1"/>
                <w:sz w:val="24"/>
                <w:szCs w:val="24"/>
                <w:highlight w:val="none"/>
              </w:rPr>
            </w:pPr>
            <w:r>
              <w:rPr>
                <w:color w:val="auto"/>
                <w:spacing w:val="12"/>
                <w:sz w:val="24"/>
                <w:szCs w:val="24"/>
                <w:highlight w:val="none"/>
              </w:rPr>
              <w:t>评标办法与中标候选人</w:t>
            </w:r>
            <w:r>
              <w:rPr>
                <w:color w:val="auto"/>
                <w:spacing w:val="-2"/>
                <w:sz w:val="24"/>
                <w:szCs w:val="24"/>
                <w:highlight w:val="none"/>
              </w:rPr>
              <w:t>推荐</w:t>
            </w:r>
          </w:p>
        </w:tc>
        <w:tc>
          <w:tcPr>
            <w:tcW w:w="5739" w:type="dxa"/>
            <w:tcBorders>
              <w:right w:val="single" w:color="000000" w:sz="6" w:space="0"/>
            </w:tcBorders>
            <w:vAlign w:val="top"/>
          </w:tcPr>
          <w:p w14:paraId="2F14274A">
            <w:pPr>
              <w:pStyle w:val="17"/>
              <w:spacing w:before="118" w:line="219" w:lineRule="auto"/>
              <w:ind w:left="126"/>
              <w:rPr>
                <w:color w:val="auto"/>
                <w:sz w:val="24"/>
                <w:szCs w:val="24"/>
                <w:highlight w:val="none"/>
              </w:rPr>
            </w:pPr>
            <w:r>
              <w:rPr>
                <w:rFonts w:ascii="Times New Roman" w:hAnsi="Times New Roman" w:eastAsia="Times New Roman" w:cs="Times New Roman"/>
                <w:color w:val="auto"/>
                <w:spacing w:val="-5"/>
                <w:sz w:val="24"/>
                <w:szCs w:val="24"/>
                <w:highlight w:val="none"/>
              </w:rPr>
              <w:t>1.</w:t>
            </w:r>
            <w:r>
              <w:rPr>
                <w:rFonts w:ascii="Times New Roman" w:hAnsi="Times New Roman" w:eastAsia="Times New Roman" w:cs="Times New Roman"/>
                <w:color w:val="auto"/>
                <w:spacing w:val="6"/>
                <w:sz w:val="24"/>
                <w:szCs w:val="24"/>
                <w:highlight w:val="none"/>
              </w:rPr>
              <w:t xml:space="preserve">  </w:t>
            </w:r>
            <w:r>
              <w:rPr>
                <w:color w:val="auto"/>
                <w:spacing w:val="-5"/>
                <w:sz w:val="24"/>
                <w:szCs w:val="24"/>
                <w:highlight w:val="none"/>
              </w:rPr>
              <w:t>综合评估法</w:t>
            </w:r>
          </w:p>
          <w:p w14:paraId="38CCA009">
            <w:pPr>
              <w:pStyle w:val="17"/>
              <w:spacing w:before="110" w:line="219" w:lineRule="auto"/>
              <w:ind w:left="131"/>
              <w:rPr>
                <w:color w:val="auto"/>
                <w:sz w:val="24"/>
                <w:szCs w:val="24"/>
                <w:highlight w:val="none"/>
              </w:rPr>
            </w:pPr>
            <w:r>
              <w:rPr>
                <w:rFonts w:hint="eastAsia"/>
                <w:color w:val="auto"/>
                <w:spacing w:val="-3"/>
                <w:sz w:val="24"/>
                <w:szCs w:val="24"/>
                <w:highlight w:val="none"/>
                <w:lang w:eastAsia="zh-CN"/>
              </w:rPr>
              <w:t>☑</w:t>
            </w:r>
            <w:r>
              <w:rPr>
                <w:color w:val="auto"/>
                <w:spacing w:val="-3"/>
                <w:sz w:val="24"/>
                <w:szCs w:val="24"/>
                <w:highlight w:val="none"/>
              </w:rPr>
              <w:t>技术通过制的综合评估法</w:t>
            </w:r>
          </w:p>
          <w:p w14:paraId="52FF8264">
            <w:pPr>
              <w:pStyle w:val="17"/>
              <w:spacing w:before="111" w:line="316" w:lineRule="auto"/>
              <w:ind w:right="132" w:firstLine="456" w:firstLineChars="200"/>
              <w:rPr>
                <w:color w:val="auto"/>
                <w:sz w:val="24"/>
                <w:szCs w:val="24"/>
                <w:highlight w:val="none"/>
              </w:rPr>
            </w:pPr>
            <w:r>
              <w:rPr>
                <w:color w:val="auto"/>
                <w:spacing w:val="-6"/>
                <w:sz w:val="24"/>
                <w:szCs w:val="24"/>
                <w:highlight w:val="none"/>
              </w:rPr>
              <w:t>评分基准价的确定：</w:t>
            </w:r>
            <w:r>
              <w:rPr>
                <w:rFonts w:hint="eastAsia"/>
                <w:color w:val="auto"/>
                <w:spacing w:val="-6"/>
                <w:sz w:val="24"/>
                <w:szCs w:val="24"/>
                <w:highlight w:val="none"/>
                <w:lang w:eastAsia="zh-CN"/>
              </w:rPr>
              <w:t>□</w:t>
            </w:r>
            <w:r>
              <w:rPr>
                <w:color w:val="auto"/>
                <w:spacing w:val="-6"/>
                <w:sz w:val="24"/>
                <w:szCs w:val="24"/>
                <w:highlight w:val="none"/>
              </w:rPr>
              <w:t>方法</w:t>
            </w:r>
            <w:r>
              <w:rPr>
                <w:rFonts w:ascii="Times New Roman" w:hAnsi="Times New Roman" w:eastAsia="Times New Roman" w:cs="Times New Roman"/>
                <w:color w:val="auto"/>
                <w:spacing w:val="-6"/>
                <w:sz w:val="24"/>
                <w:szCs w:val="24"/>
                <w:highlight w:val="none"/>
              </w:rPr>
              <w:t>1</w:t>
            </w:r>
            <w:r>
              <w:rPr>
                <w:color w:val="auto"/>
                <w:spacing w:val="-6"/>
                <w:sz w:val="24"/>
                <w:szCs w:val="24"/>
                <w:highlight w:val="none"/>
              </w:rPr>
              <w:t>；</w:t>
            </w:r>
            <w:r>
              <w:rPr>
                <w:rFonts w:hint="eastAsia"/>
                <w:color w:val="auto"/>
                <w:spacing w:val="-6"/>
                <w:sz w:val="24"/>
                <w:szCs w:val="24"/>
                <w:highlight w:val="none"/>
                <w:lang w:eastAsia="zh-CN"/>
              </w:rPr>
              <w:t>☑</w:t>
            </w:r>
            <w:r>
              <w:rPr>
                <w:color w:val="auto"/>
                <w:spacing w:val="-6"/>
                <w:sz w:val="24"/>
                <w:szCs w:val="24"/>
                <w:highlight w:val="none"/>
              </w:rPr>
              <w:t>方法</w:t>
            </w:r>
            <w:r>
              <w:rPr>
                <w:rFonts w:ascii="Times New Roman" w:hAnsi="Times New Roman" w:eastAsia="Times New Roman" w:cs="Times New Roman"/>
                <w:color w:val="auto"/>
                <w:spacing w:val="-6"/>
                <w:sz w:val="24"/>
                <w:szCs w:val="24"/>
                <w:highlight w:val="none"/>
              </w:rPr>
              <w:t>2</w:t>
            </w:r>
            <w:r>
              <w:rPr>
                <w:color w:val="auto"/>
                <w:spacing w:val="-6"/>
                <w:sz w:val="24"/>
                <w:szCs w:val="24"/>
                <w:highlight w:val="none"/>
              </w:rPr>
              <w:t>；</w:t>
            </w:r>
            <w:r>
              <w:rPr>
                <w:rFonts w:hint="eastAsia"/>
                <w:color w:val="auto"/>
                <w:spacing w:val="-6"/>
                <w:sz w:val="24"/>
                <w:szCs w:val="24"/>
                <w:highlight w:val="none"/>
                <w:lang w:eastAsia="zh-CN"/>
              </w:rPr>
              <w:t>□</w:t>
            </w:r>
            <w:r>
              <w:rPr>
                <w:color w:val="auto"/>
                <w:spacing w:val="-6"/>
                <w:sz w:val="24"/>
                <w:szCs w:val="24"/>
                <w:highlight w:val="none"/>
              </w:rPr>
              <w:t>方法</w:t>
            </w:r>
            <w:r>
              <w:rPr>
                <w:rFonts w:ascii="Times New Roman" w:hAnsi="Times New Roman" w:eastAsia="Times New Roman" w:cs="Times New Roman"/>
                <w:color w:val="auto"/>
                <w:spacing w:val="-6"/>
                <w:sz w:val="24"/>
                <w:szCs w:val="24"/>
                <w:highlight w:val="none"/>
              </w:rPr>
              <w:t>3</w:t>
            </w:r>
            <w:r>
              <w:rPr>
                <w:color w:val="auto"/>
                <w:spacing w:val="-6"/>
                <w:sz w:val="24"/>
                <w:szCs w:val="24"/>
                <w:highlight w:val="none"/>
              </w:rPr>
              <w:t>；</w:t>
            </w:r>
            <w:r>
              <w:rPr>
                <w:rFonts w:hint="eastAsia"/>
                <w:color w:val="auto"/>
                <w:spacing w:val="-6"/>
                <w:sz w:val="24"/>
                <w:szCs w:val="24"/>
                <w:highlight w:val="none"/>
                <w:lang w:eastAsia="zh-CN"/>
              </w:rPr>
              <w:t>□</w:t>
            </w:r>
            <w:r>
              <w:rPr>
                <w:color w:val="auto"/>
                <w:spacing w:val="-1"/>
                <w:sz w:val="24"/>
                <w:szCs w:val="24"/>
                <w:highlight w:val="none"/>
              </w:rPr>
              <w:t>方法</w:t>
            </w:r>
            <w:r>
              <w:rPr>
                <w:rFonts w:ascii="Times New Roman" w:hAnsi="Times New Roman" w:eastAsia="Times New Roman" w:cs="Times New Roman"/>
                <w:color w:val="auto"/>
                <w:spacing w:val="-1"/>
                <w:sz w:val="24"/>
                <w:szCs w:val="24"/>
                <w:highlight w:val="none"/>
              </w:rPr>
              <w:t>4</w:t>
            </w:r>
            <w:r>
              <w:rPr>
                <w:color w:val="auto"/>
                <w:spacing w:val="-1"/>
                <w:sz w:val="24"/>
                <w:szCs w:val="24"/>
                <w:highlight w:val="none"/>
              </w:rPr>
              <w:t>：□方法</w:t>
            </w:r>
            <w:r>
              <w:rPr>
                <w:rFonts w:ascii="Times New Roman" w:hAnsi="Times New Roman" w:eastAsia="Times New Roman" w:cs="Times New Roman"/>
                <w:color w:val="auto"/>
                <w:spacing w:val="-1"/>
                <w:sz w:val="24"/>
                <w:szCs w:val="24"/>
                <w:highlight w:val="none"/>
              </w:rPr>
              <w:t>5</w:t>
            </w:r>
            <w:r>
              <w:rPr>
                <w:color w:val="auto"/>
                <w:spacing w:val="-1"/>
                <w:sz w:val="24"/>
                <w:szCs w:val="24"/>
                <w:highlight w:val="none"/>
              </w:rPr>
              <w:t>；□方法</w:t>
            </w:r>
            <w:r>
              <w:rPr>
                <w:rFonts w:ascii="Times New Roman" w:hAnsi="Times New Roman" w:eastAsia="Times New Roman" w:cs="Times New Roman"/>
                <w:color w:val="auto"/>
                <w:spacing w:val="-1"/>
                <w:sz w:val="24"/>
                <w:szCs w:val="24"/>
                <w:highlight w:val="none"/>
              </w:rPr>
              <w:t>6</w:t>
            </w:r>
            <w:r>
              <w:rPr>
                <w:color w:val="auto"/>
                <w:spacing w:val="-1"/>
                <w:sz w:val="24"/>
                <w:szCs w:val="24"/>
                <w:highlight w:val="none"/>
              </w:rPr>
              <w:t>；□其他：</w:t>
            </w:r>
            <w:r>
              <w:rPr>
                <w:color w:val="auto"/>
                <w:sz w:val="24"/>
                <w:szCs w:val="24"/>
                <w:highlight w:val="none"/>
                <w:u w:val="single" w:color="auto"/>
              </w:rPr>
              <w:t xml:space="preserve">          </w:t>
            </w:r>
          </w:p>
          <w:p w14:paraId="6AB24982">
            <w:pPr>
              <w:pStyle w:val="17"/>
              <w:spacing w:line="219" w:lineRule="auto"/>
              <w:ind w:left="131"/>
              <w:rPr>
                <w:color w:val="auto"/>
                <w:sz w:val="24"/>
                <w:szCs w:val="24"/>
                <w:highlight w:val="none"/>
              </w:rPr>
            </w:pPr>
            <w:r>
              <w:rPr>
                <w:rFonts w:hint="eastAsia"/>
                <w:color w:val="auto"/>
                <w:spacing w:val="-3"/>
                <w:sz w:val="24"/>
                <w:szCs w:val="24"/>
                <w:highlight w:val="none"/>
                <w:lang w:eastAsia="zh-CN"/>
              </w:rPr>
              <w:t>□</w:t>
            </w:r>
            <w:r>
              <w:rPr>
                <w:color w:val="auto"/>
                <w:spacing w:val="-3"/>
                <w:sz w:val="24"/>
                <w:szCs w:val="24"/>
                <w:highlight w:val="none"/>
              </w:rPr>
              <w:t>技术打分制的综合评估法</w:t>
            </w:r>
          </w:p>
          <w:p w14:paraId="16914E6A">
            <w:pPr>
              <w:pStyle w:val="17"/>
              <w:spacing w:before="112" w:line="316" w:lineRule="auto"/>
              <w:ind w:right="106" w:firstLine="456" w:firstLineChars="200"/>
              <w:rPr>
                <w:color w:val="auto"/>
                <w:sz w:val="24"/>
                <w:szCs w:val="24"/>
                <w:highlight w:val="none"/>
              </w:rPr>
            </w:pPr>
            <w:r>
              <w:rPr>
                <w:color w:val="auto"/>
                <w:spacing w:val="-6"/>
                <w:sz w:val="24"/>
                <w:szCs w:val="24"/>
                <w:highlight w:val="none"/>
              </w:rPr>
              <w:t>评分基准价的确定：</w:t>
            </w:r>
            <w:r>
              <w:rPr>
                <w:rFonts w:hint="eastAsia"/>
                <w:color w:val="auto"/>
                <w:spacing w:val="-6"/>
                <w:sz w:val="24"/>
                <w:szCs w:val="24"/>
                <w:highlight w:val="none"/>
                <w:lang w:eastAsia="zh-CN"/>
              </w:rPr>
              <w:t>□</w:t>
            </w:r>
            <w:r>
              <w:rPr>
                <w:color w:val="auto"/>
                <w:spacing w:val="-6"/>
                <w:sz w:val="24"/>
                <w:szCs w:val="24"/>
                <w:highlight w:val="none"/>
              </w:rPr>
              <w:t>方法</w:t>
            </w:r>
            <w:r>
              <w:rPr>
                <w:rFonts w:ascii="Times New Roman" w:hAnsi="Times New Roman" w:eastAsia="Times New Roman" w:cs="Times New Roman"/>
                <w:color w:val="auto"/>
                <w:spacing w:val="-6"/>
                <w:sz w:val="24"/>
                <w:szCs w:val="24"/>
                <w:highlight w:val="none"/>
              </w:rPr>
              <w:t>1</w:t>
            </w:r>
            <w:r>
              <w:rPr>
                <w:color w:val="auto"/>
                <w:spacing w:val="-6"/>
                <w:sz w:val="24"/>
                <w:szCs w:val="24"/>
                <w:highlight w:val="none"/>
              </w:rPr>
              <w:t>；</w:t>
            </w:r>
            <w:r>
              <w:rPr>
                <w:rFonts w:hint="eastAsia"/>
                <w:color w:val="auto"/>
                <w:spacing w:val="-6"/>
                <w:sz w:val="24"/>
                <w:szCs w:val="24"/>
                <w:highlight w:val="none"/>
                <w:lang w:eastAsia="zh-CN"/>
              </w:rPr>
              <w:t>□</w:t>
            </w:r>
            <w:r>
              <w:rPr>
                <w:color w:val="auto"/>
                <w:spacing w:val="-6"/>
                <w:sz w:val="24"/>
                <w:szCs w:val="24"/>
                <w:highlight w:val="none"/>
              </w:rPr>
              <w:t>方法</w:t>
            </w:r>
            <w:r>
              <w:rPr>
                <w:rFonts w:ascii="Times New Roman" w:hAnsi="Times New Roman" w:eastAsia="Times New Roman" w:cs="Times New Roman"/>
                <w:color w:val="auto"/>
                <w:spacing w:val="-6"/>
                <w:sz w:val="24"/>
                <w:szCs w:val="24"/>
                <w:highlight w:val="none"/>
              </w:rPr>
              <w:t>2</w:t>
            </w:r>
            <w:r>
              <w:rPr>
                <w:color w:val="auto"/>
                <w:spacing w:val="-6"/>
                <w:sz w:val="24"/>
                <w:szCs w:val="24"/>
                <w:highlight w:val="none"/>
              </w:rPr>
              <w:t>；</w:t>
            </w:r>
            <w:r>
              <w:rPr>
                <w:rFonts w:hint="eastAsia"/>
                <w:color w:val="auto"/>
                <w:spacing w:val="-6"/>
                <w:sz w:val="24"/>
                <w:szCs w:val="24"/>
                <w:highlight w:val="none"/>
                <w:lang w:eastAsia="zh-CN"/>
              </w:rPr>
              <w:t>□</w:t>
            </w:r>
            <w:r>
              <w:rPr>
                <w:color w:val="auto"/>
                <w:spacing w:val="-6"/>
                <w:sz w:val="24"/>
                <w:szCs w:val="24"/>
                <w:highlight w:val="none"/>
              </w:rPr>
              <w:t>方法</w:t>
            </w:r>
            <w:r>
              <w:rPr>
                <w:rFonts w:ascii="Times New Roman" w:hAnsi="Times New Roman" w:eastAsia="Times New Roman" w:cs="Times New Roman"/>
                <w:color w:val="auto"/>
                <w:spacing w:val="-6"/>
                <w:sz w:val="24"/>
                <w:szCs w:val="24"/>
                <w:highlight w:val="none"/>
              </w:rPr>
              <w:t>3</w:t>
            </w:r>
            <w:r>
              <w:rPr>
                <w:color w:val="auto"/>
                <w:spacing w:val="-6"/>
                <w:sz w:val="24"/>
                <w:szCs w:val="24"/>
                <w:highlight w:val="none"/>
              </w:rPr>
              <w:t>；</w:t>
            </w:r>
            <w:r>
              <w:rPr>
                <w:rFonts w:hint="eastAsia"/>
                <w:color w:val="auto"/>
                <w:spacing w:val="-6"/>
                <w:sz w:val="24"/>
                <w:szCs w:val="24"/>
                <w:highlight w:val="none"/>
                <w:lang w:eastAsia="zh-CN"/>
              </w:rPr>
              <w:t>□</w:t>
            </w:r>
            <w:r>
              <w:rPr>
                <w:color w:val="auto"/>
                <w:spacing w:val="-2"/>
                <w:sz w:val="24"/>
                <w:szCs w:val="24"/>
                <w:highlight w:val="none"/>
              </w:rPr>
              <w:t>方法</w:t>
            </w:r>
            <w:r>
              <w:rPr>
                <w:rFonts w:ascii="Times New Roman" w:hAnsi="Times New Roman" w:eastAsia="Times New Roman" w:cs="Times New Roman"/>
                <w:color w:val="auto"/>
                <w:spacing w:val="-2"/>
                <w:sz w:val="24"/>
                <w:szCs w:val="24"/>
                <w:highlight w:val="none"/>
              </w:rPr>
              <w:t>4</w:t>
            </w:r>
            <w:r>
              <w:rPr>
                <w:color w:val="auto"/>
                <w:spacing w:val="-2"/>
                <w:sz w:val="24"/>
                <w:szCs w:val="24"/>
                <w:highlight w:val="none"/>
              </w:rPr>
              <w:t>：</w:t>
            </w:r>
            <w:r>
              <w:rPr>
                <w:strike/>
                <w:dstrike w:val="0"/>
                <w:color w:val="auto"/>
                <w:spacing w:val="-2"/>
                <w:sz w:val="24"/>
                <w:szCs w:val="24"/>
                <w:highlight w:val="none"/>
                <w:lang w:val="en"/>
              </w:rPr>
              <w:t>□</w:t>
            </w:r>
            <w:r>
              <w:rPr>
                <w:strike/>
                <w:dstrike w:val="0"/>
                <w:color w:val="auto"/>
                <w:spacing w:val="-2"/>
                <w:sz w:val="24"/>
                <w:szCs w:val="24"/>
                <w:highlight w:val="none"/>
              </w:rPr>
              <w:t>方法</w:t>
            </w:r>
            <w:r>
              <w:rPr>
                <w:rFonts w:ascii="Times New Roman" w:hAnsi="Times New Roman" w:eastAsia="Times New Roman" w:cs="Times New Roman"/>
                <w:strike/>
                <w:dstrike w:val="0"/>
                <w:color w:val="auto"/>
                <w:spacing w:val="-2"/>
                <w:sz w:val="24"/>
                <w:szCs w:val="24"/>
                <w:highlight w:val="none"/>
              </w:rPr>
              <w:t>5</w:t>
            </w:r>
            <w:r>
              <w:rPr>
                <w:strike/>
                <w:dstrike w:val="0"/>
                <w:color w:val="auto"/>
                <w:spacing w:val="-2"/>
                <w:sz w:val="24"/>
                <w:szCs w:val="24"/>
                <w:highlight w:val="none"/>
              </w:rPr>
              <w:t>；</w:t>
            </w:r>
            <w:r>
              <w:rPr>
                <w:rFonts w:hint="eastAsia"/>
                <w:strike/>
                <w:dstrike w:val="0"/>
                <w:color w:val="auto"/>
                <w:spacing w:val="-2"/>
                <w:sz w:val="24"/>
                <w:szCs w:val="24"/>
                <w:highlight w:val="none"/>
                <w:lang w:eastAsia="zh-CN"/>
              </w:rPr>
              <w:t>□</w:t>
            </w:r>
            <w:r>
              <w:rPr>
                <w:strike/>
                <w:dstrike w:val="0"/>
                <w:color w:val="auto"/>
                <w:spacing w:val="-2"/>
                <w:sz w:val="24"/>
                <w:szCs w:val="24"/>
                <w:highlight w:val="none"/>
              </w:rPr>
              <w:t>方法</w:t>
            </w:r>
            <w:r>
              <w:rPr>
                <w:rFonts w:ascii="Times New Roman" w:hAnsi="Times New Roman" w:eastAsia="Times New Roman" w:cs="Times New Roman"/>
                <w:strike/>
                <w:dstrike w:val="0"/>
                <w:color w:val="auto"/>
                <w:spacing w:val="-2"/>
                <w:sz w:val="24"/>
                <w:szCs w:val="24"/>
                <w:highlight w:val="none"/>
              </w:rPr>
              <w:t>6</w:t>
            </w:r>
            <w:r>
              <w:rPr>
                <w:color w:val="auto"/>
                <w:spacing w:val="-2"/>
                <w:sz w:val="24"/>
                <w:szCs w:val="24"/>
                <w:highlight w:val="none"/>
              </w:rPr>
              <w:t>；</w:t>
            </w:r>
            <w:r>
              <w:rPr>
                <w:rFonts w:hint="eastAsia"/>
                <w:color w:val="auto"/>
                <w:spacing w:val="-2"/>
                <w:sz w:val="24"/>
                <w:szCs w:val="24"/>
                <w:highlight w:val="none"/>
                <w:lang w:eastAsia="zh-CN"/>
              </w:rPr>
              <w:t>□</w:t>
            </w:r>
            <w:r>
              <w:rPr>
                <w:color w:val="auto"/>
                <w:spacing w:val="-2"/>
                <w:sz w:val="24"/>
                <w:szCs w:val="24"/>
                <w:highlight w:val="none"/>
              </w:rPr>
              <w:t>方法</w:t>
            </w:r>
            <w:r>
              <w:rPr>
                <w:rFonts w:ascii="Times New Roman" w:hAnsi="Times New Roman" w:eastAsia="Times New Roman" w:cs="Times New Roman"/>
                <w:color w:val="auto"/>
                <w:spacing w:val="-2"/>
                <w:sz w:val="24"/>
                <w:szCs w:val="24"/>
                <w:highlight w:val="none"/>
              </w:rPr>
              <w:t>7</w:t>
            </w:r>
            <w:r>
              <w:rPr>
                <w:color w:val="auto"/>
                <w:spacing w:val="-2"/>
                <w:sz w:val="24"/>
                <w:szCs w:val="24"/>
                <w:highlight w:val="none"/>
              </w:rPr>
              <w:t>；</w:t>
            </w:r>
            <w:r>
              <w:rPr>
                <w:color w:val="auto"/>
                <w:spacing w:val="-68"/>
                <w:sz w:val="24"/>
                <w:szCs w:val="24"/>
                <w:highlight w:val="none"/>
              </w:rPr>
              <w:t xml:space="preserve"> </w:t>
            </w:r>
            <w:r>
              <w:rPr>
                <w:rFonts w:hint="eastAsia"/>
                <w:color w:val="auto"/>
                <w:spacing w:val="-2"/>
                <w:sz w:val="24"/>
                <w:szCs w:val="24"/>
                <w:highlight w:val="none"/>
                <w:lang w:eastAsia="zh-CN"/>
              </w:rPr>
              <w:t>□</w:t>
            </w:r>
            <w:r>
              <w:rPr>
                <w:color w:val="auto"/>
                <w:spacing w:val="-2"/>
                <w:sz w:val="24"/>
                <w:szCs w:val="24"/>
                <w:highlight w:val="none"/>
              </w:rPr>
              <w:t>其他</w:t>
            </w:r>
            <w:r>
              <w:rPr>
                <w:color w:val="auto"/>
                <w:sz w:val="24"/>
                <w:szCs w:val="24"/>
                <w:highlight w:val="none"/>
                <w:u w:val="single" w:color="auto"/>
              </w:rPr>
              <w:t xml:space="preserve">    </w:t>
            </w:r>
          </w:p>
          <w:p w14:paraId="4EB3ACBF">
            <w:pPr>
              <w:pStyle w:val="17"/>
              <w:spacing w:before="110" w:line="219" w:lineRule="auto"/>
              <w:ind w:left="131"/>
              <w:rPr>
                <w:rFonts w:hint="eastAsia" w:ascii="宋体" w:hAnsi="宋体" w:eastAsia="宋体" w:cs="宋体"/>
                <w:color w:val="auto"/>
                <w:spacing w:val="-5"/>
                <w:sz w:val="24"/>
                <w:szCs w:val="24"/>
                <w:highlight w:val="none"/>
                <w:lang w:val="en-US" w:eastAsia="zh-CN"/>
              </w:rPr>
            </w:pPr>
            <w:r>
              <w:rPr>
                <w:rFonts w:hint="eastAsia"/>
                <w:color w:val="auto"/>
                <w:spacing w:val="-3"/>
                <w:sz w:val="24"/>
                <w:szCs w:val="24"/>
                <w:highlight w:val="none"/>
                <w:lang w:val="en-US" w:eastAsia="zh-CN"/>
              </w:rPr>
              <w:t>（由招标人在开标现场随机确定其中一种方法）</w:t>
            </w:r>
          </w:p>
          <w:p w14:paraId="7D61C6B6">
            <w:pPr>
              <w:pStyle w:val="17"/>
              <w:spacing w:before="118" w:line="219" w:lineRule="auto"/>
              <w:ind w:left="126"/>
              <w:rPr>
                <w:rFonts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lang w:val="en-US" w:eastAsia="zh-CN"/>
              </w:rPr>
              <w:t>2.</w:t>
            </w:r>
            <w:r>
              <w:rPr>
                <w:rFonts w:ascii="宋体" w:hAnsi="宋体" w:eastAsia="宋体" w:cs="宋体"/>
                <w:color w:val="auto"/>
                <w:spacing w:val="-5"/>
                <w:sz w:val="24"/>
                <w:szCs w:val="24"/>
                <w:highlight w:val="none"/>
              </w:rPr>
              <w:t>□经评审的最低投标价法</w:t>
            </w:r>
          </w:p>
          <w:p w14:paraId="22019ECD">
            <w:pPr>
              <w:pStyle w:val="17"/>
              <w:keepNext w:val="0"/>
              <w:keepLines w:val="0"/>
              <w:pageBreakBefore w:val="0"/>
              <w:widowControl/>
              <w:kinsoku w:val="0"/>
              <w:wordWrap/>
              <w:overflowPunct/>
              <w:topLinePunct w:val="0"/>
              <w:autoSpaceDE w:val="0"/>
              <w:autoSpaceDN w:val="0"/>
              <w:bidi w:val="0"/>
              <w:adjustRightInd w:val="0"/>
              <w:snapToGrid w:val="0"/>
              <w:spacing w:before="118" w:line="284" w:lineRule="auto"/>
              <w:ind w:left="125" w:leftChars="0"/>
              <w:textAlignment w:val="baseline"/>
              <w:rPr>
                <w:color w:val="auto"/>
                <w:sz w:val="24"/>
                <w:szCs w:val="24"/>
                <w:highlight w:val="none"/>
              </w:rPr>
            </w:pPr>
            <w:r>
              <w:rPr>
                <w:rFonts w:hint="eastAsia" w:ascii="宋体" w:hAnsi="宋体" w:eastAsia="宋体" w:cs="宋体"/>
                <w:color w:val="auto"/>
                <w:spacing w:val="-5"/>
                <w:sz w:val="24"/>
                <w:szCs w:val="24"/>
                <w:highlight w:val="none"/>
                <w:lang w:val="en-US" w:eastAsia="zh-CN"/>
              </w:rPr>
              <w:t>3.</w:t>
            </w:r>
            <w:r>
              <w:rPr>
                <w:rFonts w:ascii="宋体" w:hAnsi="宋体" w:eastAsia="宋体" w:cs="宋体"/>
                <w:color w:val="auto"/>
                <w:spacing w:val="-5"/>
                <w:sz w:val="24"/>
                <w:szCs w:val="24"/>
                <w:highlight w:val="none"/>
              </w:rPr>
              <w:t>评标委员会推荐的中标候选人数量：评标委员会推荐</w:t>
            </w:r>
            <w:r>
              <w:rPr>
                <w:rFonts w:hint="eastAsia" w:ascii="宋体" w:hAnsi="宋体" w:eastAsia="宋体" w:cs="宋体"/>
                <w:color w:val="auto"/>
                <w:spacing w:val="-5"/>
                <w:sz w:val="24"/>
                <w:szCs w:val="24"/>
                <w:highlight w:val="none"/>
                <w:u w:val="single"/>
                <w:lang w:val="en-US" w:eastAsia="zh-CN"/>
              </w:rPr>
              <w:t xml:space="preserve"> </w:t>
            </w:r>
            <w:r>
              <w:rPr>
                <w:rFonts w:hint="eastAsia" w:cs="宋体"/>
                <w:color w:val="auto"/>
                <w:spacing w:val="-5"/>
                <w:sz w:val="24"/>
                <w:szCs w:val="24"/>
                <w:highlight w:val="none"/>
                <w:u w:val="single"/>
                <w:lang w:val="en-US" w:eastAsia="zh-CN"/>
              </w:rPr>
              <w:t>1</w:t>
            </w:r>
            <w:r>
              <w:rPr>
                <w:rFonts w:hint="eastAsia" w:ascii="宋体" w:hAnsi="宋体" w:eastAsia="宋体" w:cs="宋体"/>
                <w:color w:val="auto"/>
                <w:spacing w:val="-5"/>
                <w:sz w:val="24"/>
                <w:szCs w:val="24"/>
                <w:highlight w:val="none"/>
                <w:u w:val="single"/>
                <w:lang w:val="en-US" w:eastAsia="zh-CN"/>
              </w:rPr>
              <w:t xml:space="preserve"> </w:t>
            </w:r>
            <w:r>
              <w:rPr>
                <w:rFonts w:ascii="宋体" w:hAnsi="宋体" w:eastAsia="宋体" w:cs="宋体"/>
                <w:color w:val="auto"/>
                <w:spacing w:val="-5"/>
                <w:sz w:val="24"/>
                <w:szCs w:val="24"/>
                <w:highlight w:val="none"/>
              </w:rPr>
              <w:t>名中标候选人。</w:t>
            </w:r>
          </w:p>
        </w:tc>
      </w:tr>
      <w:tr w14:paraId="34B70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953" w:type="dxa"/>
            <w:tcBorders>
              <w:left w:val="single" w:color="000000" w:sz="6" w:space="0"/>
            </w:tcBorders>
            <w:vAlign w:val="top"/>
          </w:tcPr>
          <w:p w14:paraId="2F4A596C">
            <w:pPr>
              <w:spacing w:line="311" w:lineRule="auto"/>
              <w:rPr>
                <w:rFonts w:ascii="Arial"/>
                <w:color w:val="auto"/>
                <w:sz w:val="24"/>
                <w:szCs w:val="24"/>
                <w:highlight w:val="none"/>
              </w:rPr>
            </w:pPr>
          </w:p>
          <w:p w14:paraId="4D42FE13">
            <w:pPr>
              <w:spacing w:line="311" w:lineRule="auto"/>
              <w:rPr>
                <w:rFonts w:ascii="Arial"/>
                <w:color w:val="auto"/>
                <w:sz w:val="24"/>
                <w:szCs w:val="24"/>
                <w:highlight w:val="none"/>
              </w:rPr>
            </w:pPr>
          </w:p>
          <w:p w14:paraId="71641412">
            <w:pPr>
              <w:spacing w:before="61" w:line="187" w:lineRule="auto"/>
              <w:ind w:left="344" w:leftChars="0"/>
              <w:rPr>
                <w:rFonts w:ascii="Times New Roman" w:hAnsi="Times New Roman" w:eastAsia="Times New Roman" w:cs="Times New Roman"/>
                <w:color w:val="auto"/>
                <w:spacing w:val="-2"/>
                <w:sz w:val="24"/>
                <w:szCs w:val="24"/>
                <w:highlight w:val="none"/>
              </w:rPr>
            </w:pPr>
            <w:r>
              <w:rPr>
                <w:rFonts w:ascii="Times New Roman" w:hAnsi="Times New Roman" w:eastAsia="Times New Roman" w:cs="Times New Roman"/>
                <w:color w:val="auto"/>
                <w:spacing w:val="-2"/>
                <w:sz w:val="24"/>
                <w:szCs w:val="24"/>
                <w:highlight w:val="none"/>
              </w:rPr>
              <w:t>6.4</w:t>
            </w:r>
          </w:p>
        </w:tc>
        <w:tc>
          <w:tcPr>
            <w:tcW w:w="2279" w:type="dxa"/>
            <w:vAlign w:val="top"/>
          </w:tcPr>
          <w:p w14:paraId="22B4708A">
            <w:pPr>
              <w:spacing w:line="288" w:lineRule="auto"/>
              <w:rPr>
                <w:rFonts w:ascii="Arial"/>
                <w:color w:val="auto"/>
                <w:sz w:val="24"/>
                <w:szCs w:val="24"/>
                <w:highlight w:val="none"/>
              </w:rPr>
            </w:pPr>
          </w:p>
          <w:p w14:paraId="0EDF2533">
            <w:pPr>
              <w:spacing w:line="288" w:lineRule="auto"/>
              <w:rPr>
                <w:rFonts w:ascii="Arial"/>
                <w:color w:val="auto"/>
                <w:sz w:val="24"/>
                <w:szCs w:val="24"/>
                <w:highlight w:val="none"/>
              </w:rPr>
            </w:pPr>
          </w:p>
          <w:p w14:paraId="2DE814D1">
            <w:pPr>
              <w:pStyle w:val="17"/>
              <w:spacing w:before="68" w:line="220" w:lineRule="auto"/>
              <w:ind w:left="125" w:leftChars="0"/>
              <w:rPr>
                <w:color w:val="auto"/>
                <w:spacing w:val="12"/>
                <w:sz w:val="24"/>
                <w:szCs w:val="24"/>
                <w:highlight w:val="none"/>
              </w:rPr>
            </w:pPr>
            <w:r>
              <w:rPr>
                <w:color w:val="auto"/>
                <w:spacing w:val="-3"/>
                <w:sz w:val="24"/>
                <w:szCs w:val="24"/>
                <w:highlight w:val="none"/>
              </w:rPr>
              <w:t>中标候选人公示媒介</w:t>
            </w:r>
          </w:p>
        </w:tc>
        <w:tc>
          <w:tcPr>
            <w:tcW w:w="5739" w:type="dxa"/>
            <w:tcBorders>
              <w:right w:val="single" w:color="000000" w:sz="6" w:space="0"/>
            </w:tcBorders>
            <w:vAlign w:val="top"/>
          </w:tcPr>
          <w:p w14:paraId="0EFDAF4B">
            <w:pPr>
              <w:pStyle w:val="17"/>
              <w:keepNext w:val="0"/>
              <w:keepLines w:val="0"/>
              <w:pageBreakBefore w:val="0"/>
              <w:widowControl/>
              <w:tabs>
                <w:tab w:val="left" w:pos="2727"/>
              </w:tabs>
              <w:kinsoku w:val="0"/>
              <w:wordWrap/>
              <w:overflowPunct/>
              <w:topLinePunct w:val="0"/>
              <w:autoSpaceDE w:val="0"/>
              <w:autoSpaceDN w:val="0"/>
              <w:bidi w:val="0"/>
              <w:adjustRightInd w:val="0"/>
              <w:snapToGrid w:val="0"/>
              <w:spacing w:before="108" w:line="284" w:lineRule="auto"/>
              <w:ind w:left="210"/>
              <w:textAlignment w:val="baseline"/>
              <w:rPr>
                <w:rFonts w:hint="eastAsia" w:ascii="宋体" w:hAnsi="宋体" w:eastAsia="宋体" w:cs="宋体"/>
                <w:color w:val="auto"/>
                <w:kern w:val="21"/>
                <w:sz w:val="24"/>
                <w:szCs w:val="24"/>
                <w:highlight w:val="none"/>
                <w:u w:val="none"/>
              </w:rPr>
            </w:pPr>
            <w:r>
              <w:rPr>
                <w:rFonts w:hint="eastAsia"/>
                <w:color w:val="auto"/>
                <w:kern w:val="21"/>
                <w:sz w:val="24"/>
                <w:szCs w:val="24"/>
                <w:highlight w:val="none"/>
                <w:u w:val="single"/>
              </w:rPr>
              <w:t>嵊州市人民政府门户网站公共资源交易平台</w:t>
            </w:r>
            <w:r>
              <w:rPr>
                <w:color w:val="auto"/>
                <w:spacing w:val="-14"/>
                <w:sz w:val="24"/>
                <w:szCs w:val="24"/>
                <w:highlight w:val="none"/>
                <w:u w:val="none"/>
              </w:rPr>
              <w:t>（</w:t>
            </w:r>
            <w:r>
              <w:rPr>
                <w:rFonts w:hint="eastAsia" w:ascii="宋体" w:hAnsi="宋体" w:eastAsia="宋体" w:cs="宋体"/>
                <w:color w:val="auto"/>
                <w:kern w:val="21"/>
                <w:sz w:val="24"/>
                <w:szCs w:val="24"/>
                <w:highlight w:val="none"/>
                <w:u w:val="none"/>
              </w:rPr>
              <w:t xml:space="preserve"> 发布公告的媒介名称）</w:t>
            </w:r>
          </w:p>
          <w:p w14:paraId="3C1AAF57">
            <w:pPr>
              <w:pStyle w:val="17"/>
              <w:spacing w:before="107" w:line="317" w:lineRule="auto"/>
              <w:ind w:left="110" w:right="221" w:firstLine="5"/>
              <w:rPr>
                <w:color w:val="auto"/>
                <w:sz w:val="24"/>
                <w:szCs w:val="24"/>
                <w:highlight w:val="none"/>
              </w:rPr>
            </w:pPr>
            <w:r>
              <w:rPr>
                <w:color w:val="auto"/>
                <w:sz w:val="24"/>
                <w:szCs w:val="24"/>
                <w:highlight w:val="none"/>
              </w:rPr>
              <w:t>公示期限：不少于</w:t>
            </w:r>
            <w:r>
              <w:rPr>
                <w:rFonts w:ascii="Times New Roman" w:hAnsi="Times New Roman" w:eastAsia="Times New Roman" w:cs="Times New Roman"/>
                <w:b/>
                <w:bCs/>
                <w:color w:val="auto"/>
                <w:sz w:val="24"/>
                <w:szCs w:val="24"/>
                <w:highlight w:val="none"/>
                <w:u w:val="single"/>
              </w:rPr>
              <w:t>3</w:t>
            </w:r>
            <w:r>
              <w:rPr>
                <w:color w:val="auto"/>
                <w:sz w:val="24"/>
                <w:szCs w:val="24"/>
                <w:highlight w:val="none"/>
              </w:rPr>
              <w:t>日。如遇国家法定休假日，应顺延至</w:t>
            </w:r>
            <w:r>
              <w:rPr>
                <w:color w:val="auto"/>
                <w:spacing w:val="-2"/>
                <w:sz w:val="24"/>
                <w:szCs w:val="24"/>
                <w:highlight w:val="none"/>
              </w:rPr>
              <w:t>法定休假日后第一个工作日。</w:t>
            </w:r>
          </w:p>
          <w:p w14:paraId="6203911C">
            <w:pPr>
              <w:pStyle w:val="17"/>
              <w:spacing w:line="214" w:lineRule="auto"/>
              <w:ind w:left="110" w:leftChars="0"/>
              <w:rPr>
                <w:rFonts w:hint="eastAsia" w:ascii="宋体" w:hAnsi="宋体" w:eastAsia="宋体" w:cs="宋体"/>
                <w:color w:val="auto"/>
                <w:spacing w:val="-5"/>
                <w:sz w:val="24"/>
                <w:szCs w:val="24"/>
                <w:highlight w:val="none"/>
                <w:lang w:val="en-US" w:eastAsia="zh-CN"/>
              </w:rPr>
            </w:pPr>
            <w:r>
              <w:rPr>
                <w:color w:val="auto"/>
                <w:spacing w:val="-1"/>
                <w:sz w:val="24"/>
                <w:szCs w:val="24"/>
                <w:highlight w:val="none"/>
              </w:rPr>
              <w:t>注：项目有业绩要求的应公示中标候选人业绩。</w:t>
            </w:r>
          </w:p>
        </w:tc>
      </w:tr>
      <w:tr w14:paraId="2C0F4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953" w:type="dxa"/>
            <w:tcBorders>
              <w:left w:val="single" w:color="000000" w:sz="6" w:space="0"/>
              <w:bottom w:val="single" w:color="000000" w:sz="6" w:space="0"/>
            </w:tcBorders>
            <w:vAlign w:val="top"/>
          </w:tcPr>
          <w:p w14:paraId="4651B133">
            <w:pPr>
              <w:spacing w:line="269" w:lineRule="auto"/>
              <w:rPr>
                <w:rFonts w:ascii="Arial"/>
                <w:color w:val="auto"/>
                <w:sz w:val="24"/>
                <w:szCs w:val="24"/>
                <w:highlight w:val="none"/>
              </w:rPr>
            </w:pPr>
          </w:p>
          <w:p w14:paraId="65743FF1">
            <w:pPr>
              <w:spacing w:before="60" w:line="187" w:lineRule="auto"/>
              <w:ind w:left="264" w:leftChars="0"/>
              <w:rPr>
                <w:rFonts w:ascii="Times New Roman" w:hAnsi="Times New Roman" w:eastAsia="Times New Roman" w:cs="Times New Roman"/>
                <w:color w:val="auto"/>
                <w:spacing w:val="-2"/>
                <w:sz w:val="24"/>
                <w:szCs w:val="24"/>
                <w:highlight w:val="none"/>
              </w:rPr>
            </w:pPr>
            <w:r>
              <w:rPr>
                <w:rFonts w:ascii="Times New Roman" w:hAnsi="Times New Roman" w:eastAsia="Times New Roman" w:cs="Times New Roman"/>
                <w:color w:val="auto"/>
                <w:spacing w:val="-1"/>
                <w:sz w:val="24"/>
                <w:szCs w:val="24"/>
                <w:highlight w:val="none"/>
              </w:rPr>
              <w:t>7.1.1</w:t>
            </w:r>
          </w:p>
        </w:tc>
        <w:tc>
          <w:tcPr>
            <w:tcW w:w="2279" w:type="dxa"/>
            <w:tcBorders>
              <w:bottom w:val="single" w:color="000000" w:sz="6" w:space="0"/>
            </w:tcBorders>
            <w:vAlign w:val="top"/>
          </w:tcPr>
          <w:p w14:paraId="76E044C4">
            <w:pPr>
              <w:pStyle w:val="17"/>
              <w:spacing w:before="292" w:line="221" w:lineRule="auto"/>
              <w:ind w:left="125" w:leftChars="0"/>
              <w:rPr>
                <w:color w:val="auto"/>
                <w:spacing w:val="-3"/>
                <w:sz w:val="24"/>
                <w:szCs w:val="24"/>
                <w:highlight w:val="none"/>
              </w:rPr>
            </w:pPr>
            <w:r>
              <w:rPr>
                <w:color w:val="auto"/>
                <w:spacing w:val="-5"/>
                <w:sz w:val="24"/>
                <w:szCs w:val="24"/>
                <w:highlight w:val="none"/>
              </w:rPr>
              <w:t>中标人确定</w:t>
            </w:r>
          </w:p>
        </w:tc>
        <w:tc>
          <w:tcPr>
            <w:tcW w:w="5739" w:type="dxa"/>
            <w:tcBorders>
              <w:bottom w:val="single" w:color="000000" w:sz="6" w:space="0"/>
              <w:right w:val="single" w:color="000000" w:sz="6" w:space="0"/>
            </w:tcBorders>
            <w:vAlign w:val="top"/>
          </w:tcPr>
          <w:p w14:paraId="120D45A1">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jc w:val="left"/>
              <w:rPr>
                <w:rFonts w:hint="eastAsia"/>
                <w:color w:val="auto"/>
                <w:kern w:val="21"/>
                <w:sz w:val="24"/>
                <w:szCs w:val="24"/>
                <w:highlight w:val="none"/>
              </w:rPr>
            </w:pPr>
            <w:r>
              <w:rPr>
                <w:rFonts w:hint="eastAsia"/>
                <w:color w:val="auto"/>
                <w:kern w:val="21"/>
                <w:sz w:val="24"/>
                <w:szCs w:val="24"/>
                <w:highlight w:val="none"/>
              </w:rPr>
              <w:t xml:space="preserve">是否授权评标委员会确定中标人  </w:t>
            </w:r>
            <w:r>
              <w:rPr>
                <w:rFonts w:hint="eastAsia"/>
                <w:color w:val="auto"/>
                <w:kern w:val="21"/>
                <w:sz w:val="24"/>
                <w:szCs w:val="24"/>
                <w:highlight w:val="none"/>
                <w:lang w:eastAsia="zh-CN"/>
              </w:rPr>
              <w:t>□</w:t>
            </w:r>
            <w:r>
              <w:rPr>
                <w:rFonts w:hint="eastAsia"/>
                <w:color w:val="auto"/>
                <w:kern w:val="21"/>
                <w:sz w:val="24"/>
                <w:szCs w:val="24"/>
                <w:highlight w:val="none"/>
              </w:rPr>
              <w:t xml:space="preserve">是 </w:t>
            </w:r>
            <w:r>
              <w:rPr>
                <w:rFonts w:hint="eastAsia"/>
                <w:color w:val="auto"/>
                <w:kern w:val="21"/>
                <w:sz w:val="24"/>
                <w:szCs w:val="24"/>
                <w:highlight w:val="none"/>
                <w:lang w:eastAsia="zh-CN"/>
              </w:rPr>
              <w:t>☑</w:t>
            </w:r>
            <w:r>
              <w:rPr>
                <w:rFonts w:hint="eastAsia"/>
                <w:color w:val="auto"/>
                <w:kern w:val="21"/>
                <w:sz w:val="24"/>
                <w:szCs w:val="24"/>
                <w:highlight w:val="none"/>
              </w:rPr>
              <w:t>否</w:t>
            </w:r>
          </w:p>
          <w:p w14:paraId="61336E9F">
            <w:pPr>
              <w:pStyle w:val="17"/>
              <w:keepNext w:val="0"/>
              <w:keepLines w:val="0"/>
              <w:pageBreakBefore w:val="0"/>
              <w:widowControl/>
              <w:kinsoku w:val="0"/>
              <w:wordWrap/>
              <w:overflowPunct/>
              <w:topLinePunct w:val="0"/>
              <w:autoSpaceDE w:val="0"/>
              <w:autoSpaceDN w:val="0"/>
              <w:bidi w:val="0"/>
              <w:adjustRightInd w:val="0"/>
              <w:snapToGrid w:val="0"/>
              <w:spacing w:before="113" w:line="284" w:lineRule="auto"/>
              <w:ind w:left="113" w:leftChars="0" w:right="1293" w:rightChars="0"/>
              <w:textAlignment w:val="baseline"/>
              <w:rPr>
                <w:color w:val="auto"/>
                <w:spacing w:val="-1"/>
                <w:sz w:val="24"/>
                <w:szCs w:val="24"/>
                <w:highlight w:val="none"/>
              </w:rPr>
            </w:pPr>
            <w:r>
              <w:rPr>
                <w:rFonts w:hint="eastAsia"/>
                <w:color w:val="auto"/>
                <w:kern w:val="21"/>
                <w:sz w:val="24"/>
                <w:szCs w:val="24"/>
                <w:highlight w:val="none"/>
              </w:rPr>
              <w:t xml:space="preserve">是否评定分离   </w:t>
            </w:r>
            <w:r>
              <w:rPr>
                <w:rFonts w:hint="eastAsia"/>
                <w:color w:val="auto"/>
                <w:kern w:val="21"/>
                <w:sz w:val="24"/>
                <w:szCs w:val="24"/>
                <w:highlight w:val="none"/>
                <w:lang w:eastAsia="zh-CN"/>
              </w:rPr>
              <w:t>□</w:t>
            </w:r>
            <w:r>
              <w:rPr>
                <w:rFonts w:hint="eastAsia"/>
                <w:color w:val="auto"/>
                <w:kern w:val="21"/>
                <w:sz w:val="24"/>
                <w:szCs w:val="24"/>
                <w:highlight w:val="none"/>
              </w:rPr>
              <w:t xml:space="preserve">是 </w:t>
            </w:r>
            <w:r>
              <w:rPr>
                <w:rFonts w:hint="eastAsia"/>
                <w:color w:val="auto"/>
                <w:kern w:val="21"/>
                <w:sz w:val="24"/>
                <w:szCs w:val="24"/>
                <w:highlight w:val="none"/>
                <w:lang w:eastAsia="zh-CN"/>
              </w:rPr>
              <w:t>☑</w:t>
            </w:r>
            <w:r>
              <w:rPr>
                <w:rFonts w:hint="eastAsia"/>
                <w:color w:val="auto"/>
                <w:kern w:val="21"/>
                <w:sz w:val="24"/>
                <w:szCs w:val="24"/>
                <w:highlight w:val="none"/>
              </w:rPr>
              <w:t>否</w:t>
            </w:r>
          </w:p>
        </w:tc>
      </w:tr>
    </w:tbl>
    <w:p w14:paraId="55A3406D">
      <w:pPr>
        <w:rPr>
          <w:color w:val="auto"/>
          <w:highlight w:val="none"/>
        </w:rPr>
        <w:sectPr>
          <w:footerReference r:id="rId10" w:type="default"/>
          <w:pgSz w:w="11907" w:h="16841"/>
          <w:pgMar w:top="1431" w:right="1466" w:bottom="1254" w:left="1523" w:header="0" w:footer="1093" w:gutter="0"/>
          <w:pgNumType w:fmt="decimal"/>
          <w:cols w:space="720" w:num="1"/>
        </w:sectPr>
      </w:pPr>
    </w:p>
    <w:p w14:paraId="3DEC9203">
      <w:pPr>
        <w:tabs>
          <w:tab w:val="left" w:pos="516"/>
        </w:tabs>
        <w:bidi w:val="0"/>
        <w:jc w:val="left"/>
        <w:rPr>
          <w:rFonts w:ascii="Arial"/>
          <w:color w:val="auto"/>
          <w:sz w:val="2"/>
          <w:highlight w:val="none"/>
        </w:rPr>
      </w:pPr>
      <w:r>
        <w:rPr>
          <w:rFonts w:hint="eastAsia" w:eastAsia="宋体"/>
          <w:color w:val="auto"/>
          <w:highlight w:val="none"/>
          <w:lang w:val="en-US" w:eastAsia="zh-CN"/>
        </w:rPr>
        <w:tab/>
      </w:r>
    </w:p>
    <w:p w14:paraId="4FCFC697">
      <w:pPr>
        <w:spacing w:line="89" w:lineRule="auto"/>
        <w:rPr>
          <w:rFonts w:ascii="Arial"/>
          <w:color w:val="auto"/>
          <w:sz w:val="2"/>
          <w:highlight w:val="none"/>
        </w:rPr>
      </w:pPr>
    </w:p>
    <w:tbl>
      <w:tblPr>
        <w:tblStyle w:val="16"/>
        <w:tblW w:w="891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2444"/>
        <w:gridCol w:w="5514"/>
      </w:tblGrid>
      <w:tr w14:paraId="331FE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53" w:type="dxa"/>
            <w:tcBorders>
              <w:top w:val="single" w:color="000000" w:sz="6" w:space="0"/>
              <w:left w:val="single" w:color="000000" w:sz="6" w:space="0"/>
            </w:tcBorders>
            <w:vAlign w:val="top"/>
          </w:tcPr>
          <w:p w14:paraId="184F4C6E">
            <w:pPr>
              <w:pStyle w:val="17"/>
              <w:spacing w:before="213" w:line="221" w:lineRule="auto"/>
              <w:ind w:left="158"/>
              <w:rPr>
                <w:color w:val="auto"/>
                <w:sz w:val="24"/>
                <w:szCs w:val="24"/>
                <w:highlight w:val="none"/>
              </w:rPr>
            </w:pPr>
            <w:r>
              <w:rPr>
                <w:b/>
                <w:bCs/>
                <w:color w:val="auto"/>
                <w:spacing w:val="-4"/>
                <w:sz w:val="24"/>
                <w:szCs w:val="24"/>
                <w:highlight w:val="none"/>
              </w:rPr>
              <w:t>条款号</w:t>
            </w:r>
          </w:p>
        </w:tc>
        <w:tc>
          <w:tcPr>
            <w:tcW w:w="2444" w:type="dxa"/>
            <w:tcBorders>
              <w:top w:val="single" w:color="000000" w:sz="6" w:space="0"/>
            </w:tcBorders>
            <w:vAlign w:val="top"/>
          </w:tcPr>
          <w:p w14:paraId="6294E009">
            <w:pPr>
              <w:pStyle w:val="17"/>
              <w:spacing w:before="213" w:line="221" w:lineRule="auto"/>
              <w:ind w:left="642"/>
              <w:rPr>
                <w:color w:val="auto"/>
                <w:sz w:val="24"/>
                <w:szCs w:val="24"/>
                <w:highlight w:val="none"/>
              </w:rPr>
            </w:pPr>
            <w:r>
              <w:rPr>
                <w:b/>
                <w:bCs/>
                <w:color w:val="auto"/>
                <w:spacing w:val="-9"/>
                <w:sz w:val="24"/>
                <w:szCs w:val="24"/>
                <w:highlight w:val="none"/>
              </w:rPr>
              <w:t>条</w:t>
            </w:r>
            <w:r>
              <w:rPr>
                <w:color w:val="auto"/>
                <w:spacing w:val="9"/>
                <w:sz w:val="24"/>
                <w:szCs w:val="24"/>
                <w:highlight w:val="none"/>
              </w:rPr>
              <w:t xml:space="preserve"> </w:t>
            </w:r>
            <w:r>
              <w:rPr>
                <w:b/>
                <w:bCs/>
                <w:color w:val="auto"/>
                <w:spacing w:val="-9"/>
                <w:sz w:val="24"/>
                <w:szCs w:val="24"/>
                <w:highlight w:val="none"/>
              </w:rPr>
              <w:t>款</w:t>
            </w:r>
            <w:r>
              <w:rPr>
                <w:color w:val="auto"/>
                <w:spacing w:val="12"/>
                <w:sz w:val="24"/>
                <w:szCs w:val="24"/>
                <w:highlight w:val="none"/>
              </w:rPr>
              <w:t xml:space="preserve"> </w:t>
            </w:r>
            <w:r>
              <w:rPr>
                <w:b/>
                <w:bCs/>
                <w:color w:val="auto"/>
                <w:spacing w:val="-9"/>
                <w:sz w:val="24"/>
                <w:szCs w:val="24"/>
                <w:highlight w:val="none"/>
              </w:rPr>
              <w:t>名</w:t>
            </w:r>
            <w:r>
              <w:rPr>
                <w:color w:val="auto"/>
                <w:spacing w:val="5"/>
                <w:sz w:val="24"/>
                <w:szCs w:val="24"/>
                <w:highlight w:val="none"/>
              </w:rPr>
              <w:t xml:space="preserve"> </w:t>
            </w:r>
            <w:r>
              <w:rPr>
                <w:b/>
                <w:bCs/>
                <w:color w:val="auto"/>
                <w:spacing w:val="-9"/>
                <w:sz w:val="24"/>
                <w:szCs w:val="24"/>
                <w:highlight w:val="none"/>
              </w:rPr>
              <w:t>称</w:t>
            </w:r>
          </w:p>
        </w:tc>
        <w:tc>
          <w:tcPr>
            <w:tcW w:w="5514" w:type="dxa"/>
            <w:tcBorders>
              <w:top w:val="single" w:color="000000" w:sz="6" w:space="0"/>
              <w:right w:val="single" w:color="000000" w:sz="6" w:space="0"/>
            </w:tcBorders>
            <w:vAlign w:val="top"/>
          </w:tcPr>
          <w:p w14:paraId="23B5D15C">
            <w:pPr>
              <w:pStyle w:val="17"/>
              <w:spacing w:before="213" w:line="221" w:lineRule="auto"/>
              <w:ind w:left="1702"/>
              <w:rPr>
                <w:color w:val="auto"/>
                <w:sz w:val="24"/>
                <w:szCs w:val="24"/>
                <w:highlight w:val="none"/>
              </w:rPr>
            </w:pPr>
            <w:r>
              <w:rPr>
                <w:b/>
                <w:bCs/>
                <w:color w:val="auto"/>
                <w:spacing w:val="-16"/>
                <w:sz w:val="24"/>
                <w:szCs w:val="24"/>
                <w:highlight w:val="none"/>
              </w:rPr>
              <w:t>编</w:t>
            </w:r>
            <w:r>
              <w:rPr>
                <w:color w:val="auto"/>
                <w:spacing w:val="4"/>
                <w:sz w:val="24"/>
                <w:szCs w:val="24"/>
                <w:highlight w:val="none"/>
              </w:rPr>
              <w:t xml:space="preserve">    </w:t>
            </w:r>
            <w:r>
              <w:rPr>
                <w:b/>
                <w:bCs/>
                <w:color w:val="auto"/>
                <w:spacing w:val="-16"/>
                <w:sz w:val="24"/>
                <w:szCs w:val="24"/>
                <w:highlight w:val="none"/>
              </w:rPr>
              <w:t>列</w:t>
            </w:r>
            <w:r>
              <w:rPr>
                <w:color w:val="auto"/>
                <w:spacing w:val="8"/>
                <w:sz w:val="24"/>
                <w:szCs w:val="24"/>
                <w:highlight w:val="none"/>
              </w:rPr>
              <w:t xml:space="preserve">    </w:t>
            </w:r>
            <w:r>
              <w:rPr>
                <w:b/>
                <w:bCs/>
                <w:color w:val="auto"/>
                <w:spacing w:val="-16"/>
                <w:sz w:val="24"/>
                <w:szCs w:val="24"/>
                <w:highlight w:val="none"/>
              </w:rPr>
              <w:t>内</w:t>
            </w:r>
            <w:r>
              <w:rPr>
                <w:color w:val="auto"/>
                <w:spacing w:val="3"/>
                <w:sz w:val="24"/>
                <w:szCs w:val="24"/>
                <w:highlight w:val="none"/>
              </w:rPr>
              <w:t xml:space="preserve">    </w:t>
            </w:r>
            <w:r>
              <w:rPr>
                <w:b/>
                <w:bCs/>
                <w:color w:val="auto"/>
                <w:spacing w:val="-16"/>
                <w:sz w:val="24"/>
                <w:szCs w:val="24"/>
                <w:highlight w:val="none"/>
              </w:rPr>
              <w:t>容</w:t>
            </w:r>
          </w:p>
        </w:tc>
      </w:tr>
      <w:tr w14:paraId="4BCFD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2" w:hRule="atLeast"/>
        </w:trPr>
        <w:tc>
          <w:tcPr>
            <w:tcW w:w="953" w:type="dxa"/>
            <w:tcBorders>
              <w:left w:val="single" w:color="000000" w:sz="6" w:space="0"/>
            </w:tcBorders>
            <w:vAlign w:val="top"/>
          </w:tcPr>
          <w:p w14:paraId="06137BBA">
            <w:pPr>
              <w:spacing w:line="247" w:lineRule="auto"/>
              <w:rPr>
                <w:rFonts w:ascii="Arial"/>
                <w:strike/>
                <w:dstrike w:val="0"/>
                <w:color w:val="auto"/>
                <w:sz w:val="24"/>
                <w:szCs w:val="24"/>
                <w:highlight w:val="none"/>
              </w:rPr>
            </w:pPr>
          </w:p>
          <w:p w14:paraId="31497C17">
            <w:pPr>
              <w:spacing w:line="247" w:lineRule="auto"/>
              <w:rPr>
                <w:rFonts w:ascii="Arial"/>
                <w:strike/>
                <w:dstrike w:val="0"/>
                <w:color w:val="auto"/>
                <w:sz w:val="24"/>
                <w:szCs w:val="24"/>
                <w:highlight w:val="none"/>
              </w:rPr>
            </w:pPr>
          </w:p>
          <w:p w14:paraId="7734A106">
            <w:pPr>
              <w:spacing w:line="247" w:lineRule="auto"/>
              <w:rPr>
                <w:rFonts w:ascii="Arial"/>
                <w:strike/>
                <w:dstrike w:val="0"/>
                <w:color w:val="auto"/>
                <w:sz w:val="24"/>
                <w:szCs w:val="24"/>
                <w:highlight w:val="none"/>
              </w:rPr>
            </w:pPr>
          </w:p>
          <w:p w14:paraId="468F453E">
            <w:pPr>
              <w:spacing w:line="247" w:lineRule="auto"/>
              <w:rPr>
                <w:rFonts w:ascii="Arial"/>
                <w:strike/>
                <w:dstrike w:val="0"/>
                <w:color w:val="auto"/>
                <w:sz w:val="24"/>
                <w:szCs w:val="24"/>
                <w:highlight w:val="none"/>
              </w:rPr>
            </w:pPr>
          </w:p>
          <w:p w14:paraId="5A28830C">
            <w:pPr>
              <w:spacing w:line="247" w:lineRule="auto"/>
              <w:rPr>
                <w:rFonts w:ascii="Arial"/>
                <w:strike/>
                <w:dstrike w:val="0"/>
                <w:color w:val="auto"/>
                <w:sz w:val="24"/>
                <w:szCs w:val="24"/>
                <w:highlight w:val="none"/>
              </w:rPr>
            </w:pPr>
          </w:p>
          <w:p w14:paraId="1878B97C">
            <w:pPr>
              <w:spacing w:line="247" w:lineRule="auto"/>
              <w:rPr>
                <w:rFonts w:ascii="Arial"/>
                <w:strike/>
                <w:dstrike w:val="0"/>
                <w:color w:val="auto"/>
                <w:sz w:val="24"/>
                <w:szCs w:val="24"/>
                <w:highlight w:val="none"/>
              </w:rPr>
            </w:pPr>
          </w:p>
          <w:p w14:paraId="333DC994">
            <w:pPr>
              <w:spacing w:line="247" w:lineRule="auto"/>
              <w:rPr>
                <w:rFonts w:ascii="Arial"/>
                <w:strike/>
                <w:dstrike w:val="0"/>
                <w:color w:val="auto"/>
                <w:sz w:val="24"/>
                <w:szCs w:val="24"/>
                <w:highlight w:val="none"/>
              </w:rPr>
            </w:pPr>
          </w:p>
          <w:p w14:paraId="7DD6B5EC">
            <w:pPr>
              <w:spacing w:line="247" w:lineRule="auto"/>
              <w:rPr>
                <w:rFonts w:ascii="Arial"/>
                <w:strike/>
                <w:dstrike w:val="0"/>
                <w:color w:val="auto"/>
                <w:sz w:val="24"/>
                <w:szCs w:val="24"/>
                <w:highlight w:val="none"/>
              </w:rPr>
            </w:pPr>
          </w:p>
          <w:p w14:paraId="24C2BC44">
            <w:pPr>
              <w:spacing w:line="247" w:lineRule="auto"/>
              <w:rPr>
                <w:rFonts w:ascii="Arial"/>
                <w:strike/>
                <w:dstrike w:val="0"/>
                <w:color w:val="auto"/>
                <w:sz w:val="24"/>
                <w:szCs w:val="24"/>
                <w:highlight w:val="none"/>
              </w:rPr>
            </w:pPr>
          </w:p>
          <w:p w14:paraId="41EE28F7">
            <w:pPr>
              <w:spacing w:line="247" w:lineRule="auto"/>
              <w:rPr>
                <w:rFonts w:ascii="Arial"/>
                <w:strike/>
                <w:dstrike w:val="0"/>
                <w:color w:val="auto"/>
                <w:sz w:val="24"/>
                <w:szCs w:val="24"/>
                <w:highlight w:val="none"/>
              </w:rPr>
            </w:pPr>
          </w:p>
          <w:p w14:paraId="36FA93EF">
            <w:pPr>
              <w:spacing w:line="247" w:lineRule="auto"/>
              <w:rPr>
                <w:rFonts w:ascii="Arial"/>
                <w:strike/>
                <w:dstrike w:val="0"/>
                <w:color w:val="auto"/>
                <w:sz w:val="24"/>
                <w:szCs w:val="24"/>
                <w:highlight w:val="none"/>
              </w:rPr>
            </w:pPr>
          </w:p>
          <w:p w14:paraId="0FAE4AE7">
            <w:pPr>
              <w:spacing w:line="247" w:lineRule="auto"/>
              <w:rPr>
                <w:rFonts w:ascii="Arial"/>
                <w:strike/>
                <w:dstrike w:val="0"/>
                <w:color w:val="auto"/>
                <w:sz w:val="24"/>
                <w:szCs w:val="24"/>
                <w:highlight w:val="none"/>
              </w:rPr>
            </w:pPr>
          </w:p>
          <w:p w14:paraId="7ECACC94">
            <w:pPr>
              <w:spacing w:line="247" w:lineRule="auto"/>
              <w:rPr>
                <w:rFonts w:ascii="Arial"/>
                <w:strike/>
                <w:dstrike w:val="0"/>
                <w:color w:val="auto"/>
                <w:sz w:val="24"/>
                <w:szCs w:val="24"/>
                <w:highlight w:val="none"/>
              </w:rPr>
            </w:pPr>
          </w:p>
          <w:p w14:paraId="4C9DC71C">
            <w:pPr>
              <w:spacing w:line="247" w:lineRule="auto"/>
              <w:rPr>
                <w:rFonts w:ascii="Arial"/>
                <w:strike/>
                <w:dstrike w:val="0"/>
                <w:color w:val="auto"/>
                <w:sz w:val="24"/>
                <w:szCs w:val="24"/>
                <w:highlight w:val="none"/>
              </w:rPr>
            </w:pPr>
          </w:p>
          <w:p w14:paraId="48F402EC">
            <w:pPr>
              <w:spacing w:line="247" w:lineRule="auto"/>
              <w:rPr>
                <w:rFonts w:ascii="Arial"/>
                <w:strike/>
                <w:dstrike w:val="0"/>
                <w:color w:val="auto"/>
                <w:sz w:val="24"/>
                <w:szCs w:val="24"/>
                <w:highlight w:val="none"/>
              </w:rPr>
            </w:pPr>
          </w:p>
          <w:p w14:paraId="1F6D5D0D">
            <w:pPr>
              <w:spacing w:line="247" w:lineRule="auto"/>
              <w:rPr>
                <w:rFonts w:ascii="Arial"/>
                <w:strike/>
                <w:dstrike w:val="0"/>
                <w:color w:val="auto"/>
                <w:sz w:val="24"/>
                <w:szCs w:val="24"/>
                <w:highlight w:val="none"/>
              </w:rPr>
            </w:pPr>
          </w:p>
          <w:p w14:paraId="3363E42B">
            <w:pPr>
              <w:spacing w:line="247" w:lineRule="auto"/>
              <w:rPr>
                <w:rFonts w:ascii="Arial"/>
                <w:strike/>
                <w:dstrike w:val="0"/>
                <w:color w:val="auto"/>
                <w:sz w:val="24"/>
                <w:szCs w:val="24"/>
                <w:highlight w:val="none"/>
              </w:rPr>
            </w:pPr>
          </w:p>
          <w:p w14:paraId="2F59269C">
            <w:pPr>
              <w:spacing w:line="247" w:lineRule="auto"/>
              <w:rPr>
                <w:rFonts w:ascii="Arial"/>
                <w:strike/>
                <w:dstrike w:val="0"/>
                <w:color w:val="auto"/>
                <w:sz w:val="24"/>
                <w:szCs w:val="24"/>
                <w:highlight w:val="none"/>
              </w:rPr>
            </w:pPr>
          </w:p>
          <w:p w14:paraId="4D808280">
            <w:pPr>
              <w:spacing w:line="247" w:lineRule="auto"/>
              <w:rPr>
                <w:rFonts w:ascii="Arial"/>
                <w:strike/>
                <w:dstrike w:val="0"/>
                <w:color w:val="auto"/>
                <w:sz w:val="24"/>
                <w:szCs w:val="24"/>
                <w:highlight w:val="none"/>
              </w:rPr>
            </w:pPr>
          </w:p>
          <w:p w14:paraId="6807DD52">
            <w:pPr>
              <w:pStyle w:val="17"/>
              <w:spacing w:before="69" w:line="237" w:lineRule="auto"/>
              <w:ind w:left="180"/>
              <w:rPr>
                <w:rFonts w:ascii="Times New Roman" w:hAnsi="Times New Roman" w:eastAsia="Times New Roman" w:cs="Times New Roman"/>
                <w:strike/>
                <w:dstrike w:val="0"/>
                <w:color w:val="auto"/>
                <w:sz w:val="24"/>
                <w:szCs w:val="24"/>
                <w:highlight w:val="none"/>
              </w:rPr>
            </w:pPr>
            <w:r>
              <w:rPr>
                <w:rFonts w:hint="eastAsia"/>
                <w:strike/>
                <w:dstrike w:val="0"/>
                <w:color w:val="auto"/>
                <w:spacing w:val="-5"/>
                <w:sz w:val="24"/>
                <w:szCs w:val="24"/>
                <w:highlight w:val="none"/>
                <w:lang w:eastAsia="zh-CN"/>
              </w:rPr>
              <w:t>□</w:t>
            </w:r>
            <w:r>
              <w:rPr>
                <w:rFonts w:ascii="Times New Roman" w:hAnsi="Times New Roman" w:eastAsia="Times New Roman" w:cs="Times New Roman"/>
                <w:strike/>
                <w:dstrike w:val="0"/>
                <w:color w:val="auto"/>
                <w:spacing w:val="-5"/>
                <w:sz w:val="24"/>
                <w:szCs w:val="24"/>
                <w:highlight w:val="none"/>
              </w:rPr>
              <w:t>7.1.7</w:t>
            </w:r>
          </w:p>
        </w:tc>
        <w:tc>
          <w:tcPr>
            <w:tcW w:w="2444" w:type="dxa"/>
            <w:vAlign w:val="top"/>
          </w:tcPr>
          <w:p w14:paraId="0043FE79">
            <w:pPr>
              <w:pStyle w:val="17"/>
              <w:spacing w:before="68" w:line="220" w:lineRule="auto"/>
              <w:ind w:left="111"/>
              <w:rPr>
                <w:strike/>
                <w:dstrike w:val="0"/>
                <w:color w:val="auto"/>
                <w:spacing w:val="-2"/>
                <w:sz w:val="24"/>
                <w:szCs w:val="24"/>
                <w:highlight w:val="none"/>
              </w:rPr>
            </w:pPr>
            <w:r>
              <w:rPr>
                <w:strike/>
                <w:dstrike w:val="0"/>
                <w:color w:val="auto"/>
                <w:spacing w:val="-2"/>
                <w:sz w:val="24"/>
                <w:szCs w:val="24"/>
                <w:highlight w:val="none"/>
              </w:rPr>
              <w:t>定标委员会组建</w:t>
            </w:r>
          </w:p>
          <w:p w14:paraId="37C0E960">
            <w:pPr>
              <w:pStyle w:val="17"/>
              <w:spacing w:before="68" w:line="220" w:lineRule="auto"/>
              <w:ind w:left="111"/>
              <w:rPr>
                <w:strike/>
                <w:dstrike w:val="0"/>
                <w:color w:val="auto"/>
                <w:spacing w:val="-2"/>
                <w:sz w:val="24"/>
                <w:szCs w:val="24"/>
                <w:highlight w:val="none"/>
              </w:rPr>
            </w:pPr>
          </w:p>
          <w:p w14:paraId="66BE3288">
            <w:pPr>
              <w:pStyle w:val="17"/>
              <w:spacing w:before="68" w:line="220" w:lineRule="auto"/>
              <w:ind w:left="111"/>
              <w:rPr>
                <w:strike/>
                <w:dstrike w:val="0"/>
                <w:color w:val="auto"/>
                <w:sz w:val="24"/>
                <w:szCs w:val="24"/>
                <w:highlight w:val="none"/>
              </w:rPr>
            </w:pPr>
            <w:r>
              <w:rPr>
                <w:strike/>
                <w:dstrike w:val="0"/>
                <w:color w:val="auto"/>
                <w:spacing w:val="-2"/>
                <w:sz w:val="24"/>
                <w:szCs w:val="24"/>
                <w:highlight w:val="none"/>
              </w:rPr>
              <w:t>定标会议地点和时间</w:t>
            </w:r>
          </w:p>
          <w:p w14:paraId="2BC2449A">
            <w:pPr>
              <w:spacing w:line="245" w:lineRule="auto"/>
              <w:rPr>
                <w:rFonts w:ascii="Arial"/>
                <w:strike/>
                <w:dstrike w:val="0"/>
                <w:color w:val="auto"/>
                <w:sz w:val="24"/>
                <w:szCs w:val="24"/>
                <w:highlight w:val="none"/>
              </w:rPr>
            </w:pPr>
          </w:p>
          <w:p w14:paraId="63D44AB8">
            <w:pPr>
              <w:spacing w:line="245" w:lineRule="auto"/>
              <w:rPr>
                <w:rFonts w:ascii="Arial"/>
                <w:strike/>
                <w:dstrike w:val="0"/>
                <w:color w:val="auto"/>
                <w:sz w:val="24"/>
                <w:szCs w:val="24"/>
                <w:highlight w:val="none"/>
              </w:rPr>
            </w:pPr>
          </w:p>
          <w:p w14:paraId="1C84EAE0">
            <w:pPr>
              <w:spacing w:line="245" w:lineRule="auto"/>
              <w:rPr>
                <w:rFonts w:ascii="Arial"/>
                <w:strike/>
                <w:dstrike w:val="0"/>
                <w:color w:val="auto"/>
                <w:sz w:val="24"/>
                <w:szCs w:val="24"/>
                <w:highlight w:val="none"/>
              </w:rPr>
            </w:pPr>
          </w:p>
          <w:p w14:paraId="7471393B">
            <w:pPr>
              <w:spacing w:line="245" w:lineRule="auto"/>
              <w:rPr>
                <w:rFonts w:ascii="Arial"/>
                <w:strike/>
                <w:dstrike w:val="0"/>
                <w:color w:val="auto"/>
                <w:sz w:val="24"/>
                <w:szCs w:val="24"/>
                <w:highlight w:val="none"/>
              </w:rPr>
            </w:pPr>
          </w:p>
          <w:p w14:paraId="6895C4F7">
            <w:pPr>
              <w:spacing w:line="246" w:lineRule="auto"/>
              <w:rPr>
                <w:rFonts w:ascii="Arial"/>
                <w:strike/>
                <w:dstrike w:val="0"/>
                <w:color w:val="auto"/>
                <w:sz w:val="24"/>
                <w:szCs w:val="24"/>
                <w:highlight w:val="none"/>
              </w:rPr>
            </w:pPr>
          </w:p>
          <w:p w14:paraId="7F2BCB50">
            <w:pPr>
              <w:pStyle w:val="17"/>
              <w:spacing w:before="68" w:line="221" w:lineRule="auto"/>
              <w:ind w:left="106"/>
              <w:rPr>
                <w:strike/>
                <w:dstrike w:val="0"/>
                <w:color w:val="auto"/>
                <w:sz w:val="24"/>
                <w:szCs w:val="24"/>
                <w:highlight w:val="none"/>
              </w:rPr>
            </w:pPr>
            <w:r>
              <w:rPr>
                <w:strike/>
                <w:dstrike w:val="0"/>
                <w:color w:val="auto"/>
                <w:spacing w:val="-1"/>
                <w:sz w:val="24"/>
                <w:szCs w:val="24"/>
                <w:highlight w:val="none"/>
              </w:rPr>
              <w:t>考察、质询</w:t>
            </w:r>
          </w:p>
          <w:p w14:paraId="6449314E">
            <w:pPr>
              <w:spacing w:line="278" w:lineRule="auto"/>
              <w:rPr>
                <w:rFonts w:ascii="Arial"/>
                <w:strike/>
                <w:dstrike w:val="0"/>
                <w:color w:val="auto"/>
                <w:sz w:val="24"/>
                <w:szCs w:val="24"/>
                <w:highlight w:val="none"/>
              </w:rPr>
            </w:pPr>
          </w:p>
          <w:p w14:paraId="088D6E09">
            <w:pPr>
              <w:spacing w:line="278" w:lineRule="auto"/>
              <w:rPr>
                <w:rFonts w:ascii="Arial"/>
                <w:strike/>
                <w:dstrike w:val="0"/>
                <w:color w:val="auto"/>
                <w:sz w:val="24"/>
                <w:szCs w:val="24"/>
                <w:highlight w:val="none"/>
              </w:rPr>
            </w:pPr>
          </w:p>
          <w:p w14:paraId="56692169">
            <w:pPr>
              <w:spacing w:line="279" w:lineRule="auto"/>
              <w:rPr>
                <w:rFonts w:ascii="Arial"/>
                <w:strike/>
                <w:dstrike w:val="0"/>
                <w:color w:val="auto"/>
                <w:sz w:val="24"/>
                <w:szCs w:val="24"/>
                <w:highlight w:val="none"/>
              </w:rPr>
            </w:pPr>
          </w:p>
          <w:p w14:paraId="2288B46D">
            <w:pPr>
              <w:pStyle w:val="17"/>
              <w:spacing w:before="68" w:line="221" w:lineRule="auto"/>
              <w:ind w:left="111"/>
              <w:rPr>
                <w:strike/>
                <w:dstrike w:val="0"/>
                <w:color w:val="auto"/>
                <w:spacing w:val="-2"/>
                <w:sz w:val="24"/>
                <w:szCs w:val="24"/>
                <w:highlight w:val="none"/>
              </w:rPr>
            </w:pPr>
          </w:p>
          <w:p w14:paraId="4F5D9883">
            <w:pPr>
              <w:pStyle w:val="17"/>
              <w:spacing w:before="68" w:line="221" w:lineRule="auto"/>
              <w:ind w:left="111"/>
              <w:rPr>
                <w:strike/>
                <w:dstrike w:val="0"/>
                <w:color w:val="auto"/>
                <w:sz w:val="24"/>
                <w:szCs w:val="24"/>
                <w:highlight w:val="none"/>
              </w:rPr>
            </w:pPr>
            <w:r>
              <w:rPr>
                <w:strike/>
                <w:dstrike w:val="0"/>
                <w:color w:val="auto"/>
                <w:spacing w:val="-2"/>
                <w:sz w:val="24"/>
                <w:szCs w:val="24"/>
                <w:highlight w:val="none"/>
              </w:rPr>
              <w:t>定标现场面试</w:t>
            </w:r>
          </w:p>
          <w:p w14:paraId="5014245E">
            <w:pPr>
              <w:spacing w:line="251" w:lineRule="auto"/>
              <w:rPr>
                <w:rFonts w:ascii="Arial"/>
                <w:strike/>
                <w:dstrike w:val="0"/>
                <w:color w:val="auto"/>
                <w:sz w:val="24"/>
                <w:szCs w:val="24"/>
                <w:highlight w:val="none"/>
              </w:rPr>
            </w:pPr>
          </w:p>
          <w:p w14:paraId="777B0C57">
            <w:pPr>
              <w:spacing w:line="252" w:lineRule="auto"/>
              <w:rPr>
                <w:rFonts w:ascii="Arial"/>
                <w:strike/>
                <w:dstrike w:val="0"/>
                <w:color w:val="auto"/>
                <w:sz w:val="24"/>
                <w:szCs w:val="24"/>
                <w:highlight w:val="none"/>
              </w:rPr>
            </w:pPr>
          </w:p>
          <w:p w14:paraId="6E139D2F">
            <w:pPr>
              <w:spacing w:line="252" w:lineRule="auto"/>
              <w:rPr>
                <w:rFonts w:ascii="Arial"/>
                <w:strike/>
                <w:dstrike w:val="0"/>
                <w:color w:val="auto"/>
                <w:sz w:val="24"/>
                <w:szCs w:val="24"/>
                <w:highlight w:val="none"/>
              </w:rPr>
            </w:pPr>
          </w:p>
          <w:p w14:paraId="55CC3567">
            <w:pPr>
              <w:pStyle w:val="17"/>
              <w:spacing w:before="69" w:line="221" w:lineRule="auto"/>
              <w:ind w:left="111"/>
              <w:rPr>
                <w:strike/>
                <w:dstrike w:val="0"/>
                <w:color w:val="auto"/>
                <w:spacing w:val="-2"/>
                <w:sz w:val="24"/>
                <w:szCs w:val="24"/>
                <w:highlight w:val="none"/>
              </w:rPr>
            </w:pPr>
          </w:p>
          <w:p w14:paraId="5FED1878">
            <w:pPr>
              <w:pStyle w:val="17"/>
              <w:spacing w:before="69" w:line="221" w:lineRule="auto"/>
              <w:ind w:left="111"/>
              <w:rPr>
                <w:strike/>
                <w:dstrike w:val="0"/>
                <w:color w:val="auto"/>
                <w:spacing w:val="-2"/>
                <w:sz w:val="24"/>
                <w:szCs w:val="24"/>
                <w:highlight w:val="none"/>
              </w:rPr>
            </w:pPr>
          </w:p>
          <w:p w14:paraId="4DFB2541">
            <w:pPr>
              <w:pStyle w:val="17"/>
              <w:spacing w:before="69" w:line="221" w:lineRule="auto"/>
              <w:ind w:left="111"/>
              <w:rPr>
                <w:strike/>
                <w:dstrike w:val="0"/>
                <w:color w:val="auto"/>
                <w:spacing w:val="-2"/>
                <w:sz w:val="24"/>
                <w:szCs w:val="24"/>
                <w:highlight w:val="none"/>
              </w:rPr>
            </w:pPr>
          </w:p>
          <w:p w14:paraId="301A0647">
            <w:pPr>
              <w:pStyle w:val="17"/>
              <w:spacing w:before="69" w:line="221" w:lineRule="auto"/>
              <w:ind w:left="111"/>
              <w:rPr>
                <w:strike/>
                <w:dstrike w:val="0"/>
                <w:color w:val="auto"/>
                <w:spacing w:val="-2"/>
                <w:sz w:val="24"/>
                <w:szCs w:val="24"/>
                <w:highlight w:val="none"/>
              </w:rPr>
            </w:pPr>
          </w:p>
          <w:p w14:paraId="3277421C">
            <w:pPr>
              <w:pStyle w:val="17"/>
              <w:spacing w:before="69" w:line="221" w:lineRule="auto"/>
              <w:ind w:left="111"/>
              <w:rPr>
                <w:strike/>
                <w:dstrike w:val="0"/>
                <w:color w:val="auto"/>
                <w:spacing w:val="-2"/>
                <w:sz w:val="24"/>
                <w:szCs w:val="24"/>
                <w:highlight w:val="none"/>
              </w:rPr>
            </w:pPr>
          </w:p>
          <w:p w14:paraId="4EC30502">
            <w:pPr>
              <w:pStyle w:val="17"/>
              <w:spacing w:before="69" w:line="221" w:lineRule="auto"/>
              <w:ind w:left="111"/>
              <w:rPr>
                <w:strike/>
                <w:dstrike w:val="0"/>
                <w:color w:val="auto"/>
                <w:spacing w:val="-2"/>
                <w:sz w:val="24"/>
                <w:szCs w:val="24"/>
                <w:highlight w:val="none"/>
              </w:rPr>
            </w:pPr>
          </w:p>
          <w:p w14:paraId="40442793">
            <w:pPr>
              <w:pStyle w:val="17"/>
              <w:spacing w:before="69" w:line="221" w:lineRule="auto"/>
              <w:ind w:left="111"/>
              <w:rPr>
                <w:strike/>
                <w:dstrike w:val="0"/>
                <w:color w:val="auto"/>
                <w:spacing w:val="-2"/>
                <w:sz w:val="24"/>
                <w:szCs w:val="24"/>
                <w:highlight w:val="none"/>
              </w:rPr>
            </w:pPr>
          </w:p>
          <w:p w14:paraId="2CF929BA">
            <w:pPr>
              <w:pStyle w:val="17"/>
              <w:spacing w:before="69" w:line="221" w:lineRule="auto"/>
              <w:ind w:left="111"/>
              <w:rPr>
                <w:strike/>
                <w:dstrike w:val="0"/>
                <w:color w:val="auto"/>
                <w:spacing w:val="-2"/>
                <w:sz w:val="24"/>
                <w:szCs w:val="24"/>
                <w:highlight w:val="none"/>
              </w:rPr>
            </w:pPr>
            <w:r>
              <w:rPr>
                <w:strike/>
                <w:dstrike w:val="0"/>
                <w:color w:val="auto"/>
                <w:spacing w:val="-2"/>
                <w:sz w:val="24"/>
                <w:szCs w:val="24"/>
                <w:highlight w:val="none"/>
              </w:rPr>
              <w:t>定标要素及具体内容</w:t>
            </w:r>
          </w:p>
          <w:p w14:paraId="5800BA7D">
            <w:pPr>
              <w:pStyle w:val="17"/>
              <w:spacing w:before="69" w:line="221" w:lineRule="auto"/>
              <w:ind w:left="111"/>
              <w:rPr>
                <w:strike/>
                <w:dstrike w:val="0"/>
                <w:color w:val="auto"/>
                <w:spacing w:val="-2"/>
                <w:sz w:val="24"/>
                <w:szCs w:val="24"/>
                <w:highlight w:val="none"/>
              </w:rPr>
            </w:pPr>
          </w:p>
          <w:p w14:paraId="01ECD1E4">
            <w:pPr>
              <w:pStyle w:val="17"/>
              <w:spacing w:before="69" w:line="221" w:lineRule="auto"/>
              <w:ind w:left="111"/>
              <w:rPr>
                <w:strike/>
                <w:dstrike w:val="0"/>
                <w:color w:val="auto"/>
                <w:spacing w:val="-2"/>
                <w:sz w:val="24"/>
                <w:szCs w:val="24"/>
                <w:highlight w:val="none"/>
              </w:rPr>
            </w:pPr>
          </w:p>
          <w:p w14:paraId="29E92125">
            <w:pPr>
              <w:pStyle w:val="17"/>
              <w:spacing w:before="69" w:line="221" w:lineRule="auto"/>
              <w:ind w:left="111"/>
              <w:rPr>
                <w:strike/>
                <w:dstrike w:val="0"/>
                <w:color w:val="auto"/>
                <w:spacing w:val="-2"/>
                <w:sz w:val="24"/>
                <w:szCs w:val="24"/>
                <w:highlight w:val="none"/>
              </w:rPr>
            </w:pPr>
          </w:p>
          <w:p w14:paraId="1FA27E73">
            <w:pPr>
              <w:pStyle w:val="17"/>
              <w:spacing w:before="69" w:line="221" w:lineRule="auto"/>
              <w:ind w:left="111"/>
              <w:rPr>
                <w:strike/>
                <w:dstrike w:val="0"/>
                <w:color w:val="auto"/>
                <w:spacing w:val="-2"/>
                <w:sz w:val="24"/>
                <w:szCs w:val="24"/>
                <w:highlight w:val="none"/>
              </w:rPr>
            </w:pPr>
          </w:p>
          <w:p w14:paraId="4ACE850C">
            <w:pPr>
              <w:pStyle w:val="17"/>
              <w:spacing w:before="69" w:line="221" w:lineRule="auto"/>
              <w:ind w:left="111"/>
              <w:rPr>
                <w:strike/>
                <w:dstrike w:val="0"/>
                <w:color w:val="auto"/>
                <w:spacing w:val="-2"/>
                <w:sz w:val="24"/>
                <w:szCs w:val="24"/>
                <w:highlight w:val="none"/>
              </w:rPr>
            </w:pPr>
          </w:p>
          <w:p w14:paraId="2FF21A60">
            <w:pPr>
              <w:pStyle w:val="17"/>
              <w:spacing w:before="69" w:line="221" w:lineRule="auto"/>
              <w:ind w:left="111"/>
              <w:rPr>
                <w:strike/>
                <w:dstrike w:val="0"/>
                <w:color w:val="auto"/>
                <w:spacing w:val="-2"/>
                <w:sz w:val="24"/>
                <w:szCs w:val="24"/>
                <w:highlight w:val="none"/>
              </w:rPr>
            </w:pPr>
          </w:p>
          <w:p w14:paraId="18686D31">
            <w:pPr>
              <w:pStyle w:val="17"/>
              <w:spacing w:before="69" w:line="221" w:lineRule="auto"/>
              <w:ind w:left="111"/>
              <w:rPr>
                <w:strike/>
                <w:dstrike w:val="0"/>
                <w:color w:val="auto"/>
                <w:spacing w:val="-2"/>
                <w:sz w:val="24"/>
                <w:szCs w:val="24"/>
                <w:highlight w:val="none"/>
              </w:rPr>
            </w:pPr>
          </w:p>
          <w:p w14:paraId="3B926D49">
            <w:pPr>
              <w:pStyle w:val="17"/>
              <w:spacing w:before="69" w:line="221" w:lineRule="auto"/>
              <w:ind w:left="111"/>
              <w:rPr>
                <w:strike/>
                <w:dstrike w:val="0"/>
                <w:color w:val="auto"/>
                <w:spacing w:val="-2"/>
                <w:sz w:val="24"/>
                <w:szCs w:val="24"/>
                <w:highlight w:val="none"/>
              </w:rPr>
            </w:pPr>
          </w:p>
          <w:p w14:paraId="07387DAD">
            <w:pPr>
              <w:pStyle w:val="17"/>
              <w:spacing w:before="69" w:line="221" w:lineRule="auto"/>
              <w:ind w:left="111"/>
              <w:rPr>
                <w:strike/>
                <w:dstrike w:val="0"/>
                <w:color w:val="auto"/>
                <w:spacing w:val="-2"/>
                <w:sz w:val="24"/>
                <w:szCs w:val="24"/>
                <w:highlight w:val="none"/>
              </w:rPr>
            </w:pPr>
          </w:p>
          <w:p w14:paraId="27D23F72">
            <w:pPr>
              <w:pStyle w:val="17"/>
              <w:spacing w:before="69" w:line="221" w:lineRule="auto"/>
              <w:ind w:left="111"/>
              <w:rPr>
                <w:strike/>
                <w:dstrike w:val="0"/>
                <w:color w:val="auto"/>
                <w:spacing w:val="-2"/>
                <w:sz w:val="24"/>
                <w:szCs w:val="24"/>
                <w:highlight w:val="none"/>
              </w:rPr>
            </w:pPr>
          </w:p>
          <w:p w14:paraId="7F09C546">
            <w:pPr>
              <w:pStyle w:val="17"/>
              <w:spacing w:before="69" w:line="221" w:lineRule="auto"/>
              <w:ind w:left="111"/>
              <w:rPr>
                <w:strike/>
                <w:dstrike w:val="0"/>
                <w:color w:val="auto"/>
                <w:spacing w:val="-3"/>
                <w:sz w:val="24"/>
                <w:szCs w:val="24"/>
                <w:highlight w:val="none"/>
              </w:rPr>
            </w:pPr>
          </w:p>
          <w:p w14:paraId="3F8883B8">
            <w:pPr>
              <w:pStyle w:val="17"/>
              <w:spacing w:before="69" w:line="221" w:lineRule="auto"/>
              <w:ind w:left="111"/>
              <w:rPr>
                <w:strike/>
                <w:dstrike w:val="0"/>
                <w:color w:val="auto"/>
                <w:spacing w:val="-3"/>
                <w:sz w:val="24"/>
                <w:szCs w:val="24"/>
                <w:highlight w:val="none"/>
              </w:rPr>
            </w:pPr>
          </w:p>
          <w:p w14:paraId="1B73B4C1">
            <w:pPr>
              <w:pStyle w:val="17"/>
              <w:spacing w:before="69" w:line="221" w:lineRule="auto"/>
              <w:rPr>
                <w:strike/>
                <w:dstrike w:val="0"/>
                <w:color w:val="auto"/>
                <w:spacing w:val="-2"/>
                <w:sz w:val="24"/>
                <w:szCs w:val="24"/>
                <w:highlight w:val="none"/>
              </w:rPr>
            </w:pPr>
            <w:r>
              <w:rPr>
                <w:strike/>
                <w:dstrike w:val="0"/>
                <w:color w:val="auto"/>
                <w:spacing w:val="-3"/>
                <w:sz w:val="24"/>
                <w:szCs w:val="24"/>
                <w:highlight w:val="none"/>
              </w:rPr>
              <w:t>定标方法</w:t>
            </w:r>
          </w:p>
          <w:p w14:paraId="785AECC1">
            <w:pPr>
              <w:pStyle w:val="17"/>
              <w:spacing w:before="69" w:line="221" w:lineRule="auto"/>
              <w:ind w:left="111"/>
              <w:rPr>
                <w:strike/>
                <w:dstrike w:val="0"/>
                <w:color w:val="auto"/>
                <w:spacing w:val="-2"/>
                <w:sz w:val="24"/>
                <w:szCs w:val="24"/>
                <w:highlight w:val="none"/>
              </w:rPr>
            </w:pPr>
          </w:p>
          <w:p w14:paraId="0D23833F">
            <w:pPr>
              <w:pStyle w:val="17"/>
              <w:spacing w:before="69" w:line="221" w:lineRule="auto"/>
              <w:rPr>
                <w:strike/>
                <w:dstrike w:val="0"/>
                <w:color w:val="auto"/>
                <w:spacing w:val="-2"/>
                <w:sz w:val="24"/>
                <w:szCs w:val="24"/>
                <w:highlight w:val="none"/>
              </w:rPr>
            </w:pPr>
          </w:p>
          <w:p w14:paraId="6F8C168C">
            <w:pPr>
              <w:pStyle w:val="17"/>
              <w:spacing w:before="69" w:line="221" w:lineRule="auto"/>
              <w:ind w:left="111"/>
              <w:rPr>
                <w:strike/>
                <w:dstrike w:val="0"/>
                <w:color w:val="auto"/>
                <w:spacing w:val="-2"/>
                <w:sz w:val="24"/>
                <w:szCs w:val="24"/>
                <w:highlight w:val="none"/>
              </w:rPr>
            </w:pPr>
          </w:p>
          <w:p w14:paraId="14292F0E">
            <w:pPr>
              <w:pStyle w:val="17"/>
              <w:spacing w:before="69" w:line="221" w:lineRule="auto"/>
              <w:ind w:left="111"/>
              <w:rPr>
                <w:strike/>
                <w:dstrike w:val="0"/>
                <w:color w:val="auto"/>
                <w:spacing w:val="-2"/>
                <w:sz w:val="24"/>
                <w:szCs w:val="24"/>
                <w:highlight w:val="none"/>
              </w:rPr>
            </w:pPr>
          </w:p>
          <w:p w14:paraId="6EA2ADA6">
            <w:pPr>
              <w:spacing w:line="243" w:lineRule="auto"/>
              <w:rPr>
                <w:rFonts w:ascii="Arial"/>
                <w:strike/>
                <w:dstrike w:val="0"/>
                <w:color w:val="auto"/>
                <w:sz w:val="24"/>
                <w:szCs w:val="24"/>
                <w:highlight w:val="none"/>
              </w:rPr>
            </w:pPr>
          </w:p>
          <w:p w14:paraId="6EC2C7B9">
            <w:pPr>
              <w:spacing w:line="243" w:lineRule="auto"/>
              <w:rPr>
                <w:rFonts w:ascii="Arial"/>
                <w:strike/>
                <w:dstrike w:val="0"/>
                <w:color w:val="auto"/>
                <w:sz w:val="24"/>
                <w:szCs w:val="24"/>
                <w:highlight w:val="none"/>
              </w:rPr>
            </w:pPr>
          </w:p>
          <w:p w14:paraId="25334EC4">
            <w:pPr>
              <w:spacing w:line="243" w:lineRule="auto"/>
              <w:rPr>
                <w:rFonts w:ascii="Arial"/>
                <w:strike/>
                <w:dstrike w:val="0"/>
                <w:color w:val="auto"/>
                <w:sz w:val="24"/>
                <w:szCs w:val="24"/>
                <w:highlight w:val="none"/>
              </w:rPr>
            </w:pPr>
          </w:p>
          <w:p w14:paraId="36565BCA">
            <w:pPr>
              <w:spacing w:line="243" w:lineRule="auto"/>
              <w:rPr>
                <w:rFonts w:ascii="Arial"/>
                <w:strike/>
                <w:dstrike w:val="0"/>
                <w:color w:val="auto"/>
                <w:sz w:val="24"/>
                <w:szCs w:val="24"/>
                <w:highlight w:val="none"/>
              </w:rPr>
            </w:pPr>
          </w:p>
          <w:p w14:paraId="48F35606">
            <w:pPr>
              <w:spacing w:line="243" w:lineRule="auto"/>
              <w:rPr>
                <w:rFonts w:ascii="Arial"/>
                <w:strike/>
                <w:dstrike w:val="0"/>
                <w:color w:val="auto"/>
                <w:sz w:val="24"/>
                <w:szCs w:val="24"/>
                <w:highlight w:val="none"/>
              </w:rPr>
            </w:pPr>
          </w:p>
          <w:p w14:paraId="7B797942">
            <w:pPr>
              <w:spacing w:line="243" w:lineRule="auto"/>
              <w:rPr>
                <w:rFonts w:ascii="Arial"/>
                <w:strike/>
                <w:dstrike w:val="0"/>
                <w:color w:val="auto"/>
                <w:sz w:val="24"/>
                <w:szCs w:val="24"/>
                <w:highlight w:val="none"/>
              </w:rPr>
            </w:pPr>
          </w:p>
          <w:p w14:paraId="529C73E1">
            <w:pPr>
              <w:spacing w:line="243" w:lineRule="auto"/>
              <w:rPr>
                <w:rFonts w:ascii="Arial"/>
                <w:strike/>
                <w:dstrike w:val="0"/>
                <w:color w:val="auto"/>
                <w:sz w:val="24"/>
                <w:szCs w:val="24"/>
                <w:highlight w:val="none"/>
              </w:rPr>
            </w:pPr>
          </w:p>
          <w:p w14:paraId="65F1B824">
            <w:pPr>
              <w:spacing w:line="243" w:lineRule="auto"/>
              <w:rPr>
                <w:rFonts w:ascii="Arial"/>
                <w:strike/>
                <w:dstrike w:val="0"/>
                <w:color w:val="auto"/>
                <w:sz w:val="24"/>
                <w:szCs w:val="24"/>
                <w:highlight w:val="none"/>
              </w:rPr>
            </w:pPr>
          </w:p>
          <w:p w14:paraId="309F2A2B">
            <w:pPr>
              <w:spacing w:line="244" w:lineRule="auto"/>
              <w:rPr>
                <w:rFonts w:ascii="Arial"/>
                <w:strike/>
                <w:dstrike w:val="0"/>
                <w:color w:val="auto"/>
                <w:sz w:val="24"/>
                <w:szCs w:val="24"/>
                <w:highlight w:val="none"/>
              </w:rPr>
            </w:pPr>
          </w:p>
          <w:p w14:paraId="4B51AF60">
            <w:pPr>
              <w:pStyle w:val="17"/>
              <w:spacing w:before="68" w:line="221" w:lineRule="auto"/>
              <w:ind w:left="111"/>
              <w:rPr>
                <w:strike/>
                <w:dstrike w:val="0"/>
                <w:color w:val="auto"/>
                <w:sz w:val="24"/>
                <w:szCs w:val="24"/>
                <w:highlight w:val="none"/>
              </w:rPr>
            </w:pPr>
          </w:p>
        </w:tc>
        <w:tc>
          <w:tcPr>
            <w:tcW w:w="5514" w:type="dxa"/>
            <w:tcBorders>
              <w:right w:val="single" w:color="000000" w:sz="6" w:space="0"/>
            </w:tcBorders>
            <w:vAlign w:val="top"/>
          </w:tcPr>
          <w:p w14:paraId="0DAE37A5">
            <w:pPr>
              <w:pStyle w:val="17"/>
              <w:spacing w:before="72" w:line="215" w:lineRule="auto"/>
              <w:ind w:left="115"/>
              <w:rPr>
                <w:strike/>
                <w:dstrike w:val="0"/>
                <w:color w:val="auto"/>
                <w:spacing w:val="-4"/>
                <w:sz w:val="24"/>
                <w:szCs w:val="24"/>
                <w:highlight w:val="none"/>
              </w:rPr>
            </w:pPr>
            <w:r>
              <w:rPr>
                <w:strike/>
                <w:dstrike w:val="0"/>
                <w:color w:val="auto"/>
                <w:spacing w:val="-3"/>
                <w:sz w:val="24"/>
                <w:szCs w:val="24"/>
                <w:highlight w:val="none"/>
              </w:rPr>
              <w:t>定标委员会由</w:t>
            </w:r>
            <w:r>
              <w:rPr>
                <w:rFonts w:hint="eastAsia" w:ascii="宋体" w:hAnsi="宋体" w:eastAsia="宋体" w:cs="宋体"/>
                <w:strike/>
                <w:dstrike w:val="0"/>
                <w:color w:val="auto"/>
                <w:kern w:val="21"/>
                <w:sz w:val="24"/>
                <w:szCs w:val="24"/>
                <w:highlight w:val="none"/>
                <w:u w:val="single"/>
                <w:lang w:val="en-US" w:eastAsia="zh-CN"/>
              </w:rPr>
              <w:t xml:space="preserve">  </w:t>
            </w:r>
            <w:r>
              <w:rPr>
                <w:rFonts w:hint="eastAsia" w:cs="宋体"/>
                <w:strike/>
                <w:dstrike w:val="0"/>
                <w:color w:val="auto"/>
                <w:kern w:val="21"/>
                <w:sz w:val="24"/>
                <w:szCs w:val="24"/>
                <w:highlight w:val="none"/>
                <w:u w:val="single"/>
                <w:lang w:val="en-US" w:eastAsia="zh-CN"/>
              </w:rPr>
              <w:t xml:space="preserve"> </w:t>
            </w:r>
            <w:r>
              <w:rPr>
                <w:rFonts w:hint="eastAsia" w:ascii="宋体" w:hAnsi="宋体" w:eastAsia="宋体" w:cs="宋体"/>
                <w:strike/>
                <w:dstrike w:val="0"/>
                <w:color w:val="auto"/>
                <w:kern w:val="21"/>
                <w:sz w:val="24"/>
                <w:szCs w:val="24"/>
                <w:highlight w:val="none"/>
                <w:u w:val="none"/>
                <w:lang w:val="en-US" w:eastAsia="zh-CN"/>
              </w:rPr>
              <w:t>人</w:t>
            </w:r>
            <w:r>
              <w:rPr>
                <w:strike/>
                <w:dstrike w:val="0"/>
                <w:color w:val="auto"/>
                <w:spacing w:val="-4"/>
                <w:sz w:val="24"/>
                <w:szCs w:val="24"/>
                <w:highlight w:val="none"/>
              </w:rPr>
              <w:t>组成。</w:t>
            </w:r>
          </w:p>
          <w:p w14:paraId="7782F1CE">
            <w:pPr>
              <w:pStyle w:val="17"/>
              <w:spacing w:before="72" w:line="215" w:lineRule="auto"/>
              <w:ind w:left="115"/>
              <w:rPr>
                <w:strike/>
                <w:dstrike w:val="0"/>
                <w:color w:val="auto"/>
                <w:spacing w:val="-4"/>
                <w:sz w:val="24"/>
                <w:szCs w:val="24"/>
                <w:highlight w:val="none"/>
              </w:rPr>
            </w:pPr>
          </w:p>
          <w:p w14:paraId="30B0E305">
            <w:pPr>
              <w:pStyle w:val="17"/>
              <w:spacing w:before="68" w:line="221" w:lineRule="auto"/>
              <w:ind w:firstLine="230" w:firstLineChars="100"/>
              <w:rPr>
                <w:rFonts w:hint="default"/>
                <w:strike/>
                <w:dstrike w:val="0"/>
                <w:color w:val="auto"/>
                <w:sz w:val="24"/>
                <w:szCs w:val="24"/>
                <w:highlight w:val="none"/>
                <w:lang w:val="en-US"/>
              </w:rPr>
            </w:pPr>
            <w:r>
              <w:rPr>
                <w:rFonts w:ascii="Times New Roman" w:hAnsi="Times New Roman" w:eastAsia="Times New Roman" w:cs="Times New Roman"/>
                <w:strike/>
                <w:dstrike w:val="0"/>
                <w:color w:val="auto"/>
                <w:spacing w:val="-5"/>
                <w:sz w:val="24"/>
                <w:szCs w:val="24"/>
                <w:highlight w:val="none"/>
              </w:rPr>
              <w:t>1.</w:t>
            </w:r>
            <w:r>
              <w:rPr>
                <w:rFonts w:ascii="Times New Roman" w:hAnsi="Times New Roman" w:eastAsia="Times New Roman" w:cs="Times New Roman"/>
                <w:strike/>
                <w:dstrike w:val="0"/>
                <w:color w:val="auto"/>
                <w:spacing w:val="8"/>
                <w:sz w:val="24"/>
                <w:szCs w:val="24"/>
                <w:highlight w:val="none"/>
              </w:rPr>
              <w:t xml:space="preserve"> </w:t>
            </w:r>
            <w:r>
              <w:rPr>
                <w:strike/>
                <w:dstrike w:val="0"/>
                <w:color w:val="auto"/>
                <w:spacing w:val="-5"/>
                <w:sz w:val="24"/>
                <w:szCs w:val="24"/>
                <w:highlight w:val="none"/>
              </w:rPr>
              <w:t>定标时间：</w:t>
            </w:r>
            <w:r>
              <w:rPr>
                <w:rFonts w:hint="eastAsia" w:ascii="宋体" w:hAnsi="宋体" w:eastAsia="宋体" w:cs="宋体"/>
                <w:strike/>
                <w:dstrike w:val="0"/>
                <w:color w:val="auto"/>
                <w:kern w:val="21"/>
                <w:sz w:val="24"/>
                <w:szCs w:val="24"/>
                <w:highlight w:val="none"/>
                <w:u w:val="single"/>
                <w:lang w:val="en-US" w:eastAsia="zh-CN"/>
              </w:rPr>
              <w:t xml:space="preserve"> </w:t>
            </w:r>
            <w:r>
              <w:rPr>
                <w:rFonts w:hint="eastAsia" w:cs="宋体"/>
                <w:strike/>
                <w:dstrike w:val="0"/>
                <w:color w:val="auto"/>
                <w:kern w:val="21"/>
                <w:sz w:val="24"/>
                <w:szCs w:val="24"/>
                <w:highlight w:val="none"/>
                <w:u w:val="single"/>
                <w:lang w:val="en-US" w:eastAsia="zh-CN"/>
              </w:rPr>
              <w:t xml:space="preserve">          </w:t>
            </w:r>
          </w:p>
          <w:p w14:paraId="66A607AB">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firstLine="238" w:firstLineChars="100"/>
              <w:jc w:val="left"/>
              <w:rPr>
                <w:rFonts w:ascii="Arial"/>
                <w:strike/>
                <w:dstrike w:val="0"/>
                <w:color w:val="auto"/>
                <w:sz w:val="24"/>
                <w:szCs w:val="24"/>
                <w:highlight w:val="none"/>
              </w:rPr>
            </w:pPr>
            <w:r>
              <w:rPr>
                <w:rFonts w:ascii="Times New Roman" w:hAnsi="Times New Roman" w:eastAsia="Times New Roman" w:cs="Times New Roman"/>
                <w:strike/>
                <w:dstrike w:val="0"/>
                <w:color w:val="auto"/>
                <w:spacing w:val="-1"/>
                <w:sz w:val="24"/>
                <w:szCs w:val="24"/>
                <w:highlight w:val="none"/>
              </w:rPr>
              <w:t>2.</w:t>
            </w:r>
            <w:r>
              <w:rPr>
                <w:rFonts w:ascii="Times New Roman" w:hAnsi="Times New Roman" w:eastAsia="Times New Roman" w:cs="Times New Roman"/>
                <w:strike/>
                <w:dstrike w:val="0"/>
                <w:color w:val="auto"/>
                <w:spacing w:val="9"/>
                <w:sz w:val="24"/>
                <w:szCs w:val="24"/>
                <w:highlight w:val="none"/>
              </w:rPr>
              <w:t xml:space="preserve"> </w:t>
            </w:r>
            <w:r>
              <w:rPr>
                <w:strike/>
                <w:dstrike w:val="0"/>
                <w:color w:val="auto"/>
                <w:spacing w:val="-1"/>
                <w:sz w:val="24"/>
                <w:szCs w:val="24"/>
                <w:highlight w:val="none"/>
              </w:rPr>
              <w:t>定标地点：</w:t>
            </w:r>
            <w:r>
              <w:rPr>
                <w:rFonts w:hint="eastAsia" w:ascii="宋体" w:hAnsi="宋体" w:eastAsia="宋体" w:cs="宋体"/>
                <w:strike/>
                <w:dstrike w:val="0"/>
                <w:color w:val="auto"/>
                <w:kern w:val="21"/>
                <w:sz w:val="24"/>
                <w:szCs w:val="24"/>
                <w:highlight w:val="none"/>
                <w:u w:val="single"/>
                <w:lang w:val="en-US" w:eastAsia="zh-CN"/>
              </w:rPr>
              <w:t xml:space="preserve"> </w:t>
            </w:r>
            <w:r>
              <w:rPr>
                <w:rFonts w:hint="eastAsia" w:cs="宋体"/>
                <w:strike/>
                <w:dstrike w:val="0"/>
                <w:color w:val="auto"/>
                <w:kern w:val="21"/>
                <w:sz w:val="24"/>
                <w:szCs w:val="24"/>
                <w:highlight w:val="none"/>
                <w:u w:val="single"/>
                <w:lang w:val="en-US" w:eastAsia="zh-CN"/>
              </w:rPr>
              <w:t xml:space="preserve">          </w:t>
            </w:r>
          </w:p>
          <w:p w14:paraId="643CC33B">
            <w:pPr>
              <w:pStyle w:val="17"/>
              <w:spacing w:before="68" w:line="221" w:lineRule="auto"/>
              <w:ind w:left="113"/>
              <w:rPr>
                <w:strike/>
                <w:dstrike w:val="0"/>
                <w:color w:val="auto"/>
                <w:sz w:val="24"/>
                <w:szCs w:val="24"/>
                <w:highlight w:val="none"/>
              </w:rPr>
            </w:pPr>
            <w:r>
              <w:rPr>
                <w:strike/>
                <w:dstrike w:val="0"/>
                <w:color w:val="auto"/>
                <w:spacing w:val="-7"/>
                <w:sz w:val="24"/>
                <w:szCs w:val="24"/>
                <w:highlight w:val="none"/>
              </w:rPr>
              <w:t>是否组织考察</w:t>
            </w:r>
            <w:r>
              <w:rPr>
                <w:strike/>
                <w:dstrike w:val="0"/>
                <w:color w:val="auto"/>
                <w:spacing w:val="16"/>
                <w:sz w:val="24"/>
                <w:szCs w:val="24"/>
                <w:highlight w:val="none"/>
              </w:rPr>
              <w:t xml:space="preserve">  </w:t>
            </w:r>
            <w:r>
              <w:rPr>
                <w:strike/>
                <w:dstrike w:val="0"/>
                <w:color w:val="auto"/>
                <w:spacing w:val="-7"/>
                <w:sz w:val="24"/>
                <w:szCs w:val="24"/>
                <w:highlight w:val="none"/>
              </w:rPr>
              <w:t>□是</w:t>
            </w:r>
            <w:r>
              <w:rPr>
                <w:strike/>
                <w:dstrike w:val="0"/>
                <w:color w:val="auto"/>
                <w:spacing w:val="28"/>
                <w:sz w:val="24"/>
                <w:szCs w:val="24"/>
                <w:highlight w:val="none"/>
              </w:rPr>
              <w:t xml:space="preserve"> </w:t>
            </w:r>
            <w:r>
              <w:rPr>
                <w:rFonts w:hint="eastAsia"/>
                <w:strike/>
                <w:dstrike w:val="0"/>
                <w:color w:val="auto"/>
                <w:spacing w:val="-7"/>
                <w:sz w:val="24"/>
                <w:szCs w:val="24"/>
                <w:highlight w:val="none"/>
                <w:lang w:eastAsia="zh-CN"/>
              </w:rPr>
              <w:t>□</w:t>
            </w:r>
            <w:r>
              <w:rPr>
                <w:strike/>
                <w:dstrike w:val="0"/>
                <w:color w:val="auto"/>
                <w:spacing w:val="-7"/>
                <w:sz w:val="24"/>
                <w:szCs w:val="24"/>
                <w:highlight w:val="none"/>
              </w:rPr>
              <w:t>否</w:t>
            </w:r>
          </w:p>
          <w:p w14:paraId="3901D990">
            <w:pPr>
              <w:pStyle w:val="17"/>
              <w:spacing w:before="109" w:line="221" w:lineRule="auto"/>
              <w:ind w:left="113"/>
              <w:rPr>
                <w:strike/>
                <w:dstrike w:val="0"/>
                <w:color w:val="auto"/>
                <w:sz w:val="24"/>
                <w:szCs w:val="24"/>
                <w:highlight w:val="none"/>
              </w:rPr>
            </w:pPr>
            <w:r>
              <w:rPr>
                <w:strike/>
                <w:dstrike w:val="0"/>
                <w:color w:val="auto"/>
                <w:spacing w:val="-7"/>
                <w:sz w:val="24"/>
                <w:szCs w:val="24"/>
                <w:highlight w:val="none"/>
              </w:rPr>
              <w:t>是否组织质询</w:t>
            </w:r>
            <w:r>
              <w:rPr>
                <w:strike/>
                <w:dstrike w:val="0"/>
                <w:color w:val="auto"/>
                <w:spacing w:val="16"/>
                <w:sz w:val="24"/>
                <w:szCs w:val="24"/>
                <w:highlight w:val="none"/>
              </w:rPr>
              <w:t xml:space="preserve">  </w:t>
            </w:r>
            <w:r>
              <w:rPr>
                <w:strike/>
                <w:dstrike w:val="0"/>
                <w:color w:val="auto"/>
                <w:spacing w:val="-7"/>
                <w:sz w:val="24"/>
                <w:szCs w:val="24"/>
                <w:highlight w:val="none"/>
              </w:rPr>
              <w:t>□是</w:t>
            </w:r>
            <w:r>
              <w:rPr>
                <w:strike/>
                <w:dstrike w:val="0"/>
                <w:color w:val="auto"/>
                <w:spacing w:val="28"/>
                <w:sz w:val="24"/>
                <w:szCs w:val="24"/>
                <w:highlight w:val="none"/>
              </w:rPr>
              <w:t xml:space="preserve"> </w:t>
            </w:r>
            <w:r>
              <w:rPr>
                <w:rFonts w:hint="eastAsia"/>
                <w:strike/>
                <w:dstrike w:val="0"/>
                <w:color w:val="auto"/>
                <w:spacing w:val="-7"/>
                <w:sz w:val="24"/>
                <w:szCs w:val="24"/>
                <w:highlight w:val="none"/>
                <w:lang w:eastAsia="zh-CN"/>
              </w:rPr>
              <w:t>□</w:t>
            </w:r>
            <w:r>
              <w:rPr>
                <w:strike/>
                <w:dstrike w:val="0"/>
                <w:color w:val="auto"/>
                <w:spacing w:val="-7"/>
                <w:sz w:val="24"/>
                <w:szCs w:val="24"/>
                <w:highlight w:val="none"/>
              </w:rPr>
              <w:t>否</w:t>
            </w:r>
          </w:p>
          <w:p w14:paraId="76BFE11E">
            <w:pPr>
              <w:pStyle w:val="17"/>
              <w:spacing w:before="108" w:line="212" w:lineRule="auto"/>
              <w:ind w:left="110"/>
              <w:rPr>
                <w:rFonts w:ascii="Arial"/>
                <w:strike/>
                <w:dstrike w:val="0"/>
                <w:color w:val="auto"/>
                <w:sz w:val="24"/>
                <w:szCs w:val="24"/>
                <w:highlight w:val="none"/>
              </w:rPr>
            </w:pPr>
            <w:r>
              <w:rPr>
                <w:strike/>
                <w:dstrike w:val="0"/>
                <w:color w:val="auto"/>
                <w:spacing w:val="-4"/>
                <w:sz w:val="24"/>
                <w:szCs w:val="24"/>
                <w:highlight w:val="none"/>
              </w:rPr>
              <w:t>考察、质询小组由</w:t>
            </w:r>
            <w:r>
              <w:rPr>
                <w:strike/>
                <w:dstrike w:val="0"/>
                <w:color w:val="auto"/>
                <w:spacing w:val="-4"/>
                <w:sz w:val="24"/>
                <w:szCs w:val="24"/>
                <w:highlight w:val="none"/>
                <w:u w:val="single" w:color="auto"/>
              </w:rPr>
              <w:t xml:space="preserve">  </w:t>
            </w:r>
            <w:r>
              <w:rPr>
                <w:rFonts w:hint="eastAsia"/>
                <w:strike/>
                <w:dstrike w:val="0"/>
                <w:color w:val="auto"/>
                <w:spacing w:val="-4"/>
                <w:sz w:val="24"/>
                <w:szCs w:val="24"/>
                <w:highlight w:val="none"/>
                <w:u w:val="single" w:color="auto"/>
                <w:lang w:val="en-US" w:eastAsia="zh-CN"/>
              </w:rPr>
              <w:t xml:space="preserve"> </w:t>
            </w:r>
            <w:r>
              <w:rPr>
                <w:strike/>
                <w:dstrike w:val="0"/>
                <w:color w:val="auto"/>
                <w:spacing w:val="-4"/>
                <w:sz w:val="24"/>
                <w:szCs w:val="24"/>
                <w:highlight w:val="none"/>
                <w:u w:val="single" w:color="auto"/>
              </w:rPr>
              <w:t xml:space="preserve"> </w:t>
            </w:r>
            <w:r>
              <w:rPr>
                <w:strike/>
                <w:dstrike w:val="0"/>
                <w:color w:val="auto"/>
                <w:spacing w:val="-4"/>
                <w:sz w:val="24"/>
                <w:szCs w:val="24"/>
                <w:highlight w:val="none"/>
              </w:rPr>
              <w:t>人（</w:t>
            </w:r>
            <w:r>
              <w:rPr>
                <w:rFonts w:ascii="Times New Roman" w:hAnsi="Times New Roman" w:eastAsia="Times New Roman" w:cs="Times New Roman"/>
                <w:i/>
                <w:iCs/>
                <w:strike/>
                <w:dstrike w:val="0"/>
                <w:color w:val="auto"/>
                <w:spacing w:val="-4"/>
                <w:sz w:val="24"/>
                <w:szCs w:val="24"/>
                <w:highlight w:val="none"/>
              </w:rPr>
              <w:t>3</w:t>
            </w:r>
            <w:r>
              <w:rPr>
                <w:i/>
                <w:iCs/>
                <w:strike/>
                <w:dstrike w:val="0"/>
                <w:color w:val="auto"/>
                <w:spacing w:val="-4"/>
                <w:sz w:val="24"/>
                <w:szCs w:val="24"/>
                <w:highlight w:val="none"/>
              </w:rPr>
              <w:t>人及以上单数</w:t>
            </w:r>
            <w:r>
              <w:rPr>
                <w:strike/>
                <w:dstrike w:val="0"/>
                <w:color w:val="auto"/>
                <w:spacing w:val="-4"/>
                <w:sz w:val="24"/>
                <w:szCs w:val="24"/>
                <w:highlight w:val="none"/>
              </w:rPr>
              <w:t>）组成。</w:t>
            </w:r>
          </w:p>
          <w:p w14:paraId="1B86C620">
            <w:pPr>
              <w:pStyle w:val="17"/>
              <w:spacing w:before="69" w:line="221" w:lineRule="auto"/>
              <w:ind w:left="113"/>
              <w:rPr>
                <w:strike/>
                <w:dstrike w:val="0"/>
                <w:color w:val="auto"/>
                <w:sz w:val="24"/>
                <w:szCs w:val="24"/>
                <w:highlight w:val="none"/>
              </w:rPr>
            </w:pPr>
            <w:r>
              <w:rPr>
                <w:strike/>
                <w:dstrike w:val="0"/>
                <w:color w:val="auto"/>
                <w:spacing w:val="-6"/>
                <w:sz w:val="24"/>
                <w:szCs w:val="24"/>
                <w:highlight w:val="none"/>
              </w:rPr>
              <w:t>是否定标现场面试</w:t>
            </w:r>
            <w:r>
              <w:rPr>
                <w:strike/>
                <w:dstrike w:val="0"/>
                <w:color w:val="auto"/>
                <w:spacing w:val="17"/>
                <w:sz w:val="24"/>
                <w:szCs w:val="24"/>
                <w:highlight w:val="none"/>
              </w:rPr>
              <w:t xml:space="preserve">  </w:t>
            </w:r>
            <w:r>
              <w:rPr>
                <w:strike/>
                <w:dstrike w:val="0"/>
                <w:color w:val="auto"/>
                <w:spacing w:val="-6"/>
                <w:sz w:val="24"/>
                <w:szCs w:val="24"/>
                <w:highlight w:val="none"/>
              </w:rPr>
              <w:t>□是</w:t>
            </w:r>
            <w:r>
              <w:rPr>
                <w:strike/>
                <w:dstrike w:val="0"/>
                <w:color w:val="auto"/>
                <w:spacing w:val="27"/>
                <w:sz w:val="24"/>
                <w:szCs w:val="24"/>
                <w:highlight w:val="none"/>
              </w:rPr>
              <w:t xml:space="preserve"> </w:t>
            </w:r>
            <w:r>
              <w:rPr>
                <w:rFonts w:hint="eastAsia"/>
                <w:strike/>
                <w:dstrike w:val="0"/>
                <w:color w:val="auto"/>
                <w:spacing w:val="-6"/>
                <w:sz w:val="24"/>
                <w:szCs w:val="24"/>
                <w:highlight w:val="none"/>
                <w:lang w:eastAsia="zh-CN"/>
              </w:rPr>
              <w:t>□</w:t>
            </w:r>
            <w:r>
              <w:rPr>
                <w:strike/>
                <w:dstrike w:val="0"/>
                <w:color w:val="auto"/>
                <w:spacing w:val="-6"/>
                <w:sz w:val="24"/>
                <w:szCs w:val="24"/>
                <w:highlight w:val="none"/>
              </w:rPr>
              <w:t>否</w:t>
            </w:r>
          </w:p>
          <w:p w14:paraId="5D9A38CF">
            <w:pPr>
              <w:pStyle w:val="17"/>
              <w:spacing w:before="109" w:line="220" w:lineRule="auto"/>
              <w:ind w:left="111"/>
              <w:rPr>
                <w:rFonts w:ascii="等线" w:hAnsi="等线" w:eastAsia="等线" w:cs="等线"/>
                <w:strike/>
                <w:dstrike w:val="0"/>
                <w:color w:val="auto"/>
                <w:spacing w:val="-1"/>
                <w:sz w:val="24"/>
                <w:szCs w:val="24"/>
                <w:highlight w:val="none"/>
              </w:rPr>
            </w:pPr>
            <w:r>
              <w:rPr>
                <w:strike/>
                <w:dstrike w:val="0"/>
                <w:color w:val="auto"/>
                <w:spacing w:val="-1"/>
                <w:sz w:val="24"/>
                <w:szCs w:val="24"/>
                <w:highlight w:val="none"/>
              </w:rPr>
              <w:t>面试人员</w:t>
            </w:r>
            <w:r>
              <w:rPr>
                <w:strike/>
                <w:dstrike w:val="0"/>
                <w:color w:val="auto"/>
                <w:spacing w:val="-1"/>
                <w:sz w:val="24"/>
                <w:szCs w:val="24"/>
                <w:highlight w:val="none"/>
                <w:u w:val="single" w:color="auto"/>
              </w:rPr>
              <w:t xml:space="preserve">           </w:t>
            </w:r>
            <w:r>
              <w:rPr>
                <w:rFonts w:ascii="等线" w:hAnsi="等线" w:eastAsia="等线" w:cs="等线"/>
                <w:strike/>
                <w:dstrike w:val="0"/>
                <w:color w:val="auto"/>
                <w:spacing w:val="-1"/>
                <w:sz w:val="24"/>
                <w:szCs w:val="24"/>
                <w:highlight w:val="none"/>
              </w:rPr>
              <w:t>。</w:t>
            </w:r>
          </w:p>
          <w:p w14:paraId="6C246C01">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lang w:val="en-US" w:eastAsia="zh-CN"/>
              </w:rPr>
            </w:pPr>
            <w:r>
              <w:rPr>
                <w:rFonts w:hint="eastAsia" w:cs="宋体"/>
                <w:strike/>
                <w:dstrike w:val="0"/>
                <w:color w:val="auto"/>
                <w:kern w:val="21"/>
                <w:sz w:val="24"/>
                <w:szCs w:val="24"/>
                <w:highlight w:val="none"/>
                <w:lang w:val="en-US" w:eastAsia="zh-CN"/>
              </w:rPr>
              <w:t>□</w:t>
            </w:r>
            <w:r>
              <w:rPr>
                <w:rFonts w:hint="eastAsia" w:ascii="宋体" w:hAnsi="宋体" w:eastAsia="宋体" w:cs="宋体"/>
                <w:strike/>
                <w:dstrike w:val="0"/>
                <w:color w:val="auto"/>
                <w:kern w:val="21"/>
                <w:sz w:val="24"/>
                <w:szCs w:val="24"/>
                <w:highlight w:val="none"/>
                <w:lang w:val="en-US" w:eastAsia="zh-CN"/>
              </w:rPr>
              <w:t xml:space="preserve">1.价格因素：主要包括商务报价高低、主要材料报价的合理性、不平衡报价情况等； </w:t>
            </w:r>
          </w:p>
          <w:p w14:paraId="1DA3FACB">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rPr>
            </w:pPr>
            <w:r>
              <w:rPr>
                <w:rFonts w:hint="eastAsia" w:cs="宋体"/>
                <w:strike/>
                <w:dstrike w:val="0"/>
                <w:color w:val="auto"/>
                <w:kern w:val="21"/>
                <w:sz w:val="24"/>
                <w:szCs w:val="24"/>
                <w:highlight w:val="none"/>
                <w:lang w:val="en-US" w:eastAsia="zh-CN"/>
              </w:rPr>
              <w:t>□</w:t>
            </w:r>
            <w:r>
              <w:rPr>
                <w:rFonts w:hint="eastAsia" w:ascii="宋体" w:hAnsi="宋体" w:eastAsia="宋体" w:cs="宋体"/>
                <w:strike/>
                <w:dstrike w:val="0"/>
                <w:color w:val="auto"/>
                <w:kern w:val="21"/>
                <w:sz w:val="24"/>
                <w:szCs w:val="24"/>
                <w:highlight w:val="none"/>
                <w:lang w:val="en-US" w:eastAsia="zh-CN"/>
              </w:rPr>
              <w:t xml:space="preserve">2.企业实力：主要包括企业规模、资质等级、专业技术人员规模、近三年的财务状况、过往业绩（含业绩影响力、难易程度）、服务本项目实施能力与响应能力等； </w:t>
            </w:r>
          </w:p>
          <w:p w14:paraId="3F9B951E">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rPr>
            </w:pPr>
            <w:r>
              <w:rPr>
                <w:rFonts w:hint="eastAsia" w:cs="宋体"/>
                <w:strike/>
                <w:dstrike w:val="0"/>
                <w:color w:val="auto"/>
                <w:kern w:val="21"/>
                <w:sz w:val="24"/>
                <w:szCs w:val="24"/>
                <w:highlight w:val="none"/>
                <w:lang w:val="en-US" w:eastAsia="zh-CN"/>
              </w:rPr>
              <w:t>□</w:t>
            </w:r>
            <w:r>
              <w:rPr>
                <w:rFonts w:hint="eastAsia" w:ascii="宋体" w:hAnsi="宋体" w:eastAsia="宋体" w:cs="宋体"/>
                <w:strike/>
                <w:dstrike w:val="0"/>
                <w:color w:val="auto"/>
                <w:kern w:val="21"/>
                <w:sz w:val="24"/>
                <w:szCs w:val="24"/>
                <w:highlight w:val="none"/>
                <w:lang w:val="en-US" w:eastAsia="zh-CN"/>
              </w:rPr>
              <w:t xml:space="preserve">3.企业信誉：主要包括企业信用评分、过往业绩履约情况、建设单位履约评价，以及近三年行业主管部门作出的行政处罚、建设单位作出的不良行为记录和其他失信记录。 </w:t>
            </w:r>
          </w:p>
          <w:p w14:paraId="76BFA13A">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rPr>
            </w:pPr>
            <w:r>
              <w:rPr>
                <w:rFonts w:hint="eastAsia" w:cs="宋体"/>
                <w:strike/>
                <w:dstrike w:val="0"/>
                <w:color w:val="auto"/>
                <w:kern w:val="21"/>
                <w:sz w:val="24"/>
                <w:szCs w:val="24"/>
                <w:highlight w:val="none"/>
                <w:lang w:val="en-US" w:eastAsia="zh-CN"/>
              </w:rPr>
              <w:t>□</w:t>
            </w:r>
            <w:r>
              <w:rPr>
                <w:rFonts w:hint="eastAsia" w:ascii="宋体" w:hAnsi="宋体" w:eastAsia="宋体" w:cs="宋体"/>
                <w:strike/>
                <w:dstrike w:val="0"/>
                <w:color w:val="auto"/>
                <w:kern w:val="21"/>
                <w:sz w:val="24"/>
                <w:szCs w:val="24"/>
                <w:highlight w:val="none"/>
                <w:lang w:val="en-US" w:eastAsia="zh-CN"/>
              </w:rPr>
              <w:t xml:space="preserve">4.投标方案: 主要包括施工组织方案的科学性、可行性，项目建设期间的实施能力与响应能力等； </w:t>
            </w:r>
          </w:p>
          <w:p w14:paraId="44D5BDE7">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rPr>
            </w:pPr>
            <w:r>
              <w:rPr>
                <w:rFonts w:hint="eastAsia" w:cs="宋体"/>
                <w:strike/>
                <w:dstrike w:val="0"/>
                <w:color w:val="auto"/>
                <w:kern w:val="21"/>
                <w:sz w:val="24"/>
                <w:szCs w:val="24"/>
                <w:highlight w:val="none"/>
                <w:lang w:val="en-US" w:eastAsia="zh-CN"/>
              </w:rPr>
              <w:t>□</w:t>
            </w:r>
            <w:r>
              <w:rPr>
                <w:rFonts w:hint="eastAsia" w:ascii="宋体" w:hAnsi="宋体" w:eastAsia="宋体" w:cs="宋体"/>
                <w:strike/>
                <w:dstrike w:val="0"/>
                <w:color w:val="auto"/>
                <w:kern w:val="21"/>
                <w:sz w:val="24"/>
                <w:szCs w:val="24"/>
                <w:highlight w:val="none"/>
                <w:lang w:val="en-US" w:eastAsia="zh-CN"/>
              </w:rPr>
              <w:t xml:space="preserve">5.拟派团队能力与水平：主要包括拟派项目团队人员的资信实力、团队主要负责人类似工程业绩、团队服务本项目的实施能力与响应能力； </w:t>
            </w:r>
          </w:p>
          <w:p w14:paraId="69E4B7DF">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rPr>
            </w:pPr>
            <w:r>
              <w:rPr>
                <w:rFonts w:hint="eastAsia" w:cs="宋体"/>
                <w:strike/>
                <w:dstrike w:val="0"/>
                <w:color w:val="auto"/>
                <w:kern w:val="21"/>
                <w:sz w:val="24"/>
                <w:szCs w:val="24"/>
                <w:highlight w:val="none"/>
                <w:lang w:val="en-US" w:eastAsia="zh-CN"/>
              </w:rPr>
              <w:t>□</w:t>
            </w:r>
            <w:r>
              <w:rPr>
                <w:rFonts w:hint="eastAsia" w:ascii="宋体" w:hAnsi="宋体" w:eastAsia="宋体" w:cs="宋体"/>
                <w:strike/>
                <w:dstrike w:val="0"/>
                <w:color w:val="auto"/>
                <w:kern w:val="21"/>
                <w:sz w:val="24"/>
                <w:szCs w:val="24"/>
                <w:highlight w:val="none"/>
                <w:lang w:val="en-US" w:eastAsia="zh-CN"/>
              </w:rPr>
              <w:t>6.招标人认为需要考量的其他因素。</w:t>
            </w:r>
          </w:p>
          <w:p w14:paraId="543CA96C">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rPr>
            </w:pPr>
            <w:r>
              <w:rPr>
                <w:rFonts w:hint="eastAsia" w:cs="宋体"/>
                <w:strike/>
                <w:dstrike w:val="0"/>
                <w:color w:val="auto"/>
                <w:kern w:val="21"/>
                <w:sz w:val="24"/>
                <w:szCs w:val="24"/>
                <w:highlight w:val="none"/>
                <w:lang w:val="en-US" w:eastAsia="zh-CN"/>
              </w:rPr>
              <w:t>□</w:t>
            </w:r>
            <w:r>
              <w:rPr>
                <w:rFonts w:hint="eastAsia" w:ascii="宋体" w:hAnsi="宋体" w:eastAsia="宋体" w:cs="宋体"/>
                <w:strike/>
                <w:dstrike w:val="0"/>
                <w:color w:val="auto"/>
                <w:kern w:val="21"/>
                <w:sz w:val="24"/>
                <w:szCs w:val="24"/>
                <w:highlight w:val="none"/>
                <w:lang w:val="en-US" w:eastAsia="zh-CN"/>
              </w:rPr>
              <w:t>票决法：采用直接票决法。定标委员会在进入投票范围的中标候选人中，以每人投票支持一个中标候选人的方式，得票最多且过半数的中标候选人为中标人。当没有中标候选人得票超过半数时，选择得票较多的</w:t>
            </w:r>
            <w:r>
              <w:rPr>
                <w:rFonts w:hint="default" w:ascii="宋体" w:hAnsi="宋体" w:eastAsia="宋体" w:cs="宋体"/>
                <w:strike/>
                <w:dstrike w:val="0"/>
                <w:color w:val="auto"/>
                <w:kern w:val="21"/>
                <w:sz w:val="24"/>
                <w:szCs w:val="24"/>
                <w:highlight w:val="none"/>
                <w:lang w:val="en-US" w:eastAsia="zh-CN"/>
              </w:rPr>
              <w:t>2</w:t>
            </w:r>
            <w:r>
              <w:rPr>
                <w:rFonts w:hint="eastAsia" w:ascii="宋体" w:hAnsi="宋体" w:eastAsia="宋体" w:cs="宋体"/>
                <w:strike/>
                <w:dstrike w:val="0"/>
                <w:color w:val="auto"/>
                <w:kern w:val="21"/>
                <w:sz w:val="24"/>
                <w:szCs w:val="24"/>
                <w:highlight w:val="none"/>
                <w:lang w:val="en-US" w:eastAsia="zh-CN"/>
              </w:rPr>
              <w:t>个中标候选人（按上一轮得票多少的顺序选择，在选择第</w:t>
            </w:r>
            <w:r>
              <w:rPr>
                <w:rFonts w:hint="default" w:ascii="宋体" w:hAnsi="宋体" w:eastAsia="宋体" w:cs="宋体"/>
                <w:strike/>
                <w:dstrike w:val="0"/>
                <w:color w:val="auto"/>
                <w:kern w:val="21"/>
                <w:sz w:val="24"/>
                <w:szCs w:val="24"/>
                <w:highlight w:val="none"/>
                <w:lang w:val="en-US" w:eastAsia="zh-CN"/>
              </w:rPr>
              <w:t>2</w:t>
            </w:r>
            <w:r>
              <w:rPr>
                <w:rFonts w:hint="eastAsia" w:ascii="宋体" w:hAnsi="宋体" w:eastAsia="宋体" w:cs="宋体"/>
                <w:strike/>
                <w:dstrike w:val="0"/>
                <w:color w:val="auto"/>
                <w:kern w:val="21"/>
                <w:sz w:val="24"/>
                <w:szCs w:val="24"/>
                <w:highlight w:val="none"/>
                <w:lang w:val="en-US" w:eastAsia="zh-CN"/>
              </w:rPr>
              <w:t>个中标候选人时出现同票的中标候选人时，</w:t>
            </w:r>
            <w:r>
              <w:rPr>
                <w:rFonts w:hint="eastAsia" w:cs="宋体"/>
                <w:strike/>
                <w:dstrike w:val="0"/>
                <w:color w:val="auto"/>
                <w:kern w:val="21"/>
                <w:sz w:val="24"/>
                <w:szCs w:val="24"/>
                <w:highlight w:val="none"/>
                <w:lang w:val="en-US" w:eastAsia="zh-CN"/>
              </w:rPr>
              <w:t>□</w:t>
            </w:r>
            <w:r>
              <w:rPr>
                <w:rFonts w:hint="eastAsia" w:ascii="宋体" w:hAnsi="宋体" w:eastAsia="宋体" w:cs="宋体"/>
                <w:strike/>
                <w:dstrike w:val="0"/>
                <w:color w:val="auto"/>
                <w:kern w:val="21"/>
                <w:sz w:val="24"/>
                <w:szCs w:val="24"/>
                <w:highlight w:val="none"/>
                <w:lang w:val="en-US" w:eastAsia="zh-CN"/>
              </w:rPr>
              <w:t xml:space="preserve">抽签抽取中标候选人作为二次投票的范围，直至出现得票过半数的中标候选人为止。 </w:t>
            </w:r>
          </w:p>
          <w:p w14:paraId="659CF8CA">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rPr>
            </w:pPr>
            <w:r>
              <w:rPr>
                <w:rFonts w:hint="eastAsia" w:ascii="宋体" w:hAnsi="宋体" w:eastAsia="宋体" w:cs="宋体"/>
                <w:strike/>
                <w:dstrike w:val="0"/>
                <w:color w:val="auto"/>
                <w:kern w:val="21"/>
                <w:sz w:val="24"/>
                <w:szCs w:val="24"/>
                <w:highlight w:val="none"/>
                <w:lang w:val="en-US" w:eastAsia="zh-CN"/>
              </w:rPr>
              <w:t xml:space="preserve">□集体议事法： </w:t>
            </w:r>
          </w:p>
          <w:p w14:paraId="79702BF8">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rPr>
            </w:pPr>
            <w:r>
              <w:rPr>
                <w:rFonts w:hint="eastAsia" w:ascii="宋体" w:hAnsi="宋体" w:eastAsia="宋体" w:cs="宋体"/>
                <w:strike/>
                <w:dstrike w:val="0"/>
                <w:color w:val="auto"/>
                <w:kern w:val="21"/>
                <w:sz w:val="24"/>
                <w:szCs w:val="24"/>
                <w:highlight w:val="none"/>
                <w:lang w:val="en-US" w:eastAsia="zh-CN"/>
              </w:rPr>
              <w:t>□其他定标办法：</w:t>
            </w:r>
            <w:r>
              <w:rPr>
                <w:rFonts w:hint="eastAsia" w:cs="宋体"/>
                <w:strike/>
                <w:dstrike w:val="0"/>
                <w:color w:val="auto"/>
                <w:kern w:val="21"/>
                <w:sz w:val="24"/>
                <w:szCs w:val="24"/>
                <w:highlight w:val="none"/>
                <w:u w:val="single"/>
                <w:lang w:val="en-US" w:eastAsia="zh-CN"/>
              </w:rPr>
              <w:t xml:space="preserve"> </w:t>
            </w:r>
            <w:r>
              <w:rPr>
                <w:rFonts w:hint="eastAsia" w:ascii="宋体" w:hAnsi="宋体" w:eastAsia="宋体" w:cs="宋体"/>
                <w:strike/>
                <w:dstrike w:val="0"/>
                <w:color w:val="auto"/>
                <w:kern w:val="21"/>
                <w:sz w:val="24"/>
                <w:szCs w:val="24"/>
                <w:highlight w:val="none"/>
                <w:u w:val="single"/>
                <w:lang w:val="en-US" w:eastAsia="zh-CN"/>
              </w:rPr>
              <w:t xml:space="preserve"> </w:t>
            </w:r>
            <w:r>
              <w:rPr>
                <w:rFonts w:hint="eastAsia" w:ascii="宋体" w:hAnsi="宋体" w:eastAsia="宋体" w:cs="宋体"/>
                <w:strike/>
                <w:dstrike w:val="0"/>
                <w:color w:val="auto"/>
                <w:kern w:val="21"/>
                <w:sz w:val="24"/>
                <w:szCs w:val="24"/>
                <w:highlight w:val="none"/>
                <w:lang w:val="en-US" w:eastAsia="zh-CN"/>
              </w:rPr>
              <w:t xml:space="preserve">。 </w:t>
            </w:r>
          </w:p>
          <w:p w14:paraId="670BD1A3">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rPr>
            </w:pPr>
            <w:r>
              <w:rPr>
                <w:rFonts w:hint="eastAsia" w:ascii="宋体" w:hAnsi="宋体" w:eastAsia="宋体" w:cs="宋体"/>
                <w:strike/>
                <w:dstrike w:val="0"/>
                <w:color w:val="auto"/>
                <w:kern w:val="21"/>
                <w:sz w:val="24"/>
                <w:szCs w:val="24"/>
                <w:highlight w:val="none"/>
                <w:lang w:val="en-US" w:eastAsia="zh-CN"/>
              </w:rPr>
              <w:t xml:space="preserve">按原定标方法确定中标人 </w:t>
            </w:r>
          </w:p>
          <w:p w14:paraId="47275D7A">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rPr>
            </w:pPr>
            <w:r>
              <w:rPr>
                <w:rFonts w:hint="eastAsia" w:ascii="宋体" w:hAnsi="宋体" w:eastAsia="宋体" w:cs="宋体"/>
                <w:strike/>
                <w:dstrike w:val="0"/>
                <w:color w:val="auto"/>
                <w:kern w:val="21"/>
                <w:sz w:val="24"/>
                <w:szCs w:val="24"/>
                <w:highlight w:val="none"/>
                <w:lang w:val="en-US" w:eastAsia="zh-CN"/>
              </w:rPr>
              <w:t>其他情形：</w:t>
            </w:r>
            <w:r>
              <w:rPr>
                <w:rFonts w:hint="eastAsia" w:cs="宋体"/>
                <w:strike/>
                <w:dstrike w:val="0"/>
                <w:color w:val="auto"/>
                <w:kern w:val="21"/>
                <w:sz w:val="24"/>
                <w:szCs w:val="24"/>
                <w:highlight w:val="none"/>
                <w:u w:val="single"/>
                <w:lang w:val="en-US" w:eastAsia="zh-CN"/>
              </w:rPr>
              <w:t xml:space="preserve">  </w:t>
            </w:r>
            <w:r>
              <w:rPr>
                <w:rFonts w:hint="eastAsia" w:ascii="宋体" w:hAnsi="宋体" w:eastAsia="宋体" w:cs="宋体"/>
                <w:strike/>
                <w:dstrike w:val="0"/>
                <w:color w:val="auto"/>
                <w:kern w:val="21"/>
                <w:sz w:val="24"/>
                <w:szCs w:val="24"/>
                <w:highlight w:val="none"/>
                <w:u w:val="single"/>
                <w:lang w:val="en-US" w:eastAsia="zh-CN"/>
              </w:rPr>
              <w:t xml:space="preserve"> </w:t>
            </w:r>
            <w:r>
              <w:rPr>
                <w:rFonts w:hint="eastAsia" w:ascii="宋体" w:hAnsi="宋体" w:eastAsia="宋体" w:cs="宋体"/>
                <w:strike/>
                <w:dstrike w:val="0"/>
                <w:color w:val="auto"/>
                <w:kern w:val="21"/>
                <w:sz w:val="24"/>
                <w:szCs w:val="24"/>
                <w:highlight w:val="none"/>
                <w:lang w:val="en-US" w:eastAsia="zh-CN"/>
              </w:rPr>
              <w:t xml:space="preserve">。 </w:t>
            </w:r>
          </w:p>
          <w:p w14:paraId="4AA79921">
            <w:pPr>
              <w:pStyle w:val="17"/>
              <w:keepNext w:val="0"/>
              <w:keepLines w:val="0"/>
              <w:pageBreakBefore w:val="0"/>
              <w:widowControl/>
              <w:tabs>
                <w:tab w:val="left" w:pos="5680"/>
                <w:tab w:val="left" w:pos="5880"/>
              </w:tabs>
              <w:wordWrap/>
              <w:overflowPunct/>
              <w:topLinePunct w:val="0"/>
              <w:autoSpaceDE w:val="0"/>
              <w:autoSpaceDN w:val="0"/>
              <w:bidi w:val="0"/>
              <w:adjustRightInd w:val="0"/>
              <w:snapToGrid w:val="0"/>
              <w:spacing w:line="440" w:lineRule="exact"/>
              <w:ind w:left="0" w:leftChars="0" w:right="37"/>
              <w:jc w:val="left"/>
              <w:rPr>
                <w:rFonts w:hint="eastAsia" w:ascii="宋体" w:hAnsi="宋体" w:eastAsia="宋体" w:cs="宋体"/>
                <w:strike/>
                <w:dstrike w:val="0"/>
                <w:color w:val="auto"/>
                <w:kern w:val="21"/>
                <w:sz w:val="24"/>
                <w:szCs w:val="24"/>
                <w:highlight w:val="none"/>
              </w:rPr>
            </w:pPr>
            <w:r>
              <w:rPr>
                <w:rFonts w:hint="eastAsia" w:ascii="宋体" w:hAnsi="宋体" w:eastAsia="宋体" w:cs="宋体"/>
                <w:strike/>
                <w:dstrike w:val="0"/>
                <w:color w:val="auto"/>
                <w:kern w:val="21"/>
                <w:sz w:val="24"/>
                <w:szCs w:val="24"/>
                <w:highlight w:val="none"/>
                <w:lang w:val="en-US" w:eastAsia="zh-CN"/>
              </w:rPr>
              <w:t xml:space="preserve">重新定标 </w:t>
            </w:r>
          </w:p>
          <w:p w14:paraId="4FA2A658">
            <w:pPr>
              <w:spacing w:line="378" w:lineRule="auto"/>
              <w:rPr>
                <w:rFonts w:ascii="等线" w:hAnsi="等线" w:eastAsia="等线" w:cs="等线"/>
                <w:strike/>
                <w:dstrike w:val="0"/>
                <w:color w:val="auto"/>
                <w:sz w:val="24"/>
                <w:szCs w:val="24"/>
                <w:highlight w:val="none"/>
              </w:rPr>
            </w:pPr>
            <w:r>
              <w:rPr>
                <w:rFonts w:hint="eastAsia" w:ascii="宋体" w:hAnsi="宋体" w:eastAsia="宋体" w:cs="宋体"/>
                <w:strike/>
                <w:dstrike w:val="0"/>
                <w:color w:val="auto"/>
                <w:kern w:val="21"/>
                <w:sz w:val="24"/>
                <w:szCs w:val="24"/>
                <w:highlight w:val="none"/>
                <w:lang w:val="en-US" w:eastAsia="zh-CN"/>
              </w:rPr>
              <w:t>其他情形：</w:t>
            </w:r>
            <w:r>
              <w:rPr>
                <w:rFonts w:hint="eastAsia" w:ascii="宋体" w:hAnsi="宋体" w:eastAsia="宋体" w:cs="宋体"/>
                <w:strike/>
                <w:dstrike w:val="0"/>
                <w:color w:val="auto"/>
                <w:kern w:val="21"/>
                <w:sz w:val="24"/>
                <w:szCs w:val="24"/>
                <w:highlight w:val="none"/>
                <w:u w:val="single"/>
                <w:lang w:val="en-US" w:eastAsia="zh-CN"/>
              </w:rPr>
              <w:t xml:space="preserve">   </w:t>
            </w:r>
            <w:r>
              <w:rPr>
                <w:rFonts w:hint="eastAsia" w:ascii="宋体" w:hAnsi="宋体" w:eastAsia="宋体" w:cs="宋体"/>
                <w:strike/>
                <w:dstrike w:val="0"/>
                <w:color w:val="auto"/>
                <w:kern w:val="21"/>
                <w:sz w:val="24"/>
                <w:szCs w:val="24"/>
                <w:highlight w:val="none"/>
                <w:lang w:val="en-US" w:eastAsia="zh-CN"/>
              </w:rPr>
              <w:t xml:space="preserve"> 。</w:t>
            </w:r>
          </w:p>
        </w:tc>
      </w:tr>
      <w:tr w14:paraId="06351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953" w:type="dxa"/>
            <w:tcBorders>
              <w:left w:val="single" w:color="000000" w:sz="6" w:space="0"/>
            </w:tcBorders>
            <w:vAlign w:val="top"/>
          </w:tcPr>
          <w:p w14:paraId="053BA3B2">
            <w:pPr>
              <w:spacing w:line="245" w:lineRule="auto"/>
              <w:rPr>
                <w:rFonts w:ascii="Arial"/>
                <w:color w:val="auto"/>
                <w:sz w:val="24"/>
                <w:szCs w:val="24"/>
                <w:highlight w:val="none"/>
              </w:rPr>
            </w:pPr>
          </w:p>
          <w:p w14:paraId="2CA4EFDE">
            <w:pPr>
              <w:spacing w:line="245" w:lineRule="auto"/>
              <w:rPr>
                <w:rFonts w:ascii="Arial"/>
                <w:color w:val="auto"/>
                <w:sz w:val="24"/>
                <w:szCs w:val="24"/>
                <w:highlight w:val="none"/>
              </w:rPr>
            </w:pPr>
          </w:p>
          <w:p w14:paraId="2EB4A308">
            <w:pPr>
              <w:spacing w:line="245" w:lineRule="auto"/>
              <w:rPr>
                <w:rFonts w:ascii="Arial"/>
                <w:color w:val="auto"/>
                <w:sz w:val="24"/>
                <w:szCs w:val="24"/>
                <w:highlight w:val="none"/>
              </w:rPr>
            </w:pPr>
          </w:p>
          <w:p w14:paraId="2E2415A4">
            <w:pPr>
              <w:spacing w:line="246" w:lineRule="auto"/>
              <w:rPr>
                <w:rFonts w:ascii="Arial"/>
                <w:color w:val="auto"/>
                <w:sz w:val="24"/>
                <w:szCs w:val="24"/>
                <w:highlight w:val="none"/>
              </w:rPr>
            </w:pPr>
          </w:p>
          <w:p w14:paraId="25A4A4B3">
            <w:pPr>
              <w:spacing w:before="60" w:line="187" w:lineRule="auto"/>
              <w:ind w:left="264" w:leftChars="0"/>
              <w:rPr>
                <w:color w:val="auto"/>
                <w:spacing w:val="-5"/>
                <w:sz w:val="24"/>
                <w:szCs w:val="24"/>
                <w:highlight w:val="none"/>
              </w:rPr>
            </w:pPr>
            <w:r>
              <w:rPr>
                <w:rFonts w:ascii="Times New Roman" w:hAnsi="Times New Roman" w:eastAsia="Times New Roman" w:cs="Times New Roman"/>
                <w:color w:val="auto"/>
                <w:spacing w:val="-1"/>
                <w:sz w:val="24"/>
                <w:szCs w:val="24"/>
                <w:highlight w:val="none"/>
              </w:rPr>
              <w:t>7.3.1</w:t>
            </w:r>
          </w:p>
        </w:tc>
        <w:tc>
          <w:tcPr>
            <w:tcW w:w="2444" w:type="dxa"/>
            <w:vAlign w:val="top"/>
          </w:tcPr>
          <w:p w14:paraId="4223893E">
            <w:pPr>
              <w:spacing w:line="251" w:lineRule="auto"/>
              <w:rPr>
                <w:rFonts w:ascii="Arial"/>
                <w:color w:val="auto"/>
                <w:sz w:val="24"/>
                <w:szCs w:val="24"/>
                <w:highlight w:val="none"/>
              </w:rPr>
            </w:pPr>
          </w:p>
          <w:p w14:paraId="70BB7064">
            <w:pPr>
              <w:spacing w:line="252" w:lineRule="auto"/>
              <w:rPr>
                <w:rFonts w:ascii="Arial"/>
                <w:color w:val="auto"/>
                <w:sz w:val="24"/>
                <w:szCs w:val="24"/>
                <w:highlight w:val="none"/>
              </w:rPr>
            </w:pPr>
          </w:p>
          <w:p w14:paraId="4B62640A">
            <w:pPr>
              <w:spacing w:line="252" w:lineRule="auto"/>
              <w:rPr>
                <w:rFonts w:ascii="Arial"/>
                <w:color w:val="auto"/>
                <w:sz w:val="24"/>
                <w:szCs w:val="24"/>
                <w:highlight w:val="none"/>
              </w:rPr>
            </w:pPr>
          </w:p>
          <w:p w14:paraId="17D1C269">
            <w:pPr>
              <w:pStyle w:val="17"/>
              <w:spacing w:before="68" w:line="319" w:lineRule="auto"/>
              <w:ind w:left="106" w:leftChars="0" w:right="106" w:rightChars="0" w:firstLine="3" w:firstLineChars="0"/>
              <w:rPr>
                <w:color w:val="auto"/>
                <w:sz w:val="24"/>
                <w:szCs w:val="24"/>
                <w:highlight w:val="none"/>
              </w:rPr>
            </w:pPr>
            <w:r>
              <w:rPr>
                <w:color w:val="auto"/>
                <w:spacing w:val="12"/>
                <w:sz w:val="24"/>
                <w:szCs w:val="24"/>
                <w:highlight w:val="none"/>
              </w:rPr>
              <w:t>履约担保及民工工资支</w:t>
            </w:r>
            <w:r>
              <w:rPr>
                <w:color w:val="auto"/>
                <w:spacing w:val="-2"/>
                <w:sz w:val="24"/>
                <w:szCs w:val="24"/>
                <w:highlight w:val="none"/>
              </w:rPr>
              <w:t>付担保</w:t>
            </w:r>
          </w:p>
        </w:tc>
        <w:tc>
          <w:tcPr>
            <w:tcW w:w="5514" w:type="dxa"/>
            <w:tcBorders>
              <w:right w:val="single" w:color="000000" w:sz="6" w:space="0"/>
            </w:tcBorders>
            <w:vAlign w:val="top"/>
          </w:tcPr>
          <w:p w14:paraId="149AAAF6">
            <w:pPr>
              <w:pStyle w:val="17"/>
              <w:spacing w:before="110" w:line="316" w:lineRule="auto"/>
              <w:ind w:left="114" w:right="99" w:hanging="4"/>
              <w:rPr>
                <w:rFonts w:ascii="宋体" w:hAnsi="宋体" w:eastAsia="宋体" w:cs="宋体"/>
                <w:color w:val="auto"/>
                <w:spacing w:val="1"/>
                <w:sz w:val="24"/>
                <w:szCs w:val="24"/>
                <w:highlight w:val="none"/>
              </w:rPr>
            </w:pPr>
            <w:r>
              <w:rPr>
                <w:color w:val="auto"/>
                <w:spacing w:val="1"/>
                <w:sz w:val="24"/>
                <w:szCs w:val="24"/>
                <w:highlight w:val="none"/>
              </w:rPr>
              <w:t>担保的形式：</w:t>
            </w:r>
            <w:r>
              <w:rPr>
                <w:rFonts w:ascii="宋体" w:hAnsi="宋体" w:eastAsia="宋体" w:cs="宋体"/>
                <w:color w:val="auto"/>
                <w:spacing w:val="1"/>
                <w:sz w:val="24"/>
                <w:szCs w:val="24"/>
                <w:highlight w:val="none"/>
              </w:rPr>
              <w:t>现金或银行保函或保险机构保证保险保单。</w:t>
            </w:r>
          </w:p>
          <w:p w14:paraId="2FD56C34">
            <w:pPr>
              <w:pStyle w:val="17"/>
              <w:spacing w:before="110" w:line="316" w:lineRule="auto"/>
              <w:ind w:left="114" w:right="99" w:hanging="4"/>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履约担保的金额（不含民工工资支付担保</w:t>
            </w:r>
            <w:r>
              <w:rPr>
                <w:rFonts w:hint="eastAsia" w:cs="宋体"/>
                <w:color w:val="auto"/>
                <w:spacing w:val="1"/>
                <w:sz w:val="24"/>
                <w:szCs w:val="24"/>
                <w:highlight w:val="none"/>
                <w:lang w:eastAsia="zh-CN"/>
              </w:rPr>
              <w:t>）：</w:t>
            </w:r>
            <w:r>
              <w:rPr>
                <w:rFonts w:ascii="宋体" w:hAnsi="宋体" w:eastAsia="宋体" w:cs="宋体"/>
                <w:color w:val="auto"/>
                <w:spacing w:val="1"/>
                <w:sz w:val="24"/>
                <w:szCs w:val="24"/>
                <w:highlight w:val="none"/>
              </w:rPr>
              <w:t>合同价格（扣除预留金后）的</w:t>
            </w:r>
            <w:r>
              <w:rPr>
                <w:rFonts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2</w:t>
            </w:r>
            <w:r>
              <w:rPr>
                <w:rFonts w:ascii="宋体" w:hAnsi="宋体" w:eastAsia="宋体" w:cs="宋体"/>
                <w:color w:val="auto"/>
                <w:spacing w:val="1"/>
                <w:sz w:val="24"/>
                <w:szCs w:val="24"/>
                <w:highlight w:val="none"/>
                <w:u w:val="single"/>
              </w:rPr>
              <w:t xml:space="preserve"> </w:t>
            </w:r>
            <w:r>
              <w:rPr>
                <w:rFonts w:ascii="宋体" w:hAnsi="宋体" w:eastAsia="宋体" w:cs="宋体"/>
                <w:color w:val="auto"/>
                <w:spacing w:val="1"/>
                <w:sz w:val="24"/>
                <w:szCs w:val="24"/>
                <w:highlight w:val="none"/>
              </w:rPr>
              <w:t>%（不得大于2%</w:t>
            </w:r>
            <w:r>
              <w:rPr>
                <w:rFonts w:hint="eastAsia" w:cs="宋体"/>
                <w:color w:val="auto"/>
                <w:spacing w:val="1"/>
                <w:sz w:val="24"/>
                <w:szCs w:val="24"/>
                <w:highlight w:val="none"/>
                <w:lang w:eastAsia="zh-CN"/>
              </w:rPr>
              <w:t>），</w:t>
            </w:r>
            <w:r>
              <w:rPr>
                <w:rFonts w:ascii="宋体" w:hAnsi="宋体" w:eastAsia="宋体" w:cs="宋体"/>
                <w:color w:val="auto"/>
                <w:spacing w:val="1"/>
                <w:sz w:val="24"/>
                <w:szCs w:val="24"/>
                <w:highlight w:val="none"/>
              </w:rPr>
              <w:t>招标人将提供相同金额的工程款支付担保。</w:t>
            </w:r>
          </w:p>
          <w:p w14:paraId="35FAD599">
            <w:pPr>
              <w:pStyle w:val="17"/>
              <w:spacing w:before="110" w:line="316" w:lineRule="auto"/>
              <w:ind w:left="114" w:right="99" w:hanging="4"/>
              <w:rPr>
                <w:rFonts w:hint="eastAsia" w:ascii="宋体" w:hAnsi="宋体" w:eastAsia="宋体" w:cs="宋体"/>
                <w:color w:val="auto"/>
                <w:kern w:val="21"/>
                <w:sz w:val="24"/>
                <w:szCs w:val="24"/>
                <w:highlight w:val="none"/>
                <w:lang w:val="en-US" w:eastAsia="zh-CN"/>
              </w:rPr>
            </w:pPr>
            <w:r>
              <w:rPr>
                <w:rFonts w:ascii="宋体" w:hAnsi="宋体" w:eastAsia="宋体" w:cs="宋体"/>
                <w:color w:val="auto"/>
                <w:spacing w:val="1"/>
                <w:sz w:val="24"/>
                <w:szCs w:val="24"/>
                <w:highlight w:val="none"/>
              </w:rPr>
              <w:t>民工工资支付担保的相关约定：</w:t>
            </w:r>
            <w:r>
              <w:rPr>
                <w:rFonts w:hint="eastAsia" w:ascii="宋体" w:hAnsi="宋体" w:eastAsia="宋体" w:cs="宋体"/>
                <w:color w:val="auto"/>
                <w:spacing w:val="1"/>
                <w:sz w:val="24"/>
                <w:szCs w:val="24"/>
                <w:highlight w:val="none"/>
                <w:u w:val="single"/>
                <w:lang w:eastAsia="zh-CN"/>
              </w:rPr>
              <w:t>农民工工资支付保证金缴纳按嵊州市根治欠薪工作领导小组办公室关于印发《工程建设领域农民工工资保证金管理工作规范》的通知“嵊根欠办发【2022】6号”文件执行。</w:t>
            </w:r>
          </w:p>
        </w:tc>
      </w:tr>
      <w:tr w14:paraId="17BD2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953" w:type="dxa"/>
            <w:tcBorders>
              <w:left w:val="single" w:color="000000" w:sz="6" w:space="0"/>
            </w:tcBorders>
            <w:vAlign w:val="top"/>
          </w:tcPr>
          <w:p w14:paraId="56E7FC7F">
            <w:pPr>
              <w:spacing w:line="251" w:lineRule="auto"/>
              <w:rPr>
                <w:rFonts w:ascii="Arial"/>
                <w:color w:val="auto"/>
                <w:sz w:val="24"/>
                <w:szCs w:val="24"/>
                <w:highlight w:val="none"/>
              </w:rPr>
            </w:pPr>
          </w:p>
          <w:p w14:paraId="1DB33E7F">
            <w:pPr>
              <w:spacing w:line="251" w:lineRule="auto"/>
              <w:rPr>
                <w:rFonts w:ascii="Arial"/>
                <w:color w:val="auto"/>
                <w:sz w:val="24"/>
                <w:szCs w:val="24"/>
                <w:highlight w:val="none"/>
              </w:rPr>
            </w:pPr>
          </w:p>
          <w:p w14:paraId="4F8088D5">
            <w:pPr>
              <w:spacing w:line="251" w:lineRule="auto"/>
              <w:rPr>
                <w:rFonts w:ascii="Arial"/>
                <w:color w:val="auto"/>
                <w:sz w:val="24"/>
                <w:szCs w:val="24"/>
                <w:highlight w:val="none"/>
              </w:rPr>
            </w:pPr>
          </w:p>
          <w:p w14:paraId="024C25B8">
            <w:pPr>
              <w:spacing w:line="251" w:lineRule="auto"/>
              <w:rPr>
                <w:rFonts w:ascii="Arial"/>
                <w:color w:val="auto"/>
                <w:sz w:val="24"/>
                <w:szCs w:val="24"/>
                <w:highlight w:val="none"/>
              </w:rPr>
            </w:pPr>
          </w:p>
          <w:p w14:paraId="674CD268">
            <w:pPr>
              <w:spacing w:line="251" w:lineRule="auto"/>
              <w:rPr>
                <w:rFonts w:ascii="Arial"/>
                <w:color w:val="auto"/>
                <w:sz w:val="24"/>
                <w:szCs w:val="24"/>
                <w:highlight w:val="none"/>
              </w:rPr>
            </w:pPr>
          </w:p>
          <w:p w14:paraId="4F7B3766">
            <w:pPr>
              <w:spacing w:line="251" w:lineRule="auto"/>
              <w:rPr>
                <w:rFonts w:ascii="Arial"/>
                <w:color w:val="auto"/>
                <w:sz w:val="24"/>
                <w:szCs w:val="24"/>
                <w:highlight w:val="none"/>
              </w:rPr>
            </w:pPr>
          </w:p>
          <w:p w14:paraId="19E926A0">
            <w:pPr>
              <w:spacing w:line="251" w:lineRule="auto"/>
              <w:rPr>
                <w:rFonts w:ascii="Arial"/>
                <w:color w:val="auto"/>
                <w:sz w:val="24"/>
                <w:szCs w:val="24"/>
                <w:highlight w:val="none"/>
              </w:rPr>
            </w:pPr>
          </w:p>
          <w:p w14:paraId="546D622F">
            <w:pPr>
              <w:spacing w:line="252" w:lineRule="auto"/>
              <w:rPr>
                <w:rFonts w:ascii="Arial"/>
                <w:color w:val="auto"/>
                <w:sz w:val="24"/>
                <w:szCs w:val="24"/>
                <w:highlight w:val="none"/>
              </w:rPr>
            </w:pPr>
          </w:p>
          <w:p w14:paraId="686D386F">
            <w:pPr>
              <w:spacing w:line="252" w:lineRule="auto"/>
              <w:rPr>
                <w:rFonts w:ascii="Arial"/>
                <w:color w:val="auto"/>
                <w:sz w:val="24"/>
                <w:szCs w:val="24"/>
                <w:highlight w:val="none"/>
              </w:rPr>
            </w:pPr>
          </w:p>
          <w:p w14:paraId="321550C8">
            <w:pPr>
              <w:spacing w:line="252" w:lineRule="auto"/>
              <w:rPr>
                <w:rFonts w:ascii="Arial"/>
                <w:color w:val="auto"/>
                <w:sz w:val="24"/>
                <w:szCs w:val="24"/>
                <w:highlight w:val="none"/>
              </w:rPr>
            </w:pPr>
          </w:p>
          <w:p w14:paraId="567F0954">
            <w:pPr>
              <w:spacing w:line="252" w:lineRule="auto"/>
              <w:rPr>
                <w:rFonts w:ascii="Arial"/>
                <w:color w:val="auto"/>
                <w:sz w:val="24"/>
                <w:szCs w:val="24"/>
                <w:highlight w:val="none"/>
              </w:rPr>
            </w:pPr>
          </w:p>
          <w:p w14:paraId="0F6C04FB">
            <w:pPr>
              <w:spacing w:line="252" w:lineRule="auto"/>
              <w:rPr>
                <w:rFonts w:ascii="Arial"/>
                <w:color w:val="auto"/>
                <w:sz w:val="24"/>
                <w:szCs w:val="24"/>
                <w:highlight w:val="none"/>
              </w:rPr>
            </w:pPr>
          </w:p>
          <w:p w14:paraId="2D2B13DE">
            <w:pPr>
              <w:spacing w:line="252" w:lineRule="auto"/>
              <w:rPr>
                <w:rFonts w:ascii="Arial"/>
                <w:color w:val="auto"/>
                <w:sz w:val="24"/>
                <w:szCs w:val="24"/>
                <w:highlight w:val="none"/>
              </w:rPr>
            </w:pPr>
          </w:p>
          <w:p w14:paraId="753F49D5">
            <w:pPr>
              <w:spacing w:line="252" w:lineRule="auto"/>
              <w:rPr>
                <w:rFonts w:ascii="Arial"/>
                <w:color w:val="auto"/>
                <w:sz w:val="24"/>
                <w:szCs w:val="24"/>
                <w:highlight w:val="none"/>
              </w:rPr>
            </w:pPr>
          </w:p>
          <w:p w14:paraId="3FDE2CC7">
            <w:pPr>
              <w:spacing w:line="252" w:lineRule="auto"/>
              <w:rPr>
                <w:rFonts w:ascii="Arial"/>
                <w:color w:val="auto"/>
                <w:sz w:val="24"/>
                <w:szCs w:val="24"/>
                <w:highlight w:val="none"/>
              </w:rPr>
            </w:pPr>
          </w:p>
          <w:p w14:paraId="109E76EF">
            <w:pPr>
              <w:spacing w:line="252" w:lineRule="auto"/>
              <w:rPr>
                <w:rFonts w:ascii="Arial"/>
                <w:color w:val="auto"/>
                <w:sz w:val="24"/>
                <w:szCs w:val="24"/>
                <w:highlight w:val="none"/>
              </w:rPr>
            </w:pPr>
          </w:p>
          <w:p w14:paraId="0233B91E">
            <w:pPr>
              <w:spacing w:before="60" w:line="187" w:lineRule="auto"/>
              <w:ind w:left="343" w:leftChars="0"/>
              <w:rPr>
                <w:rFonts w:ascii="Times New Roman" w:hAnsi="Times New Roman" w:eastAsia="Times New Roman" w:cs="Times New Roman"/>
                <w:color w:val="auto"/>
                <w:spacing w:val="-1"/>
                <w:sz w:val="24"/>
                <w:szCs w:val="24"/>
                <w:highlight w:val="none"/>
              </w:rPr>
            </w:pPr>
            <w:r>
              <w:rPr>
                <w:rFonts w:ascii="Times New Roman" w:hAnsi="Times New Roman" w:eastAsia="Times New Roman" w:cs="Times New Roman"/>
                <w:color w:val="auto"/>
                <w:spacing w:val="-2"/>
                <w:sz w:val="24"/>
                <w:szCs w:val="24"/>
                <w:highlight w:val="none"/>
              </w:rPr>
              <w:t>9.2</w:t>
            </w:r>
          </w:p>
        </w:tc>
        <w:tc>
          <w:tcPr>
            <w:tcW w:w="2444" w:type="dxa"/>
            <w:vAlign w:val="top"/>
          </w:tcPr>
          <w:p w14:paraId="006A2F5D">
            <w:pPr>
              <w:spacing w:line="248" w:lineRule="auto"/>
              <w:rPr>
                <w:rFonts w:ascii="Arial"/>
                <w:color w:val="auto"/>
                <w:sz w:val="24"/>
                <w:szCs w:val="24"/>
                <w:highlight w:val="none"/>
              </w:rPr>
            </w:pPr>
          </w:p>
          <w:p w14:paraId="5D915DC1">
            <w:pPr>
              <w:spacing w:line="248" w:lineRule="auto"/>
              <w:rPr>
                <w:rFonts w:ascii="Arial"/>
                <w:color w:val="auto"/>
                <w:sz w:val="24"/>
                <w:szCs w:val="24"/>
                <w:highlight w:val="none"/>
              </w:rPr>
            </w:pPr>
          </w:p>
          <w:p w14:paraId="12B0BB5A">
            <w:pPr>
              <w:spacing w:line="248" w:lineRule="auto"/>
              <w:rPr>
                <w:rFonts w:ascii="Arial"/>
                <w:color w:val="auto"/>
                <w:sz w:val="24"/>
                <w:szCs w:val="24"/>
                <w:highlight w:val="none"/>
              </w:rPr>
            </w:pPr>
          </w:p>
          <w:p w14:paraId="3578F84C">
            <w:pPr>
              <w:spacing w:line="248" w:lineRule="auto"/>
              <w:rPr>
                <w:rFonts w:ascii="Arial"/>
                <w:color w:val="auto"/>
                <w:sz w:val="24"/>
                <w:szCs w:val="24"/>
                <w:highlight w:val="none"/>
              </w:rPr>
            </w:pPr>
          </w:p>
          <w:p w14:paraId="15DA0344">
            <w:pPr>
              <w:spacing w:line="248" w:lineRule="auto"/>
              <w:rPr>
                <w:rFonts w:ascii="Arial"/>
                <w:color w:val="auto"/>
                <w:sz w:val="24"/>
                <w:szCs w:val="24"/>
                <w:highlight w:val="none"/>
              </w:rPr>
            </w:pPr>
          </w:p>
          <w:p w14:paraId="7A0CADD7">
            <w:pPr>
              <w:spacing w:line="248" w:lineRule="auto"/>
              <w:rPr>
                <w:rFonts w:ascii="Arial"/>
                <w:color w:val="auto"/>
                <w:sz w:val="24"/>
                <w:szCs w:val="24"/>
                <w:highlight w:val="none"/>
              </w:rPr>
            </w:pPr>
          </w:p>
          <w:p w14:paraId="1AF1BC2D">
            <w:pPr>
              <w:spacing w:line="249" w:lineRule="auto"/>
              <w:rPr>
                <w:rFonts w:ascii="Arial"/>
                <w:color w:val="auto"/>
                <w:sz w:val="24"/>
                <w:szCs w:val="24"/>
                <w:highlight w:val="none"/>
              </w:rPr>
            </w:pPr>
          </w:p>
          <w:p w14:paraId="653766F0">
            <w:pPr>
              <w:spacing w:line="249" w:lineRule="auto"/>
              <w:rPr>
                <w:rFonts w:ascii="Arial"/>
                <w:color w:val="auto"/>
                <w:sz w:val="24"/>
                <w:szCs w:val="24"/>
                <w:highlight w:val="none"/>
              </w:rPr>
            </w:pPr>
          </w:p>
          <w:p w14:paraId="7783C5D7">
            <w:pPr>
              <w:spacing w:line="249" w:lineRule="auto"/>
              <w:rPr>
                <w:rFonts w:ascii="Arial"/>
                <w:color w:val="auto"/>
                <w:sz w:val="24"/>
                <w:szCs w:val="24"/>
                <w:highlight w:val="none"/>
              </w:rPr>
            </w:pPr>
          </w:p>
          <w:p w14:paraId="2C985955">
            <w:pPr>
              <w:spacing w:line="249" w:lineRule="auto"/>
              <w:rPr>
                <w:rFonts w:ascii="Arial"/>
                <w:color w:val="auto"/>
                <w:sz w:val="24"/>
                <w:szCs w:val="24"/>
                <w:highlight w:val="none"/>
              </w:rPr>
            </w:pPr>
          </w:p>
          <w:p w14:paraId="62EE1B07">
            <w:pPr>
              <w:spacing w:line="249" w:lineRule="auto"/>
              <w:rPr>
                <w:rFonts w:ascii="Arial"/>
                <w:color w:val="auto"/>
                <w:sz w:val="24"/>
                <w:szCs w:val="24"/>
                <w:highlight w:val="none"/>
              </w:rPr>
            </w:pPr>
          </w:p>
          <w:p w14:paraId="7B9BFDE3">
            <w:pPr>
              <w:spacing w:line="249" w:lineRule="auto"/>
              <w:rPr>
                <w:rFonts w:ascii="Arial"/>
                <w:color w:val="auto"/>
                <w:sz w:val="24"/>
                <w:szCs w:val="24"/>
                <w:highlight w:val="none"/>
              </w:rPr>
            </w:pPr>
          </w:p>
          <w:p w14:paraId="4602C9B1">
            <w:pPr>
              <w:spacing w:line="249" w:lineRule="auto"/>
              <w:rPr>
                <w:rFonts w:ascii="Arial"/>
                <w:color w:val="auto"/>
                <w:sz w:val="24"/>
                <w:szCs w:val="24"/>
                <w:highlight w:val="none"/>
              </w:rPr>
            </w:pPr>
          </w:p>
          <w:p w14:paraId="281381DB">
            <w:pPr>
              <w:spacing w:line="249" w:lineRule="auto"/>
              <w:rPr>
                <w:rFonts w:ascii="Arial"/>
                <w:color w:val="auto"/>
                <w:sz w:val="24"/>
                <w:szCs w:val="24"/>
                <w:highlight w:val="none"/>
              </w:rPr>
            </w:pPr>
          </w:p>
          <w:p w14:paraId="22B830FA">
            <w:pPr>
              <w:spacing w:line="249" w:lineRule="auto"/>
              <w:rPr>
                <w:rFonts w:ascii="Arial"/>
                <w:color w:val="auto"/>
                <w:sz w:val="24"/>
                <w:szCs w:val="24"/>
                <w:highlight w:val="none"/>
              </w:rPr>
            </w:pPr>
          </w:p>
          <w:p w14:paraId="68072BEC">
            <w:pPr>
              <w:spacing w:line="249" w:lineRule="auto"/>
              <w:rPr>
                <w:rFonts w:ascii="Arial"/>
                <w:color w:val="auto"/>
                <w:sz w:val="24"/>
                <w:szCs w:val="24"/>
                <w:highlight w:val="none"/>
              </w:rPr>
            </w:pPr>
          </w:p>
          <w:p w14:paraId="1EDBF4BE">
            <w:pPr>
              <w:pStyle w:val="17"/>
              <w:spacing w:before="68" w:line="221" w:lineRule="auto"/>
              <w:ind w:left="105" w:leftChars="0"/>
              <w:rPr>
                <w:color w:val="auto"/>
                <w:spacing w:val="12"/>
                <w:sz w:val="24"/>
                <w:szCs w:val="24"/>
                <w:highlight w:val="none"/>
              </w:rPr>
            </w:pPr>
            <w:r>
              <w:rPr>
                <w:color w:val="auto"/>
                <w:spacing w:val="-1"/>
                <w:sz w:val="24"/>
                <w:szCs w:val="24"/>
                <w:highlight w:val="none"/>
              </w:rPr>
              <w:t>对投标人的纪律要求</w:t>
            </w:r>
          </w:p>
        </w:tc>
        <w:tc>
          <w:tcPr>
            <w:tcW w:w="5514" w:type="dxa"/>
            <w:tcBorders>
              <w:right w:val="single" w:color="000000" w:sz="6" w:space="0"/>
            </w:tcBorders>
            <w:vAlign w:val="top"/>
          </w:tcPr>
          <w:p w14:paraId="7FA14455">
            <w:pPr>
              <w:pStyle w:val="17"/>
              <w:spacing w:before="108" w:line="317" w:lineRule="auto"/>
              <w:ind w:left="110" w:right="99" w:firstLine="209"/>
              <w:jc w:val="both"/>
              <w:rPr>
                <w:color w:val="auto"/>
                <w:sz w:val="24"/>
                <w:szCs w:val="24"/>
                <w:highlight w:val="none"/>
              </w:rPr>
            </w:pPr>
            <w:r>
              <w:rPr>
                <w:color w:val="auto"/>
                <w:spacing w:val="10"/>
                <w:sz w:val="24"/>
                <w:szCs w:val="24"/>
                <w:highlight w:val="none"/>
              </w:rPr>
              <w:t>评标委员会在评标过程中发现投标人有下列情形之一</w:t>
            </w:r>
            <w:r>
              <w:rPr>
                <w:color w:val="auto"/>
                <w:spacing w:val="1"/>
                <w:sz w:val="24"/>
                <w:szCs w:val="24"/>
                <w:highlight w:val="none"/>
              </w:rPr>
              <w:t>的，且经询标澄清投标人无令人信服的理由和可靠证据证明其合理性的，经半数以上成员确认，其投标文件按否决投标处理，不再对其进行评审，也不影响招标工程继续评</w:t>
            </w:r>
            <w:r>
              <w:rPr>
                <w:color w:val="auto"/>
                <w:spacing w:val="-5"/>
                <w:sz w:val="24"/>
                <w:szCs w:val="24"/>
                <w:highlight w:val="none"/>
              </w:rPr>
              <w:t>标。评标结束后，评标委员会应将有上述违</w:t>
            </w:r>
            <w:r>
              <w:rPr>
                <w:color w:val="auto"/>
                <w:spacing w:val="-6"/>
                <w:sz w:val="24"/>
                <w:szCs w:val="24"/>
                <w:highlight w:val="none"/>
              </w:rPr>
              <w:t>法嫌疑的投标</w:t>
            </w:r>
            <w:r>
              <w:rPr>
                <w:color w:val="auto"/>
                <w:spacing w:val="1"/>
                <w:sz w:val="24"/>
                <w:szCs w:val="24"/>
                <w:highlight w:val="none"/>
              </w:rPr>
              <w:t>文件以及相关评标分析材料及时移交招标投标行政监督部门作进一步调查处理，即使最终无法认定违法行为成立，</w:t>
            </w:r>
            <w:r>
              <w:rPr>
                <w:color w:val="auto"/>
                <w:spacing w:val="-2"/>
                <w:sz w:val="24"/>
                <w:szCs w:val="24"/>
                <w:highlight w:val="none"/>
              </w:rPr>
              <w:t>也不影响其按否决投标处理的结果。</w:t>
            </w:r>
          </w:p>
          <w:p w14:paraId="6386C502">
            <w:pPr>
              <w:pStyle w:val="17"/>
              <w:spacing w:line="221" w:lineRule="auto"/>
              <w:ind w:left="116"/>
              <w:rPr>
                <w:color w:val="auto"/>
                <w:sz w:val="24"/>
                <w:szCs w:val="24"/>
                <w:highlight w:val="none"/>
              </w:rPr>
            </w:pPr>
            <w:r>
              <w:rPr>
                <w:color w:val="auto"/>
                <w:spacing w:val="-1"/>
                <w:sz w:val="24"/>
                <w:szCs w:val="24"/>
                <w:highlight w:val="none"/>
              </w:rPr>
              <w:t>（</w:t>
            </w:r>
            <w:r>
              <w:rPr>
                <w:rFonts w:ascii="Times New Roman" w:hAnsi="Times New Roman" w:eastAsia="Times New Roman" w:cs="Times New Roman"/>
                <w:color w:val="auto"/>
                <w:spacing w:val="-1"/>
                <w:sz w:val="24"/>
                <w:szCs w:val="24"/>
                <w:highlight w:val="none"/>
              </w:rPr>
              <w:t>1</w:t>
            </w:r>
            <w:r>
              <w:rPr>
                <w:color w:val="auto"/>
                <w:spacing w:val="-1"/>
                <w:sz w:val="24"/>
                <w:szCs w:val="24"/>
                <w:highlight w:val="none"/>
              </w:rPr>
              <w:t>）投标人挂靠其他施工单位。</w:t>
            </w:r>
          </w:p>
          <w:p w14:paraId="3CD4F2B3">
            <w:pPr>
              <w:pStyle w:val="17"/>
              <w:spacing w:before="108" w:line="268" w:lineRule="auto"/>
              <w:ind w:left="110" w:right="96" w:firstLine="6"/>
              <w:rPr>
                <w:color w:val="auto"/>
                <w:sz w:val="24"/>
                <w:szCs w:val="24"/>
                <w:highlight w:val="none"/>
              </w:rPr>
            </w:pPr>
            <w:r>
              <w:rPr>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color w:val="auto"/>
                <w:spacing w:val="-3"/>
                <w:sz w:val="24"/>
                <w:szCs w:val="24"/>
                <w:highlight w:val="none"/>
              </w:rPr>
              <w:t>）投标人从其他施工单位通过受让或租借的方式获取资格或资质证书。</w:t>
            </w:r>
          </w:p>
          <w:p w14:paraId="3C2E2549">
            <w:pPr>
              <w:pStyle w:val="17"/>
              <w:spacing w:before="110" w:line="268" w:lineRule="auto"/>
              <w:ind w:left="110" w:right="96" w:firstLine="6"/>
              <w:rPr>
                <w:color w:val="auto"/>
                <w:sz w:val="24"/>
                <w:szCs w:val="24"/>
                <w:highlight w:val="none"/>
              </w:rPr>
            </w:pPr>
            <w:r>
              <w:rPr>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color w:val="auto"/>
                <w:spacing w:val="-3"/>
                <w:sz w:val="24"/>
                <w:szCs w:val="24"/>
                <w:highlight w:val="none"/>
              </w:rPr>
              <w:t>）由其他单位及其法定代表人在自己编制的投标文件上</w:t>
            </w:r>
            <w:r>
              <w:rPr>
                <w:color w:val="auto"/>
                <w:spacing w:val="-2"/>
                <w:sz w:val="24"/>
                <w:szCs w:val="24"/>
                <w:highlight w:val="none"/>
              </w:rPr>
              <w:t>加盖印章或签字的行为。</w:t>
            </w:r>
          </w:p>
          <w:p w14:paraId="431D4927">
            <w:pPr>
              <w:pStyle w:val="17"/>
              <w:spacing w:before="110" w:line="269" w:lineRule="auto"/>
              <w:ind w:left="111" w:right="104" w:firstLine="4"/>
              <w:rPr>
                <w:color w:val="auto"/>
                <w:sz w:val="24"/>
                <w:szCs w:val="24"/>
                <w:highlight w:val="none"/>
              </w:rPr>
            </w:pPr>
            <w:r>
              <w:rPr>
                <w:color w:val="auto"/>
                <w:spacing w:val="-3"/>
                <w:sz w:val="24"/>
                <w:szCs w:val="24"/>
                <w:highlight w:val="none"/>
              </w:rPr>
              <w:t>（</w:t>
            </w:r>
            <w:r>
              <w:rPr>
                <w:rFonts w:ascii="Times New Roman" w:hAnsi="Times New Roman" w:eastAsia="Times New Roman" w:cs="Times New Roman"/>
                <w:color w:val="auto"/>
                <w:spacing w:val="-3"/>
                <w:sz w:val="24"/>
                <w:szCs w:val="24"/>
                <w:highlight w:val="none"/>
              </w:rPr>
              <w:t>4</w:t>
            </w:r>
            <w:r>
              <w:rPr>
                <w:color w:val="auto"/>
                <w:spacing w:val="-3"/>
                <w:sz w:val="24"/>
                <w:szCs w:val="24"/>
                <w:highlight w:val="none"/>
              </w:rPr>
              <w:t>）投标人的法定代表人的委托代理人不</w:t>
            </w:r>
            <w:r>
              <w:rPr>
                <w:color w:val="auto"/>
                <w:spacing w:val="-4"/>
                <w:sz w:val="24"/>
                <w:szCs w:val="24"/>
                <w:highlight w:val="none"/>
              </w:rPr>
              <w:t>是投标人本单位</w:t>
            </w:r>
            <w:r>
              <w:rPr>
                <w:color w:val="auto"/>
                <w:spacing w:val="-9"/>
                <w:sz w:val="24"/>
                <w:szCs w:val="24"/>
                <w:highlight w:val="none"/>
              </w:rPr>
              <w:t>人员。</w:t>
            </w:r>
          </w:p>
          <w:p w14:paraId="06B75220">
            <w:pPr>
              <w:pStyle w:val="17"/>
              <w:spacing w:before="106" w:line="298" w:lineRule="auto"/>
              <w:ind w:left="112" w:right="98" w:firstLine="4"/>
              <w:rPr>
                <w:color w:val="auto"/>
                <w:sz w:val="24"/>
                <w:szCs w:val="24"/>
                <w:highlight w:val="none"/>
              </w:rPr>
            </w:pPr>
            <w:r>
              <w:rPr>
                <w:color w:val="auto"/>
                <w:spacing w:val="5"/>
                <w:sz w:val="24"/>
                <w:szCs w:val="24"/>
                <w:highlight w:val="none"/>
              </w:rPr>
              <w:t>（</w:t>
            </w:r>
            <w:r>
              <w:rPr>
                <w:rFonts w:ascii="Times New Roman" w:hAnsi="Times New Roman" w:eastAsia="Times New Roman" w:cs="Times New Roman"/>
                <w:color w:val="auto"/>
                <w:spacing w:val="5"/>
                <w:sz w:val="24"/>
                <w:szCs w:val="24"/>
                <w:highlight w:val="none"/>
              </w:rPr>
              <w:t>5</w:t>
            </w:r>
            <w:r>
              <w:rPr>
                <w:color w:val="auto"/>
                <w:spacing w:val="5"/>
                <w:sz w:val="24"/>
                <w:szCs w:val="24"/>
                <w:highlight w:val="none"/>
              </w:rPr>
              <w:t>）投标人拟在施工现场所设项目管理机构的项目负责</w:t>
            </w:r>
            <w:r>
              <w:rPr>
                <w:color w:val="auto"/>
                <w:spacing w:val="-7"/>
                <w:sz w:val="24"/>
                <w:szCs w:val="24"/>
                <w:highlight w:val="none"/>
              </w:rPr>
              <w:t>人、技术负责人、</w:t>
            </w:r>
            <w:r>
              <w:rPr>
                <w:strike/>
                <w:dstrike w:val="0"/>
                <w:color w:val="auto"/>
                <w:spacing w:val="-7"/>
                <w:sz w:val="24"/>
                <w:szCs w:val="24"/>
                <w:highlight w:val="none"/>
              </w:rPr>
              <w:t>副项目负责人（若有）</w:t>
            </w:r>
            <w:r>
              <w:rPr>
                <w:color w:val="auto"/>
                <w:spacing w:val="-7"/>
                <w:sz w:val="24"/>
                <w:szCs w:val="24"/>
                <w:highlight w:val="none"/>
              </w:rPr>
              <w:t>、专职安全生产管</w:t>
            </w:r>
            <w:r>
              <w:rPr>
                <w:color w:val="auto"/>
                <w:spacing w:val="1"/>
                <w:sz w:val="24"/>
                <w:szCs w:val="24"/>
                <w:highlight w:val="none"/>
              </w:rPr>
              <w:t>理人员之一不是本单位人员。（上述人员社保信息或注册单位信息与投标单位不一致或同时存在多个单位的社保缴</w:t>
            </w:r>
            <w:r>
              <w:rPr>
                <w:color w:val="auto"/>
                <w:spacing w:val="-5"/>
                <w:sz w:val="24"/>
                <w:szCs w:val="24"/>
                <w:highlight w:val="none"/>
              </w:rPr>
              <w:t>纳记录）。</w:t>
            </w:r>
          </w:p>
          <w:p w14:paraId="4E25E980">
            <w:pPr>
              <w:pStyle w:val="17"/>
              <w:spacing w:before="107" w:line="219" w:lineRule="auto"/>
              <w:ind w:left="116"/>
              <w:rPr>
                <w:color w:val="auto"/>
                <w:sz w:val="24"/>
                <w:szCs w:val="24"/>
                <w:highlight w:val="none"/>
              </w:rPr>
            </w:pPr>
            <w:r>
              <w:rPr>
                <w:color w:val="auto"/>
                <w:spacing w:val="-1"/>
                <w:sz w:val="24"/>
                <w:szCs w:val="24"/>
                <w:highlight w:val="none"/>
              </w:rPr>
              <w:t>（</w:t>
            </w:r>
            <w:r>
              <w:rPr>
                <w:rFonts w:ascii="Times New Roman" w:hAnsi="Times New Roman" w:eastAsia="Times New Roman" w:cs="Times New Roman"/>
                <w:color w:val="auto"/>
                <w:spacing w:val="-1"/>
                <w:sz w:val="24"/>
                <w:szCs w:val="24"/>
                <w:highlight w:val="none"/>
              </w:rPr>
              <w:t>6</w:t>
            </w:r>
            <w:r>
              <w:rPr>
                <w:color w:val="auto"/>
                <w:spacing w:val="-1"/>
                <w:sz w:val="24"/>
                <w:szCs w:val="24"/>
                <w:highlight w:val="none"/>
              </w:rPr>
              <w:t>）投标人之间协商投标报价等投标文件</w:t>
            </w:r>
            <w:r>
              <w:rPr>
                <w:color w:val="auto"/>
                <w:spacing w:val="-2"/>
                <w:sz w:val="24"/>
                <w:szCs w:val="24"/>
                <w:highlight w:val="none"/>
              </w:rPr>
              <w:t>的实质性内容。</w:t>
            </w:r>
          </w:p>
          <w:p w14:paraId="2401D9F2">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（7）投标人之间约定中标人。</w:t>
            </w:r>
          </w:p>
          <w:p w14:paraId="7E411D3E">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（8）投标人之间约定部分投标人放弃投标或者中标。</w:t>
            </w:r>
          </w:p>
          <w:p w14:paraId="3940751F">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（9）属于同一集团、协会、商会等组织成员的投标人按照该组织要求协同投标。</w:t>
            </w:r>
          </w:p>
          <w:p w14:paraId="3C2E2C64">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（10）投标人之间为谋取中标或者排斥特定投标人而采取的其他联合行动。</w:t>
            </w:r>
          </w:p>
          <w:p w14:paraId="1FC2F80B">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（11）不同投标人的投标文件由同一单位或者个人编制。电子招投标过程中不同投标人的投标文件制作机器码一致或文件创建标识码（或制作码、检测码）或造价锁号相同的。</w:t>
            </w:r>
          </w:p>
          <w:p w14:paraId="2DBB9116">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12）不同投标人委托同一单位或者个人办理投标事宜。电子招投标过程中不同投标人从同一投标单位或同一自然人的IP地址下载招标文件、上传投标文件、购买电子保函或参加投标活动的人员为同一标段其他投标人的在职人员的。</w:t>
            </w:r>
          </w:p>
          <w:p w14:paraId="65A76429">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（13）不同投标人的投标文件载明的项目管理成员为同一人。</w:t>
            </w:r>
          </w:p>
          <w:p w14:paraId="451BCBD9">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（14）不同投标人的投标文件异常一致或者投标报价呈规律性差异。</w:t>
            </w:r>
          </w:p>
          <w:p w14:paraId="3DF6C230">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（15）不同投标人的投标文件相互混装。</w:t>
            </w:r>
          </w:p>
          <w:p w14:paraId="2398FA46">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（16）不同投标人的投标保证金从同一单位或者个人的账户转出。</w:t>
            </w:r>
          </w:p>
          <w:p w14:paraId="3F9356FC">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（17）使用伪造、变造的许可证件；或提供虚假的财务状况或者业绩；或提供虚假的项目负责人或者主要技术人员简历、劳动关系证明；或提供虚假的信用状况。</w:t>
            </w:r>
          </w:p>
          <w:p w14:paraId="27D516C6">
            <w:pPr>
              <w:pStyle w:val="17"/>
              <w:spacing w:before="106" w:line="298" w:lineRule="auto"/>
              <w:ind w:left="112" w:right="98" w:firstLine="4"/>
              <w:rPr>
                <w:rFonts w:ascii="宋体" w:hAnsi="宋体" w:eastAsia="宋体" w:cs="宋体"/>
                <w:color w:val="auto"/>
                <w:spacing w:val="1"/>
                <w:sz w:val="24"/>
                <w:szCs w:val="24"/>
                <w:highlight w:val="none"/>
              </w:rPr>
            </w:pPr>
            <w:r>
              <w:rPr>
                <w:rFonts w:ascii="宋体" w:hAnsi="宋体" w:eastAsia="宋体" w:cs="宋体"/>
                <w:color w:val="auto"/>
                <w:spacing w:val="5"/>
                <w:sz w:val="24"/>
                <w:szCs w:val="24"/>
                <w:highlight w:val="none"/>
              </w:rPr>
              <w:t>（18）同一标段不同投标人之间出现控股、管理关系的</w:t>
            </w:r>
            <w:r>
              <w:rPr>
                <w:color w:val="auto"/>
                <w:spacing w:val="-2"/>
                <w:sz w:val="21"/>
                <w:szCs w:val="21"/>
                <w:highlight w:val="none"/>
              </w:rPr>
              <w:t>。</w:t>
            </w:r>
          </w:p>
        </w:tc>
      </w:tr>
      <w:tr w14:paraId="70B05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953" w:type="dxa"/>
            <w:tcBorders>
              <w:left w:val="single" w:color="000000" w:sz="6" w:space="0"/>
            </w:tcBorders>
            <w:vAlign w:val="top"/>
          </w:tcPr>
          <w:p w14:paraId="5B07C1DF">
            <w:pPr>
              <w:spacing w:line="248" w:lineRule="auto"/>
              <w:rPr>
                <w:rFonts w:ascii="Arial"/>
                <w:color w:val="auto"/>
                <w:sz w:val="24"/>
                <w:szCs w:val="24"/>
                <w:highlight w:val="none"/>
              </w:rPr>
            </w:pPr>
          </w:p>
          <w:p w14:paraId="1311DF89">
            <w:pPr>
              <w:spacing w:line="249" w:lineRule="auto"/>
              <w:rPr>
                <w:rFonts w:ascii="Arial"/>
                <w:color w:val="auto"/>
                <w:sz w:val="24"/>
                <w:szCs w:val="24"/>
                <w:highlight w:val="none"/>
              </w:rPr>
            </w:pPr>
          </w:p>
          <w:p w14:paraId="2B1D504C">
            <w:pPr>
              <w:spacing w:line="249" w:lineRule="auto"/>
              <w:rPr>
                <w:rFonts w:ascii="Arial"/>
                <w:color w:val="auto"/>
                <w:sz w:val="24"/>
                <w:szCs w:val="24"/>
                <w:highlight w:val="none"/>
              </w:rPr>
            </w:pPr>
          </w:p>
          <w:p w14:paraId="010D2C92">
            <w:pPr>
              <w:spacing w:line="249" w:lineRule="auto"/>
              <w:rPr>
                <w:rFonts w:ascii="Arial"/>
                <w:color w:val="auto"/>
                <w:sz w:val="24"/>
                <w:szCs w:val="24"/>
                <w:highlight w:val="none"/>
              </w:rPr>
            </w:pPr>
          </w:p>
          <w:p w14:paraId="0BDB3C0A">
            <w:pPr>
              <w:spacing w:line="249" w:lineRule="auto"/>
              <w:rPr>
                <w:rFonts w:ascii="Arial"/>
                <w:color w:val="auto"/>
                <w:sz w:val="24"/>
                <w:szCs w:val="24"/>
                <w:highlight w:val="none"/>
              </w:rPr>
            </w:pPr>
          </w:p>
          <w:p w14:paraId="79519B61">
            <w:pPr>
              <w:spacing w:line="249" w:lineRule="auto"/>
              <w:rPr>
                <w:rFonts w:ascii="Arial"/>
                <w:color w:val="auto"/>
                <w:sz w:val="24"/>
                <w:szCs w:val="24"/>
                <w:highlight w:val="none"/>
              </w:rPr>
            </w:pPr>
          </w:p>
          <w:p w14:paraId="72E53137">
            <w:pPr>
              <w:spacing w:line="249" w:lineRule="auto"/>
              <w:rPr>
                <w:rFonts w:ascii="Arial"/>
                <w:color w:val="auto"/>
                <w:sz w:val="24"/>
                <w:szCs w:val="24"/>
                <w:highlight w:val="none"/>
              </w:rPr>
            </w:pPr>
          </w:p>
          <w:p w14:paraId="5758B2AD">
            <w:pPr>
              <w:spacing w:line="249" w:lineRule="auto"/>
              <w:rPr>
                <w:rFonts w:ascii="Arial"/>
                <w:color w:val="auto"/>
                <w:sz w:val="24"/>
                <w:szCs w:val="24"/>
                <w:highlight w:val="none"/>
              </w:rPr>
            </w:pPr>
          </w:p>
          <w:p w14:paraId="5A8E246E">
            <w:pPr>
              <w:spacing w:line="249" w:lineRule="auto"/>
              <w:rPr>
                <w:rFonts w:ascii="Arial"/>
                <w:color w:val="auto"/>
                <w:sz w:val="24"/>
                <w:szCs w:val="24"/>
                <w:highlight w:val="none"/>
              </w:rPr>
            </w:pPr>
          </w:p>
          <w:p w14:paraId="125BE499">
            <w:pPr>
              <w:spacing w:before="61" w:line="187" w:lineRule="auto"/>
              <w:ind w:left="343" w:leftChars="0"/>
              <w:rPr>
                <w:rFonts w:ascii="Times New Roman" w:hAnsi="Times New Roman" w:eastAsia="Times New Roman" w:cs="Times New Roman"/>
                <w:color w:val="auto"/>
                <w:spacing w:val="-2"/>
                <w:sz w:val="24"/>
                <w:szCs w:val="24"/>
                <w:highlight w:val="none"/>
              </w:rPr>
            </w:pPr>
            <w:r>
              <w:rPr>
                <w:rFonts w:ascii="Times New Roman" w:hAnsi="Times New Roman" w:eastAsia="Times New Roman" w:cs="Times New Roman"/>
                <w:color w:val="auto"/>
                <w:spacing w:val="-2"/>
                <w:sz w:val="24"/>
                <w:szCs w:val="24"/>
                <w:highlight w:val="none"/>
              </w:rPr>
              <w:t>9.5</w:t>
            </w:r>
          </w:p>
        </w:tc>
        <w:tc>
          <w:tcPr>
            <w:tcW w:w="2444" w:type="dxa"/>
            <w:vAlign w:val="top"/>
          </w:tcPr>
          <w:p w14:paraId="659981FB">
            <w:pPr>
              <w:spacing w:line="243" w:lineRule="auto"/>
              <w:rPr>
                <w:rFonts w:ascii="Arial"/>
                <w:color w:val="auto"/>
                <w:sz w:val="24"/>
                <w:szCs w:val="24"/>
                <w:highlight w:val="none"/>
              </w:rPr>
            </w:pPr>
          </w:p>
          <w:p w14:paraId="22749D03">
            <w:pPr>
              <w:spacing w:line="243" w:lineRule="auto"/>
              <w:rPr>
                <w:rFonts w:ascii="Arial"/>
                <w:color w:val="auto"/>
                <w:sz w:val="24"/>
                <w:szCs w:val="24"/>
                <w:highlight w:val="none"/>
              </w:rPr>
            </w:pPr>
          </w:p>
          <w:p w14:paraId="70D4BCC0">
            <w:pPr>
              <w:spacing w:line="244" w:lineRule="auto"/>
              <w:rPr>
                <w:rFonts w:ascii="Arial"/>
                <w:color w:val="auto"/>
                <w:sz w:val="24"/>
                <w:szCs w:val="24"/>
                <w:highlight w:val="none"/>
              </w:rPr>
            </w:pPr>
          </w:p>
          <w:p w14:paraId="2E704B9B">
            <w:pPr>
              <w:spacing w:line="244" w:lineRule="auto"/>
              <w:rPr>
                <w:rFonts w:ascii="Arial"/>
                <w:color w:val="auto"/>
                <w:sz w:val="24"/>
                <w:szCs w:val="24"/>
                <w:highlight w:val="none"/>
              </w:rPr>
            </w:pPr>
          </w:p>
          <w:p w14:paraId="101EA7E1">
            <w:pPr>
              <w:spacing w:line="244" w:lineRule="auto"/>
              <w:rPr>
                <w:rFonts w:ascii="Arial"/>
                <w:color w:val="auto"/>
                <w:sz w:val="24"/>
                <w:szCs w:val="24"/>
                <w:highlight w:val="none"/>
              </w:rPr>
            </w:pPr>
          </w:p>
          <w:p w14:paraId="3AB8FEA2">
            <w:pPr>
              <w:spacing w:line="244" w:lineRule="auto"/>
              <w:rPr>
                <w:rFonts w:ascii="Arial"/>
                <w:color w:val="auto"/>
                <w:sz w:val="24"/>
                <w:szCs w:val="24"/>
                <w:highlight w:val="none"/>
              </w:rPr>
            </w:pPr>
          </w:p>
          <w:p w14:paraId="57F7B803">
            <w:pPr>
              <w:spacing w:line="244" w:lineRule="auto"/>
              <w:rPr>
                <w:rFonts w:ascii="Arial"/>
                <w:color w:val="auto"/>
                <w:sz w:val="24"/>
                <w:szCs w:val="24"/>
                <w:highlight w:val="none"/>
              </w:rPr>
            </w:pPr>
          </w:p>
          <w:p w14:paraId="4D688339">
            <w:pPr>
              <w:spacing w:line="244" w:lineRule="auto"/>
              <w:rPr>
                <w:rFonts w:ascii="Arial"/>
                <w:color w:val="auto"/>
                <w:sz w:val="24"/>
                <w:szCs w:val="24"/>
                <w:highlight w:val="none"/>
              </w:rPr>
            </w:pPr>
          </w:p>
          <w:p w14:paraId="74944CDF">
            <w:pPr>
              <w:spacing w:line="244" w:lineRule="auto"/>
              <w:rPr>
                <w:rFonts w:ascii="Arial"/>
                <w:color w:val="auto"/>
                <w:sz w:val="24"/>
                <w:szCs w:val="24"/>
                <w:highlight w:val="none"/>
              </w:rPr>
            </w:pPr>
          </w:p>
          <w:p w14:paraId="5EC558ED">
            <w:pPr>
              <w:pStyle w:val="17"/>
              <w:spacing w:before="68" w:line="221" w:lineRule="auto"/>
              <w:ind w:left="108" w:leftChars="0"/>
              <w:rPr>
                <w:color w:val="auto"/>
                <w:spacing w:val="-1"/>
                <w:sz w:val="24"/>
                <w:szCs w:val="24"/>
                <w:highlight w:val="none"/>
              </w:rPr>
            </w:pPr>
            <w:r>
              <w:rPr>
                <w:color w:val="auto"/>
                <w:spacing w:val="-2"/>
                <w:sz w:val="24"/>
                <w:szCs w:val="24"/>
                <w:highlight w:val="none"/>
              </w:rPr>
              <w:t>异议与投诉</w:t>
            </w:r>
          </w:p>
        </w:tc>
        <w:tc>
          <w:tcPr>
            <w:tcW w:w="5514" w:type="dxa"/>
            <w:tcBorders>
              <w:right w:val="single" w:color="000000" w:sz="6" w:space="0"/>
            </w:tcBorders>
            <w:vAlign w:val="top"/>
          </w:tcPr>
          <w:p w14:paraId="153DBCF9">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1</w:t>
            </w:r>
            <w:r>
              <w:rPr>
                <w:rFonts w:hint="eastAsia" w:cs="宋体"/>
                <w:color w:val="auto"/>
                <w:spacing w:val="5"/>
                <w:sz w:val="24"/>
                <w:szCs w:val="24"/>
                <w:highlight w:val="none"/>
                <w:lang w:val="en-US" w:eastAsia="zh-CN"/>
              </w:rPr>
              <w:t>.</w:t>
            </w:r>
            <w:r>
              <w:rPr>
                <w:rFonts w:ascii="宋体" w:hAnsi="宋体" w:eastAsia="宋体" w:cs="宋体"/>
                <w:color w:val="auto"/>
                <w:spacing w:val="5"/>
                <w:sz w:val="24"/>
                <w:szCs w:val="24"/>
                <w:highlight w:val="none"/>
              </w:rPr>
              <w:t>异议</w:t>
            </w:r>
          </w:p>
          <w:p w14:paraId="77FF0AC6">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（一）潜在投标人或者其他利害关系人对招标文件有异议的，应当在投标截止时间 10日前以书面形式向招标人提出。招标人应在收到异议之日起3日内作出书面答复；作出答复前，暂停招标投标活动。</w:t>
            </w:r>
          </w:p>
          <w:p w14:paraId="2276FB1B">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二）投标人认为开标不符合有关规定的，应当在开标现场通过电子招投标交易平台向招标人提出异议。招标人将当场对异议给予处理或者告知处理的办法。异议和答复应记入开标记录或者制作专门记录以存档备查。</w:t>
            </w:r>
          </w:p>
          <w:p w14:paraId="04528FA3">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（三）投标人及其他利害关系人对评标结果有异议的，应当在中标候选人公示期内以书面形式向招标人提出。招标人应在收到异议之日起3日内作出书面答复；作出答复前，暂停招标投标活动。</w:t>
            </w:r>
          </w:p>
          <w:p w14:paraId="2302C158">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（四）对招标文件</w:t>
            </w:r>
            <w:r>
              <w:rPr>
                <w:rFonts w:hint="eastAsia" w:cs="宋体"/>
                <w:color w:val="auto"/>
                <w:spacing w:val="5"/>
                <w:sz w:val="24"/>
                <w:szCs w:val="24"/>
                <w:highlight w:val="none"/>
                <w:lang w:eastAsia="zh-CN"/>
              </w:rPr>
              <w:t>、</w:t>
            </w:r>
            <w:r>
              <w:rPr>
                <w:rFonts w:ascii="宋体" w:hAnsi="宋体" w:eastAsia="宋体" w:cs="宋体"/>
                <w:color w:val="auto"/>
                <w:spacing w:val="5"/>
                <w:sz w:val="24"/>
                <w:szCs w:val="24"/>
                <w:highlight w:val="none"/>
              </w:rPr>
              <w:t>开标结果和评标结果的异议，提出和答复均应通过电子招投标交易平台</w:t>
            </w:r>
            <w:r>
              <w:rPr>
                <w:rFonts w:hint="eastAsia" w:ascii="宋体" w:hAnsi="宋体" w:eastAsia="宋体" w:cs="宋体"/>
                <w:color w:val="auto"/>
                <w:spacing w:val="5"/>
                <w:sz w:val="24"/>
                <w:szCs w:val="24"/>
                <w:highlight w:val="none"/>
                <w:lang w:val="en-US" w:eastAsia="zh-CN"/>
              </w:rPr>
              <w:t>或或书面形式提出（均需加盖投标单位公章，电子扫描件可加盖电子公章发送至邮箱</w:t>
            </w:r>
            <w:r>
              <w:rPr>
                <w:rFonts w:hint="eastAsia" w:cs="宋体"/>
                <w:color w:val="auto"/>
                <w:spacing w:val="5"/>
                <w:sz w:val="24"/>
                <w:szCs w:val="24"/>
                <w:highlight w:val="none"/>
                <w:lang w:val="en-US" w:eastAsia="zh-CN"/>
              </w:rPr>
              <w:t>65523876</w:t>
            </w:r>
            <w:r>
              <w:rPr>
                <w:rFonts w:hint="eastAsia" w:ascii="宋体" w:hAnsi="宋体" w:eastAsia="宋体" w:cs="宋体"/>
                <w:color w:val="auto"/>
                <w:spacing w:val="5"/>
                <w:sz w:val="24"/>
                <w:szCs w:val="24"/>
                <w:highlight w:val="none"/>
                <w:lang w:val="en-US" w:eastAsia="zh-CN"/>
              </w:rPr>
              <w:t>@qq.com）</w:t>
            </w:r>
            <w:r>
              <w:rPr>
                <w:rFonts w:ascii="宋体" w:hAnsi="宋体" w:eastAsia="宋体" w:cs="宋体"/>
                <w:color w:val="auto"/>
                <w:spacing w:val="5"/>
                <w:sz w:val="24"/>
                <w:szCs w:val="24"/>
                <w:highlight w:val="none"/>
              </w:rPr>
              <w:t>。</w:t>
            </w:r>
          </w:p>
          <w:p w14:paraId="42FEF80C">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2</w:t>
            </w:r>
            <w:r>
              <w:rPr>
                <w:rFonts w:hint="eastAsia" w:ascii="宋体" w:hAnsi="宋体" w:eastAsia="宋体" w:cs="宋体"/>
                <w:color w:val="auto"/>
                <w:spacing w:val="5"/>
                <w:sz w:val="24"/>
                <w:szCs w:val="24"/>
                <w:highlight w:val="none"/>
                <w:lang w:eastAsia="zh-CN"/>
              </w:rPr>
              <w:t>.</w:t>
            </w:r>
            <w:r>
              <w:rPr>
                <w:rFonts w:ascii="宋体" w:hAnsi="宋体" w:eastAsia="宋体" w:cs="宋体"/>
                <w:color w:val="auto"/>
                <w:spacing w:val="5"/>
                <w:sz w:val="24"/>
                <w:szCs w:val="24"/>
                <w:highlight w:val="none"/>
              </w:rPr>
              <w:t>投诉</w:t>
            </w:r>
          </w:p>
          <w:p w14:paraId="3D937533">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投标人或者其他利害关系人认为招标投标活动不符合法律、行政法规和招标文件规定的，可以自知道或者应当知道之日起10日内向有关行政监督部门投诉。投诉应当有明确的请求和必要的证明资料，具体要求应符合《工程建设项目招标投标活动投诉处理办法》（国家发改委等七部委 2004  年第11号令）规定。</w:t>
            </w:r>
          </w:p>
          <w:p w14:paraId="016EF217">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就招标文件、开标和评标结果投诉的，应当先向招标人提出异议，异议答复期不计算在前款规定的期限内。</w:t>
            </w:r>
          </w:p>
          <w:p w14:paraId="30C2471F">
            <w:pPr>
              <w:pStyle w:val="17"/>
              <w:spacing w:before="106" w:line="298" w:lineRule="auto"/>
              <w:ind w:left="112" w:right="98" w:firstLine="4"/>
              <w:rPr>
                <w:rFonts w:ascii="宋体" w:hAnsi="宋体" w:eastAsia="宋体" w:cs="宋体"/>
                <w:color w:val="auto"/>
                <w:spacing w:val="5"/>
                <w:sz w:val="24"/>
                <w:szCs w:val="24"/>
                <w:highlight w:val="none"/>
              </w:rPr>
            </w:pPr>
            <w:r>
              <w:rPr>
                <w:rFonts w:ascii="宋体" w:hAnsi="宋体" w:eastAsia="宋体" w:cs="宋体"/>
                <w:color w:val="auto"/>
                <w:spacing w:val="5"/>
                <w:sz w:val="24"/>
                <w:szCs w:val="24"/>
                <w:highlight w:val="none"/>
              </w:rPr>
              <w:t>3</w:t>
            </w:r>
            <w:r>
              <w:rPr>
                <w:rFonts w:hint="eastAsia" w:ascii="宋体" w:hAnsi="宋体" w:eastAsia="宋体" w:cs="宋体"/>
                <w:color w:val="auto"/>
                <w:spacing w:val="5"/>
                <w:sz w:val="24"/>
                <w:szCs w:val="24"/>
                <w:highlight w:val="none"/>
                <w:lang w:eastAsia="zh-CN"/>
              </w:rPr>
              <w:t>.</w:t>
            </w:r>
            <w:r>
              <w:rPr>
                <w:rFonts w:ascii="宋体" w:hAnsi="宋体" w:eastAsia="宋体" w:cs="宋体"/>
                <w:color w:val="auto"/>
                <w:spacing w:val="5"/>
                <w:sz w:val="24"/>
                <w:szCs w:val="24"/>
                <w:highlight w:val="none"/>
              </w:rPr>
              <w:t>上述时限最后一日如遇国家法定休假日的，顺延至法定休假日后的第一个工作日。</w:t>
            </w:r>
          </w:p>
          <w:p w14:paraId="6BCED6E8">
            <w:pPr>
              <w:pStyle w:val="17"/>
              <w:spacing w:before="106" w:line="298" w:lineRule="auto"/>
              <w:ind w:left="112" w:right="98" w:firstLine="4"/>
              <w:rPr>
                <w:rFonts w:hint="eastAsia" w:ascii="宋体" w:hAnsi="宋体" w:eastAsia="宋体" w:cs="宋体"/>
                <w:color w:val="auto"/>
                <w:spacing w:val="5"/>
                <w:sz w:val="24"/>
                <w:szCs w:val="24"/>
                <w:highlight w:val="none"/>
                <w:lang w:eastAsia="zh-CN"/>
              </w:rPr>
            </w:pPr>
            <w:r>
              <w:rPr>
                <w:rFonts w:ascii="宋体" w:hAnsi="宋体" w:eastAsia="宋体" w:cs="宋体"/>
                <w:color w:val="auto"/>
                <w:spacing w:val="5"/>
                <w:sz w:val="24"/>
                <w:szCs w:val="24"/>
                <w:highlight w:val="none"/>
              </w:rPr>
              <w:t>前款所提的应当知道起始时间界定为：1.对招标文件公告资格条件的投诉以交易平台可供下载招标文件的第一天为准；2.对除公告资格条件外招标文件其他内容的投诉以招标文件以交易平台可供下载最后一天为准；3.对开标的投诉以开标时间为准；4.对评标结果的投诉以中标候选人公示期的起始时间为准（招标人发起的投诉除外</w:t>
            </w:r>
            <w:r>
              <w:rPr>
                <w:rFonts w:hint="eastAsia" w:ascii="宋体" w:hAnsi="宋体" w:eastAsia="宋体" w:cs="宋体"/>
                <w:color w:val="auto"/>
                <w:spacing w:val="5"/>
                <w:sz w:val="24"/>
                <w:szCs w:val="24"/>
                <w:highlight w:val="none"/>
                <w:lang w:eastAsia="zh-CN"/>
              </w:rPr>
              <w:t>）</w:t>
            </w:r>
          </w:p>
          <w:p w14:paraId="41F28F39">
            <w:pPr>
              <w:pStyle w:val="17"/>
              <w:spacing w:before="106" w:line="298" w:lineRule="auto"/>
              <w:ind w:left="112" w:right="98" w:firstLine="4"/>
              <w:rPr>
                <w:rFonts w:hint="default" w:ascii="宋体" w:hAnsi="宋体" w:eastAsia="宋体" w:cs="宋体"/>
                <w:color w:val="auto"/>
                <w:spacing w:val="5"/>
                <w:sz w:val="24"/>
                <w:szCs w:val="24"/>
                <w:highlight w:val="none"/>
                <w:lang w:val="en-US" w:eastAsia="zh-CN"/>
              </w:rPr>
            </w:pPr>
            <w:r>
              <w:rPr>
                <w:rFonts w:ascii="宋体" w:hAnsi="宋体" w:eastAsia="宋体" w:cs="宋体"/>
                <w:color w:val="auto"/>
                <w:spacing w:val="5"/>
                <w:sz w:val="24"/>
                <w:szCs w:val="24"/>
                <w:highlight w:val="none"/>
              </w:rPr>
              <w:t>投诉受理机构：</w:t>
            </w:r>
            <w:r>
              <w:rPr>
                <w:rFonts w:hint="eastAsia" w:ascii="宋体" w:hAnsi="宋体" w:eastAsia="宋体" w:cs="宋体"/>
                <w:color w:val="auto"/>
                <w:spacing w:val="5"/>
                <w:sz w:val="24"/>
                <w:szCs w:val="24"/>
                <w:highlight w:val="none"/>
                <w:lang w:eastAsia="zh-CN"/>
              </w:rPr>
              <w:t>嵊州市</w:t>
            </w:r>
            <w:r>
              <w:rPr>
                <w:rFonts w:hint="eastAsia" w:cs="宋体"/>
                <w:color w:val="auto"/>
                <w:spacing w:val="5"/>
                <w:sz w:val="24"/>
                <w:szCs w:val="24"/>
                <w:highlight w:val="none"/>
                <w:lang w:val="en-US" w:eastAsia="zh-CN"/>
              </w:rPr>
              <w:t>农业农村</w:t>
            </w:r>
            <w:r>
              <w:rPr>
                <w:rFonts w:hint="eastAsia" w:ascii="宋体" w:hAnsi="宋体" w:eastAsia="宋体" w:cs="宋体"/>
                <w:color w:val="auto"/>
                <w:spacing w:val="5"/>
                <w:sz w:val="24"/>
                <w:szCs w:val="24"/>
                <w:highlight w:val="none"/>
                <w:lang w:eastAsia="zh-CN"/>
              </w:rPr>
              <w:t>局</w:t>
            </w:r>
          </w:p>
          <w:p w14:paraId="3DE97A07">
            <w:pPr>
              <w:pStyle w:val="17"/>
              <w:spacing w:before="106" w:line="298" w:lineRule="auto"/>
              <w:ind w:left="112" w:right="98" w:firstLine="4"/>
              <w:rPr>
                <w:rFonts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电话：</w:t>
            </w:r>
            <w:r>
              <w:rPr>
                <w:rFonts w:hint="eastAsia" w:ascii="宋体" w:hAnsi="宋体" w:eastAsia="宋体" w:cs="宋体"/>
                <w:color w:val="auto"/>
                <w:spacing w:val="5"/>
                <w:sz w:val="24"/>
                <w:szCs w:val="24"/>
                <w:highlight w:val="none"/>
                <w:lang w:val="en-US" w:eastAsia="zh-CN"/>
              </w:rPr>
              <w:t>0575-8310</w:t>
            </w:r>
            <w:r>
              <w:rPr>
                <w:rFonts w:hint="eastAsia" w:cs="宋体"/>
                <w:color w:val="auto"/>
                <w:spacing w:val="5"/>
                <w:sz w:val="24"/>
                <w:szCs w:val="24"/>
                <w:highlight w:val="none"/>
                <w:lang w:val="en-US" w:eastAsia="zh-CN"/>
              </w:rPr>
              <w:t>3588</w:t>
            </w:r>
            <w:r>
              <w:rPr>
                <w:rFonts w:ascii="宋体" w:hAnsi="宋体" w:eastAsia="宋体" w:cs="宋体"/>
                <w:color w:val="auto"/>
                <w:spacing w:val="-1"/>
                <w:sz w:val="24"/>
                <w:szCs w:val="24"/>
                <w:highlight w:val="none"/>
              </w:rPr>
              <w:t xml:space="preserve">           </w:t>
            </w:r>
          </w:p>
        </w:tc>
      </w:tr>
      <w:tr w14:paraId="2AB56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953" w:type="dxa"/>
            <w:tcBorders>
              <w:left w:val="single" w:color="000000" w:sz="6" w:space="0"/>
            </w:tcBorders>
            <w:vAlign w:val="center"/>
          </w:tcPr>
          <w:p w14:paraId="7FCD35F3">
            <w:pPr>
              <w:keepNext w:val="0"/>
              <w:keepLines w:val="0"/>
              <w:pageBreakBefore w:val="0"/>
              <w:wordWrap/>
              <w:overflowPunct/>
              <w:topLinePunct w:val="0"/>
              <w:bidi w:val="0"/>
              <w:spacing w:line="440" w:lineRule="exact"/>
              <w:ind w:left="0" w:leftChars="0"/>
              <w:jc w:val="center"/>
              <w:rPr>
                <w:rFonts w:ascii="Times New Roman" w:hAnsi="Times New Roman" w:eastAsia="Times New Roman" w:cs="Times New Roman"/>
                <w:color w:val="auto"/>
                <w:spacing w:val="-2"/>
                <w:sz w:val="24"/>
                <w:szCs w:val="24"/>
                <w:highlight w:val="none"/>
              </w:rPr>
            </w:pPr>
            <w:r>
              <w:rPr>
                <w:rFonts w:hint="eastAsia" w:ascii="宋体" w:hAnsi="宋体" w:eastAsia="宋体" w:cs="宋体"/>
                <w:color w:val="auto"/>
                <w:kern w:val="21"/>
                <w:sz w:val="24"/>
                <w:szCs w:val="24"/>
                <w:highlight w:val="none"/>
              </w:rPr>
              <w:t>10</w:t>
            </w:r>
          </w:p>
        </w:tc>
        <w:tc>
          <w:tcPr>
            <w:tcW w:w="7958" w:type="dxa"/>
            <w:gridSpan w:val="2"/>
            <w:tcBorders>
              <w:right w:val="single" w:color="000000" w:sz="6" w:space="0"/>
            </w:tcBorders>
            <w:vAlign w:val="center"/>
          </w:tcPr>
          <w:p w14:paraId="6B2F1AFD">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jc w:val="both"/>
              <w:rPr>
                <w:rFonts w:hint="eastAsia" w:ascii="宋体" w:hAnsi="宋体" w:eastAsia="宋体" w:cs="宋体"/>
                <w:color w:val="auto"/>
                <w:kern w:val="21"/>
                <w:sz w:val="24"/>
                <w:szCs w:val="24"/>
                <w:highlight w:val="none"/>
              </w:rPr>
            </w:pPr>
            <w:r>
              <w:rPr>
                <w:rFonts w:hint="eastAsia"/>
                <w:color w:val="auto"/>
                <w:kern w:val="21"/>
                <w:sz w:val="24"/>
                <w:szCs w:val="24"/>
                <w:highlight w:val="none"/>
              </w:rPr>
              <w:t>其他内容</w:t>
            </w:r>
          </w:p>
        </w:tc>
      </w:tr>
      <w:tr w14:paraId="426AC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953" w:type="dxa"/>
            <w:tcBorders>
              <w:left w:val="single" w:color="000000" w:sz="6" w:space="0"/>
            </w:tcBorders>
            <w:vAlign w:val="top"/>
          </w:tcPr>
          <w:p w14:paraId="19FA56CD">
            <w:pPr>
              <w:keepNext w:val="0"/>
              <w:keepLines w:val="0"/>
              <w:pageBreakBefore w:val="0"/>
              <w:wordWrap/>
              <w:overflowPunct/>
              <w:topLinePunct w:val="0"/>
              <w:bidi w:val="0"/>
              <w:spacing w:line="440" w:lineRule="exact"/>
              <w:ind w:left="0" w:leftChars="0"/>
              <w:jc w:val="center"/>
              <w:rPr>
                <w:rFonts w:ascii="Times New Roman" w:hAnsi="Times New Roman" w:eastAsia="Times New Roman" w:cs="Times New Roman"/>
                <w:color w:val="auto"/>
                <w:spacing w:val="-2"/>
                <w:sz w:val="24"/>
                <w:szCs w:val="24"/>
                <w:highlight w:val="none"/>
              </w:rPr>
            </w:pPr>
            <w:r>
              <w:rPr>
                <w:rFonts w:hint="eastAsia" w:ascii="宋体" w:hAnsi="宋体" w:eastAsia="宋体" w:cs="宋体"/>
                <w:color w:val="auto"/>
                <w:kern w:val="21"/>
                <w:sz w:val="24"/>
                <w:szCs w:val="24"/>
                <w:highlight w:val="none"/>
              </w:rPr>
              <w:t>10.1</w:t>
            </w:r>
          </w:p>
        </w:tc>
        <w:tc>
          <w:tcPr>
            <w:tcW w:w="2444" w:type="dxa"/>
            <w:vAlign w:val="top"/>
          </w:tcPr>
          <w:p w14:paraId="002B2A39">
            <w:pPr>
              <w:pStyle w:val="17"/>
              <w:keepNext w:val="0"/>
              <w:keepLines w:val="0"/>
              <w:pageBreakBefore w:val="0"/>
              <w:wordWrap/>
              <w:overflowPunct/>
              <w:topLinePunct w:val="0"/>
              <w:bidi w:val="0"/>
              <w:spacing w:line="440" w:lineRule="exact"/>
              <w:ind w:left="0" w:leftChars="0"/>
              <w:jc w:val="center"/>
              <w:rPr>
                <w:color w:val="auto"/>
                <w:spacing w:val="-2"/>
                <w:sz w:val="24"/>
                <w:szCs w:val="24"/>
                <w:highlight w:val="none"/>
              </w:rPr>
            </w:pPr>
            <w:r>
              <w:rPr>
                <w:rFonts w:hint="eastAsia"/>
                <w:color w:val="auto"/>
                <w:kern w:val="21"/>
                <w:sz w:val="24"/>
                <w:szCs w:val="24"/>
                <w:highlight w:val="none"/>
              </w:rPr>
              <w:t>类似项目</w:t>
            </w:r>
          </w:p>
        </w:tc>
        <w:tc>
          <w:tcPr>
            <w:tcW w:w="5514" w:type="dxa"/>
            <w:tcBorders>
              <w:right w:val="single" w:color="000000" w:sz="6" w:space="0"/>
            </w:tcBorders>
            <w:vAlign w:val="top"/>
          </w:tcPr>
          <w:p w14:paraId="25A1BE09">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jc w:val="left"/>
              <w:rPr>
                <w:rFonts w:hint="eastAsia" w:ascii="宋体" w:hAnsi="宋体" w:eastAsia="宋体" w:cs="宋体"/>
                <w:color w:val="auto"/>
                <w:kern w:val="21"/>
                <w:sz w:val="24"/>
                <w:szCs w:val="24"/>
                <w:highlight w:val="none"/>
              </w:rPr>
            </w:pPr>
            <w:r>
              <w:rPr>
                <w:rFonts w:hint="eastAsia"/>
                <w:color w:val="auto"/>
                <w:kern w:val="21"/>
                <w:sz w:val="24"/>
                <w:szCs w:val="24"/>
                <w:highlight w:val="none"/>
              </w:rPr>
              <w:t>详见招标公告。</w:t>
            </w:r>
          </w:p>
        </w:tc>
      </w:tr>
      <w:tr w14:paraId="090F1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5" w:hRule="atLeast"/>
        </w:trPr>
        <w:tc>
          <w:tcPr>
            <w:tcW w:w="953" w:type="dxa"/>
            <w:tcBorders>
              <w:left w:val="single" w:color="000000" w:sz="6" w:space="0"/>
              <w:bottom w:val="single" w:color="000000" w:sz="6" w:space="0"/>
            </w:tcBorders>
            <w:vAlign w:val="top"/>
          </w:tcPr>
          <w:p w14:paraId="5C03DF1F">
            <w:pPr>
              <w:keepNext w:val="0"/>
              <w:keepLines w:val="0"/>
              <w:pageBreakBefore w:val="0"/>
              <w:wordWrap/>
              <w:overflowPunct/>
              <w:topLinePunct w:val="0"/>
              <w:bidi w:val="0"/>
              <w:spacing w:line="440" w:lineRule="exact"/>
              <w:ind w:left="0" w:leftChars="0"/>
              <w:jc w:val="center"/>
              <w:rPr>
                <w:rFonts w:hint="eastAsia" w:ascii="宋体" w:hAnsi="宋体" w:eastAsia="宋体" w:cs="宋体"/>
                <w:color w:val="auto"/>
                <w:kern w:val="21"/>
                <w:sz w:val="24"/>
                <w:szCs w:val="24"/>
                <w:highlight w:val="none"/>
              </w:rPr>
            </w:pPr>
          </w:p>
          <w:p w14:paraId="712C7C16">
            <w:pPr>
              <w:keepNext w:val="0"/>
              <w:keepLines w:val="0"/>
              <w:pageBreakBefore w:val="0"/>
              <w:wordWrap/>
              <w:overflowPunct/>
              <w:topLinePunct w:val="0"/>
              <w:bidi w:val="0"/>
              <w:spacing w:line="440" w:lineRule="exact"/>
              <w:ind w:left="0" w:leftChars="0"/>
              <w:jc w:val="center"/>
              <w:rPr>
                <w:rFonts w:hint="eastAsia" w:ascii="宋体" w:hAnsi="宋体" w:eastAsia="宋体" w:cs="宋体"/>
                <w:color w:val="auto"/>
                <w:kern w:val="21"/>
                <w:sz w:val="24"/>
                <w:szCs w:val="24"/>
                <w:highlight w:val="none"/>
              </w:rPr>
            </w:pPr>
          </w:p>
          <w:p w14:paraId="245D392D">
            <w:pPr>
              <w:keepNext w:val="0"/>
              <w:keepLines w:val="0"/>
              <w:pageBreakBefore w:val="0"/>
              <w:wordWrap/>
              <w:overflowPunct/>
              <w:topLinePunct w:val="0"/>
              <w:bidi w:val="0"/>
              <w:spacing w:line="440" w:lineRule="exact"/>
              <w:ind w:left="0" w:leftChars="0"/>
              <w:jc w:val="center"/>
              <w:rPr>
                <w:rFonts w:hint="eastAsia" w:ascii="宋体" w:hAnsi="宋体" w:eastAsia="宋体" w:cs="宋体"/>
                <w:color w:val="auto"/>
                <w:kern w:val="21"/>
                <w:sz w:val="24"/>
                <w:szCs w:val="24"/>
                <w:highlight w:val="none"/>
              </w:rPr>
            </w:pPr>
          </w:p>
          <w:p w14:paraId="2D591AD6">
            <w:pPr>
              <w:keepNext w:val="0"/>
              <w:keepLines w:val="0"/>
              <w:pageBreakBefore w:val="0"/>
              <w:wordWrap/>
              <w:overflowPunct/>
              <w:topLinePunct w:val="0"/>
              <w:bidi w:val="0"/>
              <w:spacing w:line="440" w:lineRule="exact"/>
              <w:ind w:left="0" w:leftChars="0"/>
              <w:jc w:val="center"/>
              <w:rPr>
                <w:rFonts w:hint="eastAsia" w:ascii="宋体" w:hAnsi="宋体" w:eastAsia="宋体" w:cs="宋体"/>
                <w:color w:val="auto"/>
                <w:kern w:val="21"/>
                <w:sz w:val="24"/>
                <w:szCs w:val="24"/>
                <w:highlight w:val="none"/>
              </w:rPr>
            </w:pPr>
          </w:p>
          <w:p w14:paraId="7BB38973">
            <w:pPr>
              <w:keepNext w:val="0"/>
              <w:keepLines w:val="0"/>
              <w:pageBreakBefore w:val="0"/>
              <w:wordWrap/>
              <w:overflowPunct/>
              <w:topLinePunct w:val="0"/>
              <w:bidi w:val="0"/>
              <w:spacing w:line="440" w:lineRule="exact"/>
              <w:ind w:left="0" w:leftChars="0"/>
              <w:jc w:val="center"/>
              <w:rPr>
                <w:rFonts w:ascii="Times New Roman" w:hAnsi="Times New Roman" w:eastAsia="Times New Roman" w:cs="Times New Roman"/>
                <w:color w:val="auto"/>
                <w:spacing w:val="-2"/>
                <w:sz w:val="24"/>
                <w:szCs w:val="24"/>
                <w:highlight w:val="none"/>
              </w:rPr>
            </w:pPr>
            <w:r>
              <w:rPr>
                <w:rFonts w:hint="eastAsia" w:ascii="宋体" w:hAnsi="宋体" w:eastAsia="宋体" w:cs="宋体"/>
                <w:color w:val="auto"/>
                <w:kern w:val="21"/>
                <w:sz w:val="24"/>
                <w:szCs w:val="24"/>
                <w:highlight w:val="none"/>
              </w:rPr>
              <w:t>10.2</w:t>
            </w:r>
          </w:p>
        </w:tc>
        <w:tc>
          <w:tcPr>
            <w:tcW w:w="2444" w:type="dxa"/>
            <w:tcBorders>
              <w:bottom w:val="single" w:color="000000" w:sz="6" w:space="0"/>
            </w:tcBorders>
            <w:vAlign w:val="top"/>
          </w:tcPr>
          <w:p w14:paraId="4EC27976">
            <w:pPr>
              <w:keepNext w:val="0"/>
              <w:keepLines w:val="0"/>
              <w:pageBreakBefore w:val="0"/>
              <w:wordWrap/>
              <w:overflowPunct/>
              <w:topLinePunct w:val="0"/>
              <w:bidi w:val="0"/>
              <w:spacing w:line="440" w:lineRule="exact"/>
              <w:ind w:left="0" w:leftChars="0"/>
              <w:jc w:val="center"/>
              <w:rPr>
                <w:rFonts w:hint="eastAsia" w:ascii="宋体" w:hAnsi="宋体" w:eastAsia="宋体" w:cs="宋体"/>
                <w:color w:val="auto"/>
                <w:kern w:val="21"/>
                <w:sz w:val="24"/>
                <w:szCs w:val="24"/>
                <w:highlight w:val="none"/>
              </w:rPr>
            </w:pPr>
          </w:p>
          <w:p w14:paraId="1490754D">
            <w:pPr>
              <w:keepNext w:val="0"/>
              <w:keepLines w:val="0"/>
              <w:pageBreakBefore w:val="0"/>
              <w:wordWrap/>
              <w:overflowPunct/>
              <w:topLinePunct w:val="0"/>
              <w:bidi w:val="0"/>
              <w:spacing w:line="440" w:lineRule="exact"/>
              <w:ind w:left="0" w:leftChars="0"/>
              <w:jc w:val="center"/>
              <w:rPr>
                <w:rFonts w:hint="eastAsia" w:ascii="宋体" w:hAnsi="宋体" w:eastAsia="宋体" w:cs="宋体"/>
                <w:color w:val="auto"/>
                <w:kern w:val="21"/>
                <w:sz w:val="24"/>
                <w:szCs w:val="24"/>
                <w:highlight w:val="none"/>
              </w:rPr>
            </w:pPr>
          </w:p>
          <w:p w14:paraId="256501E3">
            <w:pPr>
              <w:keepNext w:val="0"/>
              <w:keepLines w:val="0"/>
              <w:pageBreakBefore w:val="0"/>
              <w:wordWrap/>
              <w:overflowPunct/>
              <w:topLinePunct w:val="0"/>
              <w:bidi w:val="0"/>
              <w:spacing w:line="440" w:lineRule="exact"/>
              <w:ind w:left="0" w:leftChars="0"/>
              <w:jc w:val="center"/>
              <w:rPr>
                <w:rFonts w:hint="eastAsia" w:ascii="宋体" w:hAnsi="宋体" w:eastAsia="宋体" w:cs="宋体"/>
                <w:color w:val="auto"/>
                <w:kern w:val="21"/>
                <w:sz w:val="24"/>
                <w:szCs w:val="24"/>
                <w:highlight w:val="none"/>
              </w:rPr>
            </w:pPr>
          </w:p>
          <w:p w14:paraId="281464DF">
            <w:pPr>
              <w:keepNext w:val="0"/>
              <w:keepLines w:val="0"/>
              <w:pageBreakBefore w:val="0"/>
              <w:wordWrap/>
              <w:overflowPunct/>
              <w:topLinePunct w:val="0"/>
              <w:bidi w:val="0"/>
              <w:spacing w:line="440" w:lineRule="exact"/>
              <w:ind w:left="0" w:leftChars="0"/>
              <w:jc w:val="center"/>
              <w:rPr>
                <w:rFonts w:hint="eastAsia" w:ascii="宋体" w:hAnsi="宋体" w:eastAsia="宋体" w:cs="宋体"/>
                <w:color w:val="auto"/>
                <w:kern w:val="21"/>
                <w:sz w:val="24"/>
                <w:szCs w:val="24"/>
                <w:highlight w:val="none"/>
              </w:rPr>
            </w:pPr>
          </w:p>
          <w:p w14:paraId="084BA05B">
            <w:pPr>
              <w:pStyle w:val="17"/>
              <w:keepNext w:val="0"/>
              <w:keepLines w:val="0"/>
              <w:pageBreakBefore w:val="0"/>
              <w:wordWrap/>
              <w:overflowPunct/>
              <w:topLinePunct w:val="0"/>
              <w:bidi w:val="0"/>
              <w:spacing w:line="440" w:lineRule="exact"/>
              <w:ind w:left="0" w:leftChars="0"/>
              <w:jc w:val="center"/>
              <w:rPr>
                <w:color w:val="auto"/>
                <w:spacing w:val="-2"/>
                <w:sz w:val="24"/>
                <w:szCs w:val="24"/>
                <w:highlight w:val="none"/>
              </w:rPr>
            </w:pPr>
            <w:r>
              <w:rPr>
                <w:rFonts w:hint="eastAsia"/>
                <w:color w:val="auto"/>
                <w:kern w:val="21"/>
                <w:sz w:val="24"/>
                <w:szCs w:val="24"/>
                <w:highlight w:val="none"/>
              </w:rPr>
              <w:t>投标文件的澄清、说明</w:t>
            </w:r>
          </w:p>
        </w:tc>
        <w:tc>
          <w:tcPr>
            <w:tcW w:w="5514" w:type="dxa"/>
            <w:tcBorders>
              <w:bottom w:val="single" w:color="000000" w:sz="6" w:space="0"/>
              <w:right w:val="single" w:color="000000" w:sz="6" w:space="0"/>
            </w:tcBorders>
            <w:vAlign w:val="top"/>
          </w:tcPr>
          <w:p w14:paraId="690B5BFA">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28" w:firstLine="240" w:firstLineChars="100"/>
              <w:jc w:val="left"/>
              <w:rPr>
                <w:rFonts w:hint="eastAsia"/>
                <w:color w:val="auto"/>
                <w:kern w:val="21"/>
                <w:sz w:val="24"/>
                <w:szCs w:val="24"/>
                <w:highlight w:val="none"/>
              </w:rPr>
            </w:pPr>
            <w:r>
              <w:rPr>
                <w:rFonts w:hint="eastAsia"/>
                <w:color w:val="auto"/>
                <w:kern w:val="21"/>
                <w:sz w:val="24"/>
                <w:szCs w:val="24"/>
                <w:highlight w:val="none"/>
              </w:rPr>
              <w:t>1</w:t>
            </w:r>
            <w:r>
              <w:rPr>
                <w:rFonts w:hint="eastAsia"/>
                <w:b/>
                <w:bCs/>
                <w:color w:val="auto"/>
                <w:kern w:val="21"/>
                <w:sz w:val="24"/>
                <w:szCs w:val="24"/>
                <w:highlight w:val="none"/>
                <w:lang w:eastAsia="zh-CN"/>
              </w:rPr>
              <w:t>.</w:t>
            </w:r>
            <w:r>
              <w:rPr>
                <w:rFonts w:hint="eastAsia"/>
                <w:color w:val="auto"/>
                <w:kern w:val="21"/>
                <w:sz w:val="24"/>
                <w:szCs w:val="24"/>
                <w:highlight w:val="none"/>
              </w:rPr>
              <w:t>若评标委员会对投标文件进行询标时</w:t>
            </w:r>
            <w:r>
              <w:rPr>
                <w:rFonts w:hint="eastAsia"/>
                <w:color w:val="auto"/>
                <w:kern w:val="21"/>
                <w:sz w:val="24"/>
                <w:szCs w:val="24"/>
                <w:highlight w:val="none"/>
                <w:lang w:eastAsia="zh-CN"/>
              </w:rPr>
              <w:t>（澄清回复时间不得超过在发出通知后30分钟）</w:t>
            </w:r>
            <w:r>
              <w:rPr>
                <w:rFonts w:hint="eastAsia"/>
                <w:color w:val="auto"/>
                <w:kern w:val="21"/>
                <w:sz w:val="24"/>
                <w:szCs w:val="24"/>
                <w:highlight w:val="none"/>
              </w:rPr>
              <w:t>，投标人逾期或未按要求澄清回复的，将视为不予回复或确认。</w:t>
            </w:r>
          </w:p>
          <w:p w14:paraId="354275F1">
            <w:pPr>
              <w:pStyle w:val="17"/>
              <w:keepNext w:val="0"/>
              <w:keepLines w:val="0"/>
              <w:pageBreakBefore w:val="0"/>
              <w:widowControl/>
              <w:wordWrap/>
              <w:overflowPunct/>
              <w:topLinePunct w:val="0"/>
              <w:autoSpaceDE w:val="0"/>
              <w:autoSpaceDN w:val="0"/>
              <w:bidi w:val="0"/>
              <w:adjustRightInd w:val="0"/>
              <w:snapToGrid w:val="0"/>
              <w:spacing w:line="440" w:lineRule="exact"/>
              <w:ind w:left="0" w:leftChars="0" w:right="142" w:rightChars="0" w:firstLine="240" w:firstLineChars="100"/>
              <w:jc w:val="left"/>
              <w:rPr>
                <w:rFonts w:hint="eastAsia" w:ascii="宋体" w:hAnsi="宋体" w:eastAsia="宋体" w:cs="宋体"/>
                <w:color w:val="auto"/>
                <w:kern w:val="21"/>
                <w:sz w:val="24"/>
                <w:szCs w:val="24"/>
                <w:highlight w:val="none"/>
              </w:rPr>
            </w:pPr>
            <w:r>
              <w:rPr>
                <w:rFonts w:hint="eastAsia"/>
                <w:color w:val="auto"/>
                <w:kern w:val="21"/>
                <w:sz w:val="24"/>
                <w:szCs w:val="24"/>
                <w:highlight w:val="none"/>
              </w:rPr>
              <w:t>2</w:t>
            </w:r>
            <w:r>
              <w:rPr>
                <w:rFonts w:hint="eastAsia"/>
                <w:b/>
                <w:bCs/>
                <w:color w:val="auto"/>
                <w:kern w:val="21"/>
                <w:sz w:val="24"/>
                <w:szCs w:val="24"/>
                <w:highlight w:val="none"/>
                <w:lang w:eastAsia="zh-CN"/>
              </w:rPr>
              <w:t>.</w:t>
            </w:r>
            <w:r>
              <w:rPr>
                <w:rFonts w:hint="eastAsia"/>
                <w:color w:val="auto"/>
                <w:kern w:val="21"/>
                <w:sz w:val="24"/>
                <w:szCs w:val="24"/>
                <w:highlight w:val="none"/>
              </w:rPr>
              <w:t>评标委员会对投标人提交的澄清、说明或补正有疑问的，可以要求投标人进一步澄清、说明或补正，直至满足评标委员会的要求。投标人的澄清、说明不得超过投标文件的范围或者改变投标文件的实质性内容。评标委员会不得暗示或者诱导投标人作出澄清、说明，不得接受投标人主动提出的澄清、说明。</w:t>
            </w:r>
          </w:p>
        </w:tc>
      </w:tr>
    </w:tbl>
    <w:p w14:paraId="4CFB526F">
      <w:pPr>
        <w:spacing w:line="89" w:lineRule="auto"/>
        <w:rPr>
          <w:rFonts w:ascii="Arial"/>
          <w:color w:val="auto"/>
          <w:sz w:val="2"/>
          <w:highlight w:val="none"/>
        </w:rPr>
      </w:pPr>
    </w:p>
    <w:p w14:paraId="74F05EFA">
      <w:pPr>
        <w:spacing w:line="89" w:lineRule="auto"/>
        <w:rPr>
          <w:rFonts w:ascii="Arial"/>
          <w:color w:val="auto"/>
          <w:sz w:val="2"/>
          <w:highlight w:val="none"/>
        </w:rPr>
      </w:pPr>
    </w:p>
    <w:p w14:paraId="4731E8EA">
      <w:pPr>
        <w:spacing w:line="89" w:lineRule="auto"/>
        <w:rPr>
          <w:rFonts w:ascii="Arial"/>
          <w:color w:val="auto"/>
          <w:sz w:val="2"/>
          <w:highlight w:val="none"/>
        </w:rPr>
      </w:pPr>
    </w:p>
    <w:tbl>
      <w:tblPr>
        <w:tblStyle w:val="16"/>
        <w:tblW w:w="900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2444"/>
        <w:gridCol w:w="5606"/>
      </w:tblGrid>
      <w:tr w14:paraId="72C11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53" w:type="dxa"/>
            <w:tcBorders>
              <w:top w:val="single" w:color="000000" w:sz="6" w:space="0"/>
              <w:left w:val="single" w:color="000000" w:sz="6" w:space="0"/>
            </w:tcBorders>
            <w:vAlign w:val="top"/>
          </w:tcPr>
          <w:p w14:paraId="65BB08C2">
            <w:pPr>
              <w:pStyle w:val="17"/>
              <w:spacing w:before="213" w:line="221" w:lineRule="auto"/>
              <w:ind w:left="158"/>
              <w:rPr>
                <w:color w:val="auto"/>
                <w:sz w:val="24"/>
                <w:szCs w:val="24"/>
                <w:highlight w:val="none"/>
              </w:rPr>
            </w:pPr>
            <w:r>
              <w:rPr>
                <w:b/>
                <w:bCs/>
                <w:color w:val="auto"/>
                <w:spacing w:val="-4"/>
                <w:sz w:val="24"/>
                <w:szCs w:val="24"/>
                <w:highlight w:val="none"/>
              </w:rPr>
              <w:t>条款号</w:t>
            </w:r>
          </w:p>
        </w:tc>
        <w:tc>
          <w:tcPr>
            <w:tcW w:w="2444" w:type="dxa"/>
            <w:tcBorders>
              <w:top w:val="single" w:color="000000" w:sz="6" w:space="0"/>
            </w:tcBorders>
            <w:vAlign w:val="top"/>
          </w:tcPr>
          <w:p w14:paraId="3EB4E0BD">
            <w:pPr>
              <w:pStyle w:val="17"/>
              <w:spacing w:before="213" w:line="221" w:lineRule="auto"/>
              <w:ind w:left="642"/>
              <w:rPr>
                <w:color w:val="auto"/>
                <w:sz w:val="24"/>
                <w:szCs w:val="24"/>
                <w:highlight w:val="none"/>
              </w:rPr>
            </w:pPr>
            <w:r>
              <w:rPr>
                <w:b/>
                <w:bCs/>
                <w:color w:val="auto"/>
                <w:spacing w:val="-9"/>
                <w:sz w:val="24"/>
                <w:szCs w:val="24"/>
                <w:highlight w:val="none"/>
              </w:rPr>
              <w:t>条</w:t>
            </w:r>
            <w:r>
              <w:rPr>
                <w:color w:val="auto"/>
                <w:spacing w:val="9"/>
                <w:sz w:val="24"/>
                <w:szCs w:val="24"/>
                <w:highlight w:val="none"/>
              </w:rPr>
              <w:t xml:space="preserve"> </w:t>
            </w:r>
            <w:r>
              <w:rPr>
                <w:b/>
                <w:bCs/>
                <w:color w:val="auto"/>
                <w:spacing w:val="-9"/>
                <w:sz w:val="24"/>
                <w:szCs w:val="24"/>
                <w:highlight w:val="none"/>
              </w:rPr>
              <w:t>款</w:t>
            </w:r>
            <w:r>
              <w:rPr>
                <w:color w:val="auto"/>
                <w:spacing w:val="12"/>
                <w:sz w:val="24"/>
                <w:szCs w:val="24"/>
                <w:highlight w:val="none"/>
              </w:rPr>
              <w:t xml:space="preserve"> </w:t>
            </w:r>
            <w:r>
              <w:rPr>
                <w:b/>
                <w:bCs/>
                <w:color w:val="auto"/>
                <w:spacing w:val="-9"/>
                <w:sz w:val="24"/>
                <w:szCs w:val="24"/>
                <w:highlight w:val="none"/>
              </w:rPr>
              <w:t>名</w:t>
            </w:r>
            <w:r>
              <w:rPr>
                <w:color w:val="auto"/>
                <w:spacing w:val="5"/>
                <w:sz w:val="24"/>
                <w:szCs w:val="24"/>
                <w:highlight w:val="none"/>
              </w:rPr>
              <w:t xml:space="preserve"> </w:t>
            </w:r>
            <w:r>
              <w:rPr>
                <w:b/>
                <w:bCs/>
                <w:color w:val="auto"/>
                <w:spacing w:val="-9"/>
                <w:sz w:val="24"/>
                <w:szCs w:val="24"/>
                <w:highlight w:val="none"/>
              </w:rPr>
              <w:t>称</w:t>
            </w:r>
          </w:p>
        </w:tc>
        <w:tc>
          <w:tcPr>
            <w:tcW w:w="5606" w:type="dxa"/>
            <w:tcBorders>
              <w:top w:val="single" w:color="000000" w:sz="6" w:space="0"/>
              <w:right w:val="single" w:color="000000" w:sz="6" w:space="0"/>
            </w:tcBorders>
            <w:vAlign w:val="top"/>
          </w:tcPr>
          <w:p w14:paraId="360F12B1">
            <w:pPr>
              <w:pStyle w:val="17"/>
              <w:spacing w:before="213" w:line="221" w:lineRule="auto"/>
              <w:ind w:left="1702"/>
              <w:rPr>
                <w:color w:val="auto"/>
                <w:sz w:val="24"/>
                <w:szCs w:val="24"/>
                <w:highlight w:val="none"/>
              </w:rPr>
            </w:pPr>
            <w:r>
              <w:rPr>
                <w:b/>
                <w:bCs/>
                <w:color w:val="auto"/>
                <w:spacing w:val="-16"/>
                <w:sz w:val="24"/>
                <w:szCs w:val="24"/>
                <w:highlight w:val="none"/>
              </w:rPr>
              <w:t>编</w:t>
            </w:r>
            <w:r>
              <w:rPr>
                <w:color w:val="auto"/>
                <w:spacing w:val="4"/>
                <w:sz w:val="24"/>
                <w:szCs w:val="24"/>
                <w:highlight w:val="none"/>
              </w:rPr>
              <w:t xml:space="preserve">    </w:t>
            </w:r>
            <w:r>
              <w:rPr>
                <w:b/>
                <w:bCs/>
                <w:color w:val="auto"/>
                <w:spacing w:val="-16"/>
                <w:sz w:val="24"/>
                <w:szCs w:val="24"/>
                <w:highlight w:val="none"/>
              </w:rPr>
              <w:t>列</w:t>
            </w:r>
            <w:r>
              <w:rPr>
                <w:color w:val="auto"/>
                <w:spacing w:val="8"/>
                <w:sz w:val="24"/>
                <w:szCs w:val="24"/>
                <w:highlight w:val="none"/>
              </w:rPr>
              <w:t xml:space="preserve">    </w:t>
            </w:r>
            <w:r>
              <w:rPr>
                <w:b/>
                <w:bCs/>
                <w:color w:val="auto"/>
                <w:spacing w:val="-16"/>
                <w:sz w:val="24"/>
                <w:szCs w:val="24"/>
                <w:highlight w:val="none"/>
              </w:rPr>
              <w:t>内</w:t>
            </w:r>
            <w:r>
              <w:rPr>
                <w:color w:val="auto"/>
                <w:spacing w:val="3"/>
                <w:sz w:val="24"/>
                <w:szCs w:val="24"/>
                <w:highlight w:val="none"/>
              </w:rPr>
              <w:t xml:space="preserve">    </w:t>
            </w:r>
            <w:r>
              <w:rPr>
                <w:b/>
                <w:bCs/>
                <w:color w:val="auto"/>
                <w:spacing w:val="-16"/>
                <w:sz w:val="24"/>
                <w:szCs w:val="24"/>
                <w:highlight w:val="none"/>
              </w:rPr>
              <w:t>容</w:t>
            </w:r>
          </w:p>
        </w:tc>
      </w:tr>
      <w:tr w14:paraId="0E34C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7" w:hRule="atLeast"/>
        </w:trPr>
        <w:tc>
          <w:tcPr>
            <w:tcW w:w="953" w:type="dxa"/>
            <w:tcBorders>
              <w:left w:val="single" w:color="000000" w:sz="6" w:space="0"/>
            </w:tcBorders>
            <w:vAlign w:val="top"/>
          </w:tcPr>
          <w:p w14:paraId="508D91A7">
            <w:pPr>
              <w:spacing w:line="270" w:lineRule="auto"/>
              <w:rPr>
                <w:rFonts w:ascii="Arial"/>
                <w:color w:val="auto"/>
                <w:sz w:val="24"/>
                <w:szCs w:val="24"/>
                <w:highlight w:val="none"/>
              </w:rPr>
            </w:pPr>
          </w:p>
          <w:p w14:paraId="2ACAAAB4">
            <w:pPr>
              <w:spacing w:line="271" w:lineRule="auto"/>
              <w:rPr>
                <w:rFonts w:ascii="Arial"/>
                <w:color w:val="auto"/>
                <w:sz w:val="24"/>
                <w:szCs w:val="24"/>
                <w:highlight w:val="none"/>
              </w:rPr>
            </w:pPr>
          </w:p>
          <w:p w14:paraId="330B33C4">
            <w:pPr>
              <w:spacing w:line="271" w:lineRule="auto"/>
              <w:rPr>
                <w:rFonts w:ascii="Arial"/>
                <w:color w:val="auto"/>
                <w:sz w:val="24"/>
                <w:szCs w:val="24"/>
                <w:highlight w:val="none"/>
              </w:rPr>
            </w:pPr>
          </w:p>
          <w:p w14:paraId="31998EBD">
            <w:pPr>
              <w:spacing w:before="60" w:line="187" w:lineRule="auto"/>
              <w:ind w:left="307"/>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5"/>
                <w:sz w:val="24"/>
                <w:szCs w:val="24"/>
                <w:highlight w:val="none"/>
              </w:rPr>
              <w:t>10.3</w:t>
            </w:r>
          </w:p>
        </w:tc>
        <w:tc>
          <w:tcPr>
            <w:tcW w:w="2444" w:type="dxa"/>
            <w:vAlign w:val="top"/>
          </w:tcPr>
          <w:p w14:paraId="12BC720F">
            <w:pPr>
              <w:spacing w:line="293" w:lineRule="auto"/>
              <w:rPr>
                <w:rFonts w:ascii="Arial"/>
                <w:color w:val="auto"/>
                <w:sz w:val="24"/>
                <w:szCs w:val="24"/>
                <w:highlight w:val="none"/>
              </w:rPr>
            </w:pPr>
          </w:p>
          <w:p w14:paraId="30F0501F">
            <w:pPr>
              <w:spacing w:line="294" w:lineRule="auto"/>
              <w:rPr>
                <w:rFonts w:ascii="Arial"/>
                <w:color w:val="auto"/>
                <w:sz w:val="24"/>
                <w:szCs w:val="24"/>
                <w:highlight w:val="none"/>
              </w:rPr>
            </w:pPr>
          </w:p>
          <w:p w14:paraId="0FA0E4EC">
            <w:pPr>
              <w:pStyle w:val="17"/>
              <w:spacing w:before="68" w:line="319" w:lineRule="auto"/>
              <w:ind w:left="106" w:right="106" w:firstLine="5"/>
              <w:rPr>
                <w:color w:val="auto"/>
                <w:sz w:val="24"/>
                <w:szCs w:val="24"/>
                <w:highlight w:val="none"/>
              </w:rPr>
            </w:pPr>
            <w:r>
              <w:rPr>
                <w:color w:val="auto"/>
                <w:spacing w:val="12"/>
                <w:sz w:val="24"/>
                <w:szCs w:val="24"/>
                <w:highlight w:val="none"/>
              </w:rPr>
              <w:t>实质性响应招标文件资</w:t>
            </w:r>
            <w:r>
              <w:rPr>
                <w:color w:val="auto"/>
                <w:spacing w:val="-1"/>
                <w:sz w:val="24"/>
                <w:szCs w:val="24"/>
                <w:highlight w:val="none"/>
              </w:rPr>
              <w:t>料及评审打分资料</w:t>
            </w:r>
          </w:p>
        </w:tc>
        <w:tc>
          <w:tcPr>
            <w:tcW w:w="5606" w:type="dxa"/>
            <w:tcBorders>
              <w:right w:val="single" w:color="000000" w:sz="6" w:space="0"/>
            </w:tcBorders>
            <w:vAlign w:val="top"/>
          </w:tcPr>
          <w:p w14:paraId="2692408B">
            <w:pPr>
              <w:pStyle w:val="17"/>
              <w:spacing w:before="119" w:line="221" w:lineRule="auto"/>
              <w:ind w:left="324"/>
              <w:rPr>
                <w:color w:val="auto"/>
                <w:sz w:val="24"/>
                <w:szCs w:val="24"/>
                <w:highlight w:val="none"/>
              </w:rPr>
            </w:pPr>
            <w:r>
              <w:rPr>
                <w:color w:val="auto"/>
                <w:spacing w:val="-1"/>
                <w:sz w:val="24"/>
                <w:szCs w:val="24"/>
                <w:highlight w:val="none"/>
              </w:rPr>
              <w:t>一、实质性响应招标文件资料</w:t>
            </w:r>
          </w:p>
          <w:p w14:paraId="7B2B2255">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119" w:firstLineChars="50"/>
              <w:textAlignment w:val="baseline"/>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val="en-US" w:eastAsia="zh-CN"/>
              </w:rPr>
              <w:t>.</w:t>
            </w:r>
            <w:r>
              <w:rPr>
                <w:rFonts w:ascii="宋体" w:hAnsi="宋体" w:eastAsia="宋体" w:cs="宋体"/>
                <w:color w:val="auto"/>
                <w:spacing w:val="-1"/>
                <w:sz w:val="24"/>
                <w:szCs w:val="24"/>
                <w:highlight w:val="none"/>
              </w:rPr>
              <w:t>企业法人营业执照（联合体投标的，联合体各方均应提供）；</w:t>
            </w:r>
          </w:p>
          <w:p w14:paraId="0337C49F">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119" w:firstLineChars="50"/>
              <w:textAlignment w:val="baseline"/>
              <w:rPr>
                <w:rFonts w:ascii="宋体" w:hAnsi="宋体" w:eastAsia="宋体" w:cs="宋体"/>
                <w:color w:val="auto"/>
                <w:spacing w:val="-1"/>
                <w:sz w:val="24"/>
                <w:szCs w:val="24"/>
                <w:highlight w:val="none"/>
              </w:rPr>
            </w:pPr>
            <w:r>
              <w:rPr>
                <w:rFonts w:hint="eastAsia" w:cs="宋体"/>
                <w:color w:val="auto"/>
                <w:spacing w:val="-1"/>
                <w:sz w:val="24"/>
                <w:szCs w:val="24"/>
                <w:highlight w:val="none"/>
                <w:lang w:eastAsia="zh-CN"/>
              </w:rPr>
              <w:t>☑</w:t>
            </w:r>
            <w:r>
              <w:rPr>
                <w:rFonts w:ascii="宋体" w:hAnsi="宋体" w:eastAsia="宋体" w:cs="宋体"/>
                <w:color w:val="auto"/>
                <w:spacing w:val="-1"/>
                <w:sz w:val="24"/>
                <w:szCs w:val="24"/>
                <w:highlight w:val="none"/>
              </w:rPr>
              <w:t>2</w:t>
            </w:r>
            <w:r>
              <w:rPr>
                <w:rFonts w:hint="eastAsia" w:ascii="宋体" w:hAnsi="宋体" w:eastAsia="宋体" w:cs="宋体"/>
                <w:color w:val="auto"/>
                <w:spacing w:val="-1"/>
                <w:sz w:val="24"/>
                <w:szCs w:val="24"/>
                <w:highlight w:val="none"/>
                <w:lang w:val="en-US" w:eastAsia="zh-CN"/>
              </w:rPr>
              <w:t>.</w:t>
            </w:r>
            <w:r>
              <w:rPr>
                <w:rFonts w:ascii="宋体" w:hAnsi="宋体" w:eastAsia="宋体" w:cs="宋体"/>
                <w:color w:val="auto"/>
                <w:spacing w:val="-1"/>
                <w:sz w:val="24"/>
                <w:szCs w:val="24"/>
                <w:highlight w:val="none"/>
              </w:rPr>
              <w:t>有效的法定代表人授权委托书（投标文件委托代理人签字的提供，联合体投标的，应由联合体牵头人授权委托）；</w:t>
            </w:r>
          </w:p>
          <w:p w14:paraId="2122F4D3">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119" w:firstLineChars="50"/>
              <w:textAlignment w:val="baseline"/>
              <w:rPr>
                <w:rFonts w:ascii="宋体" w:hAnsi="宋体" w:eastAsia="宋体" w:cs="宋体"/>
                <w:strike/>
                <w:dstrike w:val="0"/>
                <w:color w:val="auto"/>
                <w:spacing w:val="-1"/>
                <w:sz w:val="24"/>
                <w:szCs w:val="24"/>
                <w:highlight w:val="none"/>
              </w:rPr>
            </w:pPr>
            <w:r>
              <w:rPr>
                <w:rFonts w:hint="eastAsia" w:cs="宋体"/>
                <w:strike/>
                <w:dstrike w:val="0"/>
                <w:color w:val="auto"/>
                <w:spacing w:val="-1"/>
                <w:sz w:val="24"/>
                <w:szCs w:val="24"/>
                <w:highlight w:val="none"/>
                <w:lang w:eastAsia="zh-CN"/>
              </w:rPr>
              <w:t>□</w:t>
            </w:r>
            <w:r>
              <w:rPr>
                <w:rFonts w:ascii="宋体" w:hAnsi="宋体" w:eastAsia="宋体" w:cs="宋体"/>
                <w:strike/>
                <w:dstrike w:val="0"/>
                <w:color w:val="auto"/>
                <w:spacing w:val="-1"/>
                <w:sz w:val="24"/>
                <w:szCs w:val="24"/>
                <w:highlight w:val="none"/>
              </w:rPr>
              <w:t>3</w:t>
            </w:r>
            <w:r>
              <w:rPr>
                <w:rFonts w:hint="eastAsia" w:ascii="宋体" w:hAnsi="宋体" w:eastAsia="宋体" w:cs="宋体"/>
                <w:strike/>
                <w:dstrike w:val="0"/>
                <w:color w:val="auto"/>
                <w:spacing w:val="-1"/>
                <w:sz w:val="24"/>
                <w:szCs w:val="24"/>
                <w:highlight w:val="none"/>
                <w:lang w:val="en-US" w:eastAsia="zh-CN"/>
              </w:rPr>
              <w:t>.</w:t>
            </w:r>
            <w:r>
              <w:rPr>
                <w:rFonts w:ascii="宋体" w:hAnsi="宋体" w:eastAsia="宋体" w:cs="宋体"/>
                <w:strike/>
                <w:dstrike w:val="0"/>
                <w:color w:val="auto"/>
                <w:spacing w:val="-1"/>
                <w:sz w:val="24"/>
                <w:szCs w:val="24"/>
                <w:highlight w:val="none"/>
              </w:rPr>
              <w:t>联合体各方签订的共同投标协议（联合体投标的提供）；</w:t>
            </w:r>
          </w:p>
          <w:p w14:paraId="50E702E3">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119" w:firstLineChars="50"/>
              <w:textAlignment w:val="baseline"/>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4．建筑业企业资质证书；自公告发布之日至投标截止日之间在“浙江省建筑市场监管公共服务系统”上公布的参与投标施工资质的任意一期动态核查结果为“合格”的动态核查证书；（联合体投标的，联合体各方均应提供参与投标资质的“资质动态核查结果证明”）</w:t>
            </w:r>
          </w:p>
          <w:p w14:paraId="7F919B39">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119" w:firstLineChars="50"/>
              <w:textAlignment w:val="baseline"/>
              <w:rPr>
                <w:rFonts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lang w:val="en-US" w:eastAsia="zh-CN"/>
              </w:rPr>
              <w:t>5.</w:t>
            </w:r>
            <w:r>
              <w:rPr>
                <w:rFonts w:ascii="宋体" w:hAnsi="宋体" w:eastAsia="宋体" w:cs="宋体"/>
                <w:color w:val="auto"/>
                <w:spacing w:val="-1"/>
                <w:sz w:val="24"/>
                <w:szCs w:val="24"/>
                <w:highlight w:val="none"/>
              </w:rPr>
              <w:t>企业安全生产许可证（联合体投标的，联合体各方均应提供）；</w:t>
            </w:r>
          </w:p>
          <w:p w14:paraId="3B767982">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119" w:firstLineChars="50"/>
              <w:textAlignment w:val="baseline"/>
              <w:rPr>
                <w:rFonts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lang w:val="en-US" w:eastAsia="zh-CN"/>
              </w:rPr>
              <w:t>6.</w:t>
            </w:r>
            <w:r>
              <w:rPr>
                <w:rFonts w:ascii="宋体" w:hAnsi="宋体" w:eastAsia="宋体" w:cs="宋体"/>
                <w:color w:val="auto"/>
                <w:spacing w:val="-1"/>
                <w:sz w:val="24"/>
                <w:szCs w:val="24"/>
                <w:highlight w:val="none"/>
              </w:rPr>
              <w:t>企业主要负责人（法定代表人、企业经理、企业分管安全生产的副经理、企业技术负责人）“三类人员”A类证书，企业经理、企业技术负责人、企业分管安全生产副经理企业的任命书（联合体投标的，联合体各方均应提供）；</w:t>
            </w:r>
          </w:p>
          <w:p w14:paraId="211701C0">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119" w:firstLineChars="50"/>
              <w:textAlignment w:val="baseline"/>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7</w:t>
            </w:r>
            <w:r>
              <w:rPr>
                <w:rFonts w:hint="eastAsia" w:ascii="宋体" w:hAnsi="宋体" w:eastAsia="宋体" w:cs="宋体"/>
                <w:color w:val="auto"/>
                <w:spacing w:val="-1"/>
                <w:sz w:val="24"/>
                <w:szCs w:val="24"/>
                <w:highlight w:val="none"/>
                <w:lang w:val="en-US" w:eastAsia="zh-CN"/>
              </w:rPr>
              <w:t>.</w:t>
            </w:r>
            <w:r>
              <w:rPr>
                <w:rFonts w:ascii="宋体" w:hAnsi="宋体" w:eastAsia="宋体" w:cs="宋体"/>
                <w:color w:val="auto"/>
                <w:spacing w:val="-1"/>
                <w:sz w:val="24"/>
                <w:szCs w:val="24"/>
                <w:highlight w:val="none"/>
              </w:rPr>
              <w:t>项目负责人（</w:t>
            </w:r>
            <w:r>
              <w:rPr>
                <w:rFonts w:hint="eastAsia" w:cs="宋体"/>
                <w:color w:val="auto"/>
                <w:spacing w:val="-1"/>
                <w:sz w:val="24"/>
                <w:szCs w:val="24"/>
                <w:highlight w:val="none"/>
                <w:lang w:val="en-US" w:eastAsia="zh-CN"/>
              </w:rPr>
              <w:t>水利水电工程二级及以上</w:t>
            </w:r>
            <w:r>
              <w:rPr>
                <w:rFonts w:ascii="宋体" w:hAnsi="宋体" w:eastAsia="宋体" w:cs="宋体"/>
                <w:color w:val="auto"/>
                <w:spacing w:val="-1"/>
                <w:sz w:val="24"/>
                <w:szCs w:val="24"/>
                <w:highlight w:val="none"/>
              </w:rPr>
              <w:t>）注册执业证书；</w:t>
            </w:r>
          </w:p>
          <w:p w14:paraId="14FDAACF">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textAlignment w:val="baseline"/>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8</w:t>
            </w:r>
            <w:r>
              <w:rPr>
                <w:rFonts w:hint="eastAsia" w:ascii="宋体" w:hAnsi="宋体" w:eastAsia="宋体" w:cs="宋体"/>
                <w:color w:val="auto"/>
                <w:spacing w:val="-1"/>
                <w:sz w:val="24"/>
                <w:szCs w:val="24"/>
                <w:highlight w:val="none"/>
                <w:lang w:val="en-US" w:eastAsia="zh-CN"/>
              </w:rPr>
              <w:t>.</w:t>
            </w:r>
            <w:r>
              <w:rPr>
                <w:rFonts w:ascii="宋体" w:hAnsi="宋体" w:eastAsia="宋体" w:cs="宋体"/>
                <w:color w:val="auto"/>
                <w:spacing w:val="-1"/>
                <w:sz w:val="24"/>
                <w:szCs w:val="24"/>
                <w:highlight w:val="none"/>
              </w:rPr>
              <w:t>拟派技术负责人职称证书（</w:t>
            </w:r>
            <w:r>
              <w:rPr>
                <w:rFonts w:hint="eastAsia" w:cs="宋体"/>
                <w:color w:val="auto"/>
                <w:spacing w:val="-1"/>
                <w:sz w:val="24"/>
                <w:szCs w:val="24"/>
                <w:highlight w:val="none"/>
                <w:lang w:val="en-US" w:eastAsia="zh-CN"/>
              </w:rPr>
              <w:t>水利水电工程专业的注册建造师或水利水电工程相关专业工程师及以上职称证书</w:t>
            </w:r>
            <w:r>
              <w:rPr>
                <w:rFonts w:ascii="宋体" w:hAnsi="宋体" w:eastAsia="宋体" w:cs="宋体"/>
                <w:color w:val="auto"/>
                <w:spacing w:val="-1"/>
                <w:sz w:val="24"/>
                <w:szCs w:val="24"/>
                <w:highlight w:val="none"/>
              </w:rPr>
              <w:t>）；</w:t>
            </w:r>
          </w:p>
          <w:p w14:paraId="5D7F1EFC">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textAlignment w:val="baseline"/>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9</w:t>
            </w:r>
            <w:r>
              <w:rPr>
                <w:rFonts w:hint="eastAsia" w:ascii="宋体" w:hAnsi="宋体" w:eastAsia="宋体" w:cs="宋体"/>
                <w:color w:val="auto"/>
                <w:spacing w:val="-1"/>
                <w:sz w:val="24"/>
                <w:szCs w:val="24"/>
                <w:highlight w:val="none"/>
                <w:lang w:val="en-US" w:eastAsia="zh-CN"/>
              </w:rPr>
              <w:t>.</w:t>
            </w:r>
            <w:r>
              <w:rPr>
                <w:rFonts w:ascii="宋体" w:hAnsi="宋体" w:eastAsia="宋体" w:cs="宋体"/>
                <w:color w:val="auto"/>
                <w:spacing w:val="-1"/>
                <w:sz w:val="24"/>
                <w:szCs w:val="24"/>
                <w:highlight w:val="none"/>
              </w:rPr>
              <w:t>拟派项目负责人“三类人员”B 类证书；</w:t>
            </w:r>
          </w:p>
          <w:p w14:paraId="656B4DAE">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textAlignment w:val="baseline"/>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10</w:t>
            </w:r>
            <w:r>
              <w:rPr>
                <w:rFonts w:hint="eastAsia" w:ascii="宋体" w:hAnsi="宋体" w:eastAsia="宋体" w:cs="宋体"/>
                <w:color w:val="auto"/>
                <w:spacing w:val="-1"/>
                <w:sz w:val="24"/>
                <w:szCs w:val="24"/>
                <w:highlight w:val="none"/>
                <w:lang w:val="en-US" w:eastAsia="zh-CN"/>
              </w:rPr>
              <w:t>.</w:t>
            </w:r>
            <w:r>
              <w:rPr>
                <w:rFonts w:ascii="宋体" w:hAnsi="宋体" w:eastAsia="宋体" w:cs="宋体"/>
                <w:color w:val="auto"/>
                <w:spacing w:val="-1"/>
                <w:sz w:val="24"/>
                <w:szCs w:val="24"/>
                <w:highlight w:val="none"/>
              </w:rPr>
              <w:t>拟派施工现场专职安全生产管理人员“三类人员”C 类证书；</w:t>
            </w:r>
          </w:p>
          <w:p w14:paraId="13E1D5C8">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11</w:t>
            </w:r>
            <w:r>
              <w:rPr>
                <w:rFonts w:hint="eastAsia" w:ascii="宋体" w:hAnsi="宋体" w:eastAsia="宋体" w:cs="宋体"/>
                <w:color w:val="auto"/>
                <w:spacing w:val="-1"/>
                <w:sz w:val="24"/>
                <w:szCs w:val="24"/>
                <w:highlight w:val="none"/>
                <w:lang w:val="en-US" w:eastAsia="zh-CN"/>
              </w:rPr>
              <w:t>.</w:t>
            </w:r>
            <w:r>
              <w:rPr>
                <w:rFonts w:ascii="宋体" w:hAnsi="宋体" w:eastAsia="宋体" w:cs="宋体"/>
                <w:color w:val="auto"/>
                <w:spacing w:val="-1"/>
                <w:sz w:val="24"/>
                <w:szCs w:val="24"/>
                <w:highlight w:val="none"/>
              </w:rPr>
              <w:t>拟派项目组主要人员在浙江省水利厅“浙江省水利工程建设管理系统（透明工程）</w:t>
            </w:r>
            <w:r>
              <w:rPr>
                <w:rFonts w:hint="eastAsia" w:cs="宋体"/>
                <w:color w:val="auto"/>
                <w:spacing w:val="-1"/>
                <w:sz w:val="24"/>
                <w:szCs w:val="24"/>
                <w:highlight w:val="none"/>
                <w:lang w:eastAsia="zh-CN"/>
              </w:rPr>
              <w:t>”</w:t>
            </w:r>
            <w:r>
              <w:rPr>
                <w:rFonts w:ascii="宋体" w:hAnsi="宋体" w:eastAsia="宋体" w:cs="宋体"/>
                <w:color w:val="auto"/>
                <w:spacing w:val="-1"/>
                <w:sz w:val="24"/>
                <w:szCs w:val="24"/>
                <w:highlight w:val="none"/>
              </w:rPr>
              <w:t>下载人员信息打印件，打印件应含有“浙江水利透明工程”水印；</w:t>
            </w:r>
          </w:p>
          <w:p w14:paraId="5AD518A3">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12</w:t>
            </w:r>
            <w:r>
              <w:rPr>
                <w:rFonts w:hint="eastAsia" w:ascii="宋体" w:hAnsi="宋体" w:eastAsia="宋体" w:cs="宋体"/>
                <w:color w:val="auto"/>
                <w:spacing w:val="-1"/>
                <w:sz w:val="24"/>
                <w:szCs w:val="24"/>
                <w:highlight w:val="none"/>
                <w:lang w:val="en-US" w:eastAsia="zh-CN"/>
              </w:rPr>
              <w:t>.</w:t>
            </w:r>
            <w:r>
              <w:rPr>
                <w:rFonts w:ascii="宋体" w:hAnsi="宋体" w:eastAsia="宋体" w:cs="宋体"/>
                <w:color w:val="auto"/>
                <w:spacing w:val="-1"/>
                <w:sz w:val="24"/>
                <w:szCs w:val="24"/>
                <w:highlight w:val="none"/>
              </w:rPr>
              <w:t>投标承诺书（按照招标文件提供的格式条款提供）并附无行贿犯罪、失信被执行人名单查询截图（查询时间应在招标公告发布后投标截止时间前）；</w:t>
            </w:r>
          </w:p>
          <w:p w14:paraId="2D4F55E5">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rFonts w:ascii="宋体" w:hAnsi="宋体" w:eastAsia="宋体" w:cs="宋体"/>
                <w:strike/>
                <w:dstrike w:val="0"/>
                <w:color w:val="auto"/>
                <w:spacing w:val="-1"/>
                <w:sz w:val="24"/>
                <w:szCs w:val="24"/>
                <w:highlight w:val="none"/>
              </w:rPr>
            </w:pPr>
            <w:r>
              <w:rPr>
                <w:rFonts w:ascii="宋体" w:hAnsi="宋体" w:eastAsia="宋体" w:cs="宋体"/>
                <w:strike/>
                <w:dstrike w:val="0"/>
                <w:color w:val="auto"/>
                <w:spacing w:val="-1"/>
                <w:sz w:val="24"/>
                <w:szCs w:val="24"/>
                <w:highlight w:val="none"/>
              </w:rPr>
              <w:t>□13</w:t>
            </w:r>
            <w:r>
              <w:rPr>
                <w:rFonts w:hint="eastAsia" w:ascii="宋体" w:hAnsi="宋体" w:eastAsia="宋体" w:cs="宋体"/>
                <w:strike/>
                <w:dstrike w:val="0"/>
                <w:color w:val="auto"/>
                <w:spacing w:val="-1"/>
                <w:sz w:val="24"/>
                <w:szCs w:val="24"/>
                <w:highlight w:val="none"/>
                <w:lang w:val="en-US" w:eastAsia="zh-CN"/>
              </w:rPr>
              <w:t>.</w:t>
            </w:r>
            <w:r>
              <w:rPr>
                <w:rFonts w:ascii="宋体" w:hAnsi="宋体" w:eastAsia="宋体" w:cs="宋体"/>
                <w:strike/>
                <w:dstrike w:val="0"/>
                <w:color w:val="auto"/>
                <w:spacing w:val="-1"/>
                <w:sz w:val="24"/>
                <w:szCs w:val="24"/>
                <w:highlight w:val="none"/>
              </w:rPr>
              <w:t>《中小企业声明函》（面向中小企业招标的，投标人或联合体中的中小企业需提供。按照招标文件提供的格式条款提供）。</w:t>
            </w:r>
          </w:p>
          <w:p w14:paraId="0B9A592F">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rFonts w:ascii="宋体" w:hAnsi="宋体" w:eastAsia="宋体" w:cs="宋体"/>
                <w:strike/>
                <w:dstrike w:val="0"/>
                <w:color w:val="auto"/>
                <w:spacing w:val="-1"/>
                <w:sz w:val="24"/>
                <w:szCs w:val="24"/>
                <w:highlight w:val="none"/>
              </w:rPr>
            </w:pPr>
            <w:r>
              <w:rPr>
                <w:rFonts w:hint="eastAsia" w:cs="宋体"/>
                <w:strike/>
                <w:dstrike w:val="0"/>
                <w:color w:val="auto"/>
                <w:spacing w:val="-1"/>
                <w:sz w:val="24"/>
                <w:szCs w:val="24"/>
                <w:highlight w:val="none"/>
                <w:lang w:eastAsia="zh-CN"/>
              </w:rPr>
              <w:t>□</w:t>
            </w:r>
            <w:r>
              <w:rPr>
                <w:rFonts w:ascii="宋体" w:hAnsi="宋体" w:eastAsia="宋体" w:cs="宋体"/>
                <w:strike/>
                <w:dstrike w:val="0"/>
                <w:color w:val="auto"/>
                <w:spacing w:val="-1"/>
                <w:sz w:val="24"/>
                <w:szCs w:val="24"/>
                <w:highlight w:val="none"/>
              </w:rPr>
              <w:t>14</w:t>
            </w:r>
            <w:r>
              <w:rPr>
                <w:rFonts w:hint="eastAsia" w:ascii="宋体" w:hAnsi="宋体" w:eastAsia="宋体" w:cs="宋体"/>
                <w:strike/>
                <w:dstrike w:val="0"/>
                <w:color w:val="auto"/>
                <w:spacing w:val="-1"/>
                <w:sz w:val="24"/>
                <w:szCs w:val="24"/>
                <w:highlight w:val="none"/>
                <w:lang w:val="en-US" w:eastAsia="zh-CN"/>
              </w:rPr>
              <w:t>.</w:t>
            </w:r>
            <w:r>
              <w:rPr>
                <w:rFonts w:ascii="宋体" w:hAnsi="宋体" w:eastAsia="宋体" w:cs="宋体"/>
                <w:strike/>
                <w:dstrike w:val="0"/>
                <w:color w:val="auto"/>
                <w:spacing w:val="-1"/>
                <w:sz w:val="24"/>
                <w:szCs w:val="24"/>
                <w:highlight w:val="none"/>
              </w:rPr>
              <w:t>符合招标公告要求的类似项目施工业绩证明材料；</w:t>
            </w:r>
          </w:p>
          <w:p w14:paraId="48A74BE6">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rFonts w:hint="eastAsia" w:ascii="宋体" w:hAnsi="宋体" w:eastAsia="宋体" w:cs="宋体"/>
                <w:color w:val="auto"/>
                <w:spacing w:val="-1"/>
                <w:sz w:val="24"/>
                <w:szCs w:val="24"/>
                <w:highlight w:val="none"/>
                <w:lang w:eastAsia="zh-CN"/>
              </w:rPr>
            </w:pPr>
            <w:r>
              <w:rPr>
                <w:rFonts w:hint="eastAsia" w:cs="宋体"/>
                <w:color w:val="auto"/>
                <w:spacing w:val="-1"/>
                <w:sz w:val="24"/>
                <w:szCs w:val="24"/>
                <w:highlight w:val="none"/>
                <w:lang w:eastAsia="zh-CN"/>
              </w:rPr>
              <w:t>☑</w:t>
            </w:r>
            <w:r>
              <w:rPr>
                <w:rFonts w:ascii="宋体" w:hAnsi="宋体" w:eastAsia="宋体" w:cs="宋体"/>
                <w:color w:val="auto"/>
                <w:spacing w:val="-1"/>
                <w:sz w:val="24"/>
                <w:szCs w:val="24"/>
                <w:highlight w:val="none"/>
              </w:rPr>
              <w:t>15</w:t>
            </w:r>
            <w:r>
              <w:rPr>
                <w:rFonts w:hint="eastAsia" w:ascii="宋体" w:hAnsi="宋体" w:eastAsia="宋体" w:cs="宋体"/>
                <w:color w:val="auto"/>
                <w:spacing w:val="-1"/>
                <w:sz w:val="24"/>
                <w:szCs w:val="24"/>
                <w:highlight w:val="none"/>
                <w:lang w:val="en-US" w:eastAsia="zh-CN"/>
              </w:rPr>
              <w:t>.</w:t>
            </w:r>
            <w:r>
              <w:rPr>
                <w:rFonts w:ascii="宋体" w:hAnsi="宋体" w:eastAsia="宋体" w:cs="宋体"/>
                <w:color w:val="auto"/>
                <w:spacing w:val="-1"/>
                <w:sz w:val="24"/>
                <w:szCs w:val="24"/>
                <w:highlight w:val="none"/>
              </w:rPr>
              <w:t>投标保证金缴纳证明资料（</w:t>
            </w:r>
            <w:r>
              <w:rPr>
                <w:rFonts w:hint="eastAsia"/>
                <w:color w:val="auto"/>
                <w:sz w:val="24"/>
                <w:szCs w:val="24"/>
                <w:highlight w:val="none"/>
                <w:lang w:eastAsia="zh-CN"/>
              </w:rPr>
              <w:t>由评标专家在系统中核查是否有“已缴纳有效保证金的标识”</w:t>
            </w:r>
            <w:r>
              <w:rPr>
                <w:rFonts w:ascii="宋体" w:hAnsi="宋体" w:eastAsia="宋体" w:cs="宋体"/>
                <w:color w:val="auto"/>
                <w:spacing w:val="-1"/>
                <w:sz w:val="24"/>
                <w:szCs w:val="24"/>
                <w:highlight w:val="none"/>
              </w:rPr>
              <w:t>）</w:t>
            </w:r>
            <w:r>
              <w:rPr>
                <w:rFonts w:hint="eastAsia" w:cs="宋体"/>
                <w:color w:val="auto"/>
                <w:spacing w:val="-1"/>
                <w:sz w:val="24"/>
                <w:szCs w:val="24"/>
                <w:highlight w:val="none"/>
                <w:lang w:eastAsia="zh-CN"/>
              </w:rPr>
              <w:t>；</w:t>
            </w:r>
          </w:p>
          <w:p w14:paraId="66239298">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rFonts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lang w:val="en-US" w:eastAsia="zh-CN"/>
              </w:rPr>
              <w:t>16.</w:t>
            </w:r>
            <w:r>
              <w:rPr>
                <w:rFonts w:ascii="宋体" w:hAnsi="宋体" w:eastAsia="宋体" w:cs="宋体"/>
                <w:color w:val="auto"/>
                <w:spacing w:val="-1"/>
                <w:sz w:val="24"/>
                <w:szCs w:val="24"/>
                <w:highlight w:val="none"/>
              </w:rPr>
              <w:t>拟派项目组主要人员应提供</w:t>
            </w:r>
            <w:r>
              <w:rPr>
                <w:rFonts w:hint="eastAsia" w:ascii="宋体" w:hAnsi="宋体" w:eastAsia="宋体" w:cs="宋体"/>
                <w:color w:val="auto"/>
                <w:spacing w:val="-1"/>
                <w:sz w:val="24"/>
                <w:szCs w:val="24"/>
                <w:highlight w:val="none"/>
                <w:lang w:val="en-US" w:eastAsia="zh-CN"/>
              </w:rPr>
              <w:t>2025</w:t>
            </w:r>
            <w:r>
              <w:rPr>
                <w:rFonts w:ascii="宋体" w:hAnsi="宋体" w:eastAsia="宋体" w:cs="宋体"/>
                <w:color w:val="auto"/>
                <w:spacing w:val="-1"/>
                <w:sz w:val="24"/>
                <w:szCs w:val="24"/>
                <w:highlight w:val="none"/>
              </w:rPr>
              <w:t>年</w:t>
            </w:r>
            <w:r>
              <w:rPr>
                <w:rFonts w:ascii="宋体" w:hAnsi="宋体" w:eastAsia="宋体" w:cs="宋体"/>
                <w:color w:val="auto"/>
                <w:spacing w:val="-1"/>
                <w:sz w:val="24"/>
                <w:szCs w:val="24"/>
                <w:highlight w:val="none"/>
                <w:u w:val="single"/>
              </w:rPr>
              <w:t xml:space="preserve"> </w:t>
            </w:r>
            <w:r>
              <w:rPr>
                <w:rFonts w:hint="eastAsia" w:cs="宋体"/>
                <w:color w:val="auto"/>
                <w:spacing w:val="-1"/>
                <w:sz w:val="24"/>
                <w:szCs w:val="24"/>
                <w:highlight w:val="none"/>
                <w:u w:val="single"/>
                <w:lang w:val="en-US" w:eastAsia="zh-CN"/>
              </w:rPr>
              <w:t>10</w:t>
            </w:r>
            <w:r>
              <w:rPr>
                <w:rFonts w:ascii="宋体" w:hAnsi="宋体" w:eastAsia="宋体" w:cs="宋体"/>
                <w:color w:val="auto"/>
                <w:spacing w:val="-1"/>
                <w:sz w:val="24"/>
                <w:szCs w:val="24"/>
                <w:highlight w:val="none"/>
                <w:u w:val="single"/>
              </w:rPr>
              <w:t xml:space="preserve"> </w:t>
            </w:r>
            <w:r>
              <w:rPr>
                <w:rFonts w:ascii="宋体" w:hAnsi="宋体" w:eastAsia="宋体" w:cs="宋体"/>
                <w:color w:val="auto"/>
                <w:spacing w:val="-1"/>
                <w:sz w:val="24"/>
                <w:szCs w:val="24"/>
                <w:highlight w:val="none"/>
              </w:rPr>
              <w:t xml:space="preserve">月、    </w:t>
            </w:r>
            <w:r>
              <w:rPr>
                <w:rFonts w:hint="eastAsia" w:ascii="宋体" w:hAnsi="宋体" w:eastAsia="宋体" w:cs="宋体"/>
                <w:color w:val="auto"/>
                <w:spacing w:val="-1"/>
                <w:sz w:val="24"/>
                <w:szCs w:val="24"/>
                <w:highlight w:val="none"/>
                <w:lang w:val="en-US" w:eastAsia="zh-CN"/>
              </w:rPr>
              <w:t>2025</w:t>
            </w:r>
            <w:r>
              <w:rPr>
                <w:rFonts w:ascii="宋体" w:hAnsi="宋体" w:eastAsia="宋体" w:cs="宋体"/>
                <w:color w:val="auto"/>
                <w:spacing w:val="-1"/>
                <w:sz w:val="24"/>
                <w:szCs w:val="24"/>
                <w:highlight w:val="none"/>
              </w:rPr>
              <w:t>年</w:t>
            </w:r>
            <w:r>
              <w:rPr>
                <w:rFonts w:ascii="宋体" w:hAnsi="宋体" w:eastAsia="宋体" w:cs="宋体"/>
                <w:color w:val="auto"/>
                <w:spacing w:val="-1"/>
                <w:sz w:val="24"/>
                <w:szCs w:val="24"/>
                <w:highlight w:val="none"/>
                <w:u w:val="single"/>
              </w:rPr>
              <w:t xml:space="preserve">  </w:t>
            </w:r>
            <w:r>
              <w:rPr>
                <w:rFonts w:hint="eastAsia" w:cs="宋体"/>
                <w:color w:val="auto"/>
                <w:spacing w:val="-1"/>
                <w:sz w:val="24"/>
                <w:szCs w:val="24"/>
                <w:highlight w:val="none"/>
                <w:u w:val="single"/>
                <w:lang w:val="en-US" w:eastAsia="zh-CN"/>
              </w:rPr>
              <w:t>11</w:t>
            </w:r>
            <w:r>
              <w:rPr>
                <w:rFonts w:ascii="宋体" w:hAnsi="宋体" w:eastAsia="宋体" w:cs="宋体"/>
                <w:color w:val="auto"/>
                <w:spacing w:val="-1"/>
                <w:sz w:val="24"/>
                <w:szCs w:val="24"/>
                <w:highlight w:val="none"/>
                <w:u w:val="single"/>
              </w:rPr>
              <w:t xml:space="preserve"> </w:t>
            </w:r>
            <w:r>
              <w:rPr>
                <w:rFonts w:ascii="宋体" w:hAnsi="宋体" w:eastAsia="宋体" w:cs="宋体"/>
                <w:color w:val="auto"/>
                <w:spacing w:val="-1"/>
                <w:sz w:val="24"/>
                <w:szCs w:val="24"/>
                <w:highlight w:val="none"/>
              </w:rPr>
              <w:t>月、</w:t>
            </w:r>
            <w:r>
              <w:rPr>
                <w:rFonts w:hint="eastAsia" w:ascii="宋体" w:hAnsi="宋体" w:eastAsia="宋体" w:cs="宋体"/>
                <w:color w:val="auto"/>
                <w:spacing w:val="-1"/>
                <w:sz w:val="24"/>
                <w:szCs w:val="24"/>
                <w:highlight w:val="none"/>
                <w:lang w:val="en-US" w:eastAsia="zh-CN"/>
              </w:rPr>
              <w:t>2025</w:t>
            </w:r>
            <w:r>
              <w:rPr>
                <w:rFonts w:ascii="宋体" w:hAnsi="宋体" w:eastAsia="宋体" w:cs="宋体"/>
                <w:color w:val="auto"/>
                <w:spacing w:val="-1"/>
                <w:sz w:val="24"/>
                <w:szCs w:val="24"/>
                <w:highlight w:val="none"/>
              </w:rPr>
              <w:t>年</w:t>
            </w:r>
            <w:r>
              <w:rPr>
                <w:rFonts w:ascii="宋体" w:hAnsi="宋体" w:eastAsia="宋体" w:cs="宋体"/>
                <w:color w:val="auto"/>
                <w:spacing w:val="-1"/>
                <w:sz w:val="24"/>
                <w:szCs w:val="24"/>
                <w:highlight w:val="none"/>
                <w:u w:val="single"/>
              </w:rPr>
              <w:t xml:space="preserve"> </w:t>
            </w:r>
            <w:r>
              <w:rPr>
                <w:rFonts w:hint="eastAsia" w:cs="宋体"/>
                <w:color w:val="auto"/>
                <w:spacing w:val="-1"/>
                <w:sz w:val="24"/>
                <w:szCs w:val="24"/>
                <w:highlight w:val="none"/>
                <w:u w:val="single"/>
                <w:lang w:val="en-US" w:eastAsia="zh-CN"/>
              </w:rPr>
              <w:t xml:space="preserve">12 </w:t>
            </w:r>
            <w:r>
              <w:rPr>
                <w:rFonts w:ascii="宋体" w:hAnsi="宋体" w:eastAsia="宋体" w:cs="宋体"/>
                <w:color w:val="auto"/>
                <w:spacing w:val="-1"/>
                <w:sz w:val="24"/>
                <w:szCs w:val="24"/>
                <w:highlight w:val="none"/>
              </w:rPr>
              <w:t>月投标人为其缴纳的社保证明（投标截止时间最近连续3个月），否则视同不是本单位人员。</w:t>
            </w:r>
          </w:p>
          <w:p w14:paraId="707CFCD5">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17.委托代理人（若有）应提供</w:t>
            </w:r>
            <w:r>
              <w:rPr>
                <w:rFonts w:hint="eastAsia" w:ascii="宋体" w:hAnsi="宋体" w:eastAsia="宋体" w:cs="宋体"/>
                <w:color w:val="auto"/>
                <w:spacing w:val="-1"/>
                <w:sz w:val="24"/>
                <w:szCs w:val="24"/>
                <w:highlight w:val="none"/>
                <w:lang w:val="en-US" w:eastAsia="zh-CN"/>
              </w:rPr>
              <w:t>2025</w:t>
            </w:r>
            <w:r>
              <w:rPr>
                <w:rFonts w:ascii="宋体" w:hAnsi="宋体" w:eastAsia="宋体" w:cs="宋体"/>
                <w:color w:val="auto"/>
                <w:spacing w:val="-1"/>
                <w:sz w:val="24"/>
                <w:szCs w:val="24"/>
                <w:highlight w:val="none"/>
              </w:rPr>
              <w:t>年</w:t>
            </w:r>
            <w:r>
              <w:rPr>
                <w:rFonts w:ascii="宋体" w:hAnsi="宋体" w:eastAsia="宋体" w:cs="宋体"/>
                <w:color w:val="auto"/>
                <w:spacing w:val="-1"/>
                <w:sz w:val="24"/>
                <w:szCs w:val="24"/>
                <w:highlight w:val="none"/>
                <w:u w:val="single"/>
              </w:rPr>
              <w:t xml:space="preserve"> </w:t>
            </w:r>
            <w:r>
              <w:rPr>
                <w:rFonts w:hint="eastAsia" w:cs="宋体"/>
                <w:color w:val="auto"/>
                <w:spacing w:val="-1"/>
                <w:sz w:val="24"/>
                <w:szCs w:val="24"/>
                <w:highlight w:val="none"/>
                <w:u w:val="single"/>
                <w:lang w:val="en-US" w:eastAsia="zh-CN"/>
              </w:rPr>
              <w:t>10</w:t>
            </w:r>
            <w:r>
              <w:rPr>
                <w:rFonts w:ascii="宋体" w:hAnsi="宋体" w:eastAsia="宋体" w:cs="宋体"/>
                <w:color w:val="auto"/>
                <w:spacing w:val="-1"/>
                <w:sz w:val="24"/>
                <w:szCs w:val="24"/>
                <w:highlight w:val="none"/>
                <w:u w:val="single"/>
              </w:rPr>
              <w:t xml:space="preserve"> </w:t>
            </w:r>
            <w:r>
              <w:rPr>
                <w:rFonts w:ascii="宋体" w:hAnsi="宋体" w:eastAsia="宋体" w:cs="宋体"/>
                <w:color w:val="auto"/>
                <w:spacing w:val="-1"/>
                <w:sz w:val="24"/>
                <w:szCs w:val="24"/>
                <w:highlight w:val="none"/>
              </w:rPr>
              <w:t xml:space="preserve">月、 </w:t>
            </w:r>
            <w:r>
              <w:rPr>
                <w:rFonts w:hint="eastAsia" w:ascii="宋体" w:hAnsi="宋体" w:eastAsia="宋体" w:cs="宋体"/>
                <w:color w:val="auto"/>
                <w:spacing w:val="-1"/>
                <w:sz w:val="24"/>
                <w:szCs w:val="24"/>
                <w:highlight w:val="none"/>
                <w:lang w:val="en-US" w:eastAsia="zh-CN"/>
              </w:rPr>
              <w:t>2025</w:t>
            </w:r>
            <w:r>
              <w:rPr>
                <w:rFonts w:ascii="宋体" w:hAnsi="宋体" w:eastAsia="宋体" w:cs="宋体"/>
                <w:color w:val="auto"/>
                <w:spacing w:val="-1"/>
                <w:sz w:val="24"/>
                <w:szCs w:val="24"/>
                <w:highlight w:val="none"/>
              </w:rPr>
              <w:t>年</w:t>
            </w:r>
            <w:r>
              <w:rPr>
                <w:rFonts w:ascii="宋体" w:hAnsi="宋体" w:eastAsia="宋体" w:cs="宋体"/>
                <w:color w:val="auto"/>
                <w:spacing w:val="-1"/>
                <w:sz w:val="24"/>
                <w:szCs w:val="24"/>
                <w:highlight w:val="none"/>
                <w:u w:val="single"/>
              </w:rPr>
              <w:t xml:space="preserve"> </w:t>
            </w:r>
            <w:r>
              <w:rPr>
                <w:rFonts w:hint="eastAsia" w:cs="宋体"/>
                <w:color w:val="auto"/>
                <w:spacing w:val="-1"/>
                <w:sz w:val="24"/>
                <w:szCs w:val="24"/>
                <w:highlight w:val="none"/>
                <w:u w:val="single"/>
                <w:lang w:val="en-US" w:eastAsia="zh-CN"/>
              </w:rPr>
              <w:t>11</w:t>
            </w:r>
            <w:r>
              <w:rPr>
                <w:rFonts w:ascii="宋体" w:hAnsi="宋体" w:eastAsia="宋体" w:cs="宋体"/>
                <w:color w:val="auto"/>
                <w:spacing w:val="-1"/>
                <w:sz w:val="24"/>
                <w:szCs w:val="24"/>
                <w:highlight w:val="none"/>
                <w:u w:val="single"/>
              </w:rPr>
              <w:t xml:space="preserve"> </w:t>
            </w:r>
            <w:r>
              <w:rPr>
                <w:rFonts w:ascii="宋体" w:hAnsi="宋体" w:eastAsia="宋体" w:cs="宋体"/>
                <w:color w:val="auto"/>
                <w:spacing w:val="-1"/>
                <w:sz w:val="24"/>
                <w:szCs w:val="24"/>
                <w:highlight w:val="none"/>
              </w:rPr>
              <w:t>月、</w:t>
            </w:r>
            <w:r>
              <w:rPr>
                <w:rFonts w:hint="eastAsia" w:ascii="宋体" w:hAnsi="宋体" w:eastAsia="宋体" w:cs="宋体"/>
                <w:color w:val="auto"/>
                <w:spacing w:val="-1"/>
                <w:sz w:val="24"/>
                <w:szCs w:val="24"/>
                <w:highlight w:val="none"/>
                <w:lang w:val="en-US" w:eastAsia="zh-CN"/>
              </w:rPr>
              <w:t>2025</w:t>
            </w:r>
            <w:r>
              <w:rPr>
                <w:rFonts w:ascii="宋体" w:hAnsi="宋体" w:eastAsia="宋体" w:cs="宋体"/>
                <w:color w:val="auto"/>
                <w:spacing w:val="-1"/>
                <w:sz w:val="24"/>
                <w:szCs w:val="24"/>
                <w:highlight w:val="none"/>
              </w:rPr>
              <w:t>年</w:t>
            </w:r>
            <w:r>
              <w:rPr>
                <w:rFonts w:ascii="宋体" w:hAnsi="宋体" w:eastAsia="宋体" w:cs="宋体"/>
                <w:color w:val="auto"/>
                <w:spacing w:val="-1"/>
                <w:sz w:val="24"/>
                <w:szCs w:val="24"/>
                <w:highlight w:val="none"/>
                <w:u w:val="single"/>
              </w:rPr>
              <w:t xml:space="preserve"> </w:t>
            </w:r>
            <w:r>
              <w:rPr>
                <w:rFonts w:hint="eastAsia" w:cs="宋体"/>
                <w:color w:val="auto"/>
                <w:spacing w:val="-1"/>
                <w:sz w:val="24"/>
                <w:szCs w:val="24"/>
                <w:highlight w:val="none"/>
                <w:u w:val="single"/>
                <w:lang w:val="en-US" w:eastAsia="zh-CN"/>
              </w:rPr>
              <w:t>12</w:t>
            </w:r>
            <w:r>
              <w:rPr>
                <w:rFonts w:ascii="宋体" w:hAnsi="宋体" w:eastAsia="宋体" w:cs="宋体"/>
                <w:color w:val="auto"/>
                <w:spacing w:val="-1"/>
                <w:sz w:val="24"/>
                <w:szCs w:val="24"/>
                <w:highlight w:val="none"/>
                <w:u w:val="single"/>
              </w:rPr>
              <w:t xml:space="preserve"> </w:t>
            </w:r>
            <w:r>
              <w:rPr>
                <w:rFonts w:ascii="宋体" w:hAnsi="宋体" w:eastAsia="宋体" w:cs="宋体"/>
                <w:color w:val="auto"/>
                <w:spacing w:val="-1"/>
                <w:sz w:val="24"/>
                <w:szCs w:val="24"/>
                <w:highlight w:val="none"/>
              </w:rPr>
              <w:t>月投标人为其缴纳的社保证明（投标截止时间最近连续3个月），否则视同不是本单位人员。</w:t>
            </w:r>
          </w:p>
          <w:p w14:paraId="5F50B9A3">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rFonts w:hint="eastAsia" w:ascii="宋体" w:hAnsi="宋体" w:eastAsia="宋体" w:cs="宋体"/>
                <w:color w:val="auto"/>
                <w:spacing w:val="-1"/>
                <w:sz w:val="24"/>
                <w:szCs w:val="24"/>
                <w:highlight w:val="none"/>
                <w:lang w:eastAsia="zh-CN"/>
              </w:rPr>
            </w:pPr>
            <w:r>
              <w:rPr>
                <w:rFonts w:hint="eastAsia" w:cs="宋体"/>
                <w:color w:val="auto"/>
                <w:spacing w:val="-1"/>
                <w:sz w:val="24"/>
                <w:szCs w:val="24"/>
                <w:highlight w:val="none"/>
                <w:lang w:eastAsia="zh-CN"/>
              </w:rPr>
              <w:t>□</w:t>
            </w:r>
            <w:r>
              <w:rPr>
                <w:rFonts w:ascii="宋体" w:hAnsi="宋体" w:eastAsia="宋体" w:cs="宋体"/>
                <w:color w:val="auto"/>
                <w:spacing w:val="-1"/>
                <w:sz w:val="24"/>
                <w:szCs w:val="24"/>
                <w:highlight w:val="none"/>
              </w:rPr>
              <w:t>18</w:t>
            </w:r>
            <w:r>
              <w:rPr>
                <w:rFonts w:hint="eastAsia" w:cs="宋体"/>
                <w:color w:val="auto"/>
                <w:spacing w:val="-1"/>
                <w:sz w:val="24"/>
                <w:szCs w:val="24"/>
                <w:highlight w:val="none"/>
                <w:u w:val="single"/>
                <w:lang w:val="en-US" w:eastAsia="zh-CN"/>
              </w:rPr>
              <w:t xml:space="preserve">  /   </w:t>
            </w:r>
            <w:r>
              <w:rPr>
                <w:rFonts w:hint="eastAsia" w:ascii="宋体" w:hAnsi="宋体" w:eastAsia="宋体" w:cs="宋体"/>
                <w:color w:val="auto"/>
                <w:spacing w:val="-1"/>
                <w:sz w:val="24"/>
                <w:szCs w:val="24"/>
                <w:highlight w:val="none"/>
              </w:rPr>
              <w:t>.(招标人认为需要增加的其他符合法律法规规定的实质性响应资料)</w:t>
            </w:r>
            <w:r>
              <w:rPr>
                <w:rFonts w:hint="eastAsia" w:cs="宋体"/>
                <w:color w:val="auto"/>
                <w:spacing w:val="-1"/>
                <w:sz w:val="24"/>
                <w:szCs w:val="24"/>
                <w:highlight w:val="none"/>
                <w:lang w:eastAsia="zh-CN"/>
              </w:rPr>
              <w:t>。</w:t>
            </w:r>
          </w:p>
          <w:p w14:paraId="760312FA">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rFonts w:ascii="宋体" w:hAnsi="宋体" w:eastAsia="宋体" w:cs="宋体"/>
                <w:color w:val="auto"/>
                <w:spacing w:val="-1"/>
                <w:sz w:val="24"/>
                <w:szCs w:val="24"/>
                <w:highlight w:val="none"/>
              </w:rPr>
            </w:pPr>
            <w:r>
              <w:rPr>
                <w:rFonts w:hint="eastAsia" w:cs="宋体"/>
                <w:color w:val="auto"/>
                <w:spacing w:val="-1"/>
                <w:sz w:val="24"/>
                <w:szCs w:val="24"/>
                <w:highlight w:val="none"/>
                <w:lang w:eastAsia="zh-CN"/>
              </w:rPr>
              <w:t>☑</w:t>
            </w:r>
            <w:r>
              <w:rPr>
                <w:rFonts w:ascii="宋体" w:hAnsi="宋体" w:eastAsia="宋体" w:cs="宋体"/>
                <w:color w:val="auto"/>
                <w:spacing w:val="-1"/>
                <w:sz w:val="24"/>
                <w:szCs w:val="24"/>
                <w:highlight w:val="none"/>
              </w:rPr>
              <w:t>二、评审打分资料：（详见评标办法要求，未提供的不予评分）</w:t>
            </w:r>
          </w:p>
          <w:p w14:paraId="7CC35330">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rFonts w:ascii="宋体" w:hAnsi="宋体" w:eastAsia="宋体" w:cs="宋体"/>
                <w:color w:val="auto"/>
                <w:spacing w:val="-1"/>
                <w:sz w:val="24"/>
                <w:szCs w:val="24"/>
                <w:highlight w:val="none"/>
                <w:u w:val="single"/>
              </w:rPr>
            </w:pPr>
            <w:r>
              <w:rPr>
                <w:rFonts w:ascii="宋体" w:hAnsi="宋体" w:eastAsia="宋体" w:cs="宋体"/>
                <w:color w:val="auto"/>
                <w:spacing w:val="-1"/>
                <w:sz w:val="24"/>
                <w:szCs w:val="24"/>
                <w:highlight w:val="none"/>
              </w:rPr>
              <w:tab/>
            </w:r>
            <w:r>
              <w:rPr>
                <w:rFonts w:ascii="宋体" w:hAnsi="宋体" w:eastAsia="宋体" w:cs="宋体"/>
                <w:color w:val="auto"/>
                <w:spacing w:val="-1"/>
                <w:sz w:val="24"/>
                <w:szCs w:val="24"/>
                <w:highlight w:val="none"/>
                <w:u w:val="single"/>
              </w:rPr>
              <w:t xml:space="preserve">根据评标办法要求提供   </w:t>
            </w:r>
          </w:p>
          <w:p w14:paraId="3B7E15A3">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以上一、二条涉及证书均应在有效期内（已在有效期外尚在办理延期过程中的视为无效）。资料应在投标文件中附复制件，并加盖投标人公章。</w:t>
            </w:r>
          </w:p>
          <w:p w14:paraId="773E66A9">
            <w:pPr>
              <w:pStyle w:val="17"/>
              <w:keepNext w:val="0"/>
              <w:keepLines w:val="0"/>
              <w:pageBreakBefore w:val="0"/>
              <w:widowControl/>
              <w:kinsoku w:val="0"/>
              <w:wordWrap/>
              <w:overflowPunct/>
              <w:topLinePunct w:val="0"/>
              <w:autoSpaceDE w:val="0"/>
              <w:autoSpaceDN w:val="0"/>
              <w:bidi w:val="0"/>
              <w:adjustRightInd w:val="0"/>
              <w:snapToGrid w:val="0"/>
              <w:spacing w:before="119" w:line="284" w:lineRule="auto"/>
              <w:ind w:firstLine="238" w:firstLineChars="100"/>
              <w:textAlignment w:val="baseline"/>
              <w:rPr>
                <w:color w:val="auto"/>
                <w:sz w:val="24"/>
                <w:szCs w:val="24"/>
                <w:highlight w:val="none"/>
              </w:rPr>
            </w:pPr>
            <w:r>
              <w:rPr>
                <w:rFonts w:ascii="宋体" w:hAnsi="宋体" w:eastAsia="宋体" w:cs="宋体"/>
                <w:color w:val="auto"/>
                <w:spacing w:val="-1"/>
                <w:sz w:val="24"/>
                <w:szCs w:val="24"/>
                <w:highlight w:val="none"/>
              </w:rPr>
              <w:t>退休人员应提供：退休证明（退休证或退休审批表）、退休返聘协议。</w:t>
            </w:r>
          </w:p>
        </w:tc>
      </w:tr>
      <w:tr w14:paraId="40DD8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trPr>
        <w:tc>
          <w:tcPr>
            <w:tcW w:w="953" w:type="dxa"/>
            <w:tcBorders>
              <w:left w:val="single" w:color="000000" w:sz="6" w:space="0"/>
              <w:bottom w:val="single" w:color="000000" w:sz="6" w:space="0"/>
            </w:tcBorders>
            <w:vAlign w:val="top"/>
          </w:tcPr>
          <w:p w14:paraId="7C012C1D">
            <w:pPr>
              <w:spacing w:line="269" w:lineRule="auto"/>
              <w:rPr>
                <w:rFonts w:ascii="Arial"/>
                <w:color w:val="auto"/>
                <w:sz w:val="24"/>
                <w:szCs w:val="24"/>
                <w:highlight w:val="none"/>
              </w:rPr>
            </w:pPr>
          </w:p>
          <w:p w14:paraId="2BD200DA">
            <w:pPr>
              <w:spacing w:before="61" w:line="187" w:lineRule="auto"/>
              <w:ind w:left="307" w:leftChars="0"/>
              <w:rPr>
                <w:rFonts w:ascii="Times New Roman" w:hAnsi="Times New Roman" w:eastAsia="Times New Roman" w:cs="Times New Roman"/>
                <w:color w:val="auto"/>
                <w:spacing w:val="-5"/>
                <w:sz w:val="24"/>
                <w:szCs w:val="24"/>
                <w:highlight w:val="none"/>
              </w:rPr>
            </w:pPr>
            <w:r>
              <w:rPr>
                <w:rFonts w:ascii="Times New Roman" w:hAnsi="Times New Roman" w:eastAsia="Times New Roman" w:cs="Times New Roman"/>
                <w:color w:val="auto"/>
                <w:spacing w:val="-5"/>
                <w:sz w:val="24"/>
                <w:szCs w:val="24"/>
                <w:highlight w:val="none"/>
              </w:rPr>
              <w:t>10.4</w:t>
            </w:r>
          </w:p>
        </w:tc>
        <w:tc>
          <w:tcPr>
            <w:tcW w:w="2444" w:type="dxa"/>
            <w:tcBorders>
              <w:bottom w:val="single" w:color="000000" w:sz="6" w:space="0"/>
            </w:tcBorders>
            <w:vAlign w:val="top"/>
          </w:tcPr>
          <w:p w14:paraId="4771FC97">
            <w:pPr>
              <w:pStyle w:val="17"/>
              <w:spacing w:before="112" w:line="264" w:lineRule="auto"/>
              <w:ind w:left="105" w:leftChars="0" w:right="106" w:rightChars="0" w:firstLine="20" w:firstLineChars="0"/>
              <w:rPr>
                <w:color w:val="auto"/>
                <w:spacing w:val="12"/>
                <w:sz w:val="24"/>
                <w:szCs w:val="24"/>
                <w:highlight w:val="none"/>
              </w:rPr>
            </w:pPr>
            <w:r>
              <w:rPr>
                <w:color w:val="auto"/>
                <w:spacing w:val="10"/>
                <w:sz w:val="24"/>
                <w:szCs w:val="24"/>
                <w:highlight w:val="none"/>
              </w:rPr>
              <w:t>中标后须提交的投标文</w:t>
            </w:r>
            <w:r>
              <w:rPr>
                <w:color w:val="auto"/>
                <w:spacing w:val="-1"/>
                <w:sz w:val="24"/>
                <w:szCs w:val="24"/>
                <w:highlight w:val="none"/>
              </w:rPr>
              <w:t>件副本份数</w:t>
            </w:r>
          </w:p>
        </w:tc>
        <w:tc>
          <w:tcPr>
            <w:tcW w:w="5606" w:type="dxa"/>
            <w:tcBorders>
              <w:bottom w:val="single" w:color="000000" w:sz="6" w:space="0"/>
              <w:right w:val="single" w:color="000000" w:sz="6" w:space="0"/>
            </w:tcBorders>
            <w:vAlign w:val="top"/>
          </w:tcPr>
          <w:p w14:paraId="53062A55">
            <w:pPr>
              <w:pStyle w:val="17"/>
              <w:tabs>
                <w:tab w:val="left" w:pos="733"/>
              </w:tabs>
              <w:spacing w:before="292" w:line="221" w:lineRule="auto"/>
              <w:ind w:left="101" w:leftChars="0" w:firstLine="240" w:firstLineChars="100"/>
              <w:rPr>
                <w:rFonts w:ascii="宋体" w:hAnsi="宋体" w:eastAsia="宋体" w:cs="宋体"/>
                <w:color w:val="auto"/>
                <w:spacing w:val="-1"/>
                <w:sz w:val="24"/>
                <w:szCs w:val="24"/>
                <w:highlight w:val="none"/>
              </w:rPr>
            </w:pPr>
            <w:r>
              <w:rPr>
                <w:rFonts w:hint="eastAsia"/>
                <w:color w:val="auto"/>
                <w:sz w:val="24"/>
                <w:szCs w:val="24"/>
                <w:highlight w:val="none"/>
                <w:u w:val="single" w:color="auto"/>
                <w:lang w:val="en-US" w:eastAsia="zh-CN"/>
              </w:rPr>
              <w:t>5</w:t>
            </w:r>
            <w:r>
              <w:rPr>
                <w:color w:val="auto"/>
                <w:spacing w:val="-97"/>
                <w:sz w:val="24"/>
                <w:szCs w:val="24"/>
                <w:highlight w:val="none"/>
              </w:rPr>
              <w:t xml:space="preserve"> </w:t>
            </w:r>
            <w:r>
              <w:rPr>
                <w:rFonts w:hint="eastAsia"/>
                <w:color w:val="auto"/>
                <w:spacing w:val="-97"/>
                <w:sz w:val="24"/>
                <w:szCs w:val="24"/>
                <w:highlight w:val="none"/>
                <w:lang w:val="en-US" w:eastAsia="zh-CN"/>
              </w:rPr>
              <w:t xml:space="preserve">    </w:t>
            </w:r>
            <w:r>
              <w:rPr>
                <w:color w:val="auto"/>
                <w:spacing w:val="-10"/>
                <w:sz w:val="24"/>
                <w:szCs w:val="24"/>
                <w:highlight w:val="none"/>
              </w:rPr>
              <w:t>份。</w:t>
            </w:r>
          </w:p>
        </w:tc>
      </w:tr>
    </w:tbl>
    <w:p w14:paraId="61FDDD14">
      <w:pPr>
        <w:rPr>
          <w:color w:val="auto"/>
          <w:highlight w:val="none"/>
        </w:rPr>
        <w:sectPr>
          <w:footerReference r:id="rId11" w:type="default"/>
          <w:pgSz w:w="11907" w:h="16841"/>
          <w:pgMar w:top="1431" w:right="1466" w:bottom="1254" w:left="1523" w:header="0" w:footer="1093" w:gutter="0"/>
          <w:pgNumType w:fmt="decimal"/>
          <w:cols w:space="720" w:num="1"/>
        </w:sectPr>
      </w:pPr>
    </w:p>
    <w:p w14:paraId="04D0278D">
      <w:pPr>
        <w:spacing w:line="89" w:lineRule="auto"/>
        <w:rPr>
          <w:rFonts w:ascii="Arial"/>
          <w:color w:val="auto"/>
          <w:sz w:val="2"/>
          <w:highlight w:val="none"/>
        </w:rPr>
      </w:pPr>
    </w:p>
    <w:tbl>
      <w:tblPr>
        <w:tblStyle w:val="16"/>
        <w:tblW w:w="920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2438"/>
        <w:gridCol w:w="5812"/>
      </w:tblGrid>
      <w:tr w14:paraId="6CBB9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53" w:type="dxa"/>
            <w:tcBorders>
              <w:top w:val="single" w:color="000000" w:sz="6" w:space="0"/>
              <w:left w:val="single" w:color="000000" w:sz="6" w:space="0"/>
            </w:tcBorders>
            <w:vAlign w:val="top"/>
          </w:tcPr>
          <w:p w14:paraId="6217D94E">
            <w:pPr>
              <w:pStyle w:val="17"/>
              <w:spacing w:before="213" w:line="221" w:lineRule="auto"/>
              <w:ind w:left="158"/>
              <w:rPr>
                <w:color w:val="auto"/>
                <w:sz w:val="24"/>
                <w:szCs w:val="24"/>
                <w:highlight w:val="none"/>
              </w:rPr>
            </w:pPr>
            <w:r>
              <w:rPr>
                <w:b/>
                <w:bCs/>
                <w:color w:val="auto"/>
                <w:spacing w:val="-4"/>
                <w:sz w:val="24"/>
                <w:szCs w:val="24"/>
                <w:highlight w:val="none"/>
              </w:rPr>
              <w:t>条款号</w:t>
            </w:r>
          </w:p>
        </w:tc>
        <w:tc>
          <w:tcPr>
            <w:tcW w:w="2438" w:type="dxa"/>
            <w:tcBorders>
              <w:top w:val="single" w:color="000000" w:sz="6" w:space="0"/>
            </w:tcBorders>
            <w:vAlign w:val="top"/>
          </w:tcPr>
          <w:p w14:paraId="34D75546">
            <w:pPr>
              <w:pStyle w:val="17"/>
              <w:spacing w:before="213" w:line="221" w:lineRule="auto"/>
              <w:ind w:left="642"/>
              <w:rPr>
                <w:color w:val="auto"/>
                <w:sz w:val="24"/>
                <w:szCs w:val="24"/>
                <w:highlight w:val="none"/>
              </w:rPr>
            </w:pPr>
            <w:r>
              <w:rPr>
                <w:b/>
                <w:bCs/>
                <w:color w:val="auto"/>
                <w:spacing w:val="-9"/>
                <w:sz w:val="24"/>
                <w:szCs w:val="24"/>
                <w:highlight w:val="none"/>
              </w:rPr>
              <w:t>条</w:t>
            </w:r>
            <w:r>
              <w:rPr>
                <w:color w:val="auto"/>
                <w:spacing w:val="9"/>
                <w:sz w:val="24"/>
                <w:szCs w:val="24"/>
                <w:highlight w:val="none"/>
              </w:rPr>
              <w:t xml:space="preserve"> </w:t>
            </w:r>
            <w:r>
              <w:rPr>
                <w:b/>
                <w:bCs/>
                <w:color w:val="auto"/>
                <w:spacing w:val="-9"/>
                <w:sz w:val="24"/>
                <w:szCs w:val="24"/>
                <w:highlight w:val="none"/>
              </w:rPr>
              <w:t>款</w:t>
            </w:r>
            <w:r>
              <w:rPr>
                <w:color w:val="auto"/>
                <w:spacing w:val="12"/>
                <w:sz w:val="24"/>
                <w:szCs w:val="24"/>
                <w:highlight w:val="none"/>
              </w:rPr>
              <w:t xml:space="preserve"> </w:t>
            </w:r>
            <w:r>
              <w:rPr>
                <w:b/>
                <w:bCs/>
                <w:color w:val="auto"/>
                <w:spacing w:val="-9"/>
                <w:sz w:val="24"/>
                <w:szCs w:val="24"/>
                <w:highlight w:val="none"/>
              </w:rPr>
              <w:t>名</w:t>
            </w:r>
            <w:r>
              <w:rPr>
                <w:color w:val="auto"/>
                <w:spacing w:val="5"/>
                <w:sz w:val="24"/>
                <w:szCs w:val="24"/>
                <w:highlight w:val="none"/>
              </w:rPr>
              <w:t xml:space="preserve"> </w:t>
            </w:r>
            <w:r>
              <w:rPr>
                <w:b/>
                <w:bCs/>
                <w:color w:val="auto"/>
                <w:spacing w:val="-9"/>
                <w:sz w:val="24"/>
                <w:szCs w:val="24"/>
                <w:highlight w:val="none"/>
              </w:rPr>
              <w:t>称</w:t>
            </w:r>
          </w:p>
        </w:tc>
        <w:tc>
          <w:tcPr>
            <w:tcW w:w="5812" w:type="dxa"/>
            <w:tcBorders>
              <w:top w:val="single" w:color="000000" w:sz="6" w:space="0"/>
              <w:right w:val="single" w:color="000000" w:sz="6" w:space="0"/>
            </w:tcBorders>
            <w:vAlign w:val="top"/>
          </w:tcPr>
          <w:p w14:paraId="4044E906">
            <w:pPr>
              <w:pStyle w:val="17"/>
              <w:spacing w:before="213" w:line="221" w:lineRule="auto"/>
              <w:ind w:left="1702"/>
              <w:rPr>
                <w:color w:val="auto"/>
                <w:sz w:val="24"/>
                <w:szCs w:val="24"/>
                <w:highlight w:val="none"/>
              </w:rPr>
            </w:pPr>
            <w:r>
              <w:rPr>
                <w:b/>
                <w:bCs/>
                <w:color w:val="auto"/>
                <w:spacing w:val="-16"/>
                <w:sz w:val="24"/>
                <w:szCs w:val="24"/>
                <w:highlight w:val="none"/>
              </w:rPr>
              <w:t>编</w:t>
            </w:r>
            <w:r>
              <w:rPr>
                <w:color w:val="auto"/>
                <w:spacing w:val="4"/>
                <w:sz w:val="24"/>
                <w:szCs w:val="24"/>
                <w:highlight w:val="none"/>
              </w:rPr>
              <w:t xml:space="preserve">    </w:t>
            </w:r>
            <w:r>
              <w:rPr>
                <w:b/>
                <w:bCs/>
                <w:color w:val="auto"/>
                <w:spacing w:val="-16"/>
                <w:sz w:val="24"/>
                <w:szCs w:val="24"/>
                <w:highlight w:val="none"/>
              </w:rPr>
              <w:t>列</w:t>
            </w:r>
            <w:r>
              <w:rPr>
                <w:color w:val="auto"/>
                <w:spacing w:val="8"/>
                <w:sz w:val="24"/>
                <w:szCs w:val="24"/>
                <w:highlight w:val="none"/>
              </w:rPr>
              <w:t xml:space="preserve">    </w:t>
            </w:r>
            <w:r>
              <w:rPr>
                <w:b/>
                <w:bCs/>
                <w:color w:val="auto"/>
                <w:spacing w:val="-16"/>
                <w:sz w:val="24"/>
                <w:szCs w:val="24"/>
                <w:highlight w:val="none"/>
              </w:rPr>
              <w:t>内</w:t>
            </w:r>
            <w:r>
              <w:rPr>
                <w:color w:val="auto"/>
                <w:spacing w:val="3"/>
                <w:sz w:val="24"/>
                <w:szCs w:val="24"/>
                <w:highlight w:val="none"/>
              </w:rPr>
              <w:t xml:space="preserve">    </w:t>
            </w:r>
            <w:r>
              <w:rPr>
                <w:b/>
                <w:bCs/>
                <w:color w:val="auto"/>
                <w:spacing w:val="-16"/>
                <w:sz w:val="24"/>
                <w:szCs w:val="24"/>
                <w:highlight w:val="none"/>
              </w:rPr>
              <w:t>容</w:t>
            </w:r>
          </w:p>
        </w:tc>
      </w:tr>
      <w:tr w14:paraId="76CD0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4" w:hRule="atLeast"/>
        </w:trPr>
        <w:tc>
          <w:tcPr>
            <w:tcW w:w="953" w:type="dxa"/>
            <w:tcBorders>
              <w:left w:val="single" w:color="000000" w:sz="6" w:space="0"/>
            </w:tcBorders>
            <w:vAlign w:val="top"/>
          </w:tcPr>
          <w:p w14:paraId="73D46B5A">
            <w:pPr>
              <w:spacing w:line="241" w:lineRule="auto"/>
              <w:rPr>
                <w:rFonts w:ascii="Arial"/>
                <w:color w:val="auto"/>
                <w:sz w:val="24"/>
                <w:szCs w:val="24"/>
                <w:highlight w:val="none"/>
              </w:rPr>
            </w:pPr>
          </w:p>
          <w:p w14:paraId="4AA57DB9">
            <w:pPr>
              <w:spacing w:line="241" w:lineRule="auto"/>
              <w:rPr>
                <w:rFonts w:ascii="Arial"/>
                <w:color w:val="auto"/>
                <w:sz w:val="24"/>
                <w:szCs w:val="24"/>
                <w:highlight w:val="none"/>
              </w:rPr>
            </w:pPr>
          </w:p>
          <w:p w14:paraId="573497F0">
            <w:pPr>
              <w:spacing w:line="241" w:lineRule="auto"/>
              <w:rPr>
                <w:rFonts w:ascii="Arial"/>
                <w:color w:val="auto"/>
                <w:sz w:val="24"/>
                <w:szCs w:val="24"/>
                <w:highlight w:val="none"/>
              </w:rPr>
            </w:pPr>
          </w:p>
          <w:p w14:paraId="7534F1A1">
            <w:pPr>
              <w:spacing w:line="241" w:lineRule="auto"/>
              <w:rPr>
                <w:rFonts w:ascii="Arial"/>
                <w:color w:val="auto"/>
                <w:sz w:val="24"/>
                <w:szCs w:val="24"/>
                <w:highlight w:val="none"/>
              </w:rPr>
            </w:pPr>
          </w:p>
          <w:p w14:paraId="188AF003">
            <w:pPr>
              <w:spacing w:line="241" w:lineRule="auto"/>
              <w:rPr>
                <w:rFonts w:ascii="Arial"/>
                <w:color w:val="auto"/>
                <w:sz w:val="24"/>
                <w:szCs w:val="24"/>
                <w:highlight w:val="none"/>
              </w:rPr>
            </w:pPr>
          </w:p>
          <w:p w14:paraId="2CCBB86E">
            <w:pPr>
              <w:spacing w:line="241" w:lineRule="auto"/>
              <w:rPr>
                <w:rFonts w:ascii="Arial"/>
                <w:color w:val="auto"/>
                <w:sz w:val="24"/>
                <w:szCs w:val="24"/>
                <w:highlight w:val="none"/>
              </w:rPr>
            </w:pPr>
          </w:p>
          <w:p w14:paraId="1C9EB313">
            <w:pPr>
              <w:spacing w:line="241" w:lineRule="auto"/>
              <w:rPr>
                <w:rFonts w:ascii="Arial"/>
                <w:color w:val="auto"/>
                <w:sz w:val="24"/>
                <w:szCs w:val="24"/>
                <w:highlight w:val="none"/>
              </w:rPr>
            </w:pPr>
          </w:p>
          <w:p w14:paraId="1B93E88D">
            <w:pPr>
              <w:spacing w:line="241" w:lineRule="auto"/>
              <w:rPr>
                <w:rFonts w:ascii="Arial"/>
                <w:color w:val="auto"/>
                <w:sz w:val="24"/>
                <w:szCs w:val="24"/>
                <w:highlight w:val="none"/>
              </w:rPr>
            </w:pPr>
          </w:p>
          <w:p w14:paraId="1F593276">
            <w:pPr>
              <w:spacing w:line="241" w:lineRule="auto"/>
              <w:rPr>
                <w:rFonts w:ascii="Arial"/>
                <w:color w:val="auto"/>
                <w:sz w:val="24"/>
                <w:szCs w:val="24"/>
                <w:highlight w:val="none"/>
              </w:rPr>
            </w:pPr>
          </w:p>
          <w:p w14:paraId="04A1673D">
            <w:pPr>
              <w:spacing w:line="241" w:lineRule="auto"/>
              <w:rPr>
                <w:rFonts w:ascii="Arial"/>
                <w:color w:val="auto"/>
                <w:sz w:val="24"/>
                <w:szCs w:val="24"/>
                <w:highlight w:val="none"/>
              </w:rPr>
            </w:pPr>
          </w:p>
          <w:p w14:paraId="3F566B76">
            <w:pPr>
              <w:spacing w:line="241" w:lineRule="auto"/>
              <w:rPr>
                <w:rFonts w:ascii="Arial"/>
                <w:color w:val="auto"/>
                <w:sz w:val="24"/>
                <w:szCs w:val="24"/>
                <w:highlight w:val="none"/>
              </w:rPr>
            </w:pPr>
          </w:p>
          <w:p w14:paraId="214A9BA7">
            <w:pPr>
              <w:spacing w:line="241" w:lineRule="auto"/>
              <w:rPr>
                <w:rFonts w:ascii="Arial"/>
                <w:color w:val="auto"/>
                <w:sz w:val="24"/>
                <w:szCs w:val="24"/>
                <w:highlight w:val="none"/>
              </w:rPr>
            </w:pPr>
          </w:p>
          <w:p w14:paraId="3A92CB6B">
            <w:pPr>
              <w:spacing w:line="241" w:lineRule="auto"/>
              <w:rPr>
                <w:rFonts w:ascii="Arial"/>
                <w:color w:val="auto"/>
                <w:sz w:val="24"/>
                <w:szCs w:val="24"/>
                <w:highlight w:val="none"/>
              </w:rPr>
            </w:pPr>
          </w:p>
          <w:p w14:paraId="43679E9C">
            <w:pPr>
              <w:spacing w:before="61" w:line="187" w:lineRule="auto"/>
              <w:ind w:left="307"/>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5"/>
                <w:sz w:val="24"/>
                <w:szCs w:val="24"/>
                <w:highlight w:val="none"/>
              </w:rPr>
              <w:t>10.5</w:t>
            </w:r>
          </w:p>
        </w:tc>
        <w:tc>
          <w:tcPr>
            <w:tcW w:w="2438" w:type="dxa"/>
            <w:vAlign w:val="top"/>
          </w:tcPr>
          <w:p w14:paraId="502B0C30">
            <w:pPr>
              <w:spacing w:line="242" w:lineRule="auto"/>
              <w:rPr>
                <w:rFonts w:ascii="Arial"/>
                <w:color w:val="auto"/>
                <w:sz w:val="24"/>
                <w:szCs w:val="24"/>
                <w:highlight w:val="none"/>
              </w:rPr>
            </w:pPr>
          </w:p>
          <w:p w14:paraId="2711AC83">
            <w:pPr>
              <w:spacing w:line="242" w:lineRule="auto"/>
              <w:rPr>
                <w:rFonts w:ascii="Arial"/>
                <w:color w:val="auto"/>
                <w:sz w:val="24"/>
                <w:szCs w:val="24"/>
                <w:highlight w:val="none"/>
              </w:rPr>
            </w:pPr>
          </w:p>
          <w:p w14:paraId="4995D8B8">
            <w:pPr>
              <w:spacing w:line="242" w:lineRule="auto"/>
              <w:rPr>
                <w:rFonts w:ascii="Arial"/>
                <w:color w:val="auto"/>
                <w:sz w:val="24"/>
                <w:szCs w:val="24"/>
                <w:highlight w:val="none"/>
              </w:rPr>
            </w:pPr>
          </w:p>
          <w:p w14:paraId="565B8E69">
            <w:pPr>
              <w:spacing w:line="242" w:lineRule="auto"/>
              <w:rPr>
                <w:rFonts w:ascii="Arial"/>
                <w:color w:val="auto"/>
                <w:sz w:val="24"/>
                <w:szCs w:val="24"/>
                <w:highlight w:val="none"/>
              </w:rPr>
            </w:pPr>
          </w:p>
          <w:p w14:paraId="13B2A0BD">
            <w:pPr>
              <w:spacing w:line="242" w:lineRule="auto"/>
              <w:rPr>
                <w:rFonts w:ascii="Arial"/>
                <w:color w:val="auto"/>
                <w:sz w:val="24"/>
                <w:szCs w:val="24"/>
                <w:highlight w:val="none"/>
              </w:rPr>
            </w:pPr>
          </w:p>
          <w:p w14:paraId="547A3EA5">
            <w:pPr>
              <w:spacing w:line="242" w:lineRule="auto"/>
              <w:rPr>
                <w:rFonts w:ascii="Arial"/>
                <w:color w:val="auto"/>
                <w:sz w:val="24"/>
                <w:szCs w:val="24"/>
                <w:highlight w:val="none"/>
              </w:rPr>
            </w:pPr>
          </w:p>
          <w:p w14:paraId="16861275">
            <w:pPr>
              <w:spacing w:line="242" w:lineRule="auto"/>
              <w:rPr>
                <w:rFonts w:ascii="Arial"/>
                <w:color w:val="auto"/>
                <w:sz w:val="24"/>
                <w:szCs w:val="24"/>
                <w:highlight w:val="none"/>
              </w:rPr>
            </w:pPr>
          </w:p>
          <w:p w14:paraId="19FD1DF4">
            <w:pPr>
              <w:spacing w:line="242" w:lineRule="auto"/>
              <w:rPr>
                <w:rFonts w:ascii="Arial"/>
                <w:color w:val="auto"/>
                <w:sz w:val="24"/>
                <w:szCs w:val="24"/>
                <w:highlight w:val="none"/>
              </w:rPr>
            </w:pPr>
          </w:p>
          <w:p w14:paraId="3C6BB95B">
            <w:pPr>
              <w:spacing w:line="242" w:lineRule="auto"/>
              <w:rPr>
                <w:rFonts w:ascii="Arial"/>
                <w:color w:val="auto"/>
                <w:sz w:val="24"/>
                <w:szCs w:val="24"/>
                <w:highlight w:val="none"/>
              </w:rPr>
            </w:pPr>
          </w:p>
          <w:p w14:paraId="42F6C014">
            <w:pPr>
              <w:spacing w:line="243" w:lineRule="auto"/>
              <w:rPr>
                <w:rFonts w:ascii="Arial"/>
                <w:color w:val="auto"/>
                <w:sz w:val="24"/>
                <w:szCs w:val="24"/>
                <w:highlight w:val="none"/>
              </w:rPr>
            </w:pPr>
          </w:p>
          <w:p w14:paraId="73C4BB6C">
            <w:pPr>
              <w:spacing w:line="243" w:lineRule="auto"/>
              <w:rPr>
                <w:rFonts w:ascii="Arial"/>
                <w:color w:val="auto"/>
                <w:sz w:val="24"/>
                <w:szCs w:val="24"/>
                <w:highlight w:val="none"/>
              </w:rPr>
            </w:pPr>
          </w:p>
          <w:p w14:paraId="58B1F419">
            <w:pPr>
              <w:spacing w:line="243" w:lineRule="auto"/>
              <w:rPr>
                <w:rFonts w:ascii="Arial"/>
                <w:color w:val="auto"/>
                <w:sz w:val="24"/>
                <w:szCs w:val="24"/>
                <w:highlight w:val="none"/>
              </w:rPr>
            </w:pPr>
          </w:p>
          <w:p w14:paraId="18F96E29">
            <w:pPr>
              <w:pStyle w:val="17"/>
              <w:spacing w:before="69" w:line="319" w:lineRule="auto"/>
              <w:ind w:left="106" w:right="106"/>
              <w:rPr>
                <w:color w:val="auto"/>
                <w:sz w:val="24"/>
                <w:szCs w:val="24"/>
                <w:highlight w:val="none"/>
              </w:rPr>
            </w:pPr>
            <w:r>
              <w:rPr>
                <w:color w:val="auto"/>
                <w:spacing w:val="12"/>
                <w:sz w:val="24"/>
                <w:szCs w:val="24"/>
                <w:highlight w:val="none"/>
              </w:rPr>
              <w:t>招标人最高投标限价或</w:t>
            </w:r>
            <w:r>
              <w:rPr>
                <w:color w:val="auto"/>
                <w:spacing w:val="-2"/>
                <w:sz w:val="24"/>
                <w:szCs w:val="24"/>
                <w:highlight w:val="none"/>
              </w:rPr>
              <w:t>其计算方法</w:t>
            </w:r>
          </w:p>
        </w:tc>
        <w:tc>
          <w:tcPr>
            <w:tcW w:w="5812" w:type="dxa"/>
            <w:tcBorders>
              <w:right w:val="single" w:color="000000" w:sz="6" w:space="0"/>
            </w:tcBorders>
            <w:vAlign w:val="top"/>
          </w:tcPr>
          <w:p w14:paraId="466160F0">
            <w:pPr>
              <w:pStyle w:val="17"/>
              <w:spacing w:before="114" w:line="270" w:lineRule="auto"/>
              <w:ind w:left="220" w:right="103" w:hanging="89"/>
              <w:rPr>
                <w:color w:val="auto"/>
                <w:sz w:val="24"/>
                <w:szCs w:val="24"/>
                <w:highlight w:val="none"/>
              </w:rPr>
            </w:pPr>
            <w:r>
              <w:rPr>
                <w:color w:val="auto"/>
                <w:spacing w:val="3"/>
                <w:sz w:val="24"/>
                <w:szCs w:val="24"/>
                <w:highlight w:val="none"/>
              </w:rPr>
              <w:t>□</w:t>
            </w:r>
            <w:r>
              <w:rPr>
                <w:color w:val="auto"/>
                <w:spacing w:val="39"/>
                <w:sz w:val="24"/>
                <w:szCs w:val="24"/>
                <w:highlight w:val="none"/>
              </w:rPr>
              <w:t xml:space="preserve"> </w:t>
            </w:r>
            <w:r>
              <w:rPr>
                <w:color w:val="auto"/>
                <w:spacing w:val="3"/>
                <w:sz w:val="24"/>
                <w:szCs w:val="24"/>
                <w:highlight w:val="none"/>
              </w:rPr>
              <w:t>最高投标限价人民币（大写）</w:t>
            </w:r>
            <w:r>
              <w:rPr>
                <w:color w:val="auto"/>
                <w:spacing w:val="-85"/>
                <w:sz w:val="24"/>
                <w:szCs w:val="24"/>
                <w:highlight w:val="none"/>
              </w:rPr>
              <w:t xml:space="preserve"> </w:t>
            </w:r>
            <w:r>
              <w:rPr>
                <w:color w:val="auto"/>
                <w:spacing w:val="6"/>
                <w:sz w:val="24"/>
                <w:szCs w:val="24"/>
                <w:highlight w:val="none"/>
                <w:u w:val="single" w:color="auto"/>
              </w:rPr>
              <w:t xml:space="preserve">                 </w:t>
            </w:r>
            <w:r>
              <w:rPr>
                <w:color w:val="auto"/>
                <w:spacing w:val="-95"/>
                <w:sz w:val="24"/>
                <w:szCs w:val="24"/>
                <w:highlight w:val="none"/>
              </w:rPr>
              <w:t xml:space="preserve"> </w:t>
            </w:r>
            <w:r>
              <w:rPr>
                <w:color w:val="auto"/>
                <w:spacing w:val="3"/>
                <w:sz w:val="24"/>
                <w:szCs w:val="24"/>
                <w:highlight w:val="none"/>
              </w:rPr>
              <w:t>元</w:t>
            </w:r>
            <w:r>
              <w:rPr>
                <w:color w:val="auto"/>
                <w:spacing w:val="2"/>
                <w:sz w:val="24"/>
                <w:szCs w:val="24"/>
                <w:highlight w:val="none"/>
              </w:rPr>
              <w:t>(￥</w:t>
            </w:r>
            <w:r>
              <w:rPr>
                <w:color w:val="auto"/>
                <w:spacing w:val="-83"/>
                <w:sz w:val="24"/>
                <w:szCs w:val="24"/>
                <w:highlight w:val="none"/>
              </w:rPr>
              <w:t xml:space="preserve"> </w:t>
            </w:r>
            <w:r>
              <w:rPr>
                <w:color w:val="auto"/>
                <w:spacing w:val="17"/>
                <w:sz w:val="24"/>
                <w:szCs w:val="24"/>
                <w:highlight w:val="none"/>
                <w:u w:val="single" w:color="auto"/>
              </w:rPr>
              <w:t xml:space="preserve">      </w:t>
            </w:r>
            <w:r>
              <w:rPr>
                <w:color w:val="auto"/>
                <w:spacing w:val="-72"/>
                <w:sz w:val="24"/>
                <w:szCs w:val="24"/>
                <w:highlight w:val="none"/>
              </w:rPr>
              <w:t xml:space="preserve"> </w:t>
            </w:r>
            <w:r>
              <w:rPr>
                <w:color w:val="auto"/>
                <w:spacing w:val="2"/>
                <w:sz w:val="24"/>
                <w:szCs w:val="24"/>
                <w:highlight w:val="none"/>
              </w:rPr>
              <w:t>)。</w:t>
            </w:r>
          </w:p>
          <w:p w14:paraId="6D2B06A2">
            <w:pPr>
              <w:pStyle w:val="17"/>
              <w:spacing w:before="105" w:line="268" w:lineRule="auto"/>
              <w:ind w:left="110" w:right="98" w:firstLine="20"/>
              <w:rPr>
                <w:color w:val="auto"/>
                <w:sz w:val="24"/>
                <w:szCs w:val="24"/>
                <w:highlight w:val="none"/>
              </w:rPr>
            </w:pPr>
            <w:r>
              <w:rPr>
                <w:color w:val="auto"/>
                <w:spacing w:val="-5"/>
                <w:sz w:val="24"/>
                <w:szCs w:val="24"/>
                <w:highlight w:val="none"/>
              </w:rPr>
              <w:t>□ 投标截止时间前</w:t>
            </w:r>
            <w:r>
              <w:rPr>
                <w:rFonts w:ascii="Times New Roman" w:hAnsi="Times New Roman" w:eastAsia="Times New Roman" w:cs="Times New Roman"/>
                <w:color w:val="auto"/>
                <w:spacing w:val="-5"/>
                <w:sz w:val="24"/>
                <w:szCs w:val="24"/>
                <w:highlight w:val="none"/>
                <w:u w:val="single" w:color="auto"/>
              </w:rPr>
              <w:t>15</w:t>
            </w:r>
            <w:r>
              <w:rPr>
                <w:rFonts w:ascii="Times New Roman" w:hAnsi="Times New Roman" w:eastAsia="Times New Roman" w:cs="Times New Roman"/>
                <w:color w:val="auto"/>
                <w:spacing w:val="-5"/>
                <w:sz w:val="24"/>
                <w:szCs w:val="24"/>
                <w:highlight w:val="none"/>
              </w:rPr>
              <w:t xml:space="preserve"> </w:t>
            </w:r>
            <w:r>
              <w:rPr>
                <w:color w:val="auto"/>
                <w:spacing w:val="-5"/>
                <w:sz w:val="24"/>
                <w:szCs w:val="24"/>
                <w:highlight w:val="none"/>
              </w:rPr>
              <w:t>日之前，以补充文件形</w:t>
            </w:r>
            <w:r>
              <w:rPr>
                <w:color w:val="auto"/>
                <w:spacing w:val="-6"/>
                <w:sz w:val="24"/>
                <w:szCs w:val="24"/>
                <w:highlight w:val="none"/>
              </w:rPr>
              <w:t>式告知所有投</w:t>
            </w:r>
            <w:r>
              <w:rPr>
                <w:color w:val="auto"/>
                <w:spacing w:val="-3"/>
                <w:sz w:val="24"/>
                <w:szCs w:val="24"/>
                <w:highlight w:val="none"/>
              </w:rPr>
              <w:t>标人最高投标限价。</w:t>
            </w:r>
          </w:p>
          <w:p w14:paraId="54DAC0B6">
            <w:pPr>
              <w:pStyle w:val="17"/>
              <w:spacing w:before="105" w:line="305" w:lineRule="auto"/>
              <w:ind w:left="109" w:right="12" w:firstLine="22"/>
              <w:rPr>
                <w:color w:val="auto"/>
                <w:sz w:val="24"/>
                <w:szCs w:val="24"/>
                <w:highlight w:val="none"/>
              </w:rPr>
            </w:pPr>
            <w:r>
              <w:rPr>
                <w:rFonts w:hint="eastAsia"/>
                <w:color w:val="auto"/>
                <w:spacing w:val="-6"/>
                <w:sz w:val="24"/>
                <w:szCs w:val="24"/>
                <w:highlight w:val="none"/>
                <w:lang w:eastAsia="zh-CN"/>
              </w:rPr>
              <w:t>☑</w:t>
            </w:r>
            <w:r>
              <w:rPr>
                <w:color w:val="auto"/>
                <w:spacing w:val="-6"/>
                <w:sz w:val="24"/>
                <w:szCs w:val="24"/>
                <w:highlight w:val="none"/>
              </w:rPr>
              <w:t xml:space="preserve"> 招标预算人民币（大写</w:t>
            </w:r>
            <w:r>
              <w:rPr>
                <w:color w:val="auto"/>
                <w:spacing w:val="-18"/>
                <w:sz w:val="24"/>
                <w:szCs w:val="24"/>
                <w:highlight w:val="none"/>
              </w:rPr>
              <w:t>）</w:t>
            </w:r>
            <w:r>
              <w:rPr>
                <w:rFonts w:hint="eastAsia"/>
                <w:color w:val="auto"/>
                <w:spacing w:val="-18"/>
                <w:sz w:val="24"/>
                <w:szCs w:val="24"/>
                <w:highlight w:val="none"/>
                <w:lang w:eastAsia="zh-CN"/>
              </w:rPr>
              <w:t>：</w:t>
            </w:r>
            <w:r>
              <w:rPr>
                <w:rFonts w:hint="eastAsia" w:cs="宋体"/>
                <w:b/>
                <w:bCs/>
                <w:color w:val="auto"/>
                <w:spacing w:val="0"/>
                <w:sz w:val="24"/>
                <w:szCs w:val="24"/>
                <w:highlight w:val="none"/>
                <w:u w:val="single" w:color="auto"/>
                <w:lang w:val="en-US" w:eastAsia="zh-CN"/>
              </w:rPr>
              <w:t>壹仟万陆仟肆佰零叁</w:t>
            </w:r>
            <w:r>
              <w:rPr>
                <w:rFonts w:hint="eastAsia"/>
                <w:color w:val="auto"/>
                <w:spacing w:val="11"/>
                <w:sz w:val="24"/>
                <w:szCs w:val="24"/>
                <w:highlight w:val="none"/>
                <w:u w:val="single" w:color="auto"/>
                <w:lang w:val="en-US" w:eastAsia="zh-CN"/>
              </w:rPr>
              <w:t>元整</w:t>
            </w:r>
            <w:r>
              <w:rPr>
                <w:color w:val="auto"/>
                <w:spacing w:val="-15"/>
                <w:sz w:val="24"/>
                <w:szCs w:val="24"/>
                <w:highlight w:val="none"/>
              </w:rPr>
              <w:t xml:space="preserve"> </w:t>
            </w:r>
            <w:r>
              <w:rPr>
                <w:color w:val="auto"/>
                <w:spacing w:val="-6"/>
                <w:sz w:val="24"/>
                <w:szCs w:val="24"/>
                <w:highlight w:val="none"/>
              </w:rPr>
              <w:t>(￥</w:t>
            </w:r>
            <w:r>
              <w:rPr>
                <w:rFonts w:hint="eastAsia" w:cs="宋体"/>
                <w:b/>
                <w:bCs/>
                <w:color w:val="auto"/>
                <w:spacing w:val="0"/>
                <w:sz w:val="24"/>
                <w:szCs w:val="24"/>
                <w:highlight w:val="none"/>
                <w:u w:val="single" w:color="auto"/>
                <w:lang w:val="en-US" w:eastAsia="zh-CN"/>
              </w:rPr>
              <w:t>10006403.00元</w:t>
            </w:r>
            <w:r>
              <w:rPr>
                <w:color w:val="auto"/>
                <w:spacing w:val="-74"/>
                <w:sz w:val="24"/>
                <w:szCs w:val="24"/>
                <w:highlight w:val="none"/>
              </w:rPr>
              <w:t xml:space="preserve"> </w:t>
            </w:r>
            <w:r>
              <w:rPr>
                <w:color w:val="auto"/>
                <w:spacing w:val="-6"/>
                <w:sz w:val="24"/>
                <w:szCs w:val="24"/>
                <w:highlight w:val="none"/>
              </w:rPr>
              <w:t>)</w:t>
            </w:r>
            <w:r>
              <w:rPr>
                <w:rFonts w:hint="eastAsia"/>
                <w:color w:val="auto"/>
                <w:spacing w:val="-6"/>
                <w:sz w:val="24"/>
                <w:szCs w:val="24"/>
                <w:highlight w:val="none"/>
                <w:lang w:eastAsia="zh-CN"/>
              </w:rPr>
              <w:t>，</w:t>
            </w:r>
            <w:r>
              <w:rPr>
                <w:rFonts w:hint="eastAsia"/>
                <w:color w:val="auto"/>
                <w:spacing w:val="-6"/>
                <w:sz w:val="24"/>
                <w:szCs w:val="24"/>
                <w:highlight w:val="none"/>
              </w:rPr>
              <w:t>预留金及暂列金额</w:t>
            </w:r>
            <w:r>
              <w:rPr>
                <w:color w:val="auto"/>
                <w:spacing w:val="-6"/>
                <w:sz w:val="24"/>
                <w:szCs w:val="24"/>
                <w:highlight w:val="none"/>
              </w:rPr>
              <w:t>人民币（大写</w:t>
            </w:r>
            <w:r>
              <w:rPr>
                <w:color w:val="auto"/>
                <w:spacing w:val="-14"/>
                <w:sz w:val="24"/>
                <w:szCs w:val="24"/>
                <w:highlight w:val="none"/>
              </w:rPr>
              <w:t>）：</w:t>
            </w:r>
            <w:r>
              <w:rPr>
                <w:rFonts w:hint="eastAsia"/>
                <w:b/>
                <w:bCs/>
                <w:color w:val="auto"/>
                <w:spacing w:val="-6"/>
                <w:sz w:val="24"/>
                <w:szCs w:val="24"/>
                <w:highlight w:val="none"/>
                <w:u w:val="single" w:color="auto"/>
                <w:lang w:val="en-US" w:eastAsia="zh-CN"/>
              </w:rPr>
              <w:t>贰拾伍万</w:t>
            </w:r>
            <w:r>
              <w:rPr>
                <w:rFonts w:hint="eastAsia"/>
                <w:b/>
                <w:bCs/>
                <w:color w:val="auto"/>
                <w:spacing w:val="-14"/>
                <w:sz w:val="24"/>
                <w:szCs w:val="24"/>
                <w:highlight w:val="none"/>
                <w:u w:val="single"/>
                <w:lang w:val="en-US" w:eastAsia="zh-CN"/>
              </w:rPr>
              <w:t>元整</w:t>
            </w:r>
            <w:r>
              <w:rPr>
                <w:color w:val="auto"/>
                <w:spacing w:val="9"/>
                <w:sz w:val="24"/>
                <w:szCs w:val="24"/>
                <w:highlight w:val="none"/>
              </w:rPr>
              <w:t xml:space="preserve"> </w:t>
            </w:r>
            <w:r>
              <w:rPr>
                <w:color w:val="auto"/>
                <w:spacing w:val="-6"/>
                <w:sz w:val="24"/>
                <w:szCs w:val="24"/>
                <w:highlight w:val="none"/>
              </w:rPr>
              <w:t>(</w:t>
            </w:r>
            <w:r>
              <w:rPr>
                <w:b/>
                <w:bCs/>
                <w:color w:val="auto"/>
                <w:spacing w:val="-6"/>
                <w:sz w:val="24"/>
                <w:szCs w:val="24"/>
                <w:highlight w:val="none"/>
              </w:rPr>
              <w:t>￥</w:t>
            </w:r>
            <w:r>
              <w:rPr>
                <w:rFonts w:hint="eastAsia" w:cs="宋体"/>
                <w:b/>
                <w:bCs/>
                <w:color w:val="auto"/>
                <w:spacing w:val="-11"/>
                <w:sz w:val="24"/>
                <w:szCs w:val="24"/>
                <w:highlight w:val="none"/>
                <w:u w:val="single" w:color="auto"/>
                <w:lang w:val="en-US" w:eastAsia="zh-CN"/>
              </w:rPr>
              <w:t>250000.00</w:t>
            </w:r>
            <w:r>
              <w:rPr>
                <w:rFonts w:hint="eastAsia"/>
                <w:color w:val="auto"/>
                <w:spacing w:val="17"/>
                <w:sz w:val="24"/>
                <w:szCs w:val="24"/>
                <w:highlight w:val="none"/>
                <w:u w:val="single" w:color="auto"/>
                <w:lang w:val="en-US" w:eastAsia="zh-CN"/>
              </w:rPr>
              <w:t>元</w:t>
            </w:r>
            <w:r>
              <w:rPr>
                <w:color w:val="auto"/>
                <w:spacing w:val="-72"/>
                <w:sz w:val="24"/>
                <w:szCs w:val="24"/>
                <w:highlight w:val="none"/>
              </w:rPr>
              <w:t xml:space="preserve"> </w:t>
            </w:r>
            <w:r>
              <w:rPr>
                <w:color w:val="auto"/>
                <w:spacing w:val="-6"/>
                <w:sz w:val="24"/>
                <w:szCs w:val="24"/>
                <w:highlight w:val="none"/>
              </w:rPr>
              <w:t>)</w:t>
            </w:r>
            <w:r>
              <w:rPr>
                <w:rFonts w:hint="eastAsia"/>
                <w:color w:val="auto"/>
                <w:spacing w:val="-6"/>
                <w:sz w:val="24"/>
                <w:szCs w:val="24"/>
                <w:highlight w:val="none"/>
                <w:lang w:eastAsia="zh-CN"/>
              </w:rPr>
              <w:t>，</w:t>
            </w:r>
            <w:r>
              <w:rPr>
                <w:color w:val="auto"/>
                <w:spacing w:val="-6"/>
                <w:sz w:val="24"/>
                <w:szCs w:val="24"/>
                <w:highlight w:val="none"/>
              </w:rPr>
              <w:t>暂估价人</w:t>
            </w:r>
            <w:r>
              <w:rPr>
                <w:color w:val="auto"/>
                <w:spacing w:val="-8"/>
                <w:sz w:val="24"/>
                <w:szCs w:val="24"/>
                <w:highlight w:val="none"/>
              </w:rPr>
              <w:t>民币（大写</w:t>
            </w:r>
            <w:r>
              <w:rPr>
                <w:color w:val="auto"/>
                <w:spacing w:val="2"/>
                <w:sz w:val="24"/>
                <w:szCs w:val="24"/>
                <w:highlight w:val="none"/>
              </w:rPr>
              <w:t>）：</w:t>
            </w:r>
            <w:r>
              <w:rPr>
                <w:rFonts w:hint="eastAsia"/>
                <w:b/>
                <w:bCs/>
                <w:color w:val="auto"/>
                <w:spacing w:val="2"/>
                <w:sz w:val="24"/>
                <w:szCs w:val="24"/>
                <w:highlight w:val="none"/>
                <w:u w:val="single" w:color="auto"/>
                <w:lang w:val="en-US" w:eastAsia="zh-CN"/>
              </w:rPr>
              <w:t>柒万</w:t>
            </w:r>
            <w:r>
              <w:rPr>
                <w:rFonts w:hint="eastAsia"/>
                <w:b/>
                <w:bCs/>
                <w:color w:val="auto"/>
                <w:spacing w:val="11"/>
                <w:sz w:val="24"/>
                <w:szCs w:val="24"/>
                <w:highlight w:val="none"/>
                <w:u w:val="single" w:color="auto"/>
                <w:lang w:val="en-US" w:eastAsia="zh-CN"/>
              </w:rPr>
              <w:t>元整</w:t>
            </w:r>
            <w:r>
              <w:rPr>
                <w:color w:val="auto"/>
                <w:spacing w:val="-8"/>
                <w:sz w:val="24"/>
                <w:szCs w:val="24"/>
                <w:highlight w:val="none"/>
              </w:rPr>
              <w:t>(</w:t>
            </w:r>
            <w:r>
              <w:rPr>
                <w:rFonts w:hint="eastAsia" w:cs="宋体"/>
                <w:b/>
                <w:bCs/>
                <w:color w:val="auto"/>
                <w:spacing w:val="-11"/>
                <w:sz w:val="24"/>
                <w:szCs w:val="24"/>
                <w:highlight w:val="none"/>
                <w:u w:val="single" w:color="auto"/>
                <w:lang w:val="en-US" w:eastAsia="zh-CN"/>
              </w:rPr>
              <w:t>￥700000.00 元</w:t>
            </w:r>
            <w:r>
              <w:rPr>
                <w:color w:val="auto"/>
                <w:spacing w:val="-8"/>
                <w:sz w:val="24"/>
                <w:szCs w:val="24"/>
                <w:highlight w:val="none"/>
              </w:rPr>
              <w:t xml:space="preserve">) </w:t>
            </w:r>
            <w:r>
              <w:rPr>
                <w:rFonts w:hint="eastAsia"/>
                <w:color w:val="auto"/>
                <w:spacing w:val="-8"/>
                <w:sz w:val="24"/>
                <w:szCs w:val="24"/>
                <w:highlight w:val="none"/>
                <w:lang w:eastAsia="zh-CN"/>
              </w:rPr>
              <w:t>，</w:t>
            </w:r>
            <w:r>
              <w:rPr>
                <w:color w:val="auto"/>
                <w:spacing w:val="-8"/>
                <w:sz w:val="24"/>
                <w:szCs w:val="24"/>
                <w:highlight w:val="none"/>
              </w:rPr>
              <w:t>安全生产措施费</w:t>
            </w:r>
            <w:r>
              <w:rPr>
                <w:color w:val="auto"/>
                <w:spacing w:val="-7"/>
                <w:sz w:val="24"/>
                <w:szCs w:val="24"/>
                <w:highlight w:val="none"/>
              </w:rPr>
              <w:t>（大写）：</w:t>
            </w:r>
            <w:r>
              <w:rPr>
                <w:rFonts w:hint="eastAsia"/>
                <w:b/>
                <w:bCs/>
                <w:color w:val="auto"/>
                <w:spacing w:val="-7"/>
                <w:sz w:val="24"/>
                <w:szCs w:val="24"/>
                <w:highlight w:val="none"/>
                <w:u w:val="single"/>
                <w:lang w:val="en-US" w:eastAsia="zh-CN"/>
              </w:rPr>
              <w:t>贰拾叁万陆仟捌佰玖拾伍</w:t>
            </w:r>
            <w:r>
              <w:rPr>
                <w:rFonts w:hint="eastAsia"/>
                <w:b/>
                <w:bCs/>
                <w:color w:val="auto"/>
                <w:spacing w:val="11"/>
                <w:sz w:val="24"/>
                <w:szCs w:val="24"/>
                <w:highlight w:val="none"/>
                <w:u w:val="single" w:color="auto"/>
                <w:lang w:val="en-US" w:eastAsia="zh-CN"/>
              </w:rPr>
              <w:t>元整</w:t>
            </w:r>
            <w:r>
              <w:rPr>
                <w:color w:val="auto"/>
                <w:spacing w:val="2"/>
                <w:sz w:val="24"/>
                <w:szCs w:val="24"/>
                <w:highlight w:val="none"/>
              </w:rPr>
              <w:t xml:space="preserve"> </w:t>
            </w:r>
            <w:r>
              <w:rPr>
                <w:color w:val="auto"/>
                <w:spacing w:val="-7"/>
                <w:sz w:val="24"/>
                <w:szCs w:val="24"/>
                <w:highlight w:val="none"/>
              </w:rPr>
              <w:t>(￥</w:t>
            </w:r>
            <w:r>
              <w:rPr>
                <w:rFonts w:hint="eastAsia"/>
                <w:b/>
                <w:bCs/>
                <w:color w:val="auto"/>
                <w:spacing w:val="-7"/>
                <w:sz w:val="24"/>
                <w:szCs w:val="24"/>
                <w:highlight w:val="none"/>
                <w:u w:val="single"/>
                <w:lang w:val="en-US" w:eastAsia="zh-CN"/>
              </w:rPr>
              <w:t>236895.00</w:t>
            </w:r>
            <w:r>
              <w:rPr>
                <w:rFonts w:hint="eastAsia" w:cs="宋体"/>
                <w:b/>
                <w:bCs/>
                <w:color w:val="auto"/>
                <w:spacing w:val="-7"/>
                <w:sz w:val="24"/>
                <w:szCs w:val="24"/>
                <w:highlight w:val="none"/>
                <w:u w:val="single"/>
                <w:lang w:val="en-US" w:eastAsia="zh-CN"/>
              </w:rPr>
              <w:t>元</w:t>
            </w:r>
            <w:r>
              <w:rPr>
                <w:color w:val="auto"/>
                <w:spacing w:val="-72"/>
                <w:sz w:val="24"/>
                <w:szCs w:val="24"/>
                <w:highlight w:val="none"/>
              </w:rPr>
              <w:t xml:space="preserve"> </w:t>
            </w:r>
            <w:r>
              <w:rPr>
                <w:color w:val="auto"/>
                <w:spacing w:val="-7"/>
                <w:sz w:val="24"/>
                <w:szCs w:val="24"/>
                <w:highlight w:val="none"/>
              </w:rPr>
              <w:t>) 。最高投标限价的计</w:t>
            </w:r>
            <w:r>
              <w:rPr>
                <w:color w:val="auto"/>
                <w:spacing w:val="-3"/>
                <w:sz w:val="24"/>
                <w:szCs w:val="24"/>
                <w:highlight w:val="none"/>
              </w:rPr>
              <w:t>算方法：最高投标限价</w:t>
            </w:r>
            <w:r>
              <w:rPr>
                <w:rFonts w:ascii="Times New Roman" w:hAnsi="Times New Roman" w:eastAsia="Times New Roman" w:cs="Times New Roman"/>
                <w:color w:val="auto"/>
                <w:spacing w:val="-3"/>
                <w:sz w:val="24"/>
                <w:szCs w:val="24"/>
                <w:highlight w:val="none"/>
              </w:rPr>
              <w:t>=</w:t>
            </w:r>
            <w:r>
              <w:rPr>
                <w:color w:val="auto"/>
                <w:spacing w:val="-3"/>
                <w:sz w:val="24"/>
                <w:szCs w:val="24"/>
                <w:highlight w:val="none"/>
              </w:rPr>
              <w:t>（招标预算</w:t>
            </w:r>
            <w:r>
              <w:rPr>
                <w:rFonts w:ascii="Times New Roman" w:hAnsi="Times New Roman" w:eastAsia="Times New Roman" w:cs="Times New Roman"/>
                <w:color w:val="auto"/>
                <w:spacing w:val="-3"/>
                <w:sz w:val="24"/>
                <w:szCs w:val="24"/>
                <w:highlight w:val="none"/>
              </w:rPr>
              <w:t>-</w:t>
            </w:r>
            <w:r>
              <w:rPr>
                <w:color w:val="auto"/>
                <w:spacing w:val="-3"/>
                <w:sz w:val="24"/>
                <w:szCs w:val="24"/>
                <w:highlight w:val="none"/>
              </w:rPr>
              <w:t>预留金</w:t>
            </w:r>
            <w:r>
              <w:rPr>
                <w:rFonts w:ascii="Times New Roman" w:hAnsi="Times New Roman" w:eastAsia="Times New Roman" w:cs="Times New Roman"/>
                <w:color w:val="auto"/>
                <w:spacing w:val="-3"/>
                <w:sz w:val="24"/>
                <w:szCs w:val="24"/>
                <w:highlight w:val="none"/>
              </w:rPr>
              <w:t>-</w:t>
            </w:r>
            <w:r>
              <w:rPr>
                <w:color w:val="auto"/>
                <w:spacing w:val="-3"/>
                <w:sz w:val="24"/>
                <w:szCs w:val="24"/>
                <w:highlight w:val="none"/>
              </w:rPr>
              <w:t>暂估价</w:t>
            </w:r>
            <w:r>
              <w:rPr>
                <w:rFonts w:ascii="Times New Roman" w:hAnsi="Times New Roman" w:eastAsia="Times New Roman" w:cs="Times New Roman"/>
                <w:color w:val="auto"/>
                <w:spacing w:val="-3"/>
                <w:sz w:val="24"/>
                <w:szCs w:val="24"/>
                <w:highlight w:val="none"/>
              </w:rPr>
              <w:t>-</w:t>
            </w:r>
            <w:r>
              <w:rPr>
                <w:color w:val="auto"/>
                <w:spacing w:val="-3"/>
                <w:sz w:val="24"/>
                <w:szCs w:val="24"/>
                <w:highlight w:val="none"/>
              </w:rPr>
              <w:t>安全生</w:t>
            </w:r>
            <w:r>
              <w:rPr>
                <w:color w:val="auto"/>
                <w:spacing w:val="-1"/>
                <w:sz w:val="24"/>
                <w:szCs w:val="24"/>
                <w:highlight w:val="none"/>
              </w:rPr>
              <w:t>产措施费）×（</w:t>
            </w:r>
            <w:r>
              <w:rPr>
                <w:rFonts w:ascii="Times New Roman" w:hAnsi="Times New Roman" w:eastAsia="Times New Roman" w:cs="Times New Roman"/>
                <w:color w:val="auto"/>
                <w:spacing w:val="-1"/>
                <w:sz w:val="24"/>
                <w:szCs w:val="24"/>
                <w:highlight w:val="none"/>
              </w:rPr>
              <w:t>1-</w:t>
            </w:r>
            <w:r>
              <w:rPr>
                <w:color w:val="auto"/>
                <w:spacing w:val="-1"/>
                <w:sz w:val="24"/>
                <w:szCs w:val="24"/>
                <w:highlight w:val="none"/>
              </w:rPr>
              <w:t>下浮值</w:t>
            </w:r>
            <w:r>
              <w:rPr>
                <w:rFonts w:ascii="Times New Roman" w:hAnsi="Times New Roman" w:eastAsia="Times New Roman" w:cs="Times New Roman"/>
                <w:color w:val="auto"/>
                <w:spacing w:val="-1"/>
                <w:sz w:val="24"/>
                <w:szCs w:val="24"/>
                <w:highlight w:val="none"/>
              </w:rPr>
              <w:t>Y</w:t>
            </w:r>
            <w:r>
              <w:rPr>
                <w:color w:val="auto"/>
                <w:spacing w:val="-1"/>
                <w:sz w:val="24"/>
                <w:szCs w:val="24"/>
                <w:highlight w:val="none"/>
              </w:rPr>
              <w:t>）</w:t>
            </w:r>
            <w:r>
              <w:rPr>
                <w:rFonts w:ascii="Times New Roman" w:hAnsi="Times New Roman" w:eastAsia="Times New Roman" w:cs="Times New Roman"/>
                <w:color w:val="auto"/>
                <w:spacing w:val="-1"/>
                <w:sz w:val="24"/>
                <w:szCs w:val="24"/>
                <w:highlight w:val="none"/>
              </w:rPr>
              <w:t>+</w:t>
            </w:r>
            <w:r>
              <w:rPr>
                <w:color w:val="auto"/>
                <w:spacing w:val="-1"/>
                <w:sz w:val="24"/>
                <w:szCs w:val="24"/>
                <w:highlight w:val="none"/>
              </w:rPr>
              <w:t>预留金</w:t>
            </w:r>
            <w:r>
              <w:rPr>
                <w:rFonts w:ascii="Times New Roman" w:hAnsi="Times New Roman" w:eastAsia="Times New Roman" w:cs="Times New Roman"/>
                <w:color w:val="auto"/>
                <w:spacing w:val="-1"/>
                <w:sz w:val="24"/>
                <w:szCs w:val="24"/>
                <w:highlight w:val="none"/>
              </w:rPr>
              <w:t>+</w:t>
            </w:r>
            <w:r>
              <w:rPr>
                <w:color w:val="auto"/>
                <w:spacing w:val="-1"/>
                <w:sz w:val="24"/>
                <w:szCs w:val="24"/>
                <w:highlight w:val="none"/>
              </w:rPr>
              <w:t>暂估价</w:t>
            </w:r>
            <w:r>
              <w:rPr>
                <w:rFonts w:ascii="Times New Roman" w:hAnsi="Times New Roman" w:eastAsia="Times New Roman" w:cs="Times New Roman"/>
                <w:color w:val="auto"/>
                <w:spacing w:val="-1"/>
                <w:sz w:val="24"/>
                <w:szCs w:val="24"/>
                <w:highlight w:val="none"/>
              </w:rPr>
              <w:t>+</w:t>
            </w:r>
            <w:r>
              <w:rPr>
                <w:color w:val="auto"/>
                <w:spacing w:val="-1"/>
                <w:sz w:val="24"/>
                <w:szCs w:val="24"/>
                <w:highlight w:val="none"/>
              </w:rPr>
              <w:t>安全生产措</w:t>
            </w:r>
            <w:r>
              <w:rPr>
                <w:color w:val="auto"/>
                <w:spacing w:val="-4"/>
                <w:sz w:val="24"/>
                <w:szCs w:val="24"/>
                <w:highlight w:val="none"/>
              </w:rPr>
              <w:t>施费，下浮值由招标人在开标时从</w:t>
            </w:r>
            <w:r>
              <w:rPr>
                <w:color w:val="auto"/>
                <w:spacing w:val="-4"/>
                <w:sz w:val="24"/>
                <w:szCs w:val="24"/>
                <w:highlight w:val="none"/>
                <w:u w:val="single" w:color="auto"/>
              </w:rPr>
              <w:t xml:space="preserve"> </w:t>
            </w:r>
            <w:r>
              <w:rPr>
                <w:rFonts w:hint="eastAsia"/>
                <w:color w:val="auto"/>
                <w:spacing w:val="-4"/>
                <w:sz w:val="24"/>
                <w:szCs w:val="24"/>
                <w:highlight w:val="none"/>
                <w:u w:val="single" w:color="auto"/>
                <w:lang w:val="en-US" w:eastAsia="zh-CN"/>
              </w:rPr>
              <w:t>6%</w:t>
            </w:r>
            <w:r>
              <w:rPr>
                <w:color w:val="auto"/>
                <w:spacing w:val="-4"/>
                <w:sz w:val="24"/>
                <w:szCs w:val="24"/>
                <w:highlight w:val="none"/>
                <w:u w:val="single" w:color="auto"/>
              </w:rPr>
              <w:t>、</w:t>
            </w:r>
            <w:r>
              <w:rPr>
                <w:rFonts w:hint="eastAsia"/>
                <w:color w:val="auto"/>
                <w:spacing w:val="7"/>
                <w:sz w:val="24"/>
                <w:szCs w:val="24"/>
                <w:highlight w:val="none"/>
                <w:u w:val="single" w:color="auto"/>
                <w:lang w:val="en-US" w:eastAsia="zh-CN"/>
              </w:rPr>
              <w:t>6.5%</w:t>
            </w:r>
            <w:r>
              <w:rPr>
                <w:color w:val="auto"/>
                <w:spacing w:val="-4"/>
                <w:sz w:val="24"/>
                <w:szCs w:val="24"/>
                <w:highlight w:val="none"/>
                <w:u w:val="single" w:color="auto"/>
              </w:rPr>
              <w:t>、</w:t>
            </w:r>
            <w:r>
              <w:rPr>
                <w:rFonts w:hint="eastAsia"/>
                <w:color w:val="auto"/>
                <w:spacing w:val="-4"/>
                <w:sz w:val="24"/>
                <w:szCs w:val="24"/>
                <w:highlight w:val="none"/>
                <w:u w:val="single" w:color="auto"/>
                <w:lang w:val="en-US" w:eastAsia="zh-CN"/>
              </w:rPr>
              <w:t>7%</w:t>
            </w:r>
            <w:r>
              <w:rPr>
                <w:color w:val="auto"/>
                <w:spacing w:val="-4"/>
                <w:sz w:val="24"/>
                <w:szCs w:val="24"/>
                <w:highlight w:val="none"/>
                <w:u w:val="single" w:color="auto"/>
              </w:rPr>
              <w:t xml:space="preserve"> 、</w:t>
            </w:r>
            <w:r>
              <w:rPr>
                <w:rFonts w:hint="eastAsia"/>
                <w:color w:val="auto"/>
                <w:spacing w:val="6"/>
                <w:sz w:val="24"/>
                <w:szCs w:val="24"/>
                <w:highlight w:val="none"/>
                <w:u w:val="single" w:color="auto"/>
                <w:lang w:val="en-US" w:eastAsia="zh-CN"/>
              </w:rPr>
              <w:t>7.5%</w:t>
            </w:r>
            <w:r>
              <w:rPr>
                <w:color w:val="auto"/>
                <w:spacing w:val="6"/>
                <w:sz w:val="24"/>
                <w:szCs w:val="24"/>
                <w:highlight w:val="none"/>
                <w:u w:val="single" w:color="auto"/>
              </w:rPr>
              <w:t xml:space="preserve"> </w:t>
            </w:r>
            <w:r>
              <w:rPr>
                <w:color w:val="auto"/>
                <w:spacing w:val="-4"/>
                <w:sz w:val="24"/>
                <w:szCs w:val="24"/>
                <w:highlight w:val="none"/>
                <w:u w:val="single" w:color="auto"/>
              </w:rPr>
              <w:t>、</w:t>
            </w:r>
            <w:r>
              <w:rPr>
                <w:rFonts w:hint="eastAsia"/>
                <w:color w:val="auto"/>
                <w:spacing w:val="-4"/>
                <w:sz w:val="24"/>
                <w:szCs w:val="24"/>
                <w:highlight w:val="none"/>
                <w:u w:val="single" w:color="auto"/>
                <w:lang w:val="en-US" w:eastAsia="zh-CN"/>
              </w:rPr>
              <w:t>8%</w:t>
            </w:r>
            <w:r>
              <w:rPr>
                <w:color w:val="auto"/>
                <w:spacing w:val="-4"/>
                <w:sz w:val="24"/>
                <w:szCs w:val="24"/>
                <w:highlight w:val="none"/>
                <w:u w:val="single" w:color="auto"/>
              </w:rPr>
              <w:t xml:space="preserve">  </w:t>
            </w:r>
            <w:r>
              <w:rPr>
                <w:color w:val="auto"/>
                <w:spacing w:val="-95"/>
                <w:sz w:val="24"/>
                <w:szCs w:val="24"/>
                <w:highlight w:val="none"/>
              </w:rPr>
              <w:t xml:space="preserve"> </w:t>
            </w:r>
            <w:r>
              <w:rPr>
                <w:color w:val="auto"/>
                <w:spacing w:val="-4"/>
                <w:sz w:val="24"/>
                <w:szCs w:val="24"/>
                <w:highlight w:val="none"/>
              </w:rPr>
              <w:t>等</w:t>
            </w:r>
            <w:r>
              <w:rPr>
                <w:rFonts w:ascii="Times New Roman" w:hAnsi="Times New Roman" w:eastAsia="Times New Roman" w:cs="Times New Roman"/>
                <w:color w:val="auto"/>
                <w:sz w:val="24"/>
                <w:szCs w:val="24"/>
                <w:highlight w:val="none"/>
              </w:rPr>
              <w:t>5</w:t>
            </w:r>
            <w:r>
              <w:rPr>
                <w:color w:val="auto"/>
                <w:sz w:val="24"/>
                <w:szCs w:val="24"/>
                <w:highlight w:val="none"/>
              </w:rPr>
              <w:t>个数组成的等差数列中随机抽取其中一值作</w:t>
            </w:r>
            <w:r>
              <w:rPr>
                <w:color w:val="auto"/>
                <w:spacing w:val="-1"/>
                <w:sz w:val="24"/>
                <w:szCs w:val="24"/>
                <w:highlight w:val="none"/>
              </w:rPr>
              <w:t>为下浮值</w:t>
            </w:r>
            <w:r>
              <w:rPr>
                <w:rFonts w:ascii="Times New Roman" w:hAnsi="Times New Roman" w:eastAsia="Times New Roman" w:cs="Times New Roman"/>
                <w:color w:val="auto"/>
                <w:spacing w:val="-1"/>
                <w:sz w:val="24"/>
                <w:szCs w:val="24"/>
                <w:highlight w:val="none"/>
              </w:rPr>
              <w:t>Y</w:t>
            </w:r>
            <w:r>
              <w:rPr>
                <w:rFonts w:ascii="Times New Roman" w:hAnsi="Times New Roman" w:eastAsia="Times New Roman" w:cs="Times New Roman"/>
                <w:color w:val="auto"/>
                <w:spacing w:val="-29"/>
                <w:sz w:val="24"/>
                <w:szCs w:val="24"/>
                <w:highlight w:val="none"/>
              </w:rPr>
              <w:t xml:space="preserve"> </w:t>
            </w:r>
            <w:r>
              <w:rPr>
                <w:color w:val="auto"/>
                <w:spacing w:val="-1"/>
                <w:sz w:val="24"/>
                <w:szCs w:val="24"/>
                <w:highlight w:val="none"/>
              </w:rPr>
              <w:t>，</w:t>
            </w:r>
            <w:r>
              <w:rPr>
                <w:color w:val="auto"/>
                <w:spacing w:val="-5"/>
                <w:sz w:val="24"/>
                <w:szCs w:val="24"/>
                <w:highlight w:val="none"/>
              </w:rPr>
              <w:t>投标报价不得超过最高投标限价。（</w:t>
            </w:r>
            <w:r>
              <w:rPr>
                <w:i/>
                <w:iCs/>
                <w:color w:val="auto"/>
                <w:spacing w:val="-5"/>
                <w:sz w:val="24"/>
                <w:szCs w:val="24"/>
                <w:highlight w:val="none"/>
              </w:rPr>
              <w:t>招标人在编</w:t>
            </w:r>
            <w:r>
              <w:rPr>
                <w:i/>
                <w:iCs/>
                <w:color w:val="auto"/>
                <w:spacing w:val="-6"/>
                <w:sz w:val="24"/>
                <w:szCs w:val="24"/>
                <w:highlight w:val="none"/>
              </w:rPr>
              <w:t>制招标文</w:t>
            </w:r>
            <w:r>
              <w:rPr>
                <w:i/>
                <w:iCs/>
                <w:color w:val="auto"/>
                <w:spacing w:val="-14"/>
                <w:sz w:val="24"/>
                <w:szCs w:val="24"/>
                <w:highlight w:val="none"/>
              </w:rPr>
              <w:t>件时从</w:t>
            </w:r>
            <w:r>
              <w:rPr>
                <w:rFonts w:ascii="Times New Roman" w:hAnsi="Times New Roman" w:eastAsia="Times New Roman" w:cs="Times New Roman"/>
                <w:i/>
                <w:iCs/>
                <w:color w:val="auto"/>
                <w:spacing w:val="-14"/>
                <w:sz w:val="24"/>
                <w:szCs w:val="24"/>
                <w:highlight w:val="none"/>
              </w:rPr>
              <w:t>0.5%</w:t>
            </w:r>
            <w:r>
              <w:rPr>
                <w:i/>
                <w:iCs/>
                <w:color w:val="auto"/>
                <w:spacing w:val="-14"/>
                <w:sz w:val="24"/>
                <w:szCs w:val="24"/>
                <w:highlight w:val="none"/>
              </w:rPr>
              <w:t>、</w:t>
            </w:r>
            <w:r>
              <w:rPr>
                <w:rFonts w:ascii="Times New Roman" w:hAnsi="Times New Roman" w:eastAsia="Times New Roman" w:cs="Times New Roman"/>
                <w:i/>
                <w:iCs/>
                <w:color w:val="auto"/>
                <w:spacing w:val="-14"/>
                <w:sz w:val="24"/>
                <w:szCs w:val="24"/>
                <w:highlight w:val="none"/>
              </w:rPr>
              <w:t>1%</w:t>
            </w:r>
            <w:r>
              <w:rPr>
                <w:i/>
                <w:iCs/>
                <w:color w:val="auto"/>
                <w:spacing w:val="-14"/>
                <w:sz w:val="24"/>
                <w:szCs w:val="24"/>
                <w:highlight w:val="none"/>
              </w:rPr>
              <w:t>、</w:t>
            </w:r>
            <w:r>
              <w:rPr>
                <w:rFonts w:ascii="Times New Roman" w:hAnsi="Times New Roman" w:eastAsia="Times New Roman" w:cs="Times New Roman"/>
                <w:i/>
                <w:iCs/>
                <w:color w:val="auto"/>
                <w:spacing w:val="-14"/>
                <w:sz w:val="24"/>
                <w:szCs w:val="24"/>
                <w:highlight w:val="none"/>
              </w:rPr>
              <w:t>1.5%</w:t>
            </w:r>
            <w:r>
              <w:rPr>
                <w:i/>
                <w:iCs/>
                <w:color w:val="auto"/>
                <w:spacing w:val="-14"/>
                <w:sz w:val="24"/>
                <w:szCs w:val="24"/>
                <w:highlight w:val="none"/>
              </w:rPr>
              <w:t>、</w:t>
            </w:r>
            <w:r>
              <w:rPr>
                <w:rFonts w:ascii="Times New Roman" w:hAnsi="Times New Roman" w:eastAsia="Times New Roman" w:cs="Times New Roman"/>
                <w:i/>
                <w:iCs/>
                <w:color w:val="auto"/>
                <w:spacing w:val="-14"/>
                <w:sz w:val="24"/>
                <w:szCs w:val="24"/>
                <w:highlight w:val="none"/>
              </w:rPr>
              <w:t>2%</w:t>
            </w:r>
            <w:r>
              <w:rPr>
                <w:i/>
                <w:iCs/>
                <w:color w:val="auto"/>
                <w:spacing w:val="-14"/>
                <w:sz w:val="24"/>
                <w:szCs w:val="24"/>
                <w:highlight w:val="none"/>
              </w:rPr>
              <w:t>、</w:t>
            </w:r>
            <w:r>
              <w:rPr>
                <w:rFonts w:ascii="Times New Roman" w:hAnsi="Times New Roman" w:eastAsia="Times New Roman" w:cs="Times New Roman"/>
                <w:i/>
                <w:iCs/>
                <w:color w:val="auto"/>
                <w:spacing w:val="-14"/>
                <w:sz w:val="24"/>
                <w:szCs w:val="24"/>
                <w:highlight w:val="none"/>
              </w:rPr>
              <w:t>2.5%</w:t>
            </w:r>
            <w:r>
              <w:rPr>
                <w:i/>
                <w:iCs/>
                <w:color w:val="auto"/>
                <w:spacing w:val="-15"/>
                <w:sz w:val="24"/>
                <w:szCs w:val="24"/>
                <w:highlight w:val="none"/>
              </w:rPr>
              <w:t>、</w:t>
            </w:r>
            <w:r>
              <w:rPr>
                <w:rFonts w:ascii="Times New Roman" w:hAnsi="Times New Roman" w:eastAsia="Times New Roman" w:cs="Times New Roman"/>
                <w:i/>
                <w:iCs/>
                <w:color w:val="auto"/>
                <w:spacing w:val="-15"/>
                <w:sz w:val="24"/>
                <w:szCs w:val="24"/>
                <w:highlight w:val="none"/>
              </w:rPr>
              <w:t>3%</w:t>
            </w:r>
            <w:r>
              <w:rPr>
                <w:i/>
                <w:iCs/>
                <w:color w:val="auto"/>
                <w:spacing w:val="-15"/>
                <w:sz w:val="24"/>
                <w:szCs w:val="24"/>
                <w:highlight w:val="none"/>
              </w:rPr>
              <w:t>、</w:t>
            </w:r>
            <w:r>
              <w:rPr>
                <w:rFonts w:ascii="Times New Roman" w:hAnsi="Times New Roman" w:eastAsia="Times New Roman" w:cs="Times New Roman"/>
                <w:i/>
                <w:iCs/>
                <w:color w:val="auto"/>
                <w:spacing w:val="-15"/>
                <w:sz w:val="24"/>
                <w:szCs w:val="24"/>
                <w:highlight w:val="none"/>
              </w:rPr>
              <w:t>3.5%</w:t>
            </w:r>
            <w:r>
              <w:rPr>
                <w:i/>
                <w:iCs/>
                <w:color w:val="auto"/>
                <w:spacing w:val="-15"/>
                <w:sz w:val="24"/>
                <w:szCs w:val="24"/>
                <w:highlight w:val="none"/>
              </w:rPr>
              <w:t>、</w:t>
            </w:r>
            <w:r>
              <w:rPr>
                <w:rFonts w:ascii="Times New Roman" w:hAnsi="Times New Roman" w:eastAsia="Times New Roman" w:cs="Times New Roman"/>
                <w:i/>
                <w:iCs/>
                <w:color w:val="auto"/>
                <w:spacing w:val="-15"/>
                <w:sz w:val="24"/>
                <w:szCs w:val="24"/>
                <w:highlight w:val="none"/>
              </w:rPr>
              <w:t>4%</w:t>
            </w:r>
            <w:r>
              <w:rPr>
                <w:i/>
                <w:iCs/>
                <w:color w:val="auto"/>
                <w:spacing w:val="-15"/>
                <w:sz w:val="24"/>
                <w:szCs w:val="24"/>
                <w:highlight w:val="none"/>
              </w:rPr>
              <w:t>、</w:t>
            </w:r>
            <w:r>
              <w:rPr>
                <w:rFonts w:ascii="Times New Roman" w:hAnsi="Times New Roman" w:eastAsia="Times New Roman" w:cs="Times New Roman"/>
                <w:i/>
                <w:iCs/>
                <w:color w:val="auto"/>
                <w:spacing w:val="-15"/>
                <w:sz w:val="24"/>
                <w:szCs w:val="24"/>
                <w:highlight w:val="none"/>
              </w:rPr>
              <w:t>4.5%</w:t>
            </w:r>
            <w:r>
              <w:rPr>
                <w:i/>
                <w:iCs/>
                <w:color w:val="auto"/>
                <w:spacing w:val="-15"/>
                <w:sz w:val="24"/>
                <w:szCs w:val="24"/>
                <w:highlight w:val="none"/>
              </w:rPr>
              <w:t>、</w:t>
            </w:r>
            <w:r>
              <w:rPr>
                <w:color w:val="auto"/>
                <w:sz w:val="24"/>
                <w:szCs w:val="24"/>
                <w:highlight w:val="none"/>
              </w:rPr>
              <w:t xml:space="preserve"> </w:t>
            </w:r>
            <w:r>
              <w:rPr>
                <w:rFonts w:ascii="Times New Roman" w:hAnsi="Times New Roman" w:eastAsia="Times New Roman" w:cs="Times New Roman"/>
                <w:i/>
                <w:iCs/>
                <w:color w:val="auto"/>
                <w:spacing w:val="-7"/>
                <w:sz w:val="24"/>
                <w:szCs w:val="24"/>
                <w:highlight w:val="none"/>
              </w:rPr>
              <w:t>5%</w:t>
            </w:r>
            <w:r>
              <w:rPr>
                <w:i/>
                <w:iCs/>
                <w:color w:val="auto"/>
                <w:spacing w:val="-7"/>
                <w:sz w:val="24"/>
                <w:szCs w:val="24"/>
                <w:highlight w:val="none"/>
              </w:rPr>
              <w:t>、</w:t>
            </w:r>
            <w:r>
              <w:rPr>
                <w:rFonts w:ascii="Times New Roman" w:hAnsi="Times New Roman" w:eastAsia="Times New Roman" w:cs="Times New Roman"/>
                <w:i/>
                <w:iCs/>
                <w:color w:val="auto"/>
                <w:spacing w:val="-7"/>
                <w:sz w:val="24"/>
                <w:szCs w:val="24"/>
                <w:highlight w:val="none"/>
              </w:rPr>
              <w:t>5.5%</w:t>
            </w:r>
            <w:r>
              <w:rPr>
                <w:i/>
                <w:iCs/>
                <w:color w:val="auto"/>
                <w:spacing w:val="-7"/>
                <w:sz w:val="24"/>
                <w:szCs w:val="24"/>
                <w:highlight w:val="none"/>
              </w:rPr>
              <w:t>、</w:t>
            </w:r>
            <w:r>
              <w:rPr>
                <w:rFonts w:ascii="Times New Roman" w:hAnsi="Times New Roman" w:eastAsia="Times New Roman" w:cs="Times New Roman"/>
                <w:i/>
                <w:iCs/>
                <w:color w:val="auto"/>
                <w:spacing w:val="-7"/>
                <w:sz w:val="24"/>
                <w:szCs w:val="24"/>
                <w:highlight w:val="none"/>
              </w:rPr>
              <w:t>6%</w:t>
            </w:r>
            <w:r>
              <w:rPr>
                <w:i/>
                <w:iCs/>
                <w:color w:val="auto"/>
                <w:spacing w:val="-7"/>
                <w:sz w:val="24"/>
                <w:szCs w:val="24"/>
                <w:highlight w:val="none"/>
              </w:rPr>
              <w:t>、</w:t>
            </w:r>
            <w:r>
              <w:rPr>
                <w:rFonts w:ascii="Times New Roman" w:hAnsi="Times New Roman" w:eastAsia="Times New Roman" w:cs="Times New Roman"/>
                <w:i/>
                <w:iCs/>
                <w:color w:val="auto"/>
                <w:spacing w:val="-7"/>
                <w:sz w:val="24"/>
                <w:szCs w:val="24"/>
                <w:highlight w:val="none"/>
              </w:rPr>
              <w:t>6.5%</w:t>
            </w:r>
            <w:r>
              <w:rPr>
                <w:rFonts w:ascii="Times New Roman" w:hAnsi="Times New Roman" w:eastAsia="Times New Roman" w:cs="Times New Roman"/>
                <w:i/>
                <w:iCs/>
                <w:color w:val="auto"/>
                <w:spacing w:val="-23"/>
                <w:sz w:val="24"/>
                <w:szCs w:val="24"/>
                <w:highlight w:val="none"/>
              </w:rPr>
              <w:t xml:space="preserve"> </w:t>
            </w:r>
            <w:r>
              <w:rPr>
                <w:i/>
                <w:iCs/>
                <w:color w:val="auto"/>
                <w:spacing w:val="-7"/>
                <w:sz w:val="24"/>
                <w:szCs w:val="24"/>
                <w:highlight w:val="none"/>
              </w:rPr>
              <w:t>、</w:t>
            </w:r>
            <w:r>
              <w:rPr>
                <w:rFonts w:ascii="Times New Roman" w:hAnsi="Times New Roman" w:eastAsia="Times New Roman" w:cs="Times New Roman"/>
                <w:i/>
                <w:iCs/>
                <w:color w:val="auto"/>
                <w:spacing w:val="-7"/>
                <w:sz w:val="24"/>
                <w:szCs w:val="24"/>
                <w:highlight w:val="none"/>
              </w:rPr>
              <w:t>7%</w:t>
            </w:r>
            <w:r>
              <w:rPr>
                <w:rFonts w:ascii="Times New Roman" w:hAnsi="Times New Roman" w:eastAsia="Times New Roman" w:cs="Times New Roman"/>
                <w:i/>
                <w:iCs/>
                <w:color w:val="auto"/>
                <w:spacing w:val="-24"/>
                <w:sz w:val="24"/>
                <w:szCs w:val="24"/>
                <w:highlight w:val="none"/>
              </w:rPr>
              <w:t xml:space="preserve"> </w:t>
            </w:r>
            <w:r>
              <w:rPr>
                <w:i/>
                <w:iCs/>
                <w:color w:val="auto"/>
                <w:spacing w:val="-7"/>
                <w:sz w:val="24"/>
                <w:szCs w:val="24"/>
                <w:highlight w:val="none"/>
              </w:rPr>
              <w:t>、</w:t>
            </w:r>
            <w:r>
              <w:rPr>
                <w:rFonts w:ascii="Times New Roman" w:hAnsi="Times New Roman" w:eastAsia="Times New Roman" w:cs="Times New Roman"/>
                <w:i/>
                <w:iCs/>
                <w:color w:val="auto"/>
                <w:spacing w:val="-7"/>
                <w:sz w:val="24"/>
                <w:szCs w:val="24"/>
                <w:highlight w:val="none"/>
              </w:rPr>
              <w:t>7.5%</w:t>
            </w:r>
            <w:r>
              <w:rPr>
                <w:i/>
                <w:iCs/>
                <w:color w:val="auto"/>
                <w:spacing w:val="-7"/>
                <w:sz w:val="24"/>
                <w:szCs w:val="24"/>
                <w:highlight w:val="none"/>
              </w:rPr>
              <w:t>、</w:t>
            </w:r>
            <w:r>
              <w:rPr>
                <w:rFonts w:ascii="Times New Roman" w:hAnsi="Times New Roman" w:eastAsia="Times New Roman" w:cs="Times New Roman"/>
                <w:i/>
                <w:iCs/>
                <w:color w:val="auto"/>
                <w:spacing w:val="-7"/>
                <w:sz w:val="24"/>
                <w:szCs w:val="24"/>
                <w:highlight w:val="none"/>
              </w:rPr>
              <w:t>8%</w:t>
            </w:r>
            <w:r>
              <w:rPr>
                <w:i/>
                <w:iCs/>
                <w:color w:val="auto"/>
                <w:spacing w:val="-7"/>
                <w:sz w:val="24"/>
                <w:szCs w:val="24"/>
                <w:highlight w:val="none"/>
              </w:rPr>
              <w:t>等</w:t>
            </w:r>
            <w:r>
              <w:rPr>
                <w:rFonts w:ascii="Times New Roman" w:hAnsi="Times New Roman" w:eastAsia="Times New Roman" w:cs="Times New Roman"/>
                <w:i/>
                <w:iCs/>
                <w:color w:val="auto"/>
                <w:spacing w:val="-7"/>
                <w:sz w:val="24"/>
                <w:szCs w:val="24"/>
                <w:highlight w:val="none"/>
              </w:rPr>
              <w:t>16</w:t>
            </w:r>
            <w:r>
              <w:rPr>
                <w:i/>
                <w:iCs/>
                <w:color w:val="auto"/>
                <w:spacing w:val="-7"/>
                <w:sz w:val="24"/>
                <w:szCs w:val="24"/>
                <w:highlight w:val="none"/>
              </w:rPr>
              <w:t>个数中确</w:t>
            </w:r>
            <w:r>
              <w:rPr>
                <w:i/>
                <w:iCs/>
                <w:color w:val="auto"/>
                <w:spacing w:val="-8"/>
                <w:sz w:val="24"/>
                <w:szCs w:val="24"/>
                <w:highlight w:val="none"/>
              </w:rPr>
              <w:t>定一组其中</w:t>
            </w:r>
            <w:r>
              <w:rPr>
                <w:rFonts w:ascii="Times New Roman" w:hAnsi="Times New Roman" w:eastAsia="Times New Roman" w:cs="Times New Roman"/>
                <w:i/>
                <w:iCs/>
                <w:color w:val="auto"/>
                <w:spacing w:val="-8"/>
                <w:sz w:val="24"/>
                <w:szCs w:val="24"/>
                <w:highlight w:val="none"/>
              </w:rPr>
              <w:t>5</w:t>
            </w:r>
            <w:r>
              <w:rPr>
                <w:i/>
                <w:iCs/>
                <w:color w:val="auto"/>
                <w:spacing w:val="-8"/>
                <w:sz w:val="24"/>
                <w:szCs w:val="24"/>
                <w:highlight w:val="none"/>
              </w:rPr>
              <w:t>个数组成的等差数列</w:t>
            </w:r>
            <w:r>
              <w:rPr>
                <w:color w:val="auto"/>
                <w:spacing w:val="-8"/>
                <w:sz w:val="24"/>
                <w:szCs w:val="24"/>
                <w:highlight w:val="none"/>
              </w:rPr>
              <w:t>）。最高投标限价取整数，小</w:t>
            </w:r>
            <w:r>
              <w:rPr>
                <w:color w:val="auto"/>
                <w:spacing w:val="-1"/>
                <w:sz w:val="24"/>
                <w:szCs w:val="24"/>
                <w:highlight w:val="none"/>
              </w:rPr>
              <w:t>数点后四舍五入。</w:t>
            </w:r>
          </w:p>
          <w:p w14:paraId="37A10970">
            <w:pPr>
              <w:pStyle w:val="17"/>
              <w:spacing w:before="107" w:line="317" w:lineRule="auto"/>
              <w:ind w:right="135" w:firstLine="238" w:firstLineChars="100"/>
              <w:rPr>
                <w:color w:val="auto"/>
                <w:sz w:val="24"/>
                <w:szCs w:val="24"/>
                <w:highlight w:val="none"/>
              </w:rPr>
            </w:pPr>
            <w:r>
              <w:rPr>
                <w:color w:val="auto"/>
                <w:spacing w:val="-1"/>
                <w:sz w:val="24"/>
                <w:szCs w:val="24"/>
                <w:highlight w:val="none"/>
              </w:rPr>
              <w:t>招标预算指根据浙江省现行水利工程造价计价依据和有关</w:t>
            </w:r>
            <w:r>
              <w:rPr>
                <w:rFonts w:hint="eastAsia"/>
                <w:color w:val="auto"/>
                <w:spacing w:val="-1"/>
                <w:sz w:val="24"/>
                <w:szCs w:val="24"/>
                <w:highlight w:val="none"/>
              </w:rPr>
              <w:t>规定，以及拟定的招标文件，结合工程具体情况、市场价格进行编制的造价文件。</w:t>
            </w:r>
          </w:p>
        </w:tc>
      </w:tr>
      <w:tr w14:paraId="0FB90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953" w:type="dxa"/>
            <w:tcBorders>
              <w:left w:val="single" w:color="000000" w:sz="6" w:space="0"/>
            </w:tcBorders>
            <w:vAlign w:val="top"/>
          </w:tcPr>
          <w:p w14:paraId="0E2FE066">
            <w:pPr>
              <w:spacing w:line="244" w:lineRule="auto"/>
              <w:rPr>
                <w:rFonts w:ascii="Arial"/>
                <w:color w:val="auto"/>
                <w:sz w:val="24"/>
                <w:szCs w:val="24"/>
                <w:highlight w:val="none"/>
              </w:rPr>
            </w:pPr>
          </w:p>
          <w:p w14:paraId="02B027E7">
            <w:pPr>
              <w:spacing w:line="244" w:lineRule="auto"/>
              <w:rPr>
                <w:rFonts w:ascii="Arial"/>
                <w:color w:val="auto"/>
                <w:sz w:val="24"/>
                <w:szCs w:val="24"/>
                <w:highlight w:val="none"/>
              </w:rPr>
            </w:pPr>
          </w:p>
          <w:p w14:paraId="362FBFD3">
            <w:pPr>
              <w:spacing w:line="244" w:lineRule="auto"/>
              <w:rPr>
                <w:rFonts w:ascii="Arial"/>
                <w:color w:val="auto"/>
                <w:sz w:val="24"/>
                <w:szCs w:val="24"/>
                <w:highlight w:val="none"/>
              </w:rPr>
            </w:pPr>
          </w:p>
          <w:p w14:paraId="5A55E306">
            <w:pPr>
              <w:spacing w:line="244" w:lineRule="auto"/>
              <w:rPr>
                <w:rFonts w:ascii="Arial"/>
                <w:color w:val="auto"/>
                <w:sz w:val="24"/>
                <w:szCs w:val="24"/>
                <w:highlight w:val="none"/>
              </w:rPr>
            </w:pPr>
          </w:p>
          <w:p w14:paraId="51405F37">
            <w:pPr>
              <w:spacing w:line="244" w:lineRule="auto"/>
              <w:rPr>
                <w:rFonts w:ascii="Arial"/>
                <w:color w:val="auto"/>
                <w:sz w:val="24"/>
                <w:szCs w:val="24"/>
                <w:highlight w:val="none"/>
              </w:rPr>
            </w:pPr>
          </w:p>
          <w:p w14:paraId="31DE8D89">
            <w:pPr>
              <w:spacing w:line="244" w:lineRule="auto"/>
              <w:rPr>
                <w:rFonts w:ascii="Arial"/>
                <w:color w:val="auto"/>
                <w:sz w:val="24"/>
                <w:szCs w:val="24"/>
                <w:highlight w:val="none"/>
              </w:rPr>
            </w:pPr>
          </w:p>
          <w:p w14:paraId="244E90D4">
            <w:pPr>
              <w:spacing w:line="244" w:lineRule="auto"/>
              <w:rPr>
                <w:rFonts w:ascii="Arial"/>
                <w:color w:val="auto"/>
                <w:sz w:val="24"/>
                <w:szCs w:val="24"/>
                <w:highlight w:val="none"/>
              </w:rPr>
            </w:pPr>
          </w:p>
          <w:p w14:paraId="407521FA">
            <w:pPr>
              <w:spacing w:before="61" w:line="187" w:lineRule="auto"/>
              <w:ind w:left="307" w:leftChars="0"/>
              <w:rPr>
                <w:rFonts w:ascii="Times New Roman" w:hAnsi="Times New Roman" w:eastAsia="Times New Roman" w:cs="Times New Roman"/>
                <w:color w:val="auto"/>
                <w:spacing w:val="-5"/>
                <w:sz w:val="24"/>
                <w:szCs w:val="24"/>
                <w:highlight w:val="none"/>
              </w:rPr>
            </w:pPr>
            <w:r>
              <w:rPr>
                <w:rFonts w:ascii="Times New Roman" w:hAnsi="Times New Roman" w:eastAsia="Times New Roman" w:cs="Times New Roman"/>
                <w:color w:val="auto"/>
                <w:spacing w:val="-5"/>
                <w:sz w:val="24"/>
                <w:szCs w:val="24"/>
                <w:highlight w:val="none"/>
              </w:rPr>
              <w:t>10.6</w:t>
            </w:r>
          </w:p>
        </w:tc>
        <w:tc>
          <w:tcPr>
            <w:tcW w:w="2438" w:type="dxa"/>
            <w:vAlign w:val="top"/>
          </w:tcPr>
          <w:p w14:paraId="6097542B">
            <w:pPr>
              <w:spacing w:line="245" w:lineRule="auto"/>
              <w:rPr>
                <w:rFonts w:ascii="Arial"/>
                <w:color w:val="auto"/>
                <w:sz w:val="24"/>
                <w:szCs w:val="24"/>
                <w:highlight w:val="none"/>
              </w:rPr>
            </w:pPr>
          </w:p>
          <w:p w14:paraId="7006599A">
            <w:pPr>
              <w:spacing w:line="245" w:lineRule="auto"/>
              <w:rPr>
                <w:rFonts w:ascii="Arial"/>
                <w:color w:val="auto"/>
                <w:sz w:val="24"/>
                <w:szCs w:val="24"/>
                <w:highlight w:val="none"/>
              </w:rPr>
            </w:pPr>
          </w:p>
          <w:p w14:paraId="14F5B5B4">
            <w:pPr>
              <w:spacing w:line="245" w:lineRule="auto"/>
              <w:rPr>
                <w:rFonts w:ascii="Arial"/>
                <w:color w:val="auto"/>
                <w:sz w:val="24"/>
                <w:szCs w:val="24"/>
                <w:highlight w:val="none"/>
              </w:rPr>
            </w:pPr>
          </w:p>
          <w:p w14:paraId="03F32523">
            <w:pPr>
              <w:spacing w:line="245" w:lineRule="auto"/>
              <w:rPr>
                <w:rFonts w:ascii="Arial"/>
                <w:color w:val="auto"/>
                <w:sz w:val="24"/>
                <w:szCs w:val="24"/>
                <w:highlight w:val="none"/>
              </w:rPr>
            </w:pPr>
          </w:p>
          <w:p w14:paraId="5FDE2AE3">
            <w:pPr>
              <w:spacing w:line="245" w:lineRule="auto"/>
              <w:rPr>
                <w:rFonts w:ascii="Arial"/>
                <w:color w:val="auto"/>
                <w:sz w:val="24"/>
                <w:szCs w:val="24"/>
                <w:highlight w:val="none"/>
              </w:rPr>
            </w:pPr>
          </w:p>
          <w:p w14:paraId="76C2AFBC">
            <w:pPr>
              <w:spacing w:line="245" w:lineRule="auto"/>
              <w:rPr>
                <w:rFonts w:ascii="Arial"/>
                <w:color w:val="auto"/>
                <w:sz w:val="24"/>
                <w:szCs w:val="24"/>
                <w:highlight w:val="none"/>
              </w:rPr>
            </w:pPr>
          </w:p>
          <w:p w14:paraId="6AA1F646">
            <w:pPr>
              <w:pStyle w:val="17"/>
              <w:spacing w:before="69" w:line="319" w:lineRule="auto"/>
              <w:ind w:left="105" w:leftChars="0" w:right="106" w:rightChars="0"/>
              <w:rPr>
                <w:color w:val="auto"/>
                <w:spacing w:val="12"/>
                <w:sz w:val="24"/>
                <w:szCs w:val="24"/>
                <w:highlight w:val="none"/>
              </w:rPr>
            </w:pPr>
            <w:r>
              <w:rPr>
                <w:color w:val="auto"/>
                <w:spacing w:val="12"/>
                <w:sz w:val="24"/>
                <w:szCs w:val="24"/>
                <w:highlight w:val="none"/>
              </w:rPr>
              <w:t>在建合同工程的认定及</w:t>
            </w:r>
            <w:r>
              <w:rPr>
                <w:color w:val="auto"/>
                <w:spacing w:val="-2"/>
                <w:sz w:val="24"/>
                <w:szCs w:val="24"/>
                <w:highlight w:val="none"/>
              </w:rPr>
              <w:t>变更证明</w:t>
            </w:r>
          </w:p>
        </w:tc>
        <w:tc>
          <w:tcPr>
            <w:tcW w:w="5812" w:type="dxa"/>
            <w:tcBorders>
              <w:right w:val="single" w:color="000000" w:sz="6" w:space="0"/>
            </w:tcBorders>
            <w:vAlign w:val="top"/>
          </w:tcPr>
          <w:p w14:paraId="4B1C272F">
            <w:pPr>
              <w:pStyle w:val="17"/>
              <w:spacing w:before="107" w:line="221" w:lineRule="auto"/>
              <w:ind w:firstLine="234" w:firstLineChars="100"/>
              <w:rPr>
                <w:color w:val="auto"/>
                <w:sz w:val="24"/>
                <w:szCs w:val="24"/>
                <w:highlight w:val="none"/>
              </w:rPr>
            </w:pPr>
            <w:r>
              <w:rPr>
                <w:rFonts w:hint="eastAsia" w:ascii="Times New Roman" w:hAnsi="Times New Roman" w:cs="Times New Roman"/>
                <w:color w:val="auto"/>
                <w:spacing w:val="-3"/>
                <w:sz w:val="24"/>
                <w:szCs w:val="24"/>
                <w:highlight w:val="none"/>
                <w:lang w:val="en-US" w:eastAsia="zh-CN"/>
              </w:rPr>
              <w:t>1.</w:t>
            </w:r>
            <w:r>
              <w:rPr>
                <w:color w:val="auto"/>
                <w:spacing w:val="-3"/>
                <w:sz w:val="24"/>
                <w:szCs w:val="24"/>
                <w:highlight w:val="none"/>
              </w:rPr>
              <w:t>对项目负责人“有在建合同工程”的认定标准：</w:t>
            </w:r>
          </w:p>
          <w:p w14:paraId="3E0F3769">
            <w:pPr>
              <w:pStyle w:val="17"/>
              <w:spacing w:before="107" w:line="317" w:lineRule="auto"/>
              <w:ind w:right="135" w:firstLine="240" w:firstLineChars="100"/>
              <w:rPr>
                <w:color w:val="auto"/>
                <w:sz w:val="24"/>
                <w:szCs w:val="24"/>
                <w:highlight w:val="none"/>
              </w:rPr>
            </w:pPr>
            <w:r>
              <w:rPr>
                <w:color w:val="auto"/>
                <w:sz w:val="24"/>
                <w:szCs w:val="24"/>
                <w:highlight w:val="none"/>
              </w:rPr>
              <w:t>拟派项目负责人在投标截止时间尚有在其他</w:t>
            </w:r>
            <w:r>
              <w:rPr>
                <w:color w:val="auto"/>
                <w:spacing w:val="-1"/>
                <w:sz w:val="24"/>
                <w:szCs w:val="24"/>
                <w:highlight w:val="none"/>
              </w:rPr>
              <w:t>在建合同工</w:t>
            </w:r>
            <w:r>
              <w:rPr>
                <w:color w:val="auto"/>
                <w:sz w:val="24"/>
                <w:szCs w:val="24"/>
                <w:highlight w:val="none"/>
              </w:rPr>
              <w:t>程中担任项目负责人（包括工程总承包项目中的施</w:t>
            </w:r>
            <w:r>
              <w:rPr>
                <w:color w:val="auto"/>
                <w:spacing w:val="-1"/>
                <w:sz w:val="24"/>
                <w:szCs w:val="24"/>
                <w:highlight w:val="none"/>
              </w:rPr>
              <w:t>工负责</w:t>
            </w:r>
            <w:r>
              <w:rPr>
                <w:color w:val="auto"/>
                <w:spacing w:val="-2"/>
                <w:sz w:val="24"/>
                <w:szCs w:val="24"/>
                <w:highlight w:val="none"/>
              </w:rPr>
              <w:t>人）的情形为“有在建合同工程”。</w:t>
            </w:r>
          </w:p>
          <w:p w14:paraId="6B19E477">
            <w:pPr>
              <w:pStyle w:val="17"/>
              <w:spacing w:before="1" w:line="316" w:lineRule="auto"/>
              <w:ind w:right="135" w:firstLine="240" w:firstLineChars="100"/>
              <w:rPr>
                <w:rFonts w:hint="eastAsia" w:eastAsia="宋体"/>
                <w:color w:val="auto"/>
                <w:sz w:val="24"/>
                <w:szCs w:val="24"/>
                <w:highlight w:val="none"/>
                <w:lang w:eastAsia="zh-CN"/>
              </w:rPr>
            </w:pPr>
            <w:r>
              <w:rPr>
                <w:color w:val="auto"/>
                <w:sz w:val="24"/>
                <w:szCs w:val="24"/>
                <w:highlight w:val="none"/>
              </w:rPr>
              <w:t>在建合同工程项目</w:t>
            </w:r>
            <w:r>
              <w:rPr>
                <w:rFonts w:hint="eastAsia"/>
                <w:color w:val="auto"/>
                <w:sz w:val="24"/>
                <w:szCs w:val="24"/>
                <w:highlight w:val="none"/>
                <w:lang w:eastAsia="zh-CN"/>
              </w:rPr>
              <w:t>，</w:t>
            </w:r>
            <w:r>
              <w:rPr>
                <w:color w:val="auto"/>
                <w:sz w:val="24"/>
                <w:szCs w:val="24"/>
                <w:highlight w:val="none"/>
              </w:rPr>
              <w:t>包括在中华人民共和国境</w:t>
            </w:r>
            <w:r>
              <w:rPr>
                <w:color w:val="auto"/>
                <w:spacing w:val="-1"/>
                <w:sz w:val="24"/>
                <w:szCs w:val="24"/>
                <w:highlight w:val="none"/>
              </w:rPr>
              <w:t>内所有建</w:t>
            </w:r>
            <w:r>
              <w:rPr>
                <w:color w:val="auto"/>
                <w:spacing w:val="-2"/>
                <w:sz w:val="24"/>
                <w:szCs w:val="24"/>
                <w:highlight w:val="none"/>
              </w:rPr>
              <w:t>设工程，不受地域、行业和投资性质的限制</w:t>
            </w:r>
            <w:r>
              <w:rPr>
                <w:rFonts w:hint="eastAsia"/>
                <w:color w:val="auto"/>
                <w:spacing w:val="-2"/>
                <w:sz w:val="24"/>
                <w:szCs w:val="24"/>
                <w:highlight w:val="none"/>
                <w:lang w:eastAsia="zh-CN"/>
              </w:rPr>
              <w:t>。</w:t>
            </w:r>
          </w:p>
          <w:p w14:paraId="1281C99C">
            <w:pPr>
              <w:pStyle w:val="17"/>
              <w:spacing w:before="1" w:line="316" w:lineRule="auto"/>
              <w:ind w:left="110" w:right="135" w:firstLine="209"/>
              <w:rPr>
                <w:color w:val="auto"/>
                <w:sz w:val="24"/>
                <w:szCs w:val="24"/>
                <w:highlight w:val="none"/>
              </w:rPr>
            </w:pPr>
            <w:r>
              <w:rPr>
                <w:color w:val="auto"/>
                <w:sz w:val="24"/>
                <w:szCs w:val="24"/>
                <w:highlight w:val="none"/>
              </w:rPr>
              <w:t>在建合同工程的时间界定：中标通知书发出之</w:t>
            </w:r>
            <w:r>
              <w:rPr>
                <w:color w:val="auto"/>
                <w:spacing w:val="-1"/>
                <w:sz w:val="24"/>
                <w:szCs w:val="24"/>
                <w:highlight w:val="none"/>
              </w:rPr>
              <w:t>日（不通过招标方式的，开始时间为合同签订之</w:t>
            </w:r>
            <w:r>
              <w:rPr>
                <w:rFonts w:hint="eastAsia"/>
                <w:color w:val="auto"/>
                <w:spacing w:val="-1"/>
                <w:sz w:val="24"/>
                <w:szCs w:val="24"/>
                <w:highlight w:val="none"/>
                <w:lang w:val="en-US" w:eastAsia="zh-CN"/>
              </w:rPr>
              <w:t>日</w:t>
            </w:r>
            <w:r>
              <w:rPr>
                <w:color w:val="auto"/>
                <w:spacing w:val="9"/>
                <w:sz w:val="24"/>
                <w:szCs w:val="24"/>
                <w:highlight w:val="none"/>
              </w:rPr>
              <w:t>），</w:t>
            </w:r>
            <w:r>
              <w:rPr>
                <w:color w:val="auto"/>
                <w:spacing w:val="-1"/>
                <w:sz w:val="24"/>
                <w:szCs w:val="24"/>
                <w:highlight w:val="none"/>
              </w:rPr>
              <w:t>结束时间为该合同工程通过验收或合同解除之日。</w:t>
            </w:r>
          </w:p>
          <w:p w14:paraId="45F3E3CA">
            <w:pPr>
              <w:pStyle w:val="17"/>
              <w:spacing w:before="1" w:line="221" w:lineRule="auto"/>
              <w:ind w:left="345"/>
              <w:rPr>
                <w:color w:val="auto"/>
                <w:sz w:val="24"/>
                <w:szCs w:val="24"/>
                <w:highlight w:val="none"/>
              </w:rPr>
            </w:pPr>
            <w:r>
              <w:rPr>
                <w:color w:val="auto"/>
                <w:spacing w:val="-4"/>
                <w:sz w:val="24"/>
                <w:szCs w:val="24"/>
                <w:highlight w:val="none"/>
              </w:rPr>
              <w:t>以下情形视为“有在建合同工程”：</w:t>
            </w:r>
          </w:p>
          <w:p w14:paraId="34F2BE74">
            <w:pPr>
              <w:pStyle w:val="17"/>
              <w:spacing w:before="107" w:line="269" w:lineRule="auto"/>
              <w:ind w:left="150" w:right="185" w:firstLine="177"/>
              <w:rPr>
                <w:color w:val="auto"/>
                <w:sz w:val="24"/>
                <w:szCs w:val="24"/>
                <w:highlight w:val="none"/>
              </w:rPr>
            </w:pPr>
            <w:r>
              <w:rPr>
                <w:color w:val="auto"/>
                <w:spacing w:val="-1"/>
                <w:sz w:val="24"/>
                <w:szCs w:val="24"/>
                <w:highlight w:val="none"/>
              </w:rPr>
              <w:t>（</w:t>
            </w:r>
            <w:r>
              <w:rPr>
                <w:rFonts w:ascii="Times New Roman" w:hAnsi="Times New Roman" w:eastAsia="Times New Roman" w:cs="Times New Roman"/>
                <w:color w:val="auto"/>
                <w:spacing w:val="-1"/>
                <w:sz w:val="24"/>
                <w:szCs w:val="24"/>
                <w:highlight w:val="none"/>
              </w:rPr>
              <w:t>1</w:t>
            </w:r>
            <w:r>
              <w:rPr>
                <w:color w:val="auto"/>
                <w:spacing w:val="-1"/>
                <w:sz w:val="24"/>
                <w:szCs w:val="24"/>
                <w:highlight w:val="none"/>
              </w:rPr>
              <w:t>）合同协议书尚未签订的，中标通知书中载明的项</w:t>
            </w:r>
            <w:r>
              <w:rPr>
                <w:color w:val="auto"/>
                <w:spacing w:val="-4"/>
                <w:sz w:val="24"/>
                <w:szCs w:val="24"/>
                <w:highlight w:val="none"/>
              </w:rPr>
              <w:t>目负责人（包括工程总承包项目中的施工负责人）为准；</w:t>
            </w:r>
          </w:p>
          <w:p w14:paraId="54EB30F0">
            <w:pPr>
              <w:pStyle w:val="17"/>
              <w:spacing w:before="108" w:line="269" w:lineRule="auto"/>
              <w:ind w:left="118" w:right="282" w:firstLine="209"/>
              <w:rPr>
                <w:color w:val="auto"/>
                <w:sz w:val="24"/>
                <w:szCs w:val="24"/>
                <w:highlight w:val="none"/>
              </w:rPr>
            </w:pPr>
            <w:r>
              <w:rPr>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color w:val="auto"/>
                <w:spacing w:val="-3"/>
                <w:sz w:val="24"/>
                <w:szCs w:val="24"/>
                <w:highlight w:val="none"/>
              </w:rPr>
              <w:t>）合同协议书已经签订，合同协议书中明确的项目</w:t>
            </w:r>
            <w:r>
              <w:rPr>
                <w:color w:val="auto"/>
                <w:spacing w:val="-1"/>
                <w:sz w:val="24"/>
                <w:szCs w:val="24"/>
                <w:highlight w:val="none"/>
              </w:rPr>
              <w:t>负责人（包括工程总承包项目中的施工负责人）为准；</w:t>
            </w:r>
          </w:p>
          <w:p w14:paraId="361EA733">
            <w:pPr>
              <w:pStyle w:val="17"/>
              <w:spacing w:before="107" w:line="293" w:lineRule="auto"/>
              <w:ind w:left="110" w:right="134" w:firstLine="216"/>
              <w:rPr>
                <w:color w:val="auto"/>
                <w:sz w:val="24"/>
                <w:szCs w:val="24"/>
                <w:highlight w:val="none"/>
              </w:rPr>
            </w:pPr>
            <w:r>
              <w:rPr>
                <w:color w:val="auto"/>
                <w:spacing w:val="-1"/>
                <w:sz w:val="24"/>
                <w:szCs w:val="24"/>
                <w:highlight w:val="none"/>
              </w:rPr>
              <w:t>（</w:t>
            </w:r>
            <w:r>
              <w:rPr>
                <w:rFonts w:ascii="Times New Roman" w:hAnsi="Times New Roman" w:eastAsia="Times New Roman" w:cs="Times New Roman"/>
                <w:color w:val="auto"/>
                <w:spacing w:val="-1"/>
                <w:sz w:val="24"/>
                <w:szCs w:val="24"/>
                <w:highlight w:val="none"/>
              </w:rPr>
              <w:t>3</w:t>
            </w:r>
            <w:r>
              <w:rPr>
                <w:color w:val="auto"/>
                <w:spacing w:val="-1"/>
                <w:sz w:val="24"/>
                <w:szCs w:val="24"/>
                <w:highlight w:val="none"/>
              </w:rPr>
              <w:t>）项目负责人发生更换的，投标人在投标文件中附有下列第</w:t>
            </w:r>
            <w:r>
              <w:rPr>
                <w:rFonts w:ascii="Times New Roman" w:hAnsi="Times New Roman" w:eastAsia="Times New Roman" w:cs="Times New Roman"/>
                <w:color w:val="auto"/>
                <w:spacing w:val="-1"/>
                <w:sz w:val="24"/>
                <w:szCs w:val="24"/>
                <w:highlight w:val="none"/>
              </w:rPr>
              <w:t>2</w:t>
            </w:r>
            <w:r>
              <w:rPr>
                <w:color w:val="auto"/>
                <w:spacing w:val="-1"/>
                <w:sz w:val="24"/>
                <w:szCs w:val="24"/>
                <w:highlight w:val="none"/>
              </w:rPr>
              <w:t>项证明材料的，以现任项目负责人视为有“在</w:t>
            </w:r>
            <w:r>
              <w:rPr>
                <w:color w:val="auto"/>
                <w:sz w:val="24"/>
                <w:szCs w:val="24"/>
                <w:highlight w:val="none"/>
              </w:rPr>
              <w:t>建合同工程”；未附证明材料的，则仍然以更换</w:t>
            </w:r>
            <w:r>
              <w:rPr>
                <w:color w:val="auto"/>
                <w:spacing w:val="-1"/>
                <w:sz w:val="24"/>
                <w:szCs w:val="24"/>
                <w:highlight w:val="none"/>
              </w:rPr>
              <w:t>前的项目负责人视为有“在建合同工程”。</w:t>
            </w:r>
          </w:p>
          <w:p w14:paraId="06C00A8A">
            <w:pPr>
              <w:pStyle w:val="17"/>
              <w:spacing w:before="109" w:line="317" w:lineRule="auto"/>
              <w:ind w:left="127" w:right="242" w:firstLine="190"/>
              <w:rPr>
                <w:color w:val="auto"/>
                <w:sz w:val="24"/>
                <w:szCs w:val="24"/>
                <w:highlight w:val="none"/>
              </w:rPr>
            </w:pPr>
            <w:r>
              <w:rPr>
                <w:rFonts w:ascii="Times New Roman" w:hAnsi="Times New Roman" w:eastAsia="Times New Roman" w:cs="Times New Roman"/>
                <w:color w:val="auto"/>
                <w:spacing w:val="-2"/>
                <w:sz w:val="24"/>
                <w:szCs w:val="24"/>
                <w:highlight w:val="none"/>
              </w:rPr>
              <w:t>2</w:t>
            </w:r>
            <w:r>
              <w:rPr>
                <w:rFonts w:ascii="Times New Roman" w:hAnsi="Times New Roman" w:eastAsia="Times New Roman" w:cs="Times New Roman"/>
                <w:color w:val="auto"/>
                <w:spacing w:val="-8"/>
                <w:sz w:val="24"/>
                <w:szCs w:val="24"/>
                <w:highlight w:val="none"/>
              </w:rPr>
              <w:t xml:space="preserve"> </w:t>
            </w:r>
            <w:r>
              <w:rPr>
                <w:rFonts w:hint="eastAsia" w:ascii="Times New Roman" w:hAnsi="Times New Roman" w:eastAsia="宋体" w:cs="Times New Roman"/>
                <w:color w:val="auto"/>
                <w:spacing w:val="-8"/>
                <w:sz w:val="24"/>
                <w:szCs w:val="24"/>
                <w:highlight w:val="none"/>
                <w:lang w:val="en-US" w:eastAsia="zh-CN"/>
              </w:rPr>
              <w:t>.</w:t>
            </w:r>
            <w:r>
              <w:rPr>
                <w:color w:val="auto"/>
                <w:spacing w:val="-2"/>
                <w:sz w:val="24"/>
                <w:szCs w:val="24"/>
                <w:highlight w:val="none"/>
              </w:rPr>
              <w:t>在建项目的项目负责人办理更换后，投标时需提供</w:t>
            </w:r>
            <w:r>
              <w:rPr>
                <w:color w:val="auto"/>
                <w:spacing w:val="-6"/>
                <w:sz w:val="24"/>
                <w:szCs w:val="24"/>
                <w:highlight w:val="none"/>
              </w:rPr>
              <w:t>的资料：</w:t>
            </w:r>
          </w:p>
          <w:p w14:paraId="6EECF021">
            <w:pPr>
              <w:pStyle w:val="17"/>
              <w:spacing w:line="206" w:lineRule="auto"/>
              <w:ind w:left="324" w:leftChars="0"/>
              <w:rPr>
                <w:color w:val="auto"/>
                <w:sz w:val="24"/>
                <w:szCs w:val="24"/>
                <w:highlight w:val="none"/>
              </w:rPr>
            </w:pPr>
            <w:r>
              <w:rPr>
                <w:color w:val="auto"/>
                <w:spacing w:val="-1"/>
                <w:sz w:val="24"/>
                <w:szCs w:val="24"/>
                <w:highlight w:val="none"/>
              </w:rPr>
              <w:t>项目业主同意更换的证明。</w:t>
            </w:r>
          </w:p>
        </w:tc>
      </w:tr>
      <w:tr w14:paraId="5EC16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953" w:type="dxa"/>
            <w:tcBorders>
              <w:left w:val="single" w:color="000000" w:sz="6" w:space="0"/>
              <w:bottom w:val="single" w:color="000000" w:sz="6" w:space="0"/>
            </w:tcBorders>
            <w:vAlign w:val="top"/>
          </w:tcPr>
          <w:p w14:paraId="062D9FC6">
            <w:pPr>
              <w:spacing w:line="292" w:lineRule="auto"/>
              <w:rPr>
                <w:rFonts w:ascii="Arial"/>
                <w:color w:val="auto"/>
                <w:sz w:val="24"/>
                <w:szCs w:val="24"/>
                <w:highlight w:val="none"/>
              </w:rPr>
            </w:pPr>
          </w:p>
          <w:p w14:paraId="1BEE31A1">
            <w:pPr>
              <w:spacing w:line="292" w:lineRule="auto"/>
              <w:rPr>
                <w:rFonts w:ascii="Arial"/>
                <w:color w:val="auto"/>
                <w:sz w:val="24"/>
                <w:szCs w:val="24"/>
                <w:highlight w:val="none"/>
              </w:rPr>
            </w:pPr>
          </w:p>
          <w:p w14:paraId="2DA6BA73">
            <w:pPr>
              <w:spacing w:line="292" w:lineRule="auto"/>
              <w:rPr>
                <w:rFonts w:ascii="Arial"/>
                <w:color w:val="auto"/>
                <w:sz w:val="24"/>
                <w:szCs w:val="24"/>
                <w:highlight w:val="none"/>
              </w:rPr>
            </w:pPr>
          </w:p>
          <w:p w14:paraId="493F1C1B">
            <w:pPr>
              <w:spacing w:line="292" w:lineRule="auto"/>
              <w:rPr>
                <w:rFonts w:ascii="Arial"/>
                <w:color w:val="auto"/>
                <w:sz w:val="24"/>
                <w:szCs w:val="24"/>
                <w:highlight w:val="none"/>
              </w:rPr>
            </w:pPr>
          </w:p>
          <w:p w14:paraId="01D7E660">
            <w:pPr>
              <w:spacing w:before="61" w:line="187" w:lineRule="auto"/>
              <w:ind w:left="307" w:leftChars="0"/>
              <w:rPr>
                <w:rFonts w:ascii="Times New Roman" w:hAnsi="Times New Roman" w:eastAsia="Times New Roman" w:cs="Times New Roman"/>
                <w:color w:val="auto"/>
                <w:spacing w:val="-5"/>
                <w:sz w:val="24"/>
                <w:szCs w:val="24"/>
                <w:highlight w:val="none"/>
              </w:rPr>
            </w:pPr>
            <w:r>
              <w:rPr>
                <w:rFonts w:ascii="Times New Roman" w:hAnsi="Times New Roman" w:eastAsia="Times New Roman" w:cs="Times New Roman"/>
                <w:color w:val="auto"/>
                <w:spacing w:val="-5"/>
                <w:sz w:val="24"/>
                <w:szCs w:val="24"/>
                <w:highlight w:val="none"/>
              </w:rPr>
              <w:t>10.7</w:t>
            </w:r>
          </w:p>
        </w:tc>
        <w:tc>
          <w:tcPr>
            <w:tcW w:w="2438" w:type="dxa"/>
            <w:tcBorders>
              <w:bottom w:val="single" w:color="000000" w:sz="6" w:space="0"/>
            </w:tcBorders>
            <w:vAlign w:val="top"/>
          </w:tcPr>
          <w:p w14:paraId="6579EE6B">
            <w:pPr>
              <w:spacing w:line="280" w:lineRule="auto"/>
              <w:rPr>
                <w:rFonts w:ascii="Arial"/>
                <w:color w:val="auto"/>
                <w:sz w:val="24"/>
                <w:szCs w:val="24"/>
                <w:highlight w:val="none"/>
              </w:rPr>
            </w:pPr>
          </w:p>
          <w:p w14:paraId="1EE8D263">
            <w:pPr>
              <w:spacing w:line="280" w:lineRule="auto"/>
              <w:rPr>
                <w:rFonts w:ascii="Arial"/>
                <w:color w:val="auto"/>
                <w:sz w:val="24"/>
                <w:szCs w:val="24"/>
                <w:highlight w:val="none"/>
              </w:rPr>
            </w:pPr>
          </w:p>
          <w:p w14:paraId="5FAD6509">
            <w:pPr>
              <w:spacing w:line="281" w:lineRule="auto"/>
              <w:rPr>
                <w:rFonts w:ascii="Arial"/>
                <w:color w:val="auto"/>
                <w:sz w:val="24"/>
                <w:szCs w:val="24"/>
                <w:highlight w:val="none"/>
              </w:rPr>
            </w:pPr>
          </w:p>
          <w:p w14:paraId="1ED35E62">
            <w:pPr>
              <w:spacing w:line="281" w:lineRule="auto"/>
              <w:rPr>
                <w:rFonts w:ascii="Arial"/>
                <w:color w:val="auto"/>
                <w:sz w:val="24"/>
                <w:szCs w:val="24"/>
                <w:highlight w:val="none"/>
              </w:rPr>
            </w:pPr>
          </w:p>
          <w:p w14:paraId="443808F1">
            <w:pPr>
              <w:pStyle w:val="17"/>
              <w:spacing w:before="68" w:line="221" w:lineRule="auto"/>
              <w:ind w:left="106" w:leftChars="0"/>
              <w:rPr>
                <w:color w:val="auto"/>
                <w:spacing w:val="12"/>
                <w:sz w:val="24"/>
                <w:szCs w:val="24"/>
                <w:highlight w:val="none"/>
              </w:rPr>
            </w:pPr>
            <w:r>
              <w:rPr>
                <w:color w:val="auto"/>
                <w:spacing w:val="-2"/>
                <w:sz w:val="24"/>
                <w:szCs w:val="24"/>
                <w:highlight w:val="none"/>
              </w:rPr>
              <w:t>特别说明</w:t>
            </w:r>
          </w:p>
        </w:tc>
        <w:tc>
          <w:tcPr>
            <w:tcW w:w="5812" w:type="dxa"/>
            <w:tcBorders>
              <w:bottom w:val="single" w:color="000000" w:sz="6" w:space="0"/>
              <w:right w:val="single" w:color="000000" w:sz="6" w:space="0"/>
            </w:tcBorders>
            <w:vAlign w:val="top"/>
          </w:tcPr>
          <w:p w14:paraId="7E139755">
            <w:pPr>
              <w:pStyle w:val="17"/>
              <w:spacing w:before="118" w:line="289" w:lineRule="auto"/>
              <w:ind w:left="110" w:right="96" w:firstLine="226"/>
              <w:rPr>
                <w:color w:val="auto"/>
                <w:sz w:val="24"/>
                <w:szCs w:val="24"/>
                <w:highlight w:val="none"/>
              </w:rPr>
            </w:pPr>
            <w:r>
              <w:rPr>
                <w:rFonts w:ascii="Times New Roman" w:hAnsi="Times New Roman" w:eastAsia="Times New Roman" w:cs="Times New Roman"/>
                <w:color w:val="auto"/>
                <w:spacing w:val="-5"/>
                <w:sz w:val="24"/>
                <w:szCs w:val="24"/>
                <w:highlight w:val="none"/>
              </w:rPr>
              <w:t>1</w:t>
            </w:r>
            <w:r>
              <w:rPr>
                <w:rFonts w:ascii="Times New Roman" w:hAnsi="Times New Roman" w:eastAsia="Times New Roman" w:cs="Times New Roman"/>
                <w:color w:val="auto"/>
                <w:spacing w:val="-20"/>
                <w:sz w:val="24"/>
                <w:szCs w:val="24"/>
                <w:highlight w:val="none"/>
              </w:rPr>
              <w:t xml:space="preserve"> </w:t>
            </w:r>
            <w:r>
              <w:rPr>
                <w:rFonts w:hint="eastAsia" w:ascii="Times New Roman" w:hAnsi="Times New Roman" w:cs="Times New Roman"/>
                <w:color w:val="auto"/>
                <w:spacing w:val="-20"/>
                <w:sz w:val="24"/>
                <w:szCs w:val="24"/>
                <w:highlight w:val="none"/>
                <w:lang w:val="en-US" w:eastAsia="zh-CN"/>
              </w:rPr>
              <w:t>.</w:t>
            </w:r>
            <w:r>
              <w:rPr>
                <w:color w:val="auto"/>
                <w:spacing w:val="-5"/>
                <w:sz w:val="24"/>
                <w:szCs w:val="24"/>
                <w:highlight w:val="none"/>
              </w:rPr>
              <w:t>“投标人须知前附表”是对“投标人须</w:t>
            </w:r>
            <w:r>
              <w:rPr>
                <w:color w:val="auto"/>
                <w:spacing w:val="-6"/>
                <w:sz w:val="24"/>
                <w:szCs w:val="24"/>
                <w:highlight w:val="none"/>
              </w:rPr>
              <w:t>知”正文中未</w:t>
            </w:r>
            <w:r>
              <w:rPr>
                <w:color w:val="auto"/>
                <w:spacing w:val="1"/>
                <w:sz w:val="24"/>
                <w:szCs w:val="24"/>
                <w:highlight w:val="none"/>
              </w:rPr>
              <w:t>尽事宜进一步明确及重点内容的概括，招标人应结合招标项目具体特点和实际需要编制和填写，但不应与“投标人</w:t>
            </w:r>
            <w:r>
              <w:rPr>
                <w:color w:val="auto"/>
                <w:sz w:val="24"/>
                <w:szCs w:val="24"/>
                <w:highlight w:val="none"/>
              </w:rPr>
              <w:t>须知”正文内容相抵触，否则抵触内容无效。。</w:t>
            </w:r>
          </w:p>
          <w:p w14:paraId="30814D0D">
            <w:pPr>
              <w:pStyle w:val="17"/>
              <w:spacing w:before="109" w:line="269" w:lineRule="auto"/>
              <w:ind w:left="110" w:right="242" w:firstLine="206"/>
              <w:jc w:val="left"/>
              <w:rPr>
                <w:color w:val="auto"/>
                <w:spacing w:val="-1"/>
                <w:sz w:val="24"/>
                <w:szCs w:val="24"/>
                <w:highlight w:val="none"/>
              </w:rPr>
            </w:pPr>
            <w:r>
              <w:rPr>
                <w:rFonts w:ascii="Times New Roman" w:hAnsi="Times New Roman" w:eastAsia="Times New Roman" w:cs="Times New Roman"/>
                <w:color w:val="auto"/>
                <w:spacing w:val="-2"/>
                <w:sz w:val="24"/>
                <w:szCs w:val="24"/>
                <w:highlight w:val="none"/>
              </w:rPr>
              <w:t>2</w:t>
            </w:r>
            <w:r>
              <w:rPr>
                <w:rFonts w:ascii="Times New Roman" w:hAnsi="Times New Roman" w:eastAsia="Times New Roman" w:cs="Times New Roman"/>
                <w:color w:val="auto"/>
                <w:spacing w:val="-8"/>
                <w:sz w:val="24"/>
                <w:szCs w:val="24"/>
                <w:highlight w:val="none"/>
              </w:rPr>
              <w:t xml:space="preserve"> </w:t>
            </w:r>
            <w:r>
              <w:rPr>
                <w:rFonts w:hint="eastAsia" w:ascii="Times New Roman" w:hAnsi="Times New Roman" w:cs="Times New Roman"/>
                <w:color w:val="auto"/>
                <w:spacing w:val="-8"/>
                <w:sz w:val="24"/>
                <w:szCs w:val="24"/>
                <w:highlight w:val="none"/>
                <w:lang w:val="en-US" w:eastAsia="zh-CN"/>
              </w:rPr>
              <w:t>.</w:t>
            </w:r>
            <w:r>
              <w:rPr>
                <w:color w:val="auto"/>
                <w:spacing w:val="-2"/>
                <w:sz w:val="24"/>
                <w:szCs w:val="24"/>
                <w:highlight w:val="none"/>
              </w:rPr>
              <w:t>投标人投标函与投标函附录不一致的，以投标人投</w:t>
            </w:r>
            <w:r>
              <w:rPr>
                <w:color w:val="auto"/>
                <w:spacing w:val="-5"/>
                <w:sz w:val="24"/>
                <w:szCs w:val="24"/>
                <w:highlight w:val="none"/>
              </w:rPr>
              <w:t>标函为准。</w:t>
            </w:r>
          </w:p>
        </w:tc>
      </w:tr>
    </w:tbl>
    <w:p w14:paraId="7FF0B05A">
      <w:pPr>
        <w:pStyle w:val="3"/>
        <w:rPr>
          <w:color w:val="auto"/>
          <w:highlight w:val="none"/>
        </w:rPr>
      </w:pPr>
    </w:p>
    <w:p w14:paraId="2AECF80B">
      <w:pPr>
        <w:spacing w:line="89" w:lineRule="auto"/>
        <w:rPr>
          <w:rFonts w:ascii="Arial"/>
          <w:color w:val="auto"/>
          <w:sz w:val="2"/>
          <w:highlight w:val="none"/>
        </w:rPr>
      </w:pPr>
    </w:p>
    <w:p w14:paraId="77543D02">
      <w:pPr>
        <w:spacing w:before="55" w:line="221" w:lineRule="auto"/>
        <w:ind w:left="7"/>
        <w:outlineLvl w:val="1"/>
        <w:rPr>
          <w:rFonts w:ascii="宋体" w:hAnsi="宋体" w:eastAsia="宋体" w:cs="宋体"/>
          <w:color w:val="auto"/>
          <w:sz w:val="28"/>
          <w:szCs w:val="28"/>
          <w:highlight w:val="none"/>
        </w:rPr>
      </w:pPr>
      <w:bookmarkStart w:id="33" w:name="_Toc12417"/>
      <w:bookmarkStart w:id="34" w:name="_Toc1733"/>
      <w:r>
        <w:rPr>
          <w:rFonts w:ascii="Times New Roman" w:hAnsi="Times New Roman" w:eastAsia="Times New Roman" w:cs="Times New Roman"/>
          <w:b/>
          <w:bCs/>
          <w:color w:val="auto"/>
          <w:spacing w:val="-11"/>
          <w:sz w:val="28"/>
          <w:szCs w:val="28"/>
          <w:highlight w:val="none"/>
        </w:rPr>
        <w:t>1</w:t>
      </w:r>
      <w:r>
        <w:rPr>
          <w:rFonts w:ascii="Times New Roman" w:hAnsi="Times New Roman" w:eastAsia="Times New Roman" w:cs="Times New Roman"/>
          <w:b/>
          <w:bCs/>
          <w:color w:val="auto"/>
          <w:spacing w:val="9"/>
          <w:sz w:val="28"/>
          <w:szCs w:val="28"/>
          <w:highlight w:val="none"/>
        </w:rPr>
        <w:t xml:space="preserve"> </w:t>
      </w:r>
      <w:r>
        <w:rPr>
          <w:rFonts w:hint="eastAsia" w:ascii="Times New Roman" w:hAnsi="Times New Roman" w:eastAsia="宋体" w:cs="Times New Roman"/>
          <w:b/>
          <w:bCs/>
          <w:color w:val="auto"/>
          <w:spacing w:val="9"/>
          <w:sz w:val="28"/>
          <w:szCs w:val="28"/>
          <w:highlight w:val="none"/>
          <w:lang w:eastAsia="zh-CN"/>
        </w:rPr>
        <w:t>、</w:t>
      </w:r>
      <w:r>
        <w:rPr>
          <w:rFonts w:ascii="宋体" w:hAnsi="宋体" w:eastAsia="宋体" w:cs="宋体"/>
          <w:b/>
          <w:bCs/>
          <w:color w:val="auto"/>
          <w:spacing w:val="-11"/>
          <w:sz w:val="28"/>
          <w:szCs w:val="28"/>
          <w:highlight w:val="none"/>
        </w:rPr>
        <w:t>总则</w:t>
      </w:r>
      <w:bookmarkEnd w:id="33"/>
      <w:bookmarkEnd w:id="34"/>
    </w:p>
    <w:p w14:paraId="60BE5184">
      <w:pPr>
        <w:pStyle w:val="3"/>
        <w:spacing w:line="244" w:lineRule="auto"/>
        <w:rPr>
          <w:color w:val="auto"/>
          <w:highlight w:val="none"/>
        </w:rPr>
      </w:pPr>
    </w:p>
    <w:p w14:paraId="28E853C5">
      <w:pPr>
        <w:spacing w:before="78" w:line="220" w:lineRule="auto"/>
        <w:ind w:left="4"/>
        <w:outlineLvl w:val="2"/>
        <w:rPr>
          <w:rFonts w:ascii="宋体" w:hAnsi="宋体" w:eastAsia="宋体" w:cs="宋体"/>
          <w:color w:val="auto"/>
          <w:sz w:val="24"/>
          <w:szCs w:val="24"/>
          <w:highlight w:val="none"/>
        </w:rPr>
      </w:pPr>
      <w:bookmarkStart w:id="35" w:name="bookmark665"/>
      <w:bookmarkEnd w:id="35"/>
      <w:bookmarkStart w:id="36" w:name="_Toc19197"/>
      <w:bookmarkStart w:id="37" w:name="_Toc28146"/>
      <w:r>
        <w:rPr>
          <w:rFonts w:ascii="Times New Roman" w:hAnsi="Times New Roman" w:eastAsia="Times New Roman" w:cs="Times New Roman"/>
          <w:b/>
          <w:bCs/>
          <w:color w:val="auto"/>
          <w:spacing w:val="-5"/>
          <w:sz w:val="24"/>
          <w:szCs w:val="24"/>
          <w:highlight w:val="none"/>
        </w:rPr>
        <w:t>1.1</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5"/>
          <w:sz w:val="24"/>
          <w:szCs w:val="24"/>
          <w:highlight w:val="none"/>
        </w:rPr>
        <w:t>项目概况</w:t>
      </w:r>
      <w:bookmarkEnd w:id="36"/>
      <w:bookmarkEnd w:id="37"/>
    </w:p>
    <w:p w14:paraId="22C28775">
      <w:pPr>
        <w:spacing w:before="181" w:line="359" w:lineRule="auto"/>
        <w:ind w:right="3" w:firstLine="486"/>
        <w:jc w:val="both"/>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1.1.1  </w:t>
      </w:r>
      <w:r>
        <w:rPr>
          <w:rFonts w:ascii="宋体" w:hAnsi="宋体" w:eastAsia="宋体" w:cs="宋体"/>
          <w:color w:val="auto"/>
          <w:spacing w:val="-4"/>
          <w:sz w:val="24"/>
          <w:szCs w:val="24"/>
          <w:highlight w:val="none"/>
        </w:rPr>
        <w:t>根据《</w:t>
      </w:r>
      <w:r>
        <w:rPr>
          <w:rFonts w:ascii="宋体" w:hAnsi="宋体" w:eastAsia="宋体" w:cs="宋体"/>
          <w:color w:val="auto"/>
          <w:spacing w:val="32"/>
          <w:sz w:val="24"/>
          <w:szCs w:val="24"/>
          <w:highlight w:val="none"/>
        </w:rPr>
        <w:t xml:space="preserve"> </w:t>
      </w:r>
      <w:r>
        <w:rPr>
          <w:rFonts w:ascii="宋体" w:hAnsi="宋体" w:eastAsia="宋体" w:cs="宋体"/>
          <w:color w:val="auto"/>
          <w:spacing w:val="-4"/>
          <w:sz w:val="24"/>
          <w:szCs w:val="24"/>
          <w:highlight w:val="none"/>
        </w:rPr>
        <w:t>中华人民共和国招标投标法》、《中华人民共和国招标投标法实施</w:t>
      </w:r>
      <w:r>
        <w:rPr>
          <w:rFonts w:ascii="宋体" w:hAnsi="宋体" w:eastAsia="宋体" w:cs="宋体"/>
          <w:color w:val="auto"/>
          <w:spacing w:val="-3"/>
          <w:sz w:val="24"/>
          <w:szCs w:val="24"/>
          <w:highlight w:val="none"/>
        </w:rPr>
        <w:t>条例》等有关法律、法规和规章的规定，本招标项目已具备招标条件，现对本标段施</w:t>
      </w:r>
      <w:r>
        <w:rPr>
          <w:rFonts w:ascii="宋体" w:hAnsi="宋体" w:eastAsia="宋体" w:cs="宋体"/>
          <w:color w:val="auto"/>
          <w:spacing w:val="-7"/>
          <w:sz w:val="24"/>
          <w:szCs w:val="24"/>
          <w:highlight w:val="none"/>
        </w:rPr>
        <w:t>工进行招标。</w:t>
      </w:r>
    </w:p>
    <w:p w14:paraId="78F0B089">
      <w:pPr>
        <w:spacing w:before="1" w:line="218"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1.1.2  </w:t>
      </w:r>
      <w:r>
        <w:rPr>
          <w:rFonts w:ascii="宋体" w:hAnsi="宋体" w:eastAsia="宋体" w:cs="宋体"/>
          <w:color w:val="auto"/>
          <w:spacing w:val="-2"/>
          <w:sz w:val="24"/>
          <w:szCs w:val="24"/>
          <w:highlight w:val="none"/>
        </w:rPr>
        <w:t>本招标项目招标人：见投标人须知前附表。</w:t>
      </w:r>
    </w:p>
    <w:p w14:paraId="4E7A04CC">
      <w:pPr>
        <w:spacing w:before="183"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1.1.3  </w:t>
      </w:r>
      <w:r>
        <w:rPr>
          <w:rFonts w:ascii="宋体" w:hAnsi="宋体" w:eastAsia="宋体" w:cs="宋体"/>
          <w:color w:val="auto"/>
          <w:spacing w:val="-2"/>
          <w:sz w:val="24"/>
          <w:szCs w:val="24"/>
          <w:highlight w:val="none"/>
        </w:rPr>
        <w:t>本标段招标代理机构：见投标人须知前附表。</w:t>
      </w:r>
    </w:p>
    <w:p w14:paraId="761D6E2B">
      <w:pPr>
        <w:spacing w:before="180"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1.1.4  </w:t>
      </w:r>
      <w:r>
        <w:rPr>
          <w:rFonts w:ascii="宋体" w:hAnsi="宋体" w:eastAsia="宋体" w:cs="宋体"/>
          <w:color w:val="auto"/>
          <w:spacing w:val="-2"/>
          <w:sz w:val="24"/>
          <w:szCs w:val="24"/>
          <w:highlight w:val="none"/>
        </w:rPr>
        <w:t>本招标项目名称：见投标人须知前附表。</w:t>
      </w:r>
    </w:p>
    <w:p w14:paraId="62925318">
      <w:pPr>
        <w:spacing w:before="184"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1.1.5  </w:t>
      </w:r>
      <w:r>
        <w:rPr>
          <w:rFonts w:ascii="宋体" w:hAnsi="宋体" w:eastAsia="宋体" w:cs="宋体"/>
          <w:color w:val="auto"/>
          <w:spacing w:val="-2"/>
          <w:sz w:val="24"/>
          <w:szCs w:val="24"/>
          <w:highlight w:val="none"/>
        </w:rPr>
        <w:t>本标段建设地点：见投标人须知前附表。</w:t>
      </w:r>
    </w:p>
    <w:p w14:paraId="1D055892">
      <w:pPr>
        <w:spacing w:before="181"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1.1.6  </w:t>
      </w:r>
      <w:r>
        <w:rPr>
          <w:rFonts w:ascii="宋体" w:hAnsi="宋体" w:eastAsia="宋体" w:cs="宋体"/>
          <w:color w:val="auto"/>
          <w:spacing w:val="-2"/>
          <w:sz w:val="24"/>
          <w:szCs w:val="24"/>
          <w:highlight w:val="none"/>
        </w:rPr>
        <w:t>本招标项目现场管理机构：见投标人须知前附表。</w:t>
      </w:r>
    </w:p>
    <w:p w14:paraId="6D38B22F">
      <w:pPr>
        <w:spacing w:before="183"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1.1.7  </w:t>
      </w:r>
      <w:r>
        <w:rPr>
          <w:rFonts w:ascii="宋体" w:hAnsi="宋体" w:eastAsia="宋体" w:cs="宋体"/>
          <w:color w:val="auto"/>
          <w:spacing w:val="-2"/>
          <w:sz w:val="24"/>
          <w:szCs w:val="24"/>
          <w:highlight w:val="none"/>
        </w:rPr>
        <w:t>本招标项目设计人：见投标人须知前附表。</w:t>
      </w:r>
    </w:p>
    <w:p w14:paraId="42E4D139">
      <w:pPr>
        <w:spacing w:before="181"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1.1.8  </w:t>
      </w:r>
      <w:r>
        <w:rPr>
          <w:rFonts w:ascii="宋体" w:hAnsi="宋体" w:eastAsia="宋体" w:cs="宋体"/>
          <w:color w:val="auto"/>
          <w:spacing w:val="-2"/>
          <w:sz w:val="24"/>
          <w:szCs w:val="24"/>
          <w:highlight w:val="none"/>
        </w:rPr>
        <w:t>本招标项目监理人：见投标人须知前附表。</w:t>
      </w:r>
    </w:p>
    <w:p w14:paraId="2E18592C">
      <w:pPr>
        <w:spacing w:before="183"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1.1.9  </w:t>
      </w:r>
      <w:r>
        <w:rPr>
          <w:rFonts w:ascii="宋体" w:hAnsi="宋体" w:eastAsia="宋体" w:cs="宋体"/>
          <w:color w:val="auto"/>
          <w:spacing w:val="-2"/>
          <w:sz w:val="24"/>
          <w:szCs w:val="24"/>
          <w:highlight w:val="none"/>
        </w:rPr>
        <w:t>本招标项目代建机构：见投标人须知前附表。</w:t>
      </w:r>
    </w:p>
    <w:p w14:paraId="4C80C4CB">
      <w:pPr>
        <w:spacing w:before="181" w:line="220" w:lineRule="auto"/>
        <w:ind w:left="4"/>
        <w:outlineLvl w:val="2"/>
        <w:rPr>
          <w:rFonts w:ascii="宋体" w:hAnsi="宋体" w:eastAsia="宋体" w:cs="宋体"/>
          <w:color w:val="auto"/>
          <w:sz w:val="24"/>
          <w:szCs w:val="24"/>
          <w:highlight w:val="none"/>
        </w:rPr>
      </w:pPr>
      <w:bookmarkStart w:id="38" w:name="_Toc4287"/>
      <w:bookmarkStart w:id="39" w:name="_Toc13326"/>
      <w:r>
        <w:rPr>
          <w:rFonts w:ascii="Times New Roman" w:hAnsi="Times New Roman" w:eastAsia="Times New Roman" w:cs="Times New Roman"/>
          <w:b/>
          <w:bCs/>
          <w:color w:val="auto"/>
          <w:spacing w:val="-3"/>
          <w:sz w:val="24"/>
          <w:szCs w:val="24"/>
          <w:highlight w:val="none"/>
        </w:rPr>
        <w:t xml:space="preserve">1.2  </w:t>
      </w:r>
      <w:r>
        <w:rPr>
          <w:rFonts w:ascii="宋体" w:hAnsi="宋体" w:eastAsia="宋体" w:cs="宋体"/>
          <w:b/>
          <w:bCs/>
          <w:color w:val="auto"/>
          <w:spacing w:val="-3"/>
          <w:sz w:val="24"/>
          <w:szCs w:val="24"/>
          <w:highlight w:val="none"/>
        </w:rPr>
        <w:t>资金来源和落实情况</w:t>
      </w:r>
      <w:bookmarkEnd w:id="38"/>
      <w:bookmarkEnd w:id="39"/>
    </w:p>
    <w:p w14:paraId="02595F1A">
      <w:pPr>
        <w:spacing w:before="182"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1.2.1  </w:t>
      </w:r>
      <w:r>
        <w:rPr>
          <w:rFonts w:ascii="宋体" w:hAnsi="宋体" w:eastAsia="宋体" w:cs="宋体"/>
          <w:color w:val="auto"/>
          <w:spacing w:val="-1"/>
          <w:sz w:val="24"/>
          <w:szCs w:val="24"/>
          <w:highlight w:val="none"/>
        </w:rPr>
        <w:t>本招标项目的资金来源及项目的出资</w:t>
      </w:r>
      <w:r>
        <w:rPr>
          <w:rFonts w:ascii="宋体" w:hAnsi="宋体" w:eastAsia="宋体" w:cs="宋体"/>
          <w:color w:val="auto"/>
          <w:spacing w:val="-2"/>
          <w:sz w:val="24"/>
          <w:szCs w:val="24"/>
          <w:highlight w:val="none"/>
        </w:rPr>
        <w:t>比例：见投标人须知前附表。</w:t>
      </w:r>
    </w:p>
    <w:p w14:paraId="01959F7C">
      <w:pPr>
        <w:spacing w:before="181"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1.2.2  </w:t>
      </w:r>
      <w:r>
        <w:rPr>
          <w:rFonts w:ascii="宋体" w:hAnsi="宋体" w:eastAsia="宋体" w:cs="宋体"/>
          <w:color w:val="auto"/>
          <w:spacing w:val="-2"/>
          <w:sz w:val="24"/>
          <w:szCs w:val="24"/>
          <w:highlight w:val="none"/>
        </w:rPr>
        <w:t>本招标项目的资金落实情况：见投标人须知前附表。</w:t>
      </w:r>
    </w:p>
    <w:p w14:paraId="4C450C77">
      <w:pPr>
        <w:spacing w:before="184" w:line="220" w:lineRule="auto"/>
        <w:ind w:left="4"/>
        <w:outlineLvl w:val="2"/>
        <w:rPr>
          <w:rFonts w:ascii="宋体" w:hAnsi="宋体" w:eastAsia="宋体" w:cs="宋体"/>
          <w:color w:val="auto"/>
          <w:sz w:val="24"/>
          <w:szCs w:val="24"/>
          <w:highlight w:val="none"/>
        </w:rPr>
      </w:pPr>
      <w:bookmarkStart w:id="40" w:name="_Toc2381"/>
      <w:bookmarkStart w:id="41" w:name="_Toc17029"/>
      <w:r>
        <w:rPr>
          <w:rFonts w:ascii="Times New Roman" w:hAnsi="Times New Roman" w:eastAsia="Times New Roman" w:cs="Times New Roman"/>
          <w:b/>
          <w:bCs/>
          <w:color w:val="auto"/>
          <w:spacing w:val="-3"/>
          <w:sz w:val="24"/>
          <w:szCs w:val="24"/>
          <w:highlight w:val="none"/>
        </w:rPr>
        <w:t xml:space="preserve">1.3  </w:t>
      </w:r>
      <w:r>
        <w:rPr>
          <w:rFonts w:ascii="宋体" w:hAnsi="宋体" w:eastAsia="宋体" w:cs="宋体"/>
          <w:b/>
          <w:bCs/>
          <w:color w:val="auto"/>
          <w:spacing w:val="-3"/>
          <w:sz w:val="24"/>
          <w:szCs w:val="24"/>
          <w:highlight w:val="none"/>
        </w:rPr>
        <w:t>招标范围、计划工期和质量要求</w:t>
      </w:r>
      <w:bookmarkEnd w:id="40"/>
      <w:bookmarkEnd w:id="41"/>
    </w:p>
    <w:p w14:paraId="6BC9A350">
      <w:pPr>
        <w:spacing w:before="179"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1.3.1  </w:t>
      </w:r>
      <w:r>
        <w:rPr>
          <w:rFonts w:ascii="宋体" w:hAnsi="宋体" w:eastAsia="宋体" w:cs="宋体"/>
          <w:color w:val="auto"/>
          <w:spacing w:val="-2"/>
          <w:sz w:val="24"/>
          <w:szCs w:val="24"/>
          <w:highlight w:val="none"/>
        </w:rPr>
        <w:t>本次招标范围：见投标人须知前附表。</w:t>
      </w:r>
    </w:p>
    <w:p w14:paraId="49217D9A">
      <w:pPr>
        <w:spacing w:before="183"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1.3.2  </w:t>
      </w:r>
      <w:r>
        <w:rPr>
          <w:rFonts w:ascii="宋体" w:hAnsi="宋体" w:eastAsia="宋体" w:cs="宋体"/>
          <w:color w:val="auto"/>
          <w:spacing w:val="-2"/>
          <w:sz w:val="24"/>
          <w:szCs w:val="24"/>
          <w:highlight w:val="none"/>
        </w:rPr>
        <w:t>本标段的计划工期：见投标人须知前附表。</w:t>
      </w:r>
    </w:p>
    <w:p w14:paraId="2B470777">
      <w:pPr>
        <w:spacing w:before="183"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1.3.3  </w:t>
      </w:r>
      <w:r>
        <w:rPr>
          <w:rFonts w:ascii="宋体" w:hAnsi="宋体" w:eastAsia="宋体" w:cs="宋体"/>
          <w:color w:val="auto"/>
          <w:spacing w:val="-2"/>
          <w:sz w:val="24"/>
          <w:szCs w:val="24"/>
          <w:highlight w:val="none"/>
        </w:rPr>
        <w:t>本标段的质量要求：见投标人须知前附表。</w:t>
      </w:r>
    </w:p>
    <w:p w14:paraId="51705173">
      <w:pPr>
        <w:spacing w:before="181" w:line="220" w:lineRule="auto"/>
        <w:ind w:left="4"/>
        <w:outlineLvl w:val="2"/>
        <w:rPr>
          <w:rFonts w:ascii="宋体" w:hAnsi="宋体" w:eastAsia="宋体" w:cs="宋体"/>
          <w:color w:val="auto"/>
          <w:sz w:val="24"/>
          <w:szCs w:val="24"/>
          <w:highlight w:val="none"/>
        </w:rPr>
      </w:pPr>
      <w:bookmarkStart w:id="42" w:name="_Toc26066"/>
      <w:bookmarkStart w:id="43" w:name="_Toc14762"/>
      <w:r>
        <w:rPr>
          <w:rFonts w:ascii="Times New Roman" w:hAnsi="Times New Roman" w:eastAsia="Times New Roman" w:cs="Times New Roman"/>
          <w:b/>
          <w:bCs/>
          <w:color w:val="auto"/>
          <w:spacing w:val="-2"/>
          <w:sz w:val="24"/>
          <w:szCs w:val="24"/>
          <w:highlight w:val="none"/>
        </w:rPr>
        <w:t xml:space="preserve">1.4  </w:t>
      </w:r>
      <w:r>
        <w:rPr>
          <w:rFonts w:ascii="宋体" w:hAnsi="宋体" w:eastAsia="宋体" w:cs="宋体"/>
          <w:b/>
          <w:bCs/>
          <w:color w:val="auto"/>
          <w:spacing w:val="-2"/>
          <w:sz w:val="24"/>
          <w:szCs w:val="24"/>
          <w:highlight w:val="none"/>
        </w:rPr>
        <w:t>投标人资格要求（适用于已进行资格预审的）</w:t>
      </w:r>
      <w:bookmarkEnd w:id="42"/>
      <w:bookmarkEnd w:id="43"/>
    </w:p>
    <w:p w14:paraId="18DF0C35">
      <w:pPr>
        <w:spacing w:before="182" w:line="219" w:lineRule="auto"/>
        <w:ind w:left="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投标人应是收到招标人发出的投标邀请书的单</w:t>
      </w:r>
      <w:r>
        <w:rPr>
          <w:rFonts w:ascii="宋体" w:hAnsi="宋体" w:eastAsia="宋体" w:cs="宋体"/>
          <w:color w:val="auto"/>
          <w:spacing w:val="-3"/>
          <w:sz w:val="24"/>
          <w:szCs w:val="24"/>
          <w:highlight w:val="none"/>
        </w:rPr>
        <w:t>位。</w:t>
      </w:r>
    </w:p>
    <w:p w14:paraId="62C811DA">
      <w:pPr>
        <w:spacing w:before="181" w:line="220" w:lineRule="auto"/>
        <w:ind w:left="4"/>
        <w:outlineLvl w:val="2"/>
        <w:rPr>
          <w:rFonts w:ascii="宋体" w:hAnsi="宋体" w:eastAsia="宋体" w:cs="宋体"/>
          <w:color w:val="auto"/>
          <w:sz w:val="24"/>
          <w:szCs w:val="24"/>
          <w:highlight w:val="none"/>
        </w:rPr>
      </w:pPr>
      <w:bookmarkStart w:id="44" w:name="_Toc21154"/>
      <w:bookmarkStart w:id="45" w:name="_Toc24011"/>
      <w:r>
        <w:rPr>
          <w:rFonts w:ascii="Times New Roman" w:hAnsi="Times New Roman" w:eastAsia="Times New Roman" w:cs="Times New Roman"/>
          <w:b/>
          <w:bCs/>
          <w:color w:val="auto"/>
          <w:spacing w:val="-2"/>
          <w:sz w:val="24"/>
          <w:szCs w:val="24"/>
          <w:highlight w:val="none"/>
        </w:rPr>
        <w:t xml:space="preserve">1.4  </w:t>
      </w:r>
      <w:r>
        <w:rPr>
          <w:rFonts w:ascii="宋体" w:hAnsi="宋体" w:eastAsia="宋体" w:cs="宋体"/>
          <w:b/>
          <w:bCs/>
          <w:color w:val="auto"/>
          <w:spacing w:val="-2"/>
          <w:sz w:val="24"/>
          <w:szCs w:val="24"/>
          <w:highlight w:val="none"/>
        </w:rPr>
        <w:t>投标人资格要求（适用于未进行资格预审的）</w:t>
      </w:r>
      <w:bookmarkEnd w:id="44"/>
      <w:bookmarkEnd w:id="45"/>
    </w:p>
    <w:p w14:paraId="585C79C5">
      <w:pPr>
        <w:spacing w:before="182" w:line="219"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1.4.1  </w:t>
      </w:r>
      <w:r>
        <w:rPr>
          <w:rFonts w:ascii="宋体" w:hAnsi="宋体" w:eastAsia="宋体" w:cs="宋体"/>
          <w:color w:val="auto"/>
          <w:spacing w:val="-1"/>
          <w:sz w:val="24"/>
          <w:szCs w:val="24"/>
          <w:highlight w:val="none"/>
        </w:rPr>
        <w:t>投标人应具备承担本标段施工的资质条件、能力。</w:t>
      </w:r>
    </w:p>
    <w:p w14:paraId="3DE6FBC7">
      <w:pPr>
        <w:spacing w:before="181" w:line="219" w:lineRule="auto"/>
        <w:ind w:left="48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）企业要求：见投标人须知前附表。</w:t>
      </w:r>
    </w:p>
    <w:p w14:paraId="5D844090">
      <w:pPr>
        <w:spacing w:before="183" w:line="219" w:lineRule="auto"/>
        <w:ind w:left="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）拟派项目组主要人员要求：见投标人须知前附表。</w:t>
      </w:r>
    </w:p>
    <w:p w14:paraId="0E5253AB">
      <w:pPr>
        <w:spacing w:before="181" w:line="219" w:lineRule="auto"/>
        <w:ind w:left="48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）其他要求：见投标人须知前附表。</w:t>
      </w:r>
    </w:p>
    <w:p w14:paraId="7EDB4580">
      <w:pPr>
        <w:spacing w:before="183" w:line="360" w:lineRule="auto"/>
        <w:ind w:right="3"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1.4.2  </w:t>
      </w:r>
      <w:r>
        <w:rPr>
          <w:rFonts w:ascii="宋体" w:hAnsi="宋体" w:eastAsia="宋体" w:cs="宋体"/>
          <w:color w:val="auto"/>
          <w:sz w:val="24"/>
          <w:szCs w:val="24"/>
          <w:highlight w:val="none"/>
        </w:rPr>
        <w:t>投标人须知前附表规定接受联合体投标的，除应符合本章第</w:t>
      </w:r>
      <w:r>
        <w:rPr>
          <w:rFonts w:ascii="Times New Roman" w:hAnsi="Times New Roman" w:eastAsia="Times New Roman" w:cs="Times New Roman"/>
          <w:color w:val="auto"/>
          <w:sz w:val="24"/>
          <w:szCs w:val="24"/>
          <w:highlight w:val="none"/>
        </w:rPr>
        <w:t>1.4.1</w:t>
      </w:r>
      <w:r>
        <w:rPr>
          <w:rFonts w:ascii="宋体" w:hAnsi="宋体" w:eastAsia="宋体" w:cs="宋体"/>
          <w:color w:val="auto"/>
          <w:sz w:val="24"/>
          <w:szCs w:val="24"/>
          <w:highlight w:val="none"/>
        </w:rPr>
        <w:t>项和投标</w:t>
      </w:r>
      <w:r>
        <w:rPr>
          <w:rFonts w:ascii="宋体" w:hAnsi="宋体" w:eastAsia="宋体" w:cs="宋体"/>
          <w:color w:val="auto"/>
          <w:spacing w:val="-3"/>
          <w:sz w:val="24"/>
          <w:szCs w:val="24"/>
          <w:highlight w:val="none"/>
        </w:rPr>
        <w:t>人须知前附表的要求外，还应遵守以下规定。</w:t>
      </w:r>
    </w:p>
    <w:p w14:paraId="01402FC6">
      <w:pPr>
        <w:spacing w:before="47" w:line="290" w:lineRule="auto"/>
        <w:ind w:left="1" w:right="80"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）联合体各方应按招标文件提供的格式签订联合体协议书，明确联合</w:t>
      </w:r>
      <w:r>
        <w:rPr>
          <w:rFonts w:ascii="宋体" w:hAnsi="宋体" w:eastAsia="宋体" w:cs="宋体"/>
          <w:color w:val="auto"/>
          <w:spacing w:val="-1"/>
          <w:sz w:val="24"/>
          <w:szCs w:val="24"/>
          <w:highlight w:val="none"/>
        </w:rPr>
        <w:t>体牵头</w:t>
      </w:r>
      <w:r>
        <w:rPr>
          <w:rFonts w:ascii="宋体" w:hAnsi="宋体" w:eastAsia="宋体" w:cs="宋体"/>
          <w:color w:val="auto"/>
          <w:spacing w:val="-5"/>
          <w:sz w:val="24"/>
          <w:szCs w:val="24"/>
          <w:highlight w:val="none"/>
        </w:rPr>
        <w:t>人和各方权利义务。</w:t>
      </w:r>
    </w:p>
    <w:p w14:paraId="33CFBF4A">
      <w:pPr>
        <w:spacing w:before="179" w:line="220" w:lineRule="auto"/>
        <w:ind w:left="486"/>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w:t>
      </w:r>
      <w:r>
        <w:rPr>
          <w:rFonts w:ascii="Times New Roman" w:hAnsi="Times New Roman" w:eastAsia="Times New Roman" w:cs="Times New Roman"/>
          <w:color w:val="auto"/>
          <w:spacing w:val="-7"/>
          <w:sz w:val="24"/>
          <w:szCs w:val="24"/>
          <w:highlight w:val="none"/>
        </w:rPr>
        <w:t>2</w:t>
      </w:r>
      <w:r>
        <w:rPr>
          <w:rFonts w:ascii="宋体" w:hAnsi="宋体" w:eastAsia="宋体" w:cs="宋体"/>
          <w:color w:val="auto"/>
          <w:spacing w:val="-7"/>
          <w:sz w:val="24"/>
          <w:szCs w:val="24"/>
          <w:highlight w:val="none"/>
        </w:rPr>
        <w:t>）由同一专业的单位组成的联合体，按照资质等级较低的</w:t>
      </w:r>
      <w:r>
        <w:rPr>
          <w:rFonts w:ascii="宋体" w:hAnsi="宋体" w:eastAsia="宋体" w:cs="宋体"/>
          <w:color w:val="auto"/>
          <w:spacing w:val="-8"/>
          <w:sz w:val="24"/>
          <w:szCs w:val="24"/>
          <w:highlight w:val="none"/>
        </w:rPr>
        <w:t>单位确定资质等级。</w:t>
      </w:r>
    </w:p>
    <w:p w14:paraId="61489AEF">
      <w:pPr>
        <w:spacing w:before="182" w:line="220"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）联合体各方不得再以自己名义单独或参加其他联</w:t>
      </w:r>
      <w:r>
        <w:rPr>
          <w:rFonts w:ascii="宋体" w:hAnsi="宋体" w:eastAsia="宋体" w:cs="宋体"/>
          <w:color w:val="auto"/>
          <w:spacing w:val="-2"/>
          <w:sz w:val="24"/>
          <w:szCs w:val="24"/>
          <w:highlight w:val="none"/>
        </w:rPr>
        <w:t>合体在同一标段中投标。</w:t>
      </w:r>
    </w:p>
    <w:p w14:paraId="180CE216">
      <w:pPr>
        <w:spacing w:before="179" w:line="220"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1.4.3  </w:t>
      </w:r>
      <w:r>
        <w:rPr>
          <w:rFonts w:ascii="宋体" w:hAnsi="宋体" w:eastAsia="宋体" w:cs="宋体"/>
          <w:color w:val="auto"/>
          <w:spacing w:val="-1"/>
          <w:sz w:val="24"/>
          <w:szCs w:val="24"/>
          <w:highlight w:val="none"/>
        </w:rPr>
        <w:t>投标人不得存在下列情形之一：</w:t>
      </w:r>
    </w:p>
    <w:p w14:paraId="7097A3B3">
      <w:pPr>
        <w:spacing w:before="182" w:line="219"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）为招标人不具有独立法人资格的附属机构（单位）。</w:t>
      </w:r>
    </w:p>
    <w:p w14:paraId="4017DD94">
      <w:pPr>
        <w:spacing w:before="180" w:line="219"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）为本标段前期准备提供设计或咨询服务的，但设计施工总承包的除外。</w:t>
      </w:r>
    </w:p>
    <w:p w14:paraId="469A1221">
      <w:pPr>
        <w:spacing w:before="184" w:line="219" w:lineRule="auto"/>
        <w:ind w:left="48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）为本标段的监理人。</w:t>
      </w:r>
    </w:p>
    <w:p w14:paraId="4551BF16">
      <w:pPr>
        <w:spacing w:before="181" w:line="219" w:lineRule="auto"/>
        <w:ind w:left="48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4</w:t>
      </w:r>
      <w:r>
        <w:rPr>
          <w:rFonts w:ascii="宋体" w:hAnsi="宋体" w:eastAsia="宋体" w:cs="宋体"/>
          <w:color w:val="auto"/>
          <w:spacing w:val="-4"/>
          <w:sz w:val="24"/>
          <w:szCs w:val="24"/>
          <w:highlight w:val="none"/>
        </w:rPr>
        <w:t>）为本标段的代建人。</w:t>
      </w:r>
    </w:p>
    <w:p w14:paraId="14A1FBDE">
      <w:pPr>
        <w:spacing w:before="183" w:line="219" w:lineRule="auto"/>
        <w:ind w:left="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5</w:t>
      </w:r>
      <w:r>
        <w:rPr>
          <w:rFonts w:ascii="宋体" w:hAnsi="宋体" w:eastAsia="宋体" w:cs="宋体"/>
          <w:color w:val="auto"/>
          <w:spacing w:val="-3"/>
          <w:sz w:val="24"/>
          <w:szCs w:val="24"/>
          <w:highlight w:val="none"/>
        </w:rPr>
        <w:t>）为本标段提供招标代理服务的。</w:t>
      </w:r>
    </w:p>
    <w:p w14:paraId="639DE59F">
      <w:pPr>
        <w:spacing w:before="181" w:line="219"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6</w:t>
      </w:r>
      <w:r>
        <w:rPr>
          <w:rFonts w:ascii="宋体" w:hAnsi="宋体" w:eastAsia="宋体" w:cs="宋体"/>
          <w:color w:val="auto"/>
          <w:spacing w:val="-2"/>
          <w:sz w:val="24"/>
          <w:szCs w:val="24"/>
          <w:highlight w:val="none"/>
        </w:rPr>
        <w:t>）与本标段的监理人或代建人或招标代理机构同为一个法定代表人的。</w:t>
      </w:r>
    </w:p>
    <w:p w14:paraId="66D526DB">
      <w:pPr>
        <w:spacing w:before="183" w:line="219"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7</w:t>
      </w:r>
      <w:r>
        <w:rPr>
          <w:rFonts w:ascii="宋体" w:hAnsi="宋体" w:eastAsia="宋体" w:cs="宋体"/>
          <w:color w:val="auto"/>
          <w:spacing w:val="-2"/>
          <w:sz w:val="24"/>
          <w:szCs w:val="24"/>
          <w:highlight w:val="none"/>
        </w:rPr>
        <w:t>）与本标段的监理人或代建人或招标代理机构相互控股或参股的。</w:t>
      </w:r>
    </w:p>
    <w:p w14:paraId="70E55B6E">
      <w:pPr>
        <w:spacing w:before="181" w:line="219"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8</w:t>
      </w:r>
      <w:r>
        <w:rPr>
          <w:rFonts w:ascii="宋体" w:hAnsi="宋体" w:eastAsia="宋体" w:cs="宋体"/>
          <w:color w:val="auto"/>
          <w:spacing w:val="-2"/>
          <w:sz w:val="24"/>
          <w:szCs w:val="24"/>
          <w:highlight w:val="none"/>
        </w:rPr>
        <w:t>）与本标段的监理人或代建人或招标代理机构相互任职或工作的。</w:t>
      </w:r>
    </w:p>
    <w:p w14:paraId="1523BF1E">
      <w:pPr>
        <w:spacing w:before="183" w:line="219" w:lineRule="auto"/>
        <w:ind w:left="48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9</w:t>
      </w:r>
      <w:r>
        <w:rPr>
          <w:rFonts w:ascii="宋体" w:hAnsi="宋体" w:eastAsia="宋体" w:cs="宋体"/>
          <w:color w:val="auto"/>
          <w:spacing w:val="-5"/>
          <w:sz w:val="24"/>
          <w:szCs w:val="24"/>
          <w:highlight w:val="none"/>
        </w:rPr>
        <w:t>）被责令停业的。</w:t>
      </w:r>
    </w:p>
    <w:p w14:paraId="037A2FAA">
      <w:pPr>
        <w:spacing w:before="181" w:line="220"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10</w:t>
      </w:r>
      <w:r>
        <w:rPr>
          <w:rFonts w:ascii="宋体" w:hAnsi="宋体" w:eastAsia="宋体" w:cs="宋体"/>
          <w:color w:val="auto"/>
          <w:spacing w:val="-2"/>
          <w:sz w:val="24"/>
          <w:szCs w:val="24"/>
          <w:highlight w:val="none"/>
        </w:rPr>
        <w:t>）被项目所在地县（市、区）、地级市和省暂停或取消投标资格的。</w:t>
      </w:r>
    </w:p>
    <w:p w14:paraId="5D79056E">
      <w:pPr>
        <w:spacing w:before="182" w:line="220" w:lineRule="auto"/>
        <w:ind w:left="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11</w:t>
      </w:r>
      <w:r>
        <w:rPr>
          <w:rFonts w:ascii="宋体" w:hAnsi="宋体" w:eastAsia="宋体" w:cs="宋体"/>
          <w:color w:val="auto"/>
          <w:spacing w:val="-3"/>
          <w:sz w:val="24"/>
          <w:szCs w:val="24"/>
          <w:highlight w:val="none"/>
        </w:rPr>
        <w:t>）财产被接管或全部冻结的。</w:t>
      </w:r>
    </w:p>
    <w:p w14:paraId="25810E37">
      <w:pPr>
        <w:spacing w:before="182" w:line="220"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12</w:t>
      </w:r>
      <w:r>
        <w:rPr>
          <w:rFonts w:ascii="宋体" w:hAnsi="宋体" w:eastAsia="宋体" w:cs="宋体"/>
          <w:color w:val="auto"/>
          <w:spacing w:val="-2"/>
          <w:sz w:val="24"/>
          <w:szCs w:val="24"/>
          <w:highlight w:val="none"/>
        </w:rPr>
        <w:t>）与招标人存在利害关系可能影响招标公正性的法人或者其他组织。</w:t>
      </w:r>
    </w:p>
    <w:p w14:paraId="4BD3C0A8">
      <w:pPr>
        <w:spacing w:before="179" w:line="220"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13</w:t>
      </w:r>
      <w:r>
        <w:rPr>
          <w:rFonts w:ascii="宋体" w:hAnsi="宋体" w:eastAsia="宋体" w:cs="宋体"/>
          <w:color w:val="auto"/>
          <w:spacing w:val="-2"/>
          <w:sz w:val="24"/>
          <w:szCs w:val="24"/>
          <w:highlight w:val="none"/>
        </w:rPr>
        <w:t>）单位负责人为同一人或者存在控股、管理关系的不同单位。</w:t>
      </w:r>
    </w:p>
    <w:p w14:paraId="75E5CE16">
      <w:pPr>
        <w:spacing w:before="182" w:line="220" w:lineRule="auto"/>
        <w:ind w:left="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）其他法律法规规定的情形。</w:t>
      </w:r>
    </w:p>
    <w:p w14:paraId="4C7DF305">
      <w:pPr>
        <w:spacing w:before="180" w:line="220" w:lineRule="auto"/>
        <w:ind w:left="6"/>
        <w:outlineLvl w:val="2"/>
        <w:rPr>
          <w:rFonts w:ascii="宋体" w:hAnsi="宋体" w:eastAsia="宋体" w:cs="宋体"/>
          <w:color w:val="auto"/>
          <w:sz w:val="24"/>
          <w:szCs w:val="24"/>
          <w:highlight w:val="none"/>
        </w:rPr>
      </w:pPr>
      <w:bookmarkStart w:id="46" w:name="_Toc16679"/>
      <w:bookmarkStart w:id="47" w:name="_Toc17992"/>
      <w:r>
        <w:rPr>
          <w:rFonts w:ascii="Times New Roman" w:hAnsi="Times New Roman" w:eastAsia="Times New Roman" w:cs="Times New Roman"/>
          <w:b/>
          <w:bCs/>
          <w:color w:val="auto"/>
          <w:spacing w:val="-7"/>
          <w:sz w:val="24"/>
          <w:szCs w:val="24"/>
          <w:highlight w:val="none"/>
        </w:rPr>
        <w:t>1.5</w:t>
      </w:r>
      <w:r>
        <w:rPr>
          <w:rFonts w:ascii="Times New Roman" w:hAnsi="Times New Roman" w:eastAsia="Times New Roman" w:cs="Times New Roman"/>
          <w:b/>
          <w:bCs/>
          <w:color w:val="auto"/>
          <w:spacing w:val="13"/>
          <w:sz w:val="24"/>
          <w:szCs w:val="24"/>
          <w:highlight w:val="none"/>
        </w:rPr>
        <w:t xml:space="preserve">  </w:t>
      </w:r>
      <w:r>
        <w:rPr>
          <w:rFonts w:ascii="宋体" w:hAnsi="宋体" w:eastAsia="宋体" w:cs="宋体"/>
          <w:b/>
          <w:bCs/>
          <w:color w:val="auto"/>
          <w:spacing w:val="-7"/>
          <w:sz w:val="24"/>
          <w:szCs w:val="24"/>
          <w:highlight w:val="none"/>
        </w:rPr>
        <w:t>费用承担</w:t>
      </w:r>
      <w:bookmarkEnd w:id="46"/>
      <w:bookmarkEnd w:id="47"/>
    </w:p>
    <w:p w14:paraId="6281AA1B">
      <w:pPr>
        <w:spacing w:before="183" w:line="220" w:lineRule="auto"/>
        <w:ind w:left="48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投标人准备和参加投标活动发生的费用自理。</w:t>
      </w:r>
    </w:p>
    <w:p w14:paraId="45B452C3">
      <w:pPr>
        <w:spacing w:before="180" w:line="220" w:lineRule="auto"/>
        <w:ind w:left="6"/>
        <w:outlineLvl w:val="2"/>
        <w:rPr>
          <w:rFonts w:ascii="宋体" w:hAnsi="宋体" w:eastAsia="宋体" w:cs="宋体"/>
          <w:color w:val="auto"/>
          <w:sz w:val="24"/>
          <w:szCs w:val="24"/>
          <w:highlight w:val="none"/>
        </w:rPr>
      </w:pPr>
      <w:bookmarkStart w:id="48" w:name="_Toc8840"/>
      <w:bookmarkStart w:id="49" w:name="_Toc14728"/>
      <w:r>
        <w:rPr>
          <w:rFonts w:ascii="Times New Roman" w:hAnsi="Times New Roman" w:eastAsia="Times New Roman" w:cs="Times New Roman"/>
          <w:b/>
          <w:bCs/>
          <w:color w:val="auto"/>
          <w:spacing w:val="-5"/>
          <w:sz w:val="24"/>
          <w:szCs w:val="24"/>
          <w:highlight w:val="none"/>
        </w:rPr>
        <w:t>1.6</w:t>
      </w:r>
      <w:r>
        <w:rPr>
          <w:rFonts w:ascii="Times New Roman" w:hAnsi="Times New Roman" w:eastAsia="Times New Roman" w:cs="Times New Roman"/>
          <w:b/>
          <w:bCs/>
          <w:color w:val="auto"/>
          <w:spacing w:val="5"/>
          <w:sz w:val="24"/>
          <w:szCs w:val="24"/>
          <w:highlight w:val="none"/>
        </w:rPr>
        <w:t xml:space="preserve">  </w:t>
      </w:r>
      <w:r>
        <w:rPr>
          <w:rFonts w:ascii="宋体" w:hAnsi="宋体" w:eastAsia="宋体" w:cs="宋体"/>
          <w:b/>
          <w:bCs/>
          <w:color w:val="auto"/>
          <w:spacing w:val="-5"/>
          <w:sz w:val="24"/>
          <w:szCs w:val="24"/>
          <w:highlight w:val="none"/>
        </w:rPr>
        <w:t>保密</w:t>
      </w:r>
      <w:bookmarkEnd w:id="48"/>
      <w:bookmarkEnd w:id="49"/>
    </w:p>
    <w:p w14:paraId="124DB01A">
      <w:pPr>
        <w:spacing w:before="181" w:line="359" w:lineRule="auto"/>
        <w:ind w:firstLine="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参与招标投标活动的各方应对招标文件和投标文件中的商业和技术等秘密保</w:t>
      </w:r>
      <w:r>
        <w:rPr>
          <w:rFonts w:ascii="宋体" w:hAnsi="宋体" w:eastAsia="宋体" w:cs="宋体"/>
          <w:color w:val="auto"/>
          <w:spacing w:val="-2"/>
          <w:sz w:val="24"/>
          <w:szCs w:val="24"/>
          <w:highlight w:val="none"/>
        </w:rPr>
        <w:t>密，</w:t>
      </w:r>
      <w:r>
        <w:rPr>
          <w:rFonts w:ascii="宋体" w:hAnsi="宋体" w:eastAsia="宋体" w:cs="宋体"/>
          <w:color w:val="auto"/>
          <w:spacing w:val="-3"/>
          <w:sz w:val="24"/>
          <w:szCs w:val="24"/>
          <w:highlight w:val="none"/>
        </w:rPr>
        <w:t>违者应对由此造成的后果承担法律责任。</w:t>
      </w:r>
    </w:p>
    <w:p w14:paraId="15DD8A78">
      <w:pPr>
        <w:spacing w:before="1" w:line="219" w:lineRule="auto"/>
        <w:ind w:left="6"/>
        <w:outlineLvl w:val="2"/>
        <w:rPr>
          <w:rFonts w:ascii="宋体" w:hAnsi="宋体" w:eastAsia="宋体" w:cs="宋体"/>
          <w:color w:val="auto"/>
          <w:sz w:val="24"/>
          <w:szCs w:val="24"/>
          <w:highlight w:val="none"/>
        </w:rPr>
      </w:pPr>
      <w:bookmarkStart w:id="50" w:name="_Toc16351"/>
      <w:bookmarkStart w:id="51" w:name="_Toc11259"/>
      <w:r>
        <w:rPr>
          <w:rFonts w:ascii="Times New Roman" w:hAnsi="Times New Roman" w:eastAsia="Times New Roman" w:cs="Times New Roman"/>
          <w:b/>
          <w:bCs/>
          <w:color w:val="auto"/>
          <w:spacing w:val="-3"/>
          <w:sz w:val="24"/>
          <w:szCs w:val="24"/>
          <w:highlight w:val="none"/>
        </w:rPr>
        <w:t xml:space="preserve">1.7  </w:t>
      </w:r>
      <w:r>
        <w:rPr>
          <w:rFonts w:ascii="宋体" w:hAnsi="宋体" w:eastAsia="宋体" w:cs="宋体"/>
          <w:b/>
          <w:bCs/>
          <w:color w:val="auto"/>
          <w:spacing w:val="-3"/>
          <w:sz w:val="24"/>
          <w:szCs w:val="24"/>
          <w:highlight w:val="none"/>
        </w:rPr>
        <w:t>语言文字</w:t>
      </w:r>
      <w:bookmarkEnd w:id="50"/>
      <w:bookmarkEnd w:id="51"/>
    </w:p>
    <w:p w14:paraId="2E1C323F">
      <w:pPr>
        <w:spacing w:before="181" w:line="359" w:lineRule="auto"/>
        <w:ind w:right="66" w:firstLine="49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除专用术语外，与招标投标有关的语言均使用中文。必</w:t>
      </w:r>
      <w:r>
        <w:rPr>
          <w:rFonts w:ascii="宋体" w:hAnsi="宋体" w:eastAsia="宋体" w:cs="宋体"/>
          <w:color w:val="auto"/>
          <w:spacing w:val="-4"/>
          <w:sz w:val="24"/>
          <w:szCs w:val="24"/>
          <w:highlight w:val="none"/>
        </w:rPr>
        <w:t>要时专用术语应附有中文</w:t>
      </w:r>
      <w:r>
        <w:rPr>
          <w:rFonts w:ascii="宋体" w:hAnsi="宋体" w:eastAsia="宋体" w:cs="宋体"/>
          <w:color w:val="auto"/>
          <w:spacing w:val="-10"/>
          <w:sz w:val="24"/>
          <w:szCs w:val="24"/>
          <w:highlight w:val="none"/>
        </w:rPr>
        <w:t>注释。</w:t>
      </w:r>
    </w:p>
    <w:p w14:paraId="17C28C1E">
      <w:pPr>
        <w:spacing w:line="220" w:lineRule="auto"/>
        <w:ind w:left="6"/>
        <w:outlineLvl w:val="2"/>
        <w:rPr>
          <w:rFonts w:ascii="宋体" w:hAnsi="宋体" w:eastAsia="宋体" w:cs="宋体"/>
          <w:color w:val="auto"/>
          <w:sz w:val="24"/>
          <w:szCs w:val="24"/>
          <w:highlight w:val="none"/>
        </w:rPr>
      </w:pPr>
      <w:bookmarkStart w:id="52" w:name="_Toc27782"/>
      <w:bookmarkStart w:id="53" w:name="_Toc22286"/>
      <w:r>
        <w:rPr>
          <w:rFonts w:ascii="Times New Roman" w:hAnsi="Times New Roman" w:eastAsia="Times New Roman" w:cs="Times New Roman"/>
          <w:b/>
          <w:bCs/>
          <w:color w:val="auto"/>
          <w:spacing w:val="-3"/>
          <w:sz w:val="24"/>
          <w:szCs w:val="24"/>
          <w:highlight w:val="none"/>
        </w:rPr>
        <w:t xml:space="preserve">1.8  </w:t>
      </w:r>
      <w:r>
        <w:rPr>
          <w:rFonts w:ascii="宋体" w:hAnsi="宋体" w:eastAsia="宋体" w:cs="宋体"/>
          <w:b/>
          <w:bCs/>
          <w:color w:val="auto"/>
          <w:spacing w:val="-3"/>
          <w:sz w:val="24"/>
          <w:szCs w:val="24"/>
          <w:highlight w:val="none"/>
        </w:rPr>
        <w:t>计量单位</w:t>
      </w:r>
      <w:bookmarkEnd w:id="52"/>
      <w:bookmarkEnd w:id="53"/>
    </w:p>
    <w:p w14:paraId="71D2A235">
      <w:pPr>
        <w:spacing w:before="181" w:line="219" w:lineRule="auto"/>
        <w:ind w:left="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所有计量均采用中华人民共和国法定计量单</w:t>
      </w:r>
      <w:r>
        <w:rPr>
          <w:rFonts w:ascii="宋体" w:hAnsi="宋体" w:eastAsia="宋体" w:cs="宋体"/>
          <w:color w:val="auto"/>
          <w:spacing w:val="-3"/>
          <w:sz w:val="24"/>
          <w:szCs w:val="24"/>
          <w:highlight w:val="none"/>
        </w:rPr>
        <w:t>位。</w:t>
      </w:r>
    </w:p>
    <w:p w14:paraId="5A3C8EAD">
      <w:pPr>
        <w:spacing w:before="181" w:line="220" w:lineRule="auto"/>
        <w:ind w:left="6"/>
        <w:outlineLvl w:val="2"/>
        <w:rPr>
          <w:rFonts w:ascii="宋体" w:hAnsi="宋体" w:eastAsia="宋体" w:cs="宋体"/>
          <w:color w:val="auto"/>
          <w:sz w:val="24"/>
          <w:szCs w:val="24"/>
          <w:highlight w:val="none"/>
        </w:rPr>
      </w:pPr>
      <w:bookmarkStart w:id="54" w:name="bookmark35"/>
      <w:bookmarkEnd w:id="54"/>
      <w:bookmarkStart w:id="55" w:name="_Toc20222"/>
      <w:bookmarkStart w:id="56" w:name="_Toc18370"/>
      <w:r>
        <w:rPr>
          <w:rFonts w:ascii="Times New Roman" w:hAnsi="Times New Roman" w:eastAsia="Times New Roman" w:cs="Times New Roman"/>
          <w:b/>
          <w:bCs/>
          <w:color w:val="auto"/>
          <w:spacing w:val="-3"/>
          <w:sz w:val="24"/>
          <w:szCs w:val="24"/>
          <w:highlight w:val="none"/>
        </w:rPr>
        <w:t xml:space="preserve">1.9  </w:t>
      </w:r>
      <w:r>
        <w:rPr>
          <w:rFonts w:ascii="宋体" w:hAnsi="宋体" w:eastAsia="宋体" w:cs="宋体"/>
          <w:b/>
          <w:bCs/>
          <w:color w:val="auto"/>
          <w:spacing w:val="-3"/>
          <w:sz w:val="24"/>
          <w:szCs w:val="24"/>
          <w:highlight w:val="none"/>
        </w:rPr>
        <w:t>踏勘现场</w:t>
      </w:r>
      <w:bookmarkEnd w:id="55"/>
      <w:bookmarkEnd w:id="56"/>
    </w:p>
    <w:p w14:paraId="72BC60C1">
      <w:pPr>
        <w:spacing w:before="47" w:line="290" w:lineRule="auto"/>
        <w:ind w:left="9" w:right="1" w:firstLine="483"/>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1.9.1  </w:t>
      </w:r>
      <w:r>
        <w:rPr>
          <w:rFonts w:ascii="宋体" w:hAnsi="宋体" w:eastAsia="宋体" w:cs="宋体"/>
          <w:color w:val="auto"/>
          <w:sz w:val="24"/>
          <w:szCs w:val="24"/>
          <w:highlight w:val="none"/>
        </w:rPr>
        <w:t>投标人须知前附表规定组织踏勘现场的，招标人按照投标人须知前附表规</w:t>
      </w:r>
      <w:r>
        <w:rPr>
          <w:rFonts w:ascii="宋体" w:hAnsi="宋体" w:eastAsia="宋体" w:cs="宋体"/>
          <w:color w:val="auto"/>
          <w:spacing w:val="-4"/>
          <w:sz w:val="24"/>
          <w:szCs w:val="24"/>
          <w:highlight w:val="none"/>
        </w:rPr>
        <w:t>定的时间和地点组织踏勘现场。</w:t>
      </w:r>
    </w:p>
    <w:p w14:paraId="79D33A5C">
      <w:pPr>
        <w:spacing w:before="179" w:line="220" w:lineRule="auto"/>
        <w:ind w:left="492"/>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1.9.2  </w:t>
      </w:r>
      <w:r>
        <w:rPr>
          <w:rFonts w:ascii="宋体" w:hAnsi="宋体" w:eastAsia="宋体" w:cs="宋体"/>
          <w:color w:val="auto"/>
          <w:spacing w:val="-3"/>
          <w:sz w:val="24"/>
          <w:szCs w:val="24"/>
          <w:highlight w:val="none"/>
        </w:rPr>
        <w:t>投标人踏勘现场发生的费用自理。</w:t>
      </w:r>
    </w:p>
    <w:p w14:paraId="015C5BF0">
      <w:pPr>
        <w:spacing w:before="182" w:line="289" w:lineRule="auto"/>
        <w:ind w:left="3" w:right="1"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1.9.3  </w:t>
      </w:r>
      <w:r>
        <w:rPr>
          <w:rFonts w:ascii="宋体" w:hAnsi="宋体" w:eastAsia="宋体" w:cs="宋体"/>
          <w:color w:val="auto"/>
          <w:sz w:val="24"/>
          <w:szCs w:val="24"/>
          <w:highlight w:val="none"/>
        </w:rPr>
        <w:t>除招标人的原因外，投标人自行负责在踏勘现场中所发生的人员伤亡和财</w:t>
      </w:r>
      <w:r>
        <w:rPr>
          <w:rFonts w:ascii="宋体" w:hAnsi="宋体" w:eastAsia="宋体" w:cs="宋体"/>
          <w:color w:val="auto"/>
          <w:spacing w:val="-9"/>
          <w:sz w:val="24"/>
          <w:szCs w:val="24"/>
          <w:highlight w:val="none"/>
        </w:rPr>
        <w:t>产损失。</w:t>
      </w:r>
    </w:p>
    <w:p w14:paraId="4318DC73">
      <w:pPr>
        <w:spacing w:before="182" w:line="289" w:lineRule="auto"/>
        <w:ind w:left="5" w:right="1"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1.9.4  </w:t>
      </w:r>
      <w:r>
        <w:rPr>
          <w:rFonts w:ascii="宋体" w:hAnsi="宋体" w:eastAsia="宋体" w:cs="宋体"/>
          <w:color w:val="auto"/>
          <w:sz w:val="24"/>
          <w:szCs w:val="24"/>
          <w:highlight w:val="none"/>
        </w:rPr>
        <w:t>招标人在踏勘现场中介绍的工程场地和相关的周边环境情况，供投标人在</w:t>
      </w:r>
      <w:r>
        <w:rPr>
          <w:rFonts w:ascii="宋体" w:hAnsi="宋体" w:eastAsia="宋体" w:cs="宋体"/>
          <w:color w:val="auto"/>
          <w:spacing w:val="-2"/>
          <w:sz w:val="24"/>
          <w:szCs w:val="24"/>
          <w:highlight w:val="none"/>
        </w:rPr>
        <w:t>编制投标文件时参考，招标人不对投标人据此作出的判断和决策负责。</w:t>
      </w:r>
    </w:p>
    <w:p w14:paraId="4B3B7B98">
      <w:pPr>
        <w:spacing w:before="182" w:line="219" w:lineRule="auto"/>
        <w:ind w:left="10"/>
        <w:outlineLvl w:val="2"/>
        <w:rPr>
          <w:rFonts w:ascii="宋体" w:hAnsi="宋体" w:eastAsia="宋体" w:cs="宋体"/>
          <w:color w:val="auto"/>
          <w:sz w:val="24"/>
          <w:szCs w:val="24"/>
          <w:highlight w:val="none"/>
        </w:rPr>
      </w:pPr>
      <w:bookmarkStart w:id="57" w:name="bookmark36"/>
      <w:bookmarkEnd w:id="57"/>
      <w:bookmarkStart w:id="58" w:name="_Toc19813"/>
      <w:bookmarkStart w:id="59" w:name="_Toc29162"/>
      <w:r>
        <w:rPr>
          <w:rFonts w:ascii="Times New Roman" w:hAnsi="Times New Roman" w:eastAsia="Times New Roman" w:cs="Times New Roman"/>
          <w:b/>
          <w:bCs/>
          <w:color w:val="auto"/>
          <w:spacing w:val="-3"/>
          <w:sz w:val="24"/>
          <w:szCs w:val="24"/>
          <w:highlight w:val="none"/>
        </w:rPr>
        <w:t xml:space="preserve">1.10  </w:t>
      </w:r>
      <w:r>
        <w:rPr>
          <w:rFonts w:ascii="宋体" w:hAnsi="宋体" w:eastAsia="宋体" w:cs="宋体"/>
          <w:b/>
          <w:bCs/>
          <w:color w:val="auto"/>
          <w:spacing w:val="-3"/>
          <w:sz w:val="24"/>
          <w:szCs w:val="24"/>
          <w:highlight w:val="none"/>
        </w:rPr>
        <w:t>投标预备会</w:t>
      </w:r>
      <w:bookmarkEnd w:id="58"/>
      <w:bookmarkEnd w:id="59"/>
    </w:p>
    <w:p w14:paraId="35D4E036">
      <w:pPr>
        <w:spacing w:before="182" w:line="289" w:lineRule="auto"/>
        <w:ind w:left="4" w:right="1"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1.10.1  </w:t>
      </w:r>
      <w:r>
        <w:rPr>
          <w:rFonts w:ascii="宋体" w:hAnsi="宋体" w:eastAsia="宋体" w:cs="宋体"/>
          <w:color w:val="auto"/>
          <w:spacing w:val="-3"/>
          <w:sz w:val="24"/>
          <w:szCs w:val="24"/>
          <w:highlight w:val="none"/>
        </w:rPr>
        <w:t>投标人须知前附表规定召开投标预备会的，招标人按照投标人须知前附表规定的时间和地点召开投标预备会。</w:t>
      </w:r>
    </w:p>
    <w:p w14:paraId="7489D77F">
      <w:pPr>
        <w:spacing w:before="180" w:line="290" w:lineRule="auto"/>
        <w:ind w:left="1" w:right="1" w:firstLine="490"/>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1.10.2  </w:t>
      </w:r>
      <w:r>
        <w:rPr>
          <w:rFonts w:ascii="宋体" w:hAnsi="宋体" w:eastAsia="宋体" w:cs="宋体"/>
          <w:color w:val="auto"/>
          <w:spacing w:val="-3"/>
          <w:sz w:val="24"/>
          <w:szCs w:val="24"/>
          <w:highlight w:val="none"/>
        </w:rPr>
        <w:t>在投标预备会召开前，投标人应按投标人须知前附表第</w:t>
      </w:r>
      <w:r>
        <w:rPr>
          <w:rFonts w:ascii="Times New Roman" w:hAnsi="Times New Roman" w:eastAsia="Times New Roman" w:cs="Times New Roman"/>
          <w:color w:val="auto"/>
          <w:spacing w:val="-3"/>
          <w:sz w:val="24"/>
          <w:szCs w:val="24"/>
          <w:highlight w:val="none"/>
        </w:rPr>
        <w:t>2.2.1</w:t>
      </w:r>
      <w:r>
        <w:rPr>
          <w:rFonts w:ascii="宋体" w:hAnsi="宋体" w:eastAsia="宋体" w:cs="宋体"/>
          <w:color w:val="auto"/>
          <w:spacing w:val="-3"/>
          <w:sz w:val="24"/>
          <w:szCs w:val="24"/>
          <w:highlight w:val="none"/>
        </w:rPr>
        <w:t>项规定的形式将需要招标人澄清的问题送达招标人。</w:t>
      </w:r>
    </w:p>
    <w:p w14:paraId="1974499A">
      <w:pPr>
        <w:spacing w:before="178" w:line="313" w:lineRule="auto"/>
        <w:ind w:left="5" w:right="1"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1.10.3  </w:t>
      </w:r>
      <w:r>
        <w:rPr>
          <w:rFonts w:ascii="宋体" w:hAnsi="宋体" w:eastAsia="宋体" w:cs="宋体"/>
          <w:color w:val="auto"/>
          <w:spacing w:val="-3"/>
          <w:sz w:val="24"/>
          <w:szCs w:val="24"/>
          <w:highlight w:val="none"/>
        </w:rPr>
        <w:t>在投标人须知前附表规定的投标截止时间</w:t>
      </w:r>
      <w:r>
        <w:rPr>
          <w:rFonts w:ascii="Times New Roman" w:hAnsi="Times New Roman" w:eastAsia="Times New Roman" w:cs="Times New Roman"/>
          <w:color w:val="auto"/>
          <w:spacing w:val="-3"/>
          <w:sz w:val="24"/>
          <w:szCs w:val="24"/>
          <w:highlight w:val="none"/>
        </w:rPr>
        <w:t>15</w:t>
      </w:r>
      <w:r>
        <w:rPr>
          <w:rFonts w:ascii="宋体" w:hAnsi="宋体" w:eastAsia="宋体" w:cs="宋体"/>
          <w:color w:val="auto"/>
          <w:spacing w:val="-3"/>
          <w:sz w:val="24"/>
          <w:szCs w:val="24"/>
          <w:highlight w:val="none"/>
        </w:rPr>
        <w:t>日前，招标人将对投标人所提问题的澄清，以投标人须知前附表第</w:t>
      </w:r>
      <w:r>
        <w:rPr>
          <w:rFonts w:ascii="Times New Roman" w:hAnsi="Times New Roman" w:eastAsia="Times New Roman" w:cs="Times New Roman"/>
          <w:color w:val="auto"/>
          <w:spacing w:val="-3"/>
          <w:sz w:val="24"/>
          <w:szCs w:val="24"/>
          <w:highlight w:val="none"/>
        </w:rPr>
        <w:t>2.2.2</w:t>
      </w:r>
      <w:r>
        <w:rPr>
          <w:rFonts w:ascii="宋体" w:hAnsi="宋体" w:eastAsia="宋体" w:cs="宋体"/>
          <w:color w:val="auto"/>
          <w:spacing w:val="-3"/>
          <w:sz w:val="24"/>
          <w:szCs w:val="24"/>
          <w:highlight w:val="none"/>
        </w:rPr>
        <w:t>项规定的方式通知所有获取招标文件的投标人。该澄清通知为招标文件的组成部分。</w:t>
      </w:r>
    </w:p>
    <w:p w14:paraId="4F45FB50">
      <w:pPr>
        <w:spacing w:before="183" w:line="220" w:lineRule="auto"/>
        <w:ind w:left="10"/>
        <w:outlineLvl w:val="2"/>
        <w:rPr>
          <w:rFonts w:ascii="宋体" w:hAnsi="宋体" w:eastAsia="宋体" w:cs="宋体"/>
          <w:color w:val="auto"/>
          <w:sz w:val="24"/>
          <w:szCs w:val="24"/>
          <w:highlight w:val="none"/>
        </w:rPr>
      </w:pPr>
      <w:bookmarkStart w:id="60" w:name="bookmark37"/>
      <w:bookmarkEnd w:id="60"/>
      <w:bookmarkStart w:id="61" w:name="_Toc24971"/>
      <w:bookmarkStart w:id="62" w:name="_Toc27262"/>
      <w:r>
        <w:rPr>
          <w:rFonts w:ascii="Times New Roman" w:hAnsi="Times New Roman" w:eastAsia="Times New Roman" w:cs="Times New Roman"/>
          <w:b/>
          <w:bCs/>
          <w:color w:val="auto"/>
          <w:spacing w:val="-5"/>
          <w:sz w:val="24"/>
          <w:szCs w:val="24"/>
          <w:highlight w:val="none"/>
        </w:rPr>
        <w:t>1.11</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5"/>
          <w:sz w:val="24"/>
          <w:szCs w:val="24"/>
          <w:highlight w:val="none"/>
        </w:rPr>
        <w:t>分包</w:t>
      </w:r>
      <w:bookmarkEnd w:id="61"/>
      <w:bookmarkEnd w:id="62"/>
    </w:p>
    <w:p w14:paraId="364BFA7F">
      <w:pPr>
        <w:spacing w:before="181" w:line="359" w:lineRule="auto"/>
        <w:ind w:left="6" w:right="1" w:firstLine="480"/>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投标人须知前附表规定允许分包的，分包的内容、分包金额、接受分包的第三人资质要求见投标人须知前附表。投标人应在投标文件中明确是否在中标后将中标项目</w:t>
      </w:r>
      <w:r>
        <w:rPr>
          <w:rFonts w:ascii="宋体" w:hAnsi="宋体" w:eastAsia="宋体" w:cs="宋体"/>
          <w:color w:val="auto"/>
          <w:spacing w:val="-6"/>
          <w:sz w:val="24"/>
          <w:szCs w:val="24"/>
          <w:highlight w:val="none"/>
        </w:rPr>
        <w:t>的部分非主体、非关键性工作进行分包。投标人拟分包时， 分包人应具备与分包工程</w:t>
      </w:r>
      <w:r>
        <w:rPr>
          <w:rFonts w:ascii="宋体" w:hAnsi="宋体" w:eastAsia="宋体" w:cs="宋体"/>
          <w:color w:val="auto"/>
          <w:spacing w:val="-3"/>
          <w:sz w:val="24"/>
          <w:szCs w:val="24"/>
          <w:highlight w:val="none"/>
        </w:rPr>
        <w:t>的标准和规模相适应的资质和业绩，在人力、设备、资金等方面具有承担分包工程施</w:t>
      </w:r>
      <w:r>
        <w:rPr>
          <w:rFonts w:ascii="宋体" w:hAnsi="宋体" w:eastAsia="宋体" w:cs="宋体"/>
          <w:color w:val="auto"/>
          <w:spacing w:val="-8"/>
          <w:sz w:val="24"/>
          <w:szCs w:val="24"/>
          <w:highlight w:val="none"/>
        </w:rPr>
        <w:t>工的能力。</w:t>
      </w:r>
    </w:p>
    <w:p w14:paraId="455B69CE">
      <w:pPr>
        <w:spacing w:before="1" w:line="219" w:lineRule="auto"/>
        <w:ind w:left="10"/>
        <w:outlineLvl w:val="2"/>
        <w:rPr>
          <w:rFonts w:ascii="宋体" w:hAnsi="宋体" w:eastAsia="宋体" w:cs="宋体"/>
          <w:color w:val="auto"/>
          <w:sz w:val="24"/>
          <w:szCs w:val="24"/>
          <w:highlight w:val="none"/>
        </w:rPr>
      </w:pPr>
      <w:bookmarkStart w:id="63" w:name="bookmark38"/>
      <w:bookmarkEnd w:id="63"/>
      <w:bookmarkStart w:id="64" w:name="_Toc9035"/>
      <w:bookmarkStart w:id="65" w:name="_Toc10615"/>
      <w:r>
        <w:rPr>
          <w:rFonts w:ascii="Times New Roman" w:hAnsi="Times New Roman" w:eastAsia="Times New Roman" w:cs="Times New Roman"/>
          <w:b/>
          <w:bCs/>
          <w:color w:val="auto"/>
          <w:spacing w:val="-5"/>
          <w:sz w:val="24"/>
          <w:szCs w:val="24"/>
          <w:highlight w:val="none"/>
        </w:rPr>
        <w:t>1.12</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5"/>
          <w:sz w:val="24"/>
          <w:szCs w:val="24"/>
          <w:highlight w:val="none"/>
        </w:rPr>
        <w:t>偏离</w:t>
      </w:r>
      <w:bookmarkEnd w:id="64"/>
      <w:bookmarkEnd w:id="65"/>
    </w:p>
    <w:p w14:paraId="372228A8">
      <w:pPr>
        <w:spacing w:before="184" w:line="359" w:lineRule="auto"/>
        <w:ind w:left="23" w:right="1" w:firstLine="46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投标文件不允许偏离招标文件的实质性要求和条件。允许投标文件偏离招标文件</w:t>
      </w:r>
      <w:r>
        <w:rPr>
          <w:rFonts w:ascii="宋体" w:hAnsi="宋体" w:eastAsia="宋体" w:cs="宋体"/>
          <w:color w:val="auto"/>
          <w:spacing w:val="-2"/>
          <w:sz w:val="24"/>
          <w:szCs w:val="24"/>
          <w:highlight w:val="none"/>
        </w:rPr>
        <w:t>的非实质性要求和条件的，其偏离内容、范围和幅度见投标人须知前附表。</w:t>
      </w:r>
    </w:p>
    <w:p w14:paraId="59D1EC1D">
      <w:pPr>
        <w:spacing w:before="125" w:line="220" w:lineRule="auto"/>
        <w:outlineLvl w:val="1"/>
        <w:rPr>
          <w:rFonts w:ascii="宋体" w:hAnsi="宋体" w:eastAsia="宋体" w:cs="宋体"/>
          <w:color w:val="auto"/>
          <w:sz w:val="28"/>
          <w:szCs w:val="28"/>
          <w:highlight w:val="none"/>
        </w:rPr>
      </w:pPr>
      <w:bookmarkStart w:id="66" w:name="bookmark40"/>
      <w:bookmarkEnd w:id="66"/>
      <w:bookmarkStart w:id="67" w:name="bookmark39"/>
      <w:bookmarkEnd w:id="67"/>
      <w:bookmarkStart w:id="68" w:name="_Toc23381"/>
      <w:bookmarkStart w:id="69" w:name="_Toc19500"/>
      <w:r>
        <w:rPr>
          <w:rFonts w:ascii="Times New Roman" w:hAnsi="Times New Roman" w:eastAsia="Times New Roman" w:cs="Times New Roman"/>
          <w:b/>
          <w:bCs/>
          <w:color w:val="auto"/>
          <w:spacing w:val="-5"/>
          <w:sz w:val="28"/>
          <w:szCs w:val="28"/>
          <w:highlight w:val="none"/>
        </w:rPr>
        <w:t>2</w:t>
      </w:r>
      <w:r>
        <w:rPr>
          <w:rFonts w:hint="eastAsia" w:ascii="Times New Roman" w:hAnsi="Times New Roman" w:eastAsia="宋体" w:cs="Times New Roman"/>
          <w:b/>
          <w:bCs/>
          <w:color w:val="auto"/>
          <w:spacing w:val="6"/>
          <w:sz w:val="28"/>
          <w:szCs w:val="28"/>
          <w:highlight w:val="none"/>
          <w:lang w:eastAsia="zh-CN"/>
        </w:rPr>
        <w:t>、</w:t>
      </w:r>
      <w:r>
        <w:rPr>
          <w:rFonts w:ascii="宋体" w:hAnsi="宋体" w:eastAsia="宋体" w:cs="宋体"/>
          <w:b/>
          <w:bCs/>
          <w:color w:val="auto"/>
          <w:spacing w:val="-5"/>
          <w:sz w:val="28"/>
          <w:szCs w:val="28"/>
          <w:highlight w:val="none"/>
        </w:rPr>
        <w:t>招标文件</w:t>
      </w:r>
      <w:bookmarkEnd w:id="68"/>
      <w:bookmarkEnd w:id="69"/>
    </w:p>
    <w:p w14:paraId="43A5FAA3">
      <w:pPr>
        <w:pStyle w:val="3"/>
        <w:spacing w:line="245" w:lineRule="auto"/>
        <w:rPr>
          <w:color w:val="auto"/>
          <w:highlight w:val="none"/>
        </w:rPr>
      </w:pPr>
    </w:p>
    <w:p w14:paraId="7C392EAA">
      <w:pPr>
        <w:spacing w:before="78" w:line="220" w:lineRule="auto"/>
        <w:outlineLvl w:val="2"/>
        <w:rPr>
          <w:rFonts w:ascii="宋体" w:hAnsi="宋体" w:eastAsia="宋体" w:cs="宋体"/>
          <w:color w:val="auto"/>
          <w:sz w:val="24"/>
          <w:szCs w:val="24"/>
          <w:highlight w:val="none"/>
        </w:rPr>
      </w:pPr>
      <w:bookmarkStart w:id="70" w:name="bookmark666"/>
      <w:bookmarkEnd w:id="70"/>
      <w:bookmarkStart w:id="71" w:name="_Toc7651"/>
      <w:bookmarkStart w:id="72" w:name="_Toc28103"/>
      <w:r>
        <w:rPr>
          <w:rFonts w:ascii="Times New Roman" w:hAnsi="Times New Roman" w:eastAsia="Times New Roman" w:cs="Times New Roman"/>
          <w:b/>
          <w:bCs/>
          <w:color w:val="auto"/>
          <w:spacing w:val="-2"/>
          <w:sz w:val="24"/>
          <w:szCs w:val="24"/>
          <w:highlight w:val="none"/>
        </w:rPr>
        <w:t xml:space="preserve">2.1  </w:t>
      </w:r>
      <w:r>
        <w:rPr>
          <w:rFonts w:ascii="宋体" w:hAnsi="宋体" w:eastAsia="宋体" w:cs="宋体"/>
          <w:b/>
          <w:bCs/>
          <w:color w:val="auto"/>
          <w:spacing w:val="-2"/>
          <w:sz w:val="24"/>
          <w:szCs w:val="24"/>
          <w:highlight w:val="none"/>
        </w:rPr>
        <w:t>招标文件的组成</w:t>
      </w:r>
      <w:bookmarkEnd w:id="71"/>
      <w:bookmarkEnd w:id="72"/>
    </w:p>
    <w:p w14:paraId="0A66C1B0">
      <w:pPr>
        <w:spacing w:before="180" w:line="219" w:lineRule="auto"/>
        <w:ind w:left="484"/>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本招标文件包括下列内容：</w:t>
      </w:r>
    </w:p>
    <w:p w14:paraId="35022E6A">
      <w:pPr>
        <w:spacing w:before="184" w:line="218" w:lineRule="auto"/>
        <w:ind w:left="49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）招标公告（或投标邀请书）。</w:t>
      </w:r>
    </w:p>
    <w:p w14:paraId="6E3FBE71">
      <w:pPr>
        <w:spacing w:before="182" w:line="220" w:lineRule="auto"/>
        <w:ind w:left="490"/>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2</w:t>
      </w:r>
      <w:r>
        <w:rPr>
          <w:rFonts w:ascii="宋体" w:hAnsi="宋体" w:eastAsia="宋体" w:cs="宋体"/>
          <w:color w:val="auto"/>
          <w:spacing w:val="-6"/>
          <w:sz w:val="24"/>
          <w:szCs w:val="24"/>
          <w:highlight w:val="none"/>
        </w:rPr>
        <w:t>）投标人须知。</w:t>
      </w:r>
    </w:p>
    <w:p w14:paraId="5C5AF80A">
      <w:pPr>
        <w:spacing w:before="47" w:line="220" w:lineRule="auto"/>
        <w:ind w:left="49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）评标定标办法。</w:t>
      </w:r>
    </w:p>
    <w:p w14:paraId="5C518DA9">
      <w:pPr>
        <w:spacing w:before="182" w:line="220" w:lineRule="auto"/>
        <w:ind w:left="49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4</w:t>
      </w:r>
      <w:r>
        <w:rPr>
          <w:rFonts w:ascii="宋体" w:hAnsi="宋体" w:eastAsia="宋体" w:cs="宋体"/>
          <w:color w:val="auto"/>
          <w:spacing w:val="-5"/>
          <w:sz w:val="24"/>
          <w:szCs w:val="24"/>
          <w:highlight w:val="none"/>
        </w:rPr>
        <w:t>）合同条款及格式。</w:t>
      </w:r>
    </w:p>
    <w:p w14:paraId="70985334">
      <w:pPr>
        <w:spacing w:before="180" w:line="220" w:lineRule="auto"/>
        <w:ind w:left="490"/>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5</w:t>
      </w:r>
      <w:r>
        <w:rPr>
          <w:rFonts w:ascii="宋体" w:hAnsi="宋体" w:eastAsia="宋体" w:cs="宋体"/>
          <w:color w:val="auto"/>
          <w:spacing w:val="-6"/>
          <w:sz w:val="24"/>
          <w:szCs w:val="24"/>
          <w:highlight w:val="none"/>
        </w:rPr>
        <w:t>）工程量清单。</w:t>
      </w:r>
    </w:p>
    <w:p w14:paraId="66880384">
      <w:pPr>
        <w:spacing w:before="181" w:line="221" w:lineRule="auto"/>
        <w:ind w:left="490"/>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w:t>
      </w:r>
      <w:r>
        <w:rPr>
          <w:rFonts w:ascii="Times New Roman" w:hAnsi="Times New Roman" w:eastAsia="Times New Roman" w:cs="Times New Roman"/>
          <w:color w:val="auto"/>
          <w:spacing w:val="-7"/>
          <w:sz w:val="24"/>
          <w:szCs w:val="24"/>
          <w:highlight w:val="none"/>
        </w:rPr>
        <w:t>6</w:t>
      </w:r>
      <w:r>
        <w:rPr>
          <w:rFonts w:ascii="宋体" w:hAnsi="宋体" w:eastAsia="宋体" w:cs="宋体"/>
          <w:color w:val="auto"/>
          <w:spacing w:val="-7"/>
          <w:sz w:val="24"/>
          <w:szCs w:val="24"/>
          <w:highlight w:val="none"/>
        </w:rPr>
        <w:t>）图纸。</w:t>
      </w:r>
    </w:p>
    <w:p w14:paraId="47C04874">
      <w:pPr>
        <w:spacing w:before="177" w:line="220" w:lineRule="auto"/>
        <w:ind w:left="49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7</w:t>
      </w:r>
      <w:r>
        <w:rPr>
          <w:rFonts w:ascii="宋体" w:hAnsi="宋体" w:eastAsia="宋体" w:cs="宋体"/>
          <w:color w:val="auto"/>
          <w:spacing w:val="-5"/>
          <w:sz w:val="24"/>
          <w:szCs w:val="24"/>
          <w:highlight w:val="none"/>
        </w:rPr>
        <w:t>）技术标准和要求。</w:t>
      </w:r>
    </w:p>
    <w:p w14:paraId="69934EF7">
      <w:pPr>
        <w:spacing w:before="182" w:line="220" w:lineRule="auto"/>
        <w:ind w:left="49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8</w:t>
      </w:r>
      <w:r>
        <w:rPr>
          <w:rFonts w:ascii="宋体" w:hAnsi="宋体" w:eastAsia="宋体" w:cs="宋体"/>
          <w:color w:val="auto"/>
          <w:spacing w:val="-5"/>
          <w:sz w:val="24"/>
          <w:szCs w:val="24"/>
          <w:highlight w:val="none"/>
        </w:rPr>
        <w:t>）投标文件格式。</w:t>
      </w:r>
    </w:p>
    <w:p w14:paraId="005F33CA">
      <w:pPr>
        <w:spacing w:before="180" w:line="219"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9</w:t>
      </w:r>
      <w:r>
        <w:rPr>
          <w:rFonts w:ascii="宋体" w:hAnsi="宋体" w:eastAsia="宋体" w:cs="宋体"/>
          <w:color w:val="auto"/>
          <w:spacing w:val="-3"/>
          <w:sz w:val="24"/>
          <w:szCs w:val="24"/>
          <w:highlight w:val="none"/>
        </w:rPr>
        <w:t>）投标人须知前附表规定的其他材料。</w:t>
      </w:r>
    </w:p>
    <w:p w14:paraId="56F64567">
      <w:pPr>
        <w:spacing w:before="184" w:line="359" w:lineRule="auto"/>
        <w:ind w:left="2" w:right="1" w:firstLine="480"/>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根据本章第</w:t>
      </w:r>
      <w:r>
        <w:rPr>
          <w:rFonts w:ascii="Times New Roman" w:hAnsi="Times New Roman" w:eastAsia="Times New Roman" w:cs="Times New Roman"/>
          <w:color w:val="auto"/>
          <w:spacing w:val="-6"/>
          <w:sz w:val="24"/>
          <w:szCs w:val="24"/>
          <w:highlight w:val="none"/>
        </w:rPr>
        <w:t>1.10</w:t>
      </w:r>
      <w:r>
        <w:rPr>
          <w:rFonts w:ascii="宋体" w:hAnsi="宋体" w:eastAsia="宋体" w:cs="宋体"/>
          <w:color w:val="auto"/>
          <w:spacing w:val="-6"/>
          <w:sz w:val="24"/>
          <w:szCs w:val="24"/>
          <w:highlight w:val="none"/>
        </w:rPr>
        <w:t>款、第</w:t>
      </w:r>
      <w:r>
        <w:rPr>
          <w:rFonts w:ascii="Times New Roman" w:hAnsi="Times New Roman" w:eastAsia="Times New Roman" w:cs="Times New Roman"/>
          <w:color w:val="auto"/>
          <w:spacing w:val="-6"/>
          <w:sz w:val="24"/>
          <w:szCs w:val="24"/>
          <w:highlight w:val="none"/>
        </w:rPr>
        <w:t>2.2</w:t>
      </w:r>
      <w:r>
        <w:rPr>
          <w:rFonts w:ascii="宋体" w:hAnsi="宋体" w:eastAsia="宋体" w:cs="宋体"/>
          <w:color w:val="auto"/>
          <w:spacing w:val="-6"/>
          <w:sz w:val="24"/>
          <w:szCs w:val="24"/>
          <w:highlight w:val="none"/>
        </w:rPr>
        <w:t>款和第</w:t>
      </w:r>
      <w:r>
        <w:rPr>
          <w:rFonts w:ascii="Times New Roman" w:hAnsi="Times New Roman" w:eastAsia="Times New Roman" w:cs="Times New Roman"/>
          <w:color w:val="auto"/>
          <w:spacing w:val="-6"/>
          <w:sz w:val="24"/>
          <w:szCs w:val="24"/>
          <w:highlight w:val="none"/>
        </w:rPr>
        <w:t>2.3</w:t>
      </w:r>
      <w:r>
        <w:rPr>
          <w:rFonts w:ascii="宋体" w:hAnsi="宋体" w:eastAsia="宋体" w:cs="宋体"/>
          <w:color w:val="auto"/>
          <w:spacing w:val="-6"/>
          <w:sz w:val="24"/>
          <w:szCs w:val="24"/>
          <w:highlight w:val="none"/>
        </w:rPr>
        <w:t>款对招标文件所作的澄清、修改，</w:t>
      </w:r>
      <w:r>
        <w:rPr>
          <w:rFonts w:ascii="宋体" w:hAnsi="宋体" w:eastAsia="宋体" w:cs="宋体"/>
          <w:color w:val="auto"/>
          <w:spacing w:val="-36"/>
          <w:sz w:val="24"/>
          <w:szCs w:val="24"/>
          <w:highlight w:val="none"/>
        </w:rPr>
        <w:t xml:space="preserve"> </w:t>
      </w:r>
      <w:r>
        <w:rPr>
          <w:rFonts w:ascii="宋体" w:hAnsi="宋体" w:eastAsia="宋体" w:cs="宋体"/>
          <w:color w:val="auto"/>
          <w:spacing w:val="-6"/>
          <w:sz w:val="24"/>
          <w:szCs w:val="24"/>
          <w:highlight w:val="none"/>
        </w:rPr>
        <w:t>构成招标文件的组成部分。</w:t>
      </w:r>
    </w:p>
    <w:p w14:paraId="6313DAEB">
      <w:pPr>
        <w:spacing w:line="219" w:lineRule="auto"/>
        <w:outlineLvl w:val="2"/>
        <w:rPr>
          <w:rFonts w:ascii="宋体" w:hAnsi="宋体" w:eastAsia="宋体" w:cs="宋体"/>
          <w:color w:val="auto"/>
          <w:sz w:val="24"/>
          <w:szCs w:val="24"/>
          <w:highlight w:val="none"/>
        </w:rPr>
      </w:pPr>
      <w:bookmarkStart w:id="73" w:name="bookmark41"/>
      <w:bookmarkEnd w:id="73"/>
      <w:bookmarkStart w:id="74" w:name="_Toc12138"/>
      <w:bookmarkStart w:id="75" w:name="_Toc12591"/>
      <w:r>
        <w:rPr>
          <w:rFonts w:ascii="Times New Roman" w:hAnsi="Times New Roman" w:eastAsia="Times New Roman" w:cs="Times New Roman"/>
          <w:b/>
          <w:bCs/>
          <w:color w:val="auto"/>
          <w:spacing w:val="-2"/>
          <w:sz w:val="24"/>
          <w:szCs w:val="24"/>
          <w:highlight w:val="none"/>
        </w:rPr>
        <w:t xml:space="preserve">2.2  </w:t>
      </w:r>
      <w:r>
        <w:rPr>
          <w:rFonts w:ascii="宋体" w:hAnsi="宋体" w:eastAsia="宋体" w:cs="宋体"/>
          <w:b/>
          <w:bCs/>
          <w:color w:val="auto"/>
          <w:spacing w:val="-2"/>
          <w:sz w:val="24"/>
          <w:szCs w:val="24"/>
          <w:highlight w:val="none"/>
        </w:rPr>
        <w:t>招标文件的澄清</w:t>
      </w:r>
      <w:bookmarkEnd w:id="74"/>
      <w:bookmarkEnd w:id="75"/>
    </w:p>
    <w:p w14:paraId="6509E065">
      <w:pPr>
        <w:spacing w:before="179" w:line="313" w:lineRule="auto"/>
        <w:ind w:left="3" w:right="1"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2.2.1  </w:t>
      </w:r>
      <w:r>
        <w:rPr>
          <w:rFonts w:ascii="宋体" w:hAnsi="宋体" w:eastAsia="宋体" w:cs="宋体"/>
          <w:color w:val="auto"/>
          <w:sz w:val="24"/>
          <w:szCs w:val="24"/>
          <w:highlight w:val="none"/>
        </w:rPr>
        <w:t>投标人应仔细阅读和检查招标文件的全部内容。如发现缺页或附件不全，</w:t>
      </w:r>
      <w:r>
        <w:rPr>
          <w:rFonts w:ascii="宋体" w:hAnsi="宋体" w:eastAsia="宋体" w:cs="宋体"/>
          <w:color w:val="auto"/>
          <w:spacing w:val="-6"/>
          <w:sz w:val="24"/>
          <w:szCs w:val="24"/>
          <w:highlight w:val="none"/>
        </w:rPr>
        <w:t>应及时向招标人提出，以便补齐。如有疑问， 应在投标人须知前附表规定的时间前以</w:t>
      </w:r>
      <w:r>
        <w:rPr>
          <w:rFonts w:ascii="宋体" w:hAnsi="宋体" w:eastAsia="宋体" w:cs="宋体"/>
          <w:color w:val="auto"/>
          <w:spacing w:val="-2"/>
          <w:sz w:val="24"/>
          <w:szCs w:val="24"/>
          <w:highlight w:val="none"/>
        </w:rPr>
        <w:t>规定的形式提出澄清申请，要求招标人对招标文件予以澄清。</w:t>
      </w:r>
    </w:p>
    <w:p w14:paraId="398E51E1">
      <w:pPr>
        <w:spacing w:before="183" w:line="331" w:lineRule="auto"/>
        <w:ind w:left="2" w:right="1"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2.2.2  </w:t>
      </w:r>
      <w:r>
        <w:rPr>
          <w:rFonts w:ascii="宋体" w:hAnsi="宋体" w:eastAsia="宋体" w:cs="宋体"/>
          <w:color w:val="auto"/>
          <w:spacing w:val="1"/>
          <w:sz w:val="24"/>
          <w:szCs w:val="24"/>
          <w:highlight w:val="none"/>
        </w:rPr>
        <w:t>招标人可以对已发出的招标</w:t>
      </w:r>
      <w:r>
        <w:rPr>
          <w:rFonts w:ascii="宋体" w:hAnsi="宋体" w:eastAsia="宋体" w:cs="宋体"/>
          <w:color w:val="auto"/>
          <w:sz w:val="24"/>
          <w:szCs w:val="24"/>
          <w:highlight w:val="none"/>
        </w:rPr>
        <w:t>文件进行必要的澄清，但不指明澄清问题的来源。修改招标文件的时间距投标截止时间不足</w:t>
      </w:r>
      <w:r>
        <w:rPr>
          <w:rFonts w:ascii="Times New Roman" w:hAnsi="Times New Roman" w:eastAsia="Times New Roman" w:cs="Times New Roman"/>
          <w:b/>
          <w:bCs/>
          <w:color w:val="auto"/>
          <w:sz w:val="24"/>
          <w:szCs w:val="24"/>
          <w:highlight w:val="none"/>
        </w:rPr>
        <w:t>7</w:t>
      </w:r>
      <w:r>
        <w:rPr>
          <w:rFonts w:ascii="宋体" w:hAnsi="宋体" w:eastAsia="宋体" w:cs="宋体"/>
          <w:color w:val="auto"/>
          <w:sz w:val="24"/>
          <w:szCs w:val="24"/>
          <w:highlight w:val="none"/>
        </w:rPr>
        <w:t>日的，相应延长投标截止时间。澄清</w:t>
      </w:r>
      <w:r>
        <w:rPr>
          <w:rFonts w:ascii="宋体" w:hAnsi="宋体" w:eastAsia="宋体" w:cs="宋体"/>
          <w:color w:val="auto"/>
          <w:spacing w:val="-3"/>
          <w:sz w:val="24"/>
          <w:szCs w:val="24"/>
          <w:highlight w:val="none"/>
        </w:rPr>
        <w:t>的内容可能影响投标文件编制的，招标人应当在投标截止时间至少</w:t>
      </w:r>
      <w:r>
        <w:rPr>
          <w:rFonts w:ascii="Times New Roman" w:hAnsi="Times New Roman" w:eastAsia="Times New Roman" w:cs="Times New Roman"/>
          <w:color w:val="auto"/>
          <w:spacing w:val="-3"/>
          <w:sz w:val="24"/>
          <w:szCs w:val="24"/>
          <w:highlight w:val="none"/>
        </w:rPr>
        <w:t>15</w:t>
      </w:r>
      <w:r>
        <w:rPr>
          <w:rFonts w:ascii="宋体" w:hAnsi="宋体" w:eastAsia="宋体" w:cs="宋体"/>
          <w:color w:val="auto"/>
          <w:spacing w:val="-3"/>
          <w:sz w:val="24"/>
          <w:szCs w:val="24"/>
          <w:highlight w:val="none"/>
        </w:rPr>
        <w:t>日前，以投标人须知前附表规定的形式通知所有获取招标文件的潜在投标人，不足</w:t>
      </w:r>
      <w:r>
        <w:rPr>
          <w:rFonts w:ascii="Times New Roman" w:hAnsi="Times New Roman" w:eastAsia="Times New Roman" w:cs="Times New Roman"/>
          <w:color w:val="auto"/>
          <w:spacing w:val="-3"/>
          <w:sz w:val="24"/>
          <w:szCs w:val="24"/>
          <w:highlight w:val="none"/>
        </w:rPr>
        <w:t>15</w:t>
      </w:r>
      <w:r>
        <w:rPr>
          <w:rFonts w:ascii="宋体" w:hAnsi="宋体" w:eastAsia="宋体" w:cs="宋体"/>
          <w:color w:val="auto"/>
          <w:spacing w:val="-3"/>
          <w:sz w:val="24"/>
          <w:szCs w:val="24"/>
          <w:highlight w:val="none"/>
        </w:rPr>
        <w:t>日的，招标人应当顺延提交投标文件的截止时间。</w:t>
      </w:r>
    </w:p>
    <w:p w14:paraId="63623F1D">
      <w:pPr>
        <w:spacing w:before="182"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2.2.3  </w:t>
      </w:r>
      <w:r>
        <w:rPr>
          <w:rFonts w:ascii="宋体" w:hAnsi="宋体" w:eastAsia="宋体" w:cs="宋体"/>
          <w:color w:val="auto"/>
          <w:spacing w:val="-2"/>
          <w:sz w:val="24"/>
          <w:szCs w:val="24"/>
          <w:highlight w:val="none"/>
        </w:rPr>
        <w:t>投标人在收到澄清通知后，无需确认。</w:t>
      </w:r>
    </w:p>
    <w:p w14:paraId="317D3226">
      <w:pPr>
        <w:spacing w:before="180" w:line="220" w:lineRule="auto"/>
        <w:outlineLvl w:val="2"/>
        <w:rPr>
          <w:rFonts w:ascii="宋体" w:hAnsi="宋体" w:eastAsia="宋体" w:cs="宋体"/>
          <w:color w:val="auto"/>
          <w:sz w:val="24"/>
          <w:szCs w:val="24"/>
          <w:highlight w:val="none"/>
        </w:rPr>
      </w:pPr>
      <w:bookmarkStart w:id="76" w:name="bookmark42"/>
      <w:bookmarkEnd w:id="76"/>
      <w:bookmarkStart w:id="77" w:name="_Toc31779"/>
      <w:bookmarkStart w:id="78" w:name="_Toc17800"/>
      <w:r>
        <w:rPr>
          <w:rFonts w:ascii="Times New Roman" w:hAnsi="Times New Roman" w:eastAsia="Times New Roman" w:cs="Times New Roman"/>
          <w:b/>
          <w:bCs/>
          <w:color w:val="auto"/>
          <w:spacing w:val="-2"/>
          <w:sz w:val="24"/>
          <w:szCs w:val="24"/>
          <w:highlight w:val="none"/>
        </w:rPr>
        <w:t xml:space="preserve">2.3  </w:t>
      </w:r>
      <w:r>
        <w:rPr>
          <w:rFonts w:ascii="宋体" w:hAnsi="宋体" w:eastAsia="宋体" w:cs="宋体"/>
          <w:b/>
          <w:bCs/>
          <w:color w:val="auto"/>
          <w:spacing w:val="-2"/>
          <w:sz w:val="24"/>
          <w:szCs w:val="24"/>
          <w:highlight w:val="none"/>
        </w:rPr>
        <w:t>招标文件的修改</w:t>
      </w:r>
      <w:bookmarkEnd w:id="77"/>
      <w:bookmarkEnd w:id="78"/>
    </w:p>
    <w:p w14:paraId="71704541">
      <w:pPr>
        <w:spacing w:before="180" w:line="332" w:lineRule="auto"/>
        <w:ind w:left="3" w:right="1"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2.3.1  </w:t>
      </w:r>
      <w:r>
        <w:rPr>
          <w:rFonts w:ascii="宋体" w:hAnsi="宋体" w:eastAsia="宋体" w:cs="宋体"/>
          <w:color w:val="auto"/>
          <w:spacing w:val="1"/>
          <w:sz w:val="24"/>
          <w:szCs w:val="24"/>
          <w:highlight w:val="none"/>
        </w:rPr>
        <w:t>招标人可以对已发出的招标</w:t>
      </w:r>
      <w:r>
        <w:rPr>
          <w:rFonts w:ascii="宋体" w:hAnsi="宋体" w:eastAsia="宋体" w:cs="宋体"/>
          <w:color w:val="auto"/>
          <w:sz w:val="24"/>
          <w:szCs w:val="24"/>
          <w:highlight w:val="none"/>
        </w:rPr>
        <w:t>文件进行必要的修改。修改招标文件的时间距投标截止时间不足</w:t>
      </w:r>
      <w:r>
        <w:rPr>
          <w:rFonts w:ascii="Times New Roman" w:hAnsi="Times New Roman" w:eastAsia="Times New Roman" w:cs="Times New Roman"/>
          <w:b/>
          <w:bCs/>
          <w:color w:val="auto"/>
          <w:sz w:val="24"/>
          <w:szCs w:val="24"/>
          <w:highlight w:val="none"/>
        </w:rPr>
        <w:t>7</w:t>
      </w:r>
      <w:r>
        <w:rPr>
          <w:rFonts w:ascii="宋体" w:hAnsi="宋体" w:eastAsia="宋体" w:cs="宋体"/>
          <w:color w:val="auto"/>
          <w:sz w:val="24"/>
          <w:szCs w:val="24"/>
          <w:highlight w:val="none"/>
        </w:rPr>
        <w:t>日的，相应延长投标截止时间。修改的内容可能影响投标文件编</w:t>
      </w:r>
      <w:r>
        <w:rPr>
          <w:rFonts w:ascii="宋体" w:hAnsi="宋体" w:eastAsia="宋体" w:cs="宋体"/>
          <w:color w:val="auto"/>
          <w:spacing w:val="-3"/>
          <w:sz w:val="24"/>
          <w:szCs w:val="24"/>
          <w:highlight w:val="none"/>
        </w:rPr>
        <w:t>制的，招标人应当在投标截止时间至少</w:t>
      </w:r>
      <w:r>
        <w:rPr>
          <w:rFonts w:ascii="Times New Roman" w:hAnsi="Times New Roman" w:eastAsia="Times New Roman" w:cs="Times New Roman"/>
          <w:color w:val="auto"/>
          <w:spacing w:val="-3"/>
          <w:sz w:val="24"/>
          <w:szCs w:val="24"/>
          <w:highlight w:val="none"/>
        </w:rPr>
        <w:t>15</w:t>
      </w:r>
      <w:r>
        <w:rPr>
          <w:rFonts w:ascii="宋体" w:hAnsi="宋体" w:eastAsia="宋体" w:cs="宋体"/>
          <w:color w:val="auto"/>
          <w:spacing w:val="-3"/>
          <w:sz w:val="24"/>
          <w:szCs w:val="24"/>
          <w:highlight w:val="none"/>
        </w:rPr>
        <w:t>日前，以投标人须知前附表规定的形式通知所有获取招标文件的潜在投标人，不足</w:t>
      </w:r>
      <w:r>
        <w:rPr>
          <w:rFonts w:ascii="Times New Roman" w:hAnsi="Times New Roman" w:eastAsia="Times New Roman" w:cs="Times New Roman"/>
          <w:color w:val="auto"/>
          <w:spacing w:val="-3"/>
          <w:sz w:val="24"/>
          <w:szCs w:val="24"/>
          <w:highlight w:val="none"/>
        </w:rPr>
        <w:t>15</w:t>
      </w:r>
      <w:r>
        <w:rPr>
          <w:rFonts w:ascii="宋体" w:hAnsi="宋体" w:eastAsia="宋体" w:cs="宋体"/>
          <w:color w:val="auto"/>
          <w:spacing w:val="-3"/>
          <w:sz w:val="24"/>
          <w:szCs w:val="24"/>
          <w:highlight w:val="none"/>
        </w:rPr>
        <w:t>日的，招标人应当顺延提交投标文件的截止</w:t>
      </w:r>
      <w:r>
        <w:rPr>
          <w:rFonts w:ascii="宋体" w:hAnsi="宋体" w:eastAsia="宋体" w:cs="宋体"/>
          <w:color w:val="auto"/>
          <w:spacing w:val="-10"/>
          <w:sz w:val="24"/>
          <w:szCs w:val="24"/>
          <w:highlight w:val="none"/>
        </w:rPr>
        <w:t>时间。</w:t>
      </w:r>
    </w:p>
    <w:p w14:paraId="64AF7B9B">
      <w:pPr>
        <w:spacing w:before="177"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2.3.2  </w:t>
      </w:r>
      <w:r>
        <w:rPr>
          <w:rFonts w:ascii="宋体" w:hAnsi="宋体" w:eastAsia="宋体" w:cs="宋体"/>
          <w:color w:val="auto"/>
          <w:spacing w:val="-2"/>
          <w:sz w:val="24"/>
          <w:szCs w:val="24"/>
          <w:highlight w:val="none"/>
        </w:rPr>
        <w:t>投标人收到修改通知后，无需确认。</w:t>
      </w:r>
    </w:p>
    <w:p w14:paraId="371B0EFF">
      <w:pPr>
        <w:spacing w:before="182" w:line="324" w:lineRule="auto"/>
        <w:ind w:left="4" w:right="1"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2.3.3</w:t>
      </w:r>
      <w:r>
        <w:rPr>
          <w:rFonts w:ascii="宋体" w:hAnsi="宋体" w:eastAsia="宋体" w:cs="宋体"/>
          <w:color w:val="auto"/>
          <w:spacing w:val="-3"/>
          <w:sz w:val="24"/>
          <w:szCs w:val="24"/>
          <w:highlight w:val="none"/>
        </w:rPr>
        <w:t>潜在投标人或者其他利害关系人对招标文件有异议的，应当在投标截止时间</w:t>
      </w:r>
      <w:r>
        <w:rPr>
          <w:rFonts w:ascii="Times New Roman" w:hAnsi="Times New Roman" w:eastAsia="Times New Roman" w:cs="Times New Roman"/>
          <w:color w:val="auto"/>
          <w:sz w:val="24"/>
          <w:szCs w:val="24"/>
          <w:highlight w:val="none"/>
        </w:rPr>
        <w:t>10</w:t>
      </w:r>
      <w:r>
        <w:rPr>
          <w:rFonts w:ascii="宋体" w:hAnsi="宋体" w:eastAsia="宋体" w:cs="宋体"/>
          <w:color w:val="auto"/>
          <w:sz w:val="24"/>
          <w:szCs w:val="24"/>
          <w:highlight w:val="none"/>
        </w:rPr>
        <w:t>日前提出。招标人应当自收到异议之日起</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日内作出答复；作出答复前，应当暂停</w:t>
      </w:r>
      <w:r>
        <w:rPr>
          <w:rFonts w:ascii="宋体" w:hAnsi="宋体" w:eastAsia="宋体" w:cs="宋体"/>
          <w:color w:val="auto"/>
          <w:spacing w:val="-3"/>
          <w:sz w:val="24"/>
          <w:szCs w:val="24"/>
          <w:highlight w:val="none"/>
        </w:rPr>
        <w:t>招标投标活动。提出异议与作出答复均应通过下载招标文件的电子招标投标交易平台</w:t>
      </w:r>
      <w:r>
        <w:rPr>
          <w:rFonts w:ascii="宋体" w:hAnsi="宋体" w:eastAsia="宋体" w:cs="宋体"/>
          <w:color w:val="auto"/>
          <w:spacing w:val="-11"/>
          <w:sz w:val="24"/>
          <w:szCs w:val="24"/>
          <w:highlight w:val="none"/>
        </w:rPr>
        <w:t>完成。</w:t>
      </w:r>
    </w:p>
    <w:p w14:paraId="4B908EA9">
      <w:pPr>
        <w:spacing w:before="56" w:line="220" w:lineRule="auto"/>
        <w:ind w:left="11" w:firstLine="270" w:firstLineChars="100"/>
        <w:outlineLvl w:val="1"/>
        <w:rPr>
          <w:rFonts w:ascii="宋体" w:hAnsi="宋体" w:eastAsia="宋体" w:cs="宋体"/>
          <w:color w:val="auto"/>
          <w:sz w:val="28"/>
          <w:szCs w:val="28"/>
          <w:highlight w:val="none"/>
        </w:rPr>
      </w:pPr>
      <w:bookmarkStart w:id="79" w:name="bookmark43"/>
      <w:bookmarkEnd w:id="79"/>
      <w:bookmarkStart w:id="80" w:name="bookmark44"/>
      <w:bookmarkEnd w:id="80"/>
      <w:bookmarkStart w:id="81" w:name="_Toc24652"/>
      <w:bookmarkStart w:id="82" w:name="_Toc29224"/>
      <w:r>
        <w:rPr>
          <w:rFonts w:ascii="Times New Roman" w:hAnsi="Times New Roman" w:eastAsia="Times New Roman" w:cs="Times New Roman"/>
          <w:b/>
          <w:bCs/>
          <w:color w:val="auto"/>
          <w:spacing w:val="-5"/>
          <w:sz w:val="28"/>
          <w:szCs w:val="28"/>
          <w:highlight w:val="none"/>
        </w:rPr>
        <w:t>3</w:t>
      </w:r>
      <w:r>
        <w:rPr>
          <w:rFonts w:ascii="Times New Roman" w:hAnsi="Times New Roman" w:eastAsia="Times New Roman" w:cs="Times New Roman"/>
          <w:b/>
          <w:bCs/>
          <w:color w:val="auto"/>
          <w:spacing w:val="7"/>
          <w:sz w:val="28"/>
          <w:szCs w:val="28"/>
          <w:highlight w:val="none"/>
        </w:rPr>
        <w:t xml:space="preserve"> </w:t>
      </w:r>
      <w:r>
        <w:rPr>
          <w:rFonts w:hint="eastAsia" w:ascii="Times New Roman" w:hAnsi="Times New Roman" w:eastAsia="宋体" w:cs="Times New Roman"/>
          <w:b/>
          <w:bCs/>
          <w:color w:val="auto"/>
          <w:spacing w:val="7"/>
          <w:sz w:val="28"/>
          <w:szCs w:val="28"/>
          <w:highlight w:val="none"/>
          <w:lang w:eastAsia="zh-CN"/>
        </w:rPr>
        <w:t>、</w:t>
      </w:r>
      <w:r>
        <w:rPr>
          <w:rFonts w:ascii="宋体" w:hAnsi="宋体" w:eastAsia="宋体" w:cs="宋体"/>
          <w:b/>
          <w:bCs/>
          <w:color w:val="auto"/>
          <w:spacing w:val="-5"/>
          <w:sz w:val="28"/>
          <w:szCs w:val="28"/>
          <w:highlight w:val="none"/>
        </w:rPr>
        <w:t>投标文件</w:t>
      </w:r>
      <w:bookmarkEnd w:id="81"/>
      <w:bookmarkEnd w:id="82"/>
    </w:p>
    <w:p w14:paraId="0A252576">
      <w:pPr>
        <w:pStyle w:val="3"/>
        <w:spacing w:line="245" w:lineRule="auto"/>
        <w:rPr>
          <w:color w:val="auto"/>
          <w:highlight w:val="none"/>
        </w:rPr>
      </w:pPr>
    </w:p>
    <w:p w14:paraId="57372891">
      <w:pPr>
        <w:spacing w:before="78" w:line="220" w:lineRule="auto"/>
        <w:ind w:left="11"/>
        <w:outlineLvl w:val="2"/>
        <w:rPr>
          <w:rFonts w:ascii="宋体" w:hAnsi="宋体" w:eastAsia="宋体" w:cs="宋体"/>
          <w:color w:val="auto"/>
          <w:sz w:val="24"/>
          <w:szCs w:val="24"/>
          <w:highlight w:val="none"/>
        </w:rPr>
      </w:pPr>
      <w:bookmarkStart w:id="83" w:name="bookmark667"/>
      <w:bookmarkEnd w:id="83"/>
      <w:bookmarkStart w:id="84" w:name="_Toc6955"/>
      <w:bookmarkStart w:id="85" w:name="_Toc28180"/>
      <w:r>
        <w:rPr>
          <w:rFonts w:ascii="Times New Roman" w:hAnsi="Times New Roman" w:eastAsia="Times New Roman" w:cs="Times New Roman"/>
          <w:b/>
          <w:bCs/>
          <w:color w:val="auto"/>
          <w:spacing w:val="-2"/>
          <w:sz w:val="24"/>
          <w:szCs w:val="24"/>
          <w:highlight w:val="none"/>
        </w:rPr>
        <w:t xml:space="preserve">3.1  </w:t>
      </w:r>
      <w:r>
        <w:rPr>
          <w:rFonts w:ascii="宋体" w:hAnsi="宋体" w:eastAsia="宋体" w:cs="宋体"/>
          <w:b/>
          <w:bCs/>
          <w:color w:val="auto"/>
          <w:spacing w:val="-2"/>
          <w:sz w:val="24"/>
          <w:szCs w:val="24"/>
          <w:highlight w:val="none"/>
        </w:rPr>
        <w:t>投标文件的组成</w:t>
      </w:r>
      <w:bookmarkEnd w:id="84"/>
      <w:bookmarkEnd w:id="85"/>
    </w:p>
    <w:p w14:paraId="1B810ACB">
      <w:pPr>
        <w:spacing w:before="179" w:line="220" w:lineRule="auto"/>
        <w:ind w:left="493"/>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3.1.1  </w:t>
      </w:r>
      <w:r>
        <w:rPr>
          <w:rFonts w:ascii="宋体" w:hAnsi="宋体" w:eastAsia="宋体" w:cs="宋体"/>
          <w:color w:val="auto"/>
          <w:spacing w:val="-2"/>
          <w:sz w:val="24"/>
          <w:szCs w:val="24"/>
          <w:highlight w:val="none"/>
        </w:rPr>
        <w:t>投标文件应包括下列内容，投标文件包括下列内容：</w:t>
      </w:r>
    </w:p>
    <w:p w14:paraId="28320E04">
      <w:pPr>
        <w:spacing w:before="181" w:line="220" w:lineRule="auto"/>
        <w:ind w:left="497"/>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技术标：</w:t>
      </w:r>
    </w:p>
    <w:p w14:paraId="7C75BE15">
      <w:pPr>
        <w:spacing w:before="182" w:line="219" w:lineRule="auto"/>
        <w:ind w:left="50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）法定代表人身份证明</w:t>
      </w:r>
      <w:r>
        <w:rPr>
          <w:rFonts w:ascii="宋体" w:hAnsi="宋体" w:eastAsia="宋体" w:cs="宋体"/>
          <w:color w:val="auto"/>
          <w:spacing w:val="-68"/>
          <w:sz w:val="24"/>
          <w:szCs w:val="24"/>
          <w:highlight w:val="none"/>
        </w:rPr>
        <w:t xml:space="preserve"> </w:t>
      </w:r>
      <w:r>
        <w:rPr>
          <w:rFonts w:ascii="宋体" w:hAnsi="宋体" w:eastAsia="宋体" w:cs="宋体"/>
          <w:color w:val="auto"/>
          <w:spacing w:val="-3"/>
          <w:sz w:val="24"/>
          <w:szCs w:val="24"/>
          <w:highlight w:val="none"/>
        </w:rPr>
        <w:t>、授权委托书（若有）。</w:t>
      </w:r>
    </w:p>
    <w:p w14:paraId="1EC6561B">
      <w:pPr>
        <w:spacing w:before="181" w:line="219" w:lineRule="auto"/>
        <w:ind w:left="50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2</w:t>
      </w:r>
      <w:r>
        <w:rPr>
          <w:rFonts w:ascii="宋体" w:hAnsi="宋体" w:eastAsia="宋体" w:cs="宋体"/>
          <w:strike/>
          <w:dstrike w:val="0"/>
          <w:color w:val="auto"/>
          <w:spacing w:val="-5"/>
          <w:sz w:val="24"/>
          <w:szCs w:val="24"/>
          <w:highlight w:val="none"/>
        </w:rPr>
        <w:t>）联合体协议书。</w:t>
      </w:r>
    </w:p>
    <w:p w14:paraId="2B5B9149">
      <w:pPr>
        <w:spacing w:before="184" w:line="220" w:lineRule="auto"/>
        <w:ind w:left="50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3</w:t>
      </w:r>
      <w:r>
        <w:rPr>
          <w:rFonts w:ascii="宋体" w:hAnsi="宋体" w:eastAsia="宋体" w:cs="宋体"/>
          <w:color w:val="auto"/>
          <w:spacing w:val="-6"/>
          <w:sz w:val="24"/>
          <w:szCs w:val="24"/>
          <w:highlight w:val="none"/>
        </w:rPr>
        <w:t>）投标保证金。</w:t>
      </w:r>
    </w:p>
    <w:p w14:paraId="61855F6F">
      <w:pPr>
        <w:spacing w:before="179" w:line="221" w:lineRule="auto"/>
        <w:ind w:left="50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4</w:t>
      </w:r>
      <w:r>
        <w:rPr>
          <w:rFonts w:ascii="宋体" w:hAnsi="宋体" w:eastAsia="宋体" w:cs="宋体"/>
          <w:color w:val="auto"/>
          <w:spacing w:val="-5"/>
          <w:sz w:val="24"/>
          <w:szCs w:val="24"/>
          <w:highlight w:val="none"/>
        </w:rPr>
        <w:t>）施工组织设计。</w:t>
      </w:r>
    </w:p>
    <w:p w14:paraId="4B14F7E2">
      <w:pPr>
        <w:spacing w:before="180" w:line="219" w:lineRule="auto"/>
        <w:ind w:left="50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5</w:t>
      </w:r>
      <w:r>
        <w:rPr>
          <w:rFonts w:ascii="宋体" w:hAnsi="宋体" w:eastAsia="宋体" w:cs="宋体"/>
          <w:color w:val="auto"/>
          <w:spacing w:val="-4"/>
          <w:sz w:val="24"/>
          <w:szCs w:val="24"/>
          <w:highlight w:val="none"/>
        </w:rPr>
        <w:t>）拟分包项目情况表。</w:t>
      </w:r>
    </w:p>
    <w:p w14:paraId="6C3FA998">
      <w:pPr>
        <w:spacing w:before="181" w:line="220" w:lineRule="auto"/>
        <w:ind w:left="50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6</w:t>
      </w:r>
      <w:r>
        <w:rPr>
          <w:rFonts w:ascii="宋体" w:hAnsi="宋体" w:eastAsia="宋体" w:cs="宋体"/>
          <w:color w:val="auto"/>
          <w:spacing w:val="-5"/>
          <w:sz w:val="24"/>
          <w:szCs w:val="24"/>
          <w:highlight w:val="none"/>
        </w:rPr>
        <w:t>）资格审查资料。</w:t>
      </w:r>
    </w:p>
    <w:p w14:paraId="6E937CDA">
      <w:pPr>
        <w:spacing w:before="182" w:line="219" w:lineRule="auto"/>
        <w:ind w:left="50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7</w:t>
      </w:r>
      <w:r>
        <w:rPr>
          <w:rFonts w:ascii="宋体" w:hAnsi="宋体" w:eastAsia="宋体" w:cs="宋体"/>
          <w:color w:val="auto"/>
          <w:spacing w:val="-6"/>
          <w:sz w:val="24"/>
          <w:szCs w:val="24"/>
          <w:highlight w:val="none"/>
        </w:rPr>
        <w:t>）其他材料。</w:t>
      </w:r>
    </w:p>
    <w:p w14:paraId="6E1C771C">
      <w:pPr>
        <w:spacing w:before="181" w:line="220" w:lineRule="auto"/>
        <w:ind w:left="507"/>
        <w:rPr>
          <w:rFonts w:ascii="Times New Roman" w:hAnsi="Times New Roman" w:eastAsia="Times New Roman" w:cs="Times New Roman"/>
          <w:color w:val="auto"/>
          <w:sz w:val="24"/>
          <w:szCs w:val="24"/>
          <w:highlight w:val="none"/>
        </w:rPr>
      </w:pPr>
      <w:r>
        <w:rPr>
          <w:rFonts w:ascii="宋体" w:hAnsi="宋体" w:eastAsia="宋体" w:cs="宋体"/>
          <w:color w:val="auto"/>
          <w:spacing w:val="-5"/>
          <w:sz w:val="24"/>
          <w:szCs w:val="24"/>
          <w:highlight w:val="none"/>
        </w:rPr>
        <w:t>资信标</w:t>
      </w:r>
      <w:r>
        <w:rPr>
          <w:rFonts w:ascii="Times New Roman" w:hAnsi="Times New Roman" w:eastAsia="Times New Roman" w:cs="Times New Roman"/>
          <w:color w:val="auto"/>
          <w:spacing w:val="-5"/>
          <w:sz w:val="24"/>
          <w:szCs w:val="24"/>
          <w:highlight w:val="none"/>
        </w:rPr>
        <w:t>:</w:t>
      </w:r>
    </w:p>
    <w:p w14:paraId="68DD746C">
      <w:pPr>
        <w:spacing w:before="182" w:line="220" w:lineRule="auto"/>
        <w:ind w:left="50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1</w:t>
      </w:r>
      <w:r>
        <w:rPr>
          <w:rFonts w:ascii="宋体" w:hAnsi="宋体" w:eastAsia="宋体" w:cs="宋体"/>
          <w:color w:val="auto"/>
          <w:spacing w:val="-5"/>
          <w:sz w:val="24"/>
          <w:szCs w:val="24"/>
          <w:highlight w:val="none"/>
        </w:rPr>
        <w:t>）企业信用等级。</w:t>
      </w:r>
    </w:p>
    <w:p w14:paraId="03BC338D">
      <w:pPr>
        <w:spacing w:before="180" w:line="220" w:lineRule="auto"/>
        <w:ind w:left="50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w:t>
      </w:r>
      <w:r>
        <w:rPr>
          <w:rFonts w:ascii="Times New Roman" w:hAnsi="Times New Roman" w:eastAsia="Times New Roman" w:cs="Times New Roman"/>
          <w:strike/>
          <w:dstrike w:val="0"/>
          <w:color w:val="auto"/>
          <w:spacing w:val="-2"/>
          <w:sz w:val="24"/>
          <w:szCs w:val="24"/>
          <w:highlight w:val="none"/>
        </w:rPr>
        <w:t>2</w:t>
      </w:r>
      <w:r>
        <w:rPr>
          <w:rFonts w:ascii="宋体" w:hAnsi="宋体" w:eastAsia="宋体" w:cs="宋体"/>
          <w:strike/>
          <w:dstrike w:val="0"/>
          <w:color w:val="auto"/>
          <w:spacing w:val="-2"/>
          <w:sz w:val="24"/>
          <w:szCs w:val="24"/>
          <w:highlight w:val="none"/>
        </w:rPr>
        <w:t>）评审打分业绩。</w:t>
      </w:r>
    </w:p>
    <w:p w14:paraId="303DD19E">
      <w:pPr>
        <w:spacing w:before="182" w:line="220" w:lineRule="auto"/>
        <w:ind w:left="50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3</w:t>
      </w:r>
      <w:r>
        <w:rPr>
          <w:rFonts w:ascii="宋体" w:hAnsi="宋体" w:eastAsia="宋体" w:cs="宋体"/>
          <w:color w:val="auto"/>
          <w:spacing w:val="-6"/>
          <w:sz w:val="24"/>
          <w:szCs w:val="24"/>
          <w:highlight w:val="none"/>
        </w:rPr>
        <w:t>）其他资料。</w:t>
      </w:r>
    </w:p>
    <w:p w14:paraId="122FC78A">
      <w:pPr>
        <w:spacing w:before="179" w:line="220" w:lineRule="auto"/>
        <w:ind w:left="50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4</w:t>
      </w:r>
      <w:r>
        <w:rPr>
          <w:rFonts w:ascii="宋体" w:hAnsi="宋体" w:eastAsia="宋体" w:cs="宋体"/>
          <w:color w:val="auto"/>
          <w:spacing w:val="-5"/>
          <w:sz w:val="24"/>
          <w:szCs w:val="24"/>
          <w:highlight w:val="none"/>
        </w:rPr>
        <w:t>）原件的复制件。</w:t>
      </w:r>
    </w:p>
    <w:p w14:paraId="50FA14FF">
      <w:pPr>
        <w:spacing w:before="182" w:line="220" w:lineRule="auto"/>
        <w:ind w:left="501"/>
        <w:rPr>
          <w:rFonts w:ascii="Times New Roman" w:hAnsi="Times New Roman" w:eastAsia="Times New Roman" w:cs="Times New Roman"/>
          <w:color w:val="auto"/>
          <w:sz w:val="24"/>
          <w:szCs w:val="24"/>
          <w:highlight w:val="none"/>
        </w:rPr>
      </w:pPr>
      <w:r>
        <w:rPr>
          <w:rFonts w:ascii="宋体" w:hAnsi="宋体" w:eastAsia="宋体" w:cs="宋体"/>
          <w:color w:val="auto"/>
          <w:spacing w:val="-4"/>
          <w:sz w:val="24"/>
          <w:szCs w:val="24"/>
          <w:highlight w:val="none"/>
        </w:rPr>
        <w:t>商务标</w:t>
      </w:r>
      <w:r>
        <w:rPr>
          <w:rFonts w:ascii="Times New Roman" w:hAnsi="Times New Roman" w:eastAsia="Times New Roman" w:cs="Times New Roman"/>
          <w:color w:val="auto"/>
          <w:spacing w:val="-4"/>
          <w:sz w:val="24"/>
          <w:szCs w:val="24"/>
          <w:highlight w:val="none"/>
        </w:rPr>
        <w:t>:</w:t>
      </w:r>
    </w:p>
    <w:p w14:paraId="41AEC500">
      <w:pPr>
        <w:spacing w:before="180" w:line="219" w:lineRule="auto"/>
        <w:ind w:left="50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 投标函及投标函附录。</w:t>
      </w:r>
    </w:p>
    <w:p w14:paraId="4ED634EC">
      <w:pPr>
        <w:spacing w:before="184" w:line="218" w:lineRule="auto"/>
        <w:ind w:left="503"/>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2</w:t>
      </w:r>
      <w:r>
        <w:rPr>
          <w:rFonts w:ascii="宋体" w:hAnsi="宋体" w:eastAsia="宋体" w:cs="宋体"/>
          <w:color w:val="auto"/>
          <w:spacing w:val="-6"/>
          <w:sz w:val="24"/>
          <w:szCs w:val="24"/>
          <w:highlight w:val="none"/>
        </w:rPr>
        <w:t>）</w:t>
      </w:r>
      <w:r>
        <w:rPr>
          <w:rFonts w:ascii="宋体" w:hAnsi="宋体" w:eastAsia="宋体" w:cs="宋体"/>
          <w:color w:val="auto"/>
          <w:spacing w:val="37"/>
          <w:sz w:val="24"/>
          <w:szCs w:val="24"/>
          <w:highlight w:val="none"/>
        </w:rPr>
        <w:t xml:space="preserve"> </w:t>
      </w:r>
      <w:r>
        <w:rPr>
          <w:rFonts w:ascii="宋体" w:hAnsi="宋体" w:eastAsia="宋体" w:cs="宋体"/>
          <w:color w:val="auto"/>
          <w:spacing w:val="-6"/>
          <w:sz w:val="24"/>
          <w:szCs w:val="24"/>
          <w:highlight w:val="none"/>
        </w:rPr>
        <w:t>已标价工程量清单。</w:t>
      </w:r>
    </w:p>
    <w:p w14:paraId="2E0EC230">
      <w:pPr>
        <w:spacing w:before="184" w:line="219" w:lineRule="auto"/>
        <w:ind w:left="50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3</w:t>
      </w:r>
      <w:r>
        <w:rPr>
          <w:rFonts w:ascii="宋体" w:hAnsi="宋体" w:eastAsia="宋体" w:cs="宋体"/>
          <w:color w:val="auto"/>
          <w:spacing w:val="-5"/>
          <w:sz w:val="24"/>
          <w:szCs w:val="24"/>
          <w:highlight w:val="none"/>
        </w:rPr>
        <w:t>） 其他材料。</w:t>
      </w:r>
    </w:p>
    <w:p w14:paraId="1934AEEF">
      <w:pPr>
        <w:spacing w:before="181" w:line="359" w:lineRule="auto"/>
        <w:ind w:left="19"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3.1.2  </w:t>
      </w:r>
      <w:r>
        <w:rPr>
          <w:rFonts w:ascii="宋体" w:hAnsi="宋体" w:eastAsia="宋体" w:cs="宋体"/>
          <w:color w:val="auto"/>
          <w:spacing w:val="-4"/>
          <w:sz w:val="24"/>
          <w:szCs w:val="24"/>
          <w:highlight w:val="none"/>
        </w:rPr>
        <w:t>投标人须知前附表规定不接受联合体投标的，或投标人没有组成联合体的，</w:t>
      </w:r>
      <w:r>
        <w:rPr>
          <w:rFonts w:ascii="宋体" w:hAnsi="宋体" w:eastAsia="宋体" w:cs="宋体"/>
          <w:color w:val="auto"/>
          <w:spacing w:val="-2"/>
          <w:sz w:val="24"/>
          <w:szCs w:val="24"/>
          <w:highlight w:val="none"/>
        </w:rPr>
        <w:t>投标文件不包括本章第</w:t>
      </w:r>
      <w:r>
        <w:rPr>
          <w:rFonts w:ascii="Times New Roman" w:hAnsi="Times New Roman" w:eastAsia="Times New Roman" w:cs="Times New Roman"/>
          <w:color w:val="auto"/>
          <w:spacing w:val="-2"/>
          <w:sz w:val="24"/>
          <w:szCs w:val="24"/>
          <w:highlight w:val="none"/>
        </w:rPr>
        <w:t>3.1.1</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）目所指的联合体协议书。</w:t>
      </w:r>
    </w:p>
    <w:p w14:paraId="614B3F24">
      <w:pPr>
        <w:spacing w:line="218" w:lineRule="auto"/>
        <w:ind w:left="11"/>
        <w:outlineLvl w:val="2"/>
        <w:rPr>
          <w:rFonts w:ascii="宋体" w:hAnsi="宋体" w:eastAsia="宋体" w:cs="宋体"/>
          <w:color w:val="auto"/>
          <w:sz w:val="24"/>
          <w:szCs w:val="24"/>
          <w:highlight w:val="none"/>
        </w:rPr>
      </w:pPr>
      <w:bookmarkStart w:id="86" w:name="bookmark45"/>
      <w:bookmarkEnd w:id="86"/>
      <w:bookmarkStart w:id="87" w:name="_Toc2609"/>
      <w:bookmarkStart w:id="88" w:name="_Toc4067"/>
      <w:r>
        <w:rPr>
          <w:rFonts w:ascii="Times New Roman" w:hAnsi="Times New Roman" w:eastAsia="Times New Roman" w:cs="Times New Roman"/>
          <w:b/>
          <w:bCs/>
          <w:color w:val="auto"/>
          <w:spacing w:val="-4"/>
          <w:sz w:val="24"/>
          <w:szCs w:val="24"/>
          <w:highlight w:val="none"/>
        </w:rPr>
        <w:t>3.2</w:t>
      </w:r>
      <w:r>
        <w:rPr>
          <w:rFonts w:ascii="Times New Roman" w:hAnsi="Times New Roman" w:eastAsia="Times New Roman" w:cs="Times New Roman"/>
          <w:b/>
          <w:bCs/>
          <w:color w:val="auto"/>
          <w:spacing w:val="8"/>
          <w:sz w:val="24"/>
          <w:szCs w:val="24"/>
          <w:highlight w:val="none"/>
        </w:rPr>
        <w:t xml:space="preserve">  </w:t>
      </w:r>
      <w:r>
        <w:rPr>
          <w:rFonts w:ascii="宋体" w:hAnsi="宋体" w:eastAsia="宋体" w:cs="宋体"/>
          <w:b/>
          <w:bCs/>
          <w:color w:val="auto"/>
          <w:spacing w:val="-4"/>
          <w:sz w:val="24"/>
          <w:szCs w:val="24"/>
          <w:highlight w:val="none"/>
        </w:rPr>
        <w:t>投标报价</w:t>
      </w:r>
      <w:bookmarkEnd w:id="87"/>
      <w:bookmarkEnd w:id="88"/>
    </w:p>
    <w:p w14:paraId="688977FF">
      <w:pPr>
        <w:spacing w:before="185" w:line="219" w:lineRule="auto"/>
        <w:ind w:left="49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3.2.1  </w:t>
      </w:r>
      <w:r>
        <w:rPr>
          <w:rFonts w:ascii="宋体" w:hAnsi="宋体" w:eastAsia="宋体" w:cs="宋体"/>
          <w:color w:val="auto"/>
          <w:spacing w:val="-1"/>
          <w:sz w:val="24"/>
          <w:szCs w:val="24"/>
          <w:highlight w:val="none"/>
        </w:rPr>
        <w:t>投标人应按第五章“工程量清单”的要求填</w:t>
      </w:r>
      <w:r>
        <w:rPr>
          <w:rFonts w:ascii="宋体" w:hAnsi="宋体" w:eastAsia="宋体" w:cs="宋体"/>
          <w:color w:val="auto"/>
          <w:spacing w:val="-2"/>
          <w:sz w:val="24"/>
          <w:szCs w:val="24"/>
          <w:highlight w:val="none"/>
        </w:rPr>
        <w:t>写相应表格。</w:t>
      </w:r>
    </w:p>
    <w:p w14:paraId="0CD0E369">
      <w:pPr>
        <w:spacing w:before="181" w:line="289" w:lineRule="auto"/>
        <w:ind w:right="66" w:firstLine="49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3.2.2  </w:t>
      </w:r>
      <w:r>
        <w:rPr>
          <w:rFonts w:ascii="宋体" w:hAnsi="宋体" w:eastAsia="宋体" w:cs="宋体"/>
          <w:color w:val="auto"/>
          <w:spacing w:val="1"/>
          <w:sz w:val="24"/>
          <w:szCs w:val="24"/>
          <w:highlight w:val="none"/>
        </w:rPr>
        <w:t>投标人在投标截止时间前修改投</w:t>
      </w:r>
      <w:r>
        <w:rPr>
          <w:rFonts w:ascii="宋体" w:hAnsi="宋体" w:eastAsia="宋体" w:cs="宋体"/>
          <w:color w:val="auto"/>
          <w:sz w:val="24"/>
          <w:szCs w:val="24"/>
          <w:highlight w:val="none"/>
        </w:rPr>
        <w:t>标函中的投标总报价，应同时修改第五章</w:t>
      </w:r>
      <w:r>
        <w:rPr>
          <w:rFonts w:ascii="宋体" w:hAnsi="宋体" w:eastAsia="宋体" w:cs="宋体"/>
          <w:color w:val="auto"/>
          <w:spacing w:val="-1"/>
          <w:sz w:val="24"/>
          <w:szCs w:val="24"/>
          <w:highlight w:val="none"/>
        </w:rPr>
        <w:t>“工程量清单”中的相应报价。此修改须符合本章第</w:t>
      </w:r>
      <w:r>
        <w:rPr>
          <w:rFonts w:ascii="Times New Roman" w:hAnsi="Times New Roman" w:eastAsia="Times New Roman" w:cs="Times New Roman"/>
          <w:color w:val="auto"/>
          <w:spacing w:val="-1"/>
          <w:sz w:val="24"/>
          <w:szCs w:val="24"/>
          <w:highlight w:val="none"/>
        </w:rPr>
        <w:t>4.3</w:t>
      </w:r>
      <w:r>
        <w:rPr>
          <w:rFonts w:ascii="宋体" w:hAnsi="宋体" w:eastAsia="宋体" w:cs="宋体"/>
          <w:color w:val="auto"/>
          <w:spacing w:val="-1"/>
          <w:sz w:val="24"/>
          <w:szCs w:val="24"/>
          <w:highlight w:val="none"/>
        </w:rPr>
        <w:t>款的有关要求。</w:t>
      </w:r>
    </w:p>
    <w:p w14:paraId="5046D910">
      <w:pPr>
        <w:spacing w:before="182" w:line="220" w:lineRule="auto"/>
        <w:ind w:left="11"/>
        <w:outlineLvl w:val="2"/>
        <w:rPr>
          <w:rFonts w:ascii="宋体" w:hAnsi="宋体" w:eastAsia="宋体" w:cs="宋体"/>
          <w:color w:val="auto"/>
          <w:sz w:val="24"/>
          <w:szCs w:val="24"/>
          <w:highlight w:val="none"/>
        </w:rPr>
      </w:pPr>
      <w:bookmarkStart w:id="89" w:name="bookmark46"/>
      <w:bookmarkEnd w:id="89"/>
      <w:bookmarkStart w:id="90" w:name="_Toc28581"/>
      <w:bookmarkStart w:id="91" w:name="_Toc1647"/>
      <w:r>
        <w:rPr>
          <w:rFonts w:ascii="Times New Roman" w:hAnsi="Times New Roman" w:eastAsia="Times New Roman" w:cs="Times New Roman"/>
          <w:b/>
          <w:bCs/>
          <w:color w:val="auto"/>
          <w:spacing w:val="-2"/>
          <w:sz w:val="24"/>
          <w:szCs w:val="24"/>
          <w:highlight w:val="none"/>
        </w:rPr>
        <w:t xml:space="preserve">3.3  </w:t>
      </w:r>
      <w:r>
        <w:rPr>
          <w:rFonts w:ascii="宋体" w:hAnsi="宋体" w:eastAsia="宋体" w:cs="宋体"/>
          <w:b/>
          <w:bCs/>
          <w:color w:val="auto"/>
          <w:spacing w:val="-2"/>
          <w:sz w:val="24"/>
          <w:szCs w:val="24"/>
          <w:highlight w:val="none"/>
        </w:rPr>
        <w:t>投标有效期</w:t>
      </w:r>
      <w:bookmarkEnd w:id="90"/>
      <w:bookmarkEnd w:id="91"/>
    </w:p>
    <w:p w14:paraId="21222180">
      <w:pPr>
        <w:spacing w:before="183" w:line="360" w:lineRule="auto"/>
        <w:ind w:left="19" w:right="66"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3.3.1  </w:t>
      </w:r>
      <w:r>
        <w:rPr>
          <w:rFonts w:ascii="宋体" w:hAnsi="宋体" w:eastAsia="宋体" w:cs="宋体"/>
          <w:color w:val="auto"/>
          <w:spacing w:val="1"/>
          <w:sz w:val="24"/>
          <w:szCs w:val="24"/>
          <w:highlight w:val="none"/>
        </w:rPr>
        <w:t>在投标人须知前附表规定的投标</w:t>
      </w:r>
      <w:r>
        <w:rPr>
          <w:rFonts w:ascii="宋体" w:hAnsi="宋体" w:eastAsia="宋体" w:cs="宋体"/>
          <w:color w:val="auto"/>
          <w:sz w:val="24"/>
          <w:szCs w:val="24"/>
          <w:highlight w:val="none"/>
        </w:rPr>
        <w:t>有效期内，投标人不得要求撤销或修改其</w:t>
      </w:r>
      <w:r>
        <w:rPr>
          <w:rFonts w:ascii="宋体" w:hAnsi="宋体" w:eastAsia="宋体" w:cs="宋体"/>
          <w:color w:val="auto"/>
          <w:spacing w:val="-8"/>
          <w:sz w:val="24"/>
          <w:szCs w:val="24"/>
          <w:highlight w:val="none"/>
        </w:rPr>
        <w:t>投标文件。</w:t>
      </w:r>
    </w:p>
    <w:p w14:paraId="7FB5A2D0">
      <w:pPr>
        <w:spacing w:before="180" w:line="324" w:lineRule="auto"/>
        <w:ind w:left="6" w:right="2" w:firstLine="475"/>
        <w:rPr>
          <w:rFonts w:ascii="宋体" w:hAnsi="宋体" w:eastAsia="宋体" w:cs="宋体"/>
          <w:color w:val="auto"/>
          <w:spacing w:val="-3"/>
          <w:sz w:val="24"/>
          <w:szCs w:val="24"/>
          <w:highlight w:val="none"/>
        </w:rPr>
      </w:pPr>
      <w:r>
        <w:rPr>
          <w:rFonts w:hint="eastAsia" w:ascii="宋体" w:hAnsi="宋体" w:eastAsia="宋体" w:cs="宋体"/>
          <w:b/>
          <w:bCs/>
          <w:color w:val="auto"/>
          <w:spacing w:val="-3"/>
          <w:sz w:val="24"/>
          <w:szCs w:val="24"/>
          <w:highlight w:val="none"/>
          <w:lang w:val="en-US" w:eastAsia="zh-CN"/>
        </w:rPr>
        <w:tab/>
      </w:r>
      <w:r>
        <w:rPr>
          <w:rFonts w:ascii="宋体" w:hAnsi="宋体" w:eastAsia="宋体" w:cs="宋体"/>
          <w:b/>
          <w:bCs/>
          <w:color w:val="auto"/>
          <w:spacing w:val="-3"/>
          <w:sz w:val="24"/>
          <w:szCs w:val="24"/>
          <w:highlight w:val="none"/>
        </w:rPr>
        <w:t xml:space="preserve">3.3.2 </w:t>
      </w:r>
      <w:r>
        <w:rPr>
          <w:rFonts w:ascii="宋体" w:hAnsi="宋体" w:eastAsia="宋体" w:cs="宋体"/>
          <w:color w:val="auto"/>
          <w:spacing w:val="-3"/>
          <w:sz w:val="24"/>
          <w:szCs w:val="24"/>
          <w:highlight w:val="none"/>
        </w:rPr>
        <w:t xml:space="preserve"> 出现特殊情况需要延长投标有效期的，招标人以书面形式通知所有投标人延长投标有效期。投标人同意延长的， 应相应延长其投标保证金的有效期，但不得要求或被允许修改或撤销其投标文件；投标人拒绝延长的，其投标失效，但投标人有权收回其投标保证金</w:t>
      </w:r>
      <w:r>
        <w:rPr>
          <w:rFonts w:ascii="宋体" w:hAnsi="宋体" w:eastAsia="宋体" w:cs="宋体"/>
          <w:strike/>
          <w:dstrike w:val="0"/>
          <w:color w:val="auto"/>
          <w:spacing w:val="-3"/>
          <w:sz w:val="24"/>
          <w:szCs w:val="24"/>
          <w:highlight w:val="none"/>
        </w:rPr>
        <w:t>及银行活期存款利息</w:t>
      </w:r>
      <w:r>
        <w:rPr>
          <w:rFonts w:ascii="宋体" w:hAnsi="宋体" w:eastAsia="宋体" w:cs="宋体"/>
          <w:color w:val="auto"/>
          <w:spacing w:val="-3"/>
          <w:sz w:val="24"/>
          <w:szCs w:val="24"/>
          <w:highlight w:val="none"/>
        </w:rPr>
        <w:t>。</w:t>
      </w:r>
    </w:p>
    <w:p w14:paraId="132D3496">
      <w:pPr>
        <w:spacing w:line="220" w:lineRule="auto"/>
        <w:outlineLvl w:val="2"/>
        <w:rPr>
          <w:rFonts w:ascii="宋体" w:hAnsi="宋体" w:eastAsia="宋体" w:cs="宋体"/>
          <w:color w:val="auto"/>
          <w:sz w:val="24"/>
          <w:szCs w:val="24"/>
          <w:highlight w:val="none"/>
        </w:rPr>
      </w:pPr>
      <w:bookmarkStart w:id="92" w:name="bookmark47"/>
      <w:bookmarkEnd w:id="92"/>
      <w:bookmarkStart w:id="93" w:name="_Toc12045"/>
      <w:bookmarkStart w:id="94" w:name="_Toc32036"/>
      <w:r>
        <w:rPr>
          <w:rFonts w:ascii="Times New Roman" w:hAnsi="Times New Roman" w:eastAsia="Times New Roman" w:cs="Times New Roman"/>
          <w:b/>
          <w:bCs/>
          <w:color w:val="auto"/>
          <w:spacing w:val="-2"/>
          <w:sz w:val="24"/>
          <w:szCs w:val="24"/>
          <w:highlight w:val="none"/>
        </w:rPr>
        <w:t xml:space="preserve">3.4  </w:t>
      </w:r>
      <w:r>
        <w:rPr>
          <w:rFonts w:ascii="宋体" w:hAnsi="宋体" w:eastAsia="宋体" w:cs="宋体"/>
          <w:b/>
          <w:bCs/>
          <w:color w:val="auto"/>
          <w:spacing w:val="-2"/>
          <w:sz w:val="24"/>
          <w:szCs w:val="24"/>
          <w:highlight w:val="none"/>
        </w:rPr>
        <w:t>投标保证金</w:t>
      </w:r>
      <w:bookmarkEnd w:id="93"/>
      <w:bookmarkEnd w:id="94"/>
    </w:p>
    <w:p w14:paraId="5A7EBEB8">
      <w:pPr>
        <w:spacing w:before="180" w:line="324" w:lineRule="auto"/>
        <w:ind w:left="6" w:right="2" w:firstLine="475"/>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3.4.1  </w:t>
      </w:r>
      <w:r>
        <w:rPr>
          <w:rFonts w:ascii="宋体" w:hAnsi="宋体" w:eastAsia="宋体" w:cs="宋体"/>
          <w:color w:val="auto"/>
          <w:spacing w:val="1"/>
          <w:sz w:val="24"/>
          <w:szCs w:val="24"/>
          <w:highlight w:val="none"/>
        </w:rPr>
        <w:t>投标人在递交投标文件的同时，</w:t>
      </w:r>
      <w:r>
        <w:rPr>
          <w:rFonts w:ascii="宋体" w:hAnsi="宋体" w:eastAsia="宋体" w:cs="宋体"/>
          <w:color w:val="auto"/>
          <w:sz w:val="24"/>
          <w:szCs w:val="24"/>
          <w:highlight w:val="none"/>
        </w:rPr>
        <w:t>应按投标人须知前附表规定的金额、担保</w:t>
      </w:r>
      <w:r>
        <w:rPr>
          <w:rFonts w:ascii="宋体" w:hAnsi="宋体" w:eastAsia="宋体" w:cs="宋体"/>
          <w:color w:val="auto"/>
          <w:spacing w:val="-3"/>
          <w:sz w:val="24"/>
          <w:szCs w:val="24"/>
          <w:highlight w:val="none"/>
        </w:rPr>
        <w:t>形式和第八章“投标文件格式”规定的投标保证金格式递交投标保证金，并作为其投</w:t>
      </w:r>
      <w:r>
        <w:rPr>
          <w:rFonts w:ascii="宋体" w:hAnsi="宋体" w:eastAsia="宋体" w:cs="宋体"/>
          <w:color w:val="auto"/>
          <w:spacing w:val="-6"/>
          <w:sz w:val="24"/>
          <w:szCs w:val="24"/>
          <w:highlight w:val="none"/>
        </w:rPr>
        <w:t>标文件的组成部分。联合体投标的， 其投标保证金由牵头人递交，并应符合投标人须</w:t>
      </w:r>
      <w:r>
        <w:rPr>
          <w:rFonts w:ascii="宋体" w:hAnsi="宋体" w:eastAsia="宋体" w:cs="宋体"/>
          <w:color w:val="auto"/>
          <w:spacing w:val="-5"/>
          <w:sz w:val="24"/>
          <w:szCs w:val="24"/>
          <w:highlight w:val="none"/>
        </w:rPr>
        <w:t>知前附表的规定。</w:t>
      </w:r>
    </w:p>
    <w:p w14:paraId="0473DB75">
      <w:pPr>
        <w:spacing w:before="183" w:line="289" w:lineRule="auto"/>
        <w:ind w:left="9" w:right="4" w:firstLine="47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3.4.2  </w:t>
      </w:r>
      <w:r>
        <w:rPr>
          <w:rFonts w:ascii="宋体" w:hAnsi="宋体" w:eastAsia="宋体" w:cs="宋体"/>
          <w:color w:val="auto"/>
          <w:spacing w:val="1"/>
          <w:sz w:val="24"/>
          <w:szCs w:val="24"/>
          <w:highlight w:val="none"/>
        </w:rPr>
        <w:t>投标人不按本章第</w:t>
      </w:r>
      <w:r>
        <w:rPr>
          <w:rFonts w:ascii="Times New Roman" w:hAnsi="Times New Roman" w:eastAsia="Times New Roman" w:cs="Times New Roman"/>
          <w:color w:val="auto"/>
          <w:spacing w:val="1"/>
          <w:sz w:val="24"/>
          <w:szCs w:val="24"/>
          <w:highlight w:val="none"/>
        </w:rPr>
        <w:t>3.4.</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项要求提交投标保证金，或不是通过投标人的基本</w:t>
      </w:r>
      <w:r>
        <w:rPr>
          <w:rFonts w:ascii="宋体" w:hAnsi="宋体" w:eastAsia="宋体" w:cs="宋体"/>
          <w:color w:val="auto"/>
          <w:spacing w:val="-3"/>
          <w:sz w:val="24"/>
          <w:szCs w:val="24"/>
          <w:highlight w:val="none"/>
        </w:rPr>
        <w:t>账户缴纳的，其投标文件将被否决。</w:t>
      </w:r>
    </w:p>
    <w:p w14:paraId="724DACFE">
      <w:pPr>
        <w:spacing w:before="183" w:line="312" w:lineRule="auto"/>
        <w:ind w:left="4"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3.4.3  </w:t>
      </w:r>
      <w:r>
        <w:rPr>
          <w:rFonts w:ascii="宋体" w:hAnsi="宋体" w:eastAsia="宋体" w:cs="宋体"/>
          <w:color w:val="auto"/>
          <w:spacing w:val="4"/>
          <w:sz w:val="24"/>
          <w:szCs w:val="24"/>
          <w:highlight w:val="none"/>
        </w:rPr>
        <w:t>非中标候选人的投标保证金</w:t>
      </w:r>
      <w:r>
        <w:rPr>
          <w:rFonts w:ascii="宋体" w:hAnsi="宋体" w:eastAsia="宋体" w:cs="宋体"/>
          <w:strike/>
          <w:dstrike w:val="0"/>
          <w:color w:val="auto"/>
          <w:spacing w:val="4"/>
          <w:sz w:val="24"/>
          <w:szCs w:val="24"/>
          <w:highlight w:val="none"/>
        </w:rPr>
        <w:t>及银行活期存款</w:t>
      </w:r>
      <w:r>
        <w:rPr>
          <w:rFonts w:ascii="宋体" w:hAnsi="宋体" w:eastAsia="宋体" w:cs="宋体"/>
          <w:strike/>
          <w:dstrike w:val="0"/>
          <w:color w:val="auto"/>
          <w:spacing w:val="3"/>
          <w:sz w:val="24"/>
          <w:szCs w:val="24"/>
          <w:highlight w:val="none"/>
        </w:rPr>
        <w:t>利息</w:t>
      </w:r>
      <w:r>
        <w:rPr>
          <w:rFonts w:ascii="宋体" w:hAnsi="宋体" w:eastAsia="宋体" w:cs="宋体"/>
          <w:color w:val="auto"/>
          <w:spacing w:val="3"/>
          <w:sz w:val="24"/>
          <w:szCs w:val="24"/>
          <w:highlight w:val="none"/>
        </w:rPr>
        <w:t>在中标通知书发出后</w:t>
      </w:r>
      <w:r>
        <w:rPr>
          <w:rFonts w:ascii="Times New Roman" w:hAnsi="Times New Roman" w:eastAsia="Times New Roman" w:cs="Times New Roman"/>
          <w:color w:val="auto"/>
          <w:spacing w:val="3"/>
          <w:sz w:val="24"/>
          <w:szCs w:val="24"/>
          <w:highlight w:val="none"/>
        </w:rPr>
        <w:t>5</w:t>
      </w:r>
      <w:r>
        <w:rPr>
          <w:rFonts w:ascii="宋体" w:hAnsi="宋体" w:eastAsia="宋体" w:cs="宋体"/>
          <w:color w:val="auto"/>
          <w:spacing w:val="3"/>
          <w:sz w:val="24"/>
          <w:szCs w:val="24"/>
          <w:highlight w:val="none"/>
        </w:rPr>
        <w:t>日</w:t>
      </w:r>
      <w:r>
        <w:rPr>
          <w:rFonts w:ascii="宋体" w:hAnsi="宋体" w:eastAsia="宋体" w:cs="宋体"/>
          <w:color w:val="auto"/>
          <w:spacing w:val="-3"/>
          <w:sz w:val="24"/>
          <w:szCs w:val="24"/>
          <w:highlight w:val="none"/>
        </w:rPr>
        <w:t>内退回</w:t>
      </w:r>
      <w:r>
        <w:rPr>
          <w:rFonts w:ascii="宋体" w:hAnsi="宋体" w:eastAsia="宋体" w:cs="宋体"/>
          <w:strike/>
          <w:dstrike w:val="0"/>
          <w:color w:val="auto"/>
          <w:spacing w:val="-3"/>
          <w:sz w:val="24"/>
          <w:szCs w:val="24"/>
          <w:highlight w:val="none"/>
        </w:rPr>
        <w:t>（当地交易平台或行政监督部门另有规定的除外）</w:t>
      </w:r>
      <w:r>
        <w:rPr>
          <w:rFonts w:ascii="宋体" w:hAnsi="宋体" w:eastAsia="宋体" w:cs="宋体"/>
          <w:color w:val="auto"/>
          <w:spacing w:val="-3"/>
          <w:sz w:val="24"/>
          <w:szCs w:val="24"/>
          <w:highlight w:val="none"/>
        </w:rPr>
        <w:t>。中标候选人的投标保证金</w:t>
      </w:r>
      <w:r>
        <w:rPr>
          <w:rFonts w:ascii="宋体" w:hAnsi="宋体" w:eastAsia="宋体" w:cs="宋体"/>
          <w:strike/>
          <w:dstrike w:val="0"/>
          <w:color w:val="auto"/>
          <w:spacing w:val="-1"/>
          <w:sz w:val="24"/>
          <w:szCs w:val="24"/>
          <w:highlight w:val="none"/>
        </w:rPr>
        <w:t>及银行活期存款利息</w:t>
      </w:r>
      <w:r>
        <w:rPr>
          <w:rFonts w:ascii="宋体" w:hAnsi="宋体" w:eastAsia="宋体" w:cs="宋体"/>
          <w:color w:val="auto"/>
          <w:spacing w:val="-1"/>
          <w:sz w:val="24"/>
          <w:szCs w:val="24"/>
          <w:highlight w:val="none"/>
        </w:rPr>
        <w:t>在招标人与中标人签订书面合</w:t>
      </w:r>
      <w:r>
        <w:rPr>
          <w:rFonts w:ascii="宋体" w:hAnsi="宋体" w:eastAsia="宋体" w:cs="宋体"/>
          <w:color w:val="auto"/>
          <w:spacing w:val="-2"/>
          <w:sz w:val="24"/>
          <w:szCs w:val="24"/>
          <w:highlight w:val="none"/>
        </w:rPr>
        <w:t>同后</w:t>
      </w:r>
      <w:r>
        <w:rPr>
          <w:rFonts w:ascii="Times New Roman" w:hAnsi="Times New Roman" w:eastAsia="Times New Roman" w:cs="Times New Roman"/>
          <w:color w:val="auto"/>
          <w:spacing w:val="-2"/>
          <w:sz w:val="24"/>
          <w:szCs w:val="24"/>
          <w:highlight w:val="none"/>
        </w:rPr>
        <w:t>5</w:t>
      </w:r>
      <w:r>
        <w:rPr>
          <w:rFonts w:ascii="宋体" w:hAnsi="宋体" w:eastAsia="宋体" w:cs="宋体"/>
          <w:color w:val="auto"/>
          <w:spacing w:val="-2"/>
          <w:sz w:val="24"/>
          <w:szCs w:val="24"/>
          <w:highlight w:val="none"/>
        </w:rPr>
        <w:t>日内退回。</w:t>
      </w:r>
    </w:p>
    <w:p w14:paraId="58B6F736">
      <w:pPr>
        <w:spacing w:before="180"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3.4.4  </w:t>
      </w:r>
      <w:r>
        <w:rPr>
          <w:rFonts w:ascii="宋体" w:hAnsi="宋体" w:eastAsia="宋体" w:cs="宋体"/>
          <w:color w:val="auto"/>
          <w:spacing w:val="-2"/>
          <w:sz w:val="24"/>
          <w:szCs w:val="24"/>
          <w:highlight w:val="none"/>
        </w:rPr>
        <w:t>有下列情形之一的，投标保证金将不予退</w:t>
      </w:r>
      <w:r>
        <w:rPr>
          <w:rFonts w:ascii="宋体" w:hAnsi="宋体" w:eastAsia="宋体" w:cs="宋体"/>
          <w:color w:val="auto"/>
          <w:spacing w:val="-3"/>
          <w:sz w:val="24"/>
          <w:szCs w:val="24"/>
          <w:highlight w:val="none"/>
        </w:rPr>
        <w:t>还：</w:t>
      </w:r>
    </w:p>
    <w:p w14:paraId="750F49D9">
      <w:pPr>
        <w:spacing w:before="182" w:line="220"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）投标人在规定的投标有效期内撤销或修改其投标文件。</w:t>
      </w:r>
    </w:p>
    <w:p w14:paraId="5A2B1858">
      <w:pPr>
        <w:spacing w:before="183" w:line="289" w:lineRule="auto"/>
        <w:ind w:left="6" w:right="12" w:firstLine="485"/>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）中标人在收到中标通知书后，无正当理由拒签合同协议书或未按招标文件</w:t>
      </w:r>
      <w:r>
        <w:rPr>
          <w:rFonts w:ascii="宋体" w:hAnsi="宋体" w:eastAsia="宋体" w:cs="宋体"/>
          <w:color w:val="auto"/>
          <w:spacing w:val="-5"/>
          <w:sz w:val="24"/>
          <w:szCs w:val="24"/>
          <w:highlight w:val="none"/>
        </w:rPr>
        <w:t>规定提交履约担保。</w:t>
      </w:r>
    </w:p>
    <w:p w14:paraId="0A33983B">
      <w:pPr>
        <w:spacing w:before="182" w:line="219" w:lineRule="auto"/>
        <w:ind w:left="49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）投标人须知前附表规定的其他情形。</w:t>
      </w:r>
    </w:p>
    <w:p w14:paraId="24D486C8">
      <w:pPr>
        <w:spacing w:before="180" w:line="220" w:lineRule="auto"/>
        <w:outlineLvl w:val="2"/>
        <w:rPr>
          <w:rFonts w:ascii="宋体" w:hAnsi="宋体" w:eastAsia="宋体" w:cs="宋体"/>
          <w:color w:val="auto"/>
          <w:sz w:val="24"/>
          <w:szCs w:val="24"/>
          <w:highlight w:val="none"/>
        </w:rPr>
      </w:pPr>
      <w:bookmarkStart w:id="95" w:name="bookmark48"/>
      <w:bookmarkEnd w:id="95"/>
      <w:bookmarkStart w:id="96" w:name="_Toc19324"/>
      <w:bookmarkStart w:id="97" w:name="_Toc32550"/>
      <w:r>
        <w:rPr>
          <w:rFonts w:ascii="Times New Roman" w:hAnsi="Times New Roman" w:eastAsia="Times New Roman" w:cs="Times New Roman"/>
          <w:b/>
          <w:bCs/>
          <w:color w:val="auto"/>
          <w:spacing w:val="-2"/>
          <w:sz w:val="24"/>
          <w:szCs w:val="24"/>
          <w:highlight w:val="none"/>
        </w:rPr>
        <w:t xml:space="preserve">3.5  </w:t>
      </w:r>
      <w:r>
        <w:rPr>
          <w:rFonts w:ascii="宋体" w:hAnsi="宋体" w:eastAsia="宋体" w:cs="宋体"/>
          <w:b/>
          <w:bCs/>
          <w:color w:val="auto"/>
          <w:spacing w:val="-2"/>
          <w:sz w:val="24"/>
          <w:szCs w:val="24"/>
          <w:highlight w:val="none"/>
        </w:rPr>
        <w:t>资格审查资料（适用于已进行资格预审的）</w:t>
      </w:r>
      <w:bookmarkEnd w:id="96"/>
      <w:bookmarkEnd w:id="97"/>
    </w:p>
    <w:p w14:paraId="4D2EFD7D">
      <w:pPr>
        <w:spacing w:before="183" w:line="359" w:lineRule="auto"/>
        <w:ind w:left="6" w:right="2" w:firstLine="481"/>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投标人在编制投标文件时，如果投标人在资质条件、组织机构、财务能力、</w:t>
      </w:r>
      <w:r>
        <w:rPr>
          <w:rFonts w:ascii="宋体" w:hAnsi="宋体" w:eastAsia="宋体" w:cs="宋体"/>
          <w:color w:val="auto"/>
          <w:spacing w:val="-4"/>
          <w:sz w:val="24"/>
          <w:szCs w:val="24"/>
          <w:highlight w:val="none"/>
        </w:rPr>
        <w:t>信誉</w:t>
      </w:r>
      <w:r>
        <w:rPr>
          <w:rFonts w:ascii="宋体" w:hAnsi="宋体" w:eastAsia="宋体" w:cs="宋体"/>
          <w:color w:val="auto"/>
          <w:spacing w:val="-3"/>
          <w:sz w:val="24"/>
          <w:szCs w:val="24"/>
          <w:highlight w:val="none"/>
        </w:rPr>
        <w:t>等资格条件与资格预审时提交的资格预审申请文件相比较发生变化的，应按新情况更新或补充其在资格预审申请文件中提供的资料，以证实其各项资格条件仍能继续满足</w:t>
      </w:r>
      <w:r>
        <w:rPr>
          <w:rFonts w:ascii="宋体" w:hAnsi="宋体" w:eastAsia="宋体" w:cs="宋体"/>
          <w:color w:val="auto"/>
          <w:spacing w:val="-2"/>
          <w:sz w:val="24"/>
          <w:szCs w:val="24"/>
          <w:highlight w:val="none"/>
        </w:rPr>
        <w:t>资格预审文件的要求，具备承担本标段施工的资质条件、能力和信誉。</w:t>
      </w:r>
    </w:p>
    <w:p w14:paraId="462C560E">
      <w:pPr>
        <w:spacing w:before="1" w:line="219"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若无更新或补充，可不必提交与资格预审申请文件中相同的资料。</w:t>
      </w:r>
    </w:p>
    <w:p w14:paraId="41B44C42">
      <w:pPr>
        <w:spacing w:before="180" w:line="220" w:lineRule="auto"/>
        <w:outlineLvl w:val="2"/>
        <w:rPr>
          <w:rFonts w:ascii="宋体" w:hAnsi="宋体" w:eastAsia="宋体" w:cs="宋体"/>
          <w:color w:val="auto"/>
          <w:sz w:val="24"/>
          <w:szCs w:val="24"/>
          <w:highlight w:val="none"/>
        </w:rPr>
      </w:pPr>
      <w:bookmarkStart w:id="98" w:name="bookmark49"/>
      <w:bookmarkEnd w:id="98"/>
      <w:bookmarkStart w:id="99" w:name="_Toc3435"/>
      <w:bookmarkStart w:id="100" w:name="_Toc16939"/>
      <w:r>
        <w:rPr>
          <w:rFonts w:ascii="Times New Roman" w:hAnsi="Times New Roman" w:eastAsia="Times New Roman" w:cs="Times New Roman"/>
          <w:b/>
          <w:bCs/>
          <w:color w:val="auto"/>
          <w:spacing w:val="-2"/>
          <w:sz w:val="24"/>
          <w:szCs w:val="24"/>
          <w:highlight w:val="none"/>
        </w:rPr>
        <w:t xml:space="preserve">3.5  </w:t>
      </w:r>
      <w:r>
        <w:rPr>
          <w:rFonts w:ascii="宋体" w:hAnsi="宋体" w:eastAsia="宋体" w:cs="宋体"/>
          <w:b/>
          <w:bCs/>
          <w:color w:val="auto"/>
          <w:spacing w:val="-2"/>
          <w:sz w:val="24"/>
          <w:szCs w:val="24"/>
          <w:highlight w:val="none"/>
        </w:rPr>
        <w:t>资格审查资料（适用于未进行资格预审的）</w:t>
      </w:r>
      <w:bookmarkEnd w:id="99"/>
      <w:bookmarkEnd w:id="100"/>
    </w:p>
    <w:p w14:paraId="5B0A190E">
      <w:pPr>
        <w:spacing w:before="184" w:line="288" w:lineRule="auto"/>
        <w:ind w:left="7" w:right="2"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3.5.1</w:t>
      </w:r>
      <w:r>
        <w:rPr>
          <w:rFonts w:ascii="Times New Roman" w:hAnsi="Times New Roman" w:eastAsia="Times New Roman" w:cs="Times New Roman"/>
          <w:b/>
          <w:bCs/>
          <w:color w:val="auto"/>
          <w:sz w:val="24"/>
          <w:szCs w:val="24"/>
          <w:highlight w:val="none"/>
        </w:rPr>
        <w:t xml:space="preserve">  </w:t>
      </w:r>
      <w:r>
        <w:rPr>
          <w:rFonts w:ascii="宋体" w:hAnsi="宋体" w:eastAsia="宋体" w:cs="宋体"/>
          <w:color w:val="auto"/>
          <w:spacing w:val="1"/>
          <w:sz w:val="24"/>
          <w:szCs w:val="24"/>
          <w:highlight w:val="none"/>
        </w:rPr>
        <w:t>“投标人基本情况表”应附投标人营</w:t>
      </w:r>
      <w:r>
        <w:rPr>
          <w:rFonts w:ascii="宋体" w:hAnsi="宋体" w:eastAsia="宋体" w:cs="宋体"/>
          <w:color w:val="auto"/>
          <w:sz w:val="24"/>
          <w:szCs w:val="24"/>
          <w:highlight w:val="none"/>
        </w:rPr>
        <w:t>业执照、资质证书和安全生产许可证</w:t>
      </w:r>
      <w:r>
        <w:rPr>
          <w:rFonts w:ascii="宋体" w:hAnsi="宋体" w:eastAsia="宋体" w:cs="宋体"/>
          <w:color w:val="auto"/>
          <w:spacing w:val="-6"/>
          <w:sz w:val="24"/>
          <w:szCs w:val="24"/>
          <w:highlight w:val="none"/>
        </w:rPr>
        <w:t>等材料的复制件。</w:t>
      </w:r>
    </w:p>
    <w:p w14:paraId="31EEB9A1">
      <w:pPr>
        <w:spacing w:before="184" w:line="288" w:lineRule="auto"/>
        <w:ind w:left="5" w:right="4" w:firstLine="476"/>
        <w:rPr>
          <w:rFonts w:ascii="宋体" w:hAnsi="宋体" w:eastAsia="宋体" w:cs="宋体"/>
          <w:strike/>
          <w:dstrike w:val="0"/>
          <w:color w:val="auto"/>
          <w:sz w:val="24"/>
          <w:szCs w:val="24"/>
          <w:highlight w:val="none"/>
        </w:rPr>
      </w:pPr>
      <w:r>
        <w:rPr>
          <w:rFonts w:ascii="Times New Roman" w:hAnsi="Times New Roman" w:eastAsia="Times New Roman" w:cs="Times New Roman"/>
          <w:b/>
          <w:bCs/>
          <w:strike/>
          <w:dstrike w:val="0"/>
          <w:color w:val="auto"/>
          <w:spacing w:val="1"/>
          <w:sz w:val="24"/>
          <w:szCs w:val="24"/>
          <w:highlight w:val="none"/>
        </w:rPr>
        <w:t>3.5.2</w:t>
      </w:r>
      <w:r>
        <w:rPr>
          <w:rFonts w:ascii="Times New Roman" w:hAnsi="Times New Roman" w:eastAsia="Times New Roman" w:cs="Times New Roman"/>
          <w:b/>
          <w:bCs/>
          <w:strike/>
          <w:dstrike w:val="0"/>
          <w:color w:val="auto"/>
          <w:sz w:val="24"/>
          <w:szCs w:val="24"/>
          <w:highlight w:val="none"/>
        </w:rPr>
        <w:t xml:space="preserve">  </w:t>
      </w:r>
      <w:r>
        <w:rPr>
          <w:rFonts w:ascii="宋体" w:hAnsi="宋体" w:eastAsia="宋体" w:cs="宋体"/>
          <w:strike/>
          <w:dstrike w:val="0"/>
          <w:color w:val="auto"/>
          <w:spacing w:val="1"/>
          <w:sz w:val="24"/>
          <w:szCs w:val="24"/>
          <w:highlight w:val="none"/>
        </w:rPr>
        <w:t>“近年财务状况”应附经会计师</w:t>
      </w:r>
      <w:r>
        <w:rPr>
          <w:rFonts w:ascii="宋体" w:hAnsi="宋体" w:eastAsia="宋体" w:cs="宋体"/>
          <w:strike/>
          <w:dstrike w:val="0"/>
          <w:color w:val="auto"/>
          <w:sz w:val="24"/>
          <w:szCs w:val="24"/>
          <w:highlight w:val="none"/>
        </w:rPr>
        <w:t>事务所或审计机构审计的财务会计报表，</w:t>
      </w:r>
      <w:r>
        <w:rPr>
          <w:rFonts w:ascii="宋体" w:hAnsi="宋体" w:eastAsia="宋体" w:cs="宋体"/>
          <w:strike/>
          <w:dstrike w:val="0"/>
          <w:color w:val="auto"/>
          <w:spacing w:val="-3"/>
          <w:sz w:val="24"/>
          <w:szCs w:val="24"/>
          <w:highlight w:val="none"/>
        </w:rPr>
        <w:t>包括资产负债表、现金流量表、利润表和财务情况说明书（或财务报表附注）的复制</w:t>
      </w:r>
    </w:p>
    <w:p w14:paraId="255DC6FE">
      <w:pPr>
        <w:tabs>
          <w:tab w:val="left" w:pos="319"/>
        </w:tabs>
        <w:bidi w:val="0"/>
        <w:jc w:val="left"/>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件，具体年份要求见投标人须知前附表。</w:t>
      </w:r>
    </w:p>
    <w:p w14:paraId="7E18794C">
      <w:pPr>
        <w:spacing w:before="184" w:line="288" w:lineRule="auto"/>
        <w:ind w:left="10" w:right="54" w:firstLine="464"/>
        <w:rPr>
          <w:rFonts w:ascii="宋体" w:hAnsi="宋体" w:eastAsia="宋体" w:cs="宋体"/>
          <w:strike/>
          <w:dstrike w:val="0"/>
          <w:color w:val="auto"/>
          <w:sz w:val="24"/>
          <w:szCs w:val="24"/>
          <w:highlight w:val="none"/>
        </w:rPr>
      </w:pPr>
      <w:r>
        <w:rPr>
          <w:rFonts w:ascii="Times New Roman" w:hAnsi="Times New Roman" w:eastAsia="Times New Roman" w:cs="Times New Roman"/>
          <w:b/>
          <w:bCs/>
          <w:strike/>
          <w:dstrike w:val="0"/>
          <w:color w:val="auto"/>
          <w:spacing w:val="-4"/>
          <w:sz w:val="24"/>
          <w:szCs w:val="24"/>
          <w:highlight w:val="none"/>
        </w:rPr>
        <w:t>3.5.3</w:t>
      </w:r>
      <w:r>
        <w:rPr>
          <w:rFonts w:ascii="宋体" w:hAnsi="宋体" w:eastAsia="宋体" w:cs="宋体"/>
          <w:strike/>
          <w:dstrike w:val="0"/>
          <w:color w:val="auto"/>
          <w:spacing w:val="-4"/>
          <w:sz w:val="24"/>
          <w:szCs w:val="24"/>
          <w:highlight w:val="none"/>
        </w:rPr>
        <w:t>“近年完成的类似项目情况表”应附招标公告规定的业绩证明材料复制件，</w:t>
      </w:r>
      <w:r>
        <w:rPr>
          <w:rFonts w:ascii="宋体" w:hAnsi="宋体" w:eastAsia="宋体" w:cs="宋体"/>
          <w:strike/>
          <w:dstrike w:val="0"/>
          <w:color w:val="auto"/>
          <w:spacing w:val="-1"/>
          <w:sz w:val="24"/>
          <w:szCs w:val="24"/>
          <w:highlight w:val="none"/>
        </w:rPr>
        <w:t>具体年份要求见投标人须知前附表。每张表格只</w:t>
      </w:r>
      <w:r>
        <w:rPr>
          <w:rFonts w:ascii="宋体" w:hAnsi="宋体" w:eastAsia="宋体" w:cs="宋体"/>
          <w:strike/>
          <w:dstrike w:val="0"/>
          <w:color w:val="auto"/>
          <w:spacing w:val="-2"/>
          <w:sz w:val="24"/>
          <w:szCs w:val="24"/>
          <w:highlight w:val="none"/>
        </w:rPr>
        <w:t>填写一个项目，并标明序号。</w:t>
      </w:r>
    </w:p>
    <w:p w14:paraId="3951E5C5">
      <w:pPr>
        <w:spacing w:before="183" w:line="289" w:lineRule="auto"/>
        <w:ind w:left="5" w:right="38"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3.5.4</w:t>
      </w:r>
      <w:r>
        <w:rPr>
          <w:rFonts w:ascii="宋体" w:hAnsi="宋体" w:eastAsia="宋体" w:cs="宋体"/>
          <w:color w:val="auto"/>
          <w:spacing w:val="-4"/>
          <w:sz w:val="24"/>
          <w:szCs w:val="24"/>
          <w:highlight w:val="none"/>
        </w:rPr>
        <w:t>“正在施工和新承接的项目情况表”应附中标通知书或合同协议书复制件。</w:t>
      </w:r>
      <w:r>
        <w:rPr>
          <w:rFonts w:ascii="宋体" w:hAnsi="宋体" w:eastAsia="宋体" w:cs="宋体"/>
          <w:color w:val="auto"/>
          <w:spacing w:val="-3"/>
          <w:sz w:val="24"/>
          <w:szCs w:val="24"/>
          <w:highlight w:val="none"/>
        </w:rPr>
        <w:t>每张表格只填写一个项目，并标明序号。</w:t>
      </w:r>
    </w:p>
    <w:p w14:paraId="7464D541">
      <w:pPr>
        <w:spacing w:before="182" w:line="289" w:lineRule="auto"/>
        <w:ind w:left="4" w:right="1"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3.5.5</w:t>
      </w:r>
      <w:r>
        <w:rPr>
          <w:rFonts w:ascii="宋体" w:hAnsi="宋体" w:eastAsia="宋体" w:cs="宋体"/>
          <w:color w:val="auto"/>
          <w:spacing w:val="-2"/>
          <w:sz w:val="24"/>
          <w:szCs w:val="24"/>
          <w:highlight w:val="none"/>
        </w:rPr>
        <w:t>投标人须知前附表规定接受联合体投标的，本章第</w:t>
      </w:r>
      <w:r>
        <w:rPr>
          <w:rFonts w:ascii="Times New Roman" w:hAnsi="Times New Roman" w:eastAsia="Times New Roman" w:cs="Times New Roman"/>
          <w:color w:val="auto"/>
          <w:spacing w:val="-2"/>
          <w:sz w:val="24"/>
          <w:szCs w:val="24"/>
          <w:highlight w:val="none"/>
        </w:rPr>
        <w:t>3.5.1</w:t>
      </w:r>
      <w:r>
        <w:rPr>
          <w:rFonts w:ascii="宋体" w:hAnsi="宋体" w:eastAsia="宋体" w:cs="宋体"/>
          <w:color w:val="auto"/>
          <w:spacing w:val="-2"/>
          <w:sz w:val="24"/>
          <w:szCs w:val="24"/>
          <w:highlight w:val="none"/>
        </w:rPr>
        <w:t>项</w:t>
      </w:r>
      <w:r>
        <w:rPr>
          <w:rFonts w:ascii="宋体" w:hAnsi="宋体" w:eastAsia="宋体" w:cs="宋体"/>
          <w:color w:val="auto"/>
          <w:spacing w:val="-3"/>
          <w:sz w:val="24"/>
          <w:szCs w:val="24"/>
          <w:highlight w:val="none"/>
        </w:rPr>
        <w:t>～第</w:t>
      </w:r>
      <w:r>
        <w:rPr>
          <w:rFonts w:ascii="Times New Roman" w:hAnsi="Times New Roman" w:eastAsia="Times New Roman" w:cs="Times New Roman"/>
          <w:color w:val="auto"/>
          <w:spacing w:val="-3"/>
          <w:sz w:val="24"/>
          <w:szCs w:val="24"/>
          <w:highlight w:val="none"/>
        </w:rPr>
        <w:t>3.5.4</w:t>
      </w:r>
      <w:r>
        <w:rPr>
          <w:rFonts w:ascii="宋体" w:hAnsi="宋体" w:eastAsia="宋体" w:cs="宋体"/>
          <w:color w:val="auto"/>
          <w:spacing w:val="-3"/>
          <w:sz w:val="24"/>
          <w:szCs w:val="24"/>
          <w:highlight w:val="none"/>
        </w:rPr>
        <w:t>项规定的表格和资料应包括联合体各方相关情况。</w:t>
      </w:r>
    </w:p>
    <w:p w14:paraId="55148EC9">
      <w:pPr>
        <w:spacing w:before="182" w:line="220" w:lineRule="auto"/>
        <w:outlineLvl w:val="2"/>
        <w:rPr>
          <w:rFonts w:ascii="宋体" w:hAnsi="宋体" w:eastAsia="宋体" w:cs="宋体"/>
          <w:color w:val="auto"/>
          <w:sz w:val="24"/>
          <w:szCs w:val="24"/>
          <w:highlight w:val="none"/>
        </w:rPr>
      </w:pPr>
      <w:bookmarkStart w:id="101" w:name="bookmark50"/>
      <w:bookmarkEnd w:id="101"/>
      <w:bookmarkStart w:id="102" w:name="_Toc9814"/>
      <w:bookmarkStart w:id="103" w:name="_Toc4525"/>
      <w:r>
        <w:rPr>
          <w:rFonts w:ascii="Times New Roman" w:hAnsi="Times New Roman" w:eastAsia="Times New Roman" w:cs="Times New Roman"/>
          <w:b/>
          <w:bCs/>
          <w:color w:val="auto"/>
          <w:spacing w:val="-2"/>
          <w:sz w:val="24"/>
          <w:szCs w:val="24"/>
          <w:highlight w:val="none"/>
        </w:rPr>
        <w:t xml:space="preserve">3.6  </w:t>
      </w:r>
      <w:r>
        <w:rPr>
          <w:rFonts w:ascii="宋体" w:hAnsi="宋体" w:eastAsia="宋体" w:cs="宋体"/>
          <w:b/>
          <w:bCs/>
          <w:color w:val="auto"/>
          <w:spacing w:val="-2"/>
          <w:sz w:val="24"/>
          <w:szCs w:val="24"/>
          <w:highlight w:val="none"/>
        </w:rPr>
        <w:t>备选投标方案</w:t>
      </w:r>
      <w:bookmarkEnd w:id="102"/>
      <w:bookmarkEnd w:id="103"/>
    </w:p>
    <w:p w14:paraId="1CAD0399">
      <w:pPr>
        <w:spacing w:before="180" w:line="359" w:lineRule="auto"/>
        <w:ind w:left="4" w:right="1" w:firstLine="485"/>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除投标人须知前附表另有规定外，投标人不得递交备选投标方案。允许投标</w:t>
      </w:r>
      <w:r>
        <w:rPr>
          <w:rFonts w:ascii="宋体" w:hAnsi="宋体" w:eastAsia="宋体" w:cs="宋体"/>
          <w:color w:val="auto"/>
          <w:spacing w:val="-4"/>
          <w:sz w:val="24"/>
          <w:szCs w:val="24"/>
          <w:highlight w:val="none"/>
        </w:rPr>
        <w:t>人递</w:t>
      </w:r>
      <w:r>
        <w:rPr>
          <w:rFonts w:ascii="宋体" w:hAnsi="宋体" w:eastAsia="宋体" w:cs="宋体"/>
          <w:color w:val="auto"/>
          <w:spacing w:val="-3"/>
          <w:sz w:val="24"/>
          <w:szCs w:val="24"/>
          <w:highlight w:val="none"/>
        </w:rPr>
        <w:t>交备选投标方案，只有中标人所递交的备选投标方案方可予以考虑。评标委员会认为中标人递交的备选投标方案优于其按照招标文件要求编制的投标方案时，招标人可以</w:t>
      </w:r>
      <w:r>
        <w:rPr>
          <w:rFonts w:ascii="宋体" w:hAnsi="宋体" w:eastAsia="宋体" w:cs="宋体"/>
          <w:color w:val="auto"/>
          <w:spacing w:val="-4"/>
          <w:sz w:val="24"/>
          <w:szCs w:val="24"/>
          <w:highlight w:val="none"/>
        </w:rPr>
        <w:t>接受该备选投标方案。</w:t>
      </w:r>
    </w:p>
    <w:p w14:paraId="370F04F3">
      <w:pPr>
        <w:spacing w:before="1" w:line="219" w:lineRule="auto"/>
        <w:outlineLvl w:val="2"/>
        <w:rPr>
          <w:rFonts w:ascii="宋体" w:hAnsi="宋体" w:eastAsia="宋体" w:cs="宋体"/>
          <w:color w:val="auto"/>
          <w:sz w:val="24"/>
          <w:szCs w:val="24"/>
          <w:highlight w:val="none"/>
        </w:rPr>
      </w:pPr>
      <w:bookmarkStart w:id="104" w:name="bookmark51"/>
      <w:bookmarkEnd w:id="104"/>
      <w:bookmarkStart w:id="105" w:name="_Toc23709"/>
      <w:bookmarkStart w:id="106" w:name="_Toc29667"/>
      <w:r>
        <w:rPr>
          <w:rFonts w:ascii="Times New Roman" w:hAnsi="Times New Roman" w:eastAsia="Times New Roman" w:cs="Times New Roman"/>
          <w:b/>
          <w:bCs/>
          <w:color w:val="auto"/>
          <w:spacing w:val="-2"/>
          <w:sz w:val="24"/>
          <w:szCs w:val="24"/>
          <w:highlight w:val="none"/>
        </w:rPr>
        <w:t xml:space="preserve">3.7  </w:t>
      </w:r>
      <w:r>
        <w:rPr>
          <w:rFonts w:ascii="宋体" w:hAnsi="宋体" w:eastAsia="宋体" w:cs="宋体"/>
          <w:b/>
          <w:bCs/>
          <w:color w:val="auto"/>
          <w:spacing w:val="-2"/>
          <w:sz w:val="24"/>
          <w:szCs w:val="24"/>
          <w:highlight w:val="none"/>
        </w:rPr>
        <w:t>投标文件的编制</w:t>
      </w:r>
      <w:bookmarkEnd w:id="105"/>
      <w:bookmarkEnd w:id="106"/>
    </w:p>
    <w:p w14:paraId="2AD1B701">
      <w:pPr>
        <w:spacing w:before="181" w:line="313" w:lineRule="auto"/>
        <w:ind w:left="7" w:right="1"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3.7.1  </w:t>
      </w:r>
      <w:r>
        <w:rPr>
          <w:rFonts w:ascii="宋体" w:hAnsi="宋体" w:eastAsia="宋体" w:cs="宋体"/>
          <w:color w:val="auto"/>
          <w:spacing w:val="1"/>
          <w:sz w:val="24"/>
          <w:szCs w:val="24"/>
          <w:highlight w:val="none"/>
        </w:rPr>
        <w:t>投标文件应按第八章“投标文件</w:t>
      </w:r>
      <w:r>
        <w:rPr>
          <w:rFonts w:ascii="宋体" w:hAnsi="宋体" w:eastAsia="宋体" w:cs="宋体"/>
          <w:color w:val="auto"/>
          <w:sz w:val="24"/>
          <w:szCs w:val="24"/>
          <w:highlight w:val="none"/>
        </w:rPr>
        <w:t>格式”进行编写，如有必要，可以增加附</w:t>
      </w:r>
      <w:r>
        <w:rPr>
          <w:rFonts w:ascii="宋体" w:hAnsi="宋体" w:eastAsia="宋体" w:cs="宋体"/>
          <w:color w:val="auto"/>
          <w:spacing w:val="-6"/>
          <w:sz w:val="24"/>
          <w:szCs w:val="24"/>
          <w:highlight w:val="none"/>
        </w:rPr>
        <w:t>页，作为投标文件的组成部分。其中， 投标函附录在满足招标文件实质性要求的基础</w:t>
      </w:r>
      <w:r>
        <w:rPr>
          <w:rFonts w:ascii="宋体" w:hAnsi="宋体" w:eastAsia="宋体" w:cs="宋体"/>
          <w:color w:val="auto"/>
          <w:spacing w:val="-2"/>
          <w:sz w:val="24"/>
          <w:szCs w:val="24"/>
          <w:highlight w:val="none"/>
        </w:rPr>
        <w:t>上，可以提出比招标文件要求更有利于招标人的承诺。</w:t>
      </w:r>
    </w:p>
    <w:p w14:paraId="067A2EA9">
      <w:pPr>
        <w:spacing w:before="182" w:line="289" w:lineRule="auto"/>
        <w:ind w:left="6" w:right="1" w:firstLine="475"/>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3.7.2  </w:t>
      </w:r>
      <w:r>
        <w:rPr>
          <w:rFonts w:ascii="宋体" w:hAnsi="宋体" w:eastAsia="宋体" w:cs="宋体"/>
          <w:color w:val="auto"/>
          <w:spacing w:val="1"/>
          <w:sz w:val="24"/>
          <w:szCs w:val="24"/>
          <w:highlight w:val="none"/>
        </w:rPr>
        <w:t>投标文件应当对招标文件有关工</w:t>
      </w:r>
      <w:r>
        <w:rPr>
          <w:rFonts w:ascii="宋体" w:hAnsi="宋体" w:eastAsia="宋体" w:cs="宋体"/>
          <w:color w:val="auto"/>
          <w:sz w:val="24"/>
          <w:szCs w:val="24"/>
          <w:highlight w:val="none"/>
        </w:rPr>
        <w:t>期、投标有效期、质量要求、技术标准和</w:t>
      </w:r>
      <w:r>
        <w:rPr>
          <w:rFonts w:ascii="宋体" w:hAnsi="宋体" w:eastAsia="宋体" w:cs="宋体"/>
          <w:color w:val="auto"/>
          <w:spacing w:val="-3"/>
          <w:sz w:val="24"/>
          <w:szCs w:val="24"/>
          <w:highlight w:val="none"/>
        </w:rPr>
        <w:t>要求、招标范围等实质性内容作出响应。</w:t>
      </w:r>
    </w:p>
    <w:p w14:paraId="13FDBC3C">
      <w:pPr>
        <w:spacing w:before="182"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3.7.3  </w:t>
      </w:r>
      <w:r>
        <w:rPr>
          <w:rFonts w:ascii="宋体" w:hAnsi="宋体" w:eastAsia="宋体" w:cs="宋体"/>
          <w:color w:val="auto"/>
          <w:spacing w:val="-2"/>
          <w:sz w:val="24"/>
          <w:szCs w:val="24"/>
          <w:highlight w:val="none"/>
        </w:rPr>
        <w:t>投标文件制作具体要求见投标人须知前附表。</w:t>
      </w:r>
    </w:p>
    <w:p w14:paraId="7B959E97">
      <w:pPr>
        <w:spacing w:before="181"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3.7.4  </w:t>
      </w:r>
      <w:r>
        <w:rPr>
          <w:rFonts w:ascii="宋体" w:hAnsi="宋体" w:eastAsia="宋体" w:cs="宋体"/>
          <w:color w:val="auto"/>
          <w:spacing w:val="-2"/>
          <w:sz w:val="24"/>
          <w:szCs w:val="24"/>
          <w:highlight w:val="none"/>
        </w:rPr>
        <w:t>投标文件份数的具体要求见投标人须知前附表。</w:t>
      </w:r>
    </w:p>
    <w:p w14:paraId="795B6840">
      <w:pPr>
        <w:spacing w:before="309" w:line="221" w:lineRule="auto"/>
        <w:ind w:left="3"/>
        <w:outlineLvl w:val="1"/>
        <w:rPr>
          <w:rFonts w:ascii="宋体" w:hAnsi="宋体" w:eastAsia="宋体" w:cs="宋体"/>
          <w:color w:val="auto"/>
          <w:sz w:val="28"/>
          <w:szCs w:val="28"/>
          <w:highlight w:val="none"/>
        </w:rPr>
      </w:pPr>
      <w:bookmarkStart w:id="107" w:name="bookmark53"/>
      <w:bookmarkEnd w:id="107"/>
      <w:bookmarkStart w:id="108" w:name="bookmark52"/>
      <w:bookmarkEnd w:id="108"/>
      <w:bookmarkStart w:id="109" w:name="_Toc7969"/>
      <w:bookmarkStart w:id="110" w:name="_Toc19388"/>
      <w:r>
        <w:rPr>
          <w:rFonts w:ascii="Times New Roman" w:hAnsi="Times New Roman" w:eastAsia="Times New Roman" w:cs="Times New Roman"/>
          <w:b/>
          <w:bCs/>
          <w:color w:val="auto"/>
          <w:spacing w:val="-7"/>
          <w:sz w:val="28"/>
          <w:szCs w:val="28"/>
          <w:highlight w:val="none"/>
        </w:rPr>
        <w:t>4</w:t>
      </w:r>
      <w:r>
        <w:rPr>
          <w:rFonts w:ascii="Times New Roman" w:hAnsi="Times New Roman" w:eastAsia="Times New Roman" w:cs="Times New Roman"/>
          <w:b/>
          <w:bCs/>
          <w:color w:val="auto"/>
          <w:spacing w:val="7"/>
          <w:sz w:val="28"/>
          <w:szCs w:val="28"/>
          <w:highlight w:val="none"/>
        </w:rPr>
        <w:t xml:space="preserve"> </w:t>
      </w:r>
      <w:r>
        <w:rPr>
          <w:rFonts w:hint="eastAsia" w:ascii="Times New Roman" w:hAnsi="Times New Roman" w:eastAsia="宋体" w:cs="Times New Roman"/>
          <w:b/>
          <w:bCs/>
          <w:color w:val="auto"/>
          <w:spacing w:val="7"/>
          <w:sz w:val="28"/>
          <w:szCs w:val="28"/>
          <w:highlight w:val="none"/>
          <w:lang w:eastAsia="zh-CN"/>
        </w:rPr>
        <w:t>、</w:t>
      </w:r>
      <w:r>
        <w:rPr>
          <w:rFonts w:ascii="宋体" w:hAnsi="宋体" w:eastAsia="宋体" w:cs="宋体"/>
          <w:b/>
          <w:bCs/>
          <w:color w:val="auto"/>
          <w:spacing w:val="-7"/>
          <w:sz w:val="28"/>
          <w:szCs w:val="28"/>
          <w:highlight w:val="none"/>
        </w:rPr>
        <w:t>投标</w:t>
      </w:r>
      <w:bookmarkEnd w:id="109"/>
      <w:bookmarkEnd w:id="110"/>
    </w:p>
    <w:p w14:paraId="1D710A68">
      <w:pPr>
        <w:pStyle w:val="3"/>
        <w:spacing w:line="244" w:lineRule="auto"/>
        <w:rPr>
          <w:color w:val="auto"/>
          <w:highlight w:val="none"/>
        </w:rPr>
      </w:pPr>
    </w:p>
    <w:p w14:paraId="5B9345E5">
      <w:pPr>
        <w:spacing w:before="78" w:line="220" w:lineRule="auto"/>
        <w:ind w:left="2"/>
        <w:outlineLvl w:val="2"/>
        <w:rPr>
          <w:rFonts w:ascii="宋体" w:hAnsi="宋体" w:eastAsia="宋体" w:cs="宋体"/>
          <w:color w:val="auto"/>
          <w:sz w:val="24"/>
          <w:szCs w:val="24"/>
          <w:highlight w:val="none"/>
        </w:rPr>
      </w:pPr>
      <w:bookmarkStart w:id="111" w:name="bookmark668"/>
      <w:bookmarkEnd w:id="111"/>
      <w:bookmarkStart w:id="112" w:name="_Toc15995"/>
      <w:bookmarkStart w:id="113" w:name="_Toc9838"/>
      <w:r>
        <w:rPr>
          <w:rFonts w:ascii="Times New Roman" w:hAnsi="Times New Roman" w:eastAsia="Times New Roman" w:cs="Times New Roman"/>
          <w:b/>
          <w:bCs/>
          <w:color w:val="auto"/>
          <w:spacing w:val="-2"/>
          <w:sz w:val="24"/>
          <w:szCs w:val="24"/>
          <w:highlight w:val="none"/>
        </w:rPr>
        <w:t xml:space="preserve">4.1  </w:t>
      </w:r>
      <w:r>
        <w:rPr>
          <w:rFonts w:ascii="宋体" w:hAnsi="宋体" w:eastAsia="宋体" w:cs="宋体"/>
          <w:b/>
          <w:bCs/>
          <w:color w:val="auto"/>
          <w:spacing w:val="-2"/>
          <w:sz w:val="24"/>
          <w:szCs w:val="24"/>
          <w:highlight w:val="none"/>
        </w:rPr>
        <w:t>投标文件的密封和标识</w:t>
      </w:r>
      <w:bookmarkEnd w:id="112"/>
      <w:bookmarkEnd w:id="113"/>
    </w:p>
    <w:p w14:paraId="7948A2FB">
      <w:pPr>
        <w:spacing w:before="181" w:line="359" w:lineRule="auto"/>
        <w:ind w:left="8" w:right="1"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投标文件应按照本章第</w:t>
      </w:r>
      <w:r>
        <w:rPr>
          <w:rFonts w:ascii="Times New Roman" w:hAnsi="Times New Roman" w:eastAsia="Times New Roman" w:cs="Times New Roman"/>
          <w:color w:val="auto"/>
          <w:sz w:val="24"/>
          <w:szCs w:val="24"/>
          <w:highlight w:val="none"/>
        </w:rPr>
        <w:t xml:space="preserve">3.7.3  </w:t>
      </w:r>
      <w:r>
        <w:rPr>
          <w:rFonts w:ascii="宋体" w:hAnsi="宋体" w:eastAsia="宋体" w:cs="宋体"/>
          <w:color w:val="auto"/>
          <w:sz w:val="24"/>
          <w:szCs w:val="24"/>
          <w:highlight w:val="none"/>
        </w:rPr>
        <w:t>项要求制作投标文件，并在投标时上传加密的电子</w:t>
      </w:r>
      <w:r>
        <w:rPr>
          <w:rFonts w:ascii="宋体" w:hAnsi="宋体" w:eastAsia="宋体" w:cs="宋体"/>
          <w:color w:val="auto"/>
          <w:spacing w:val="-9"/>
          <w:sz w:val="24"/>
          <w:szCs w:val="24"/>
          <w:highlight w:val="none"/>
        </w:rPr>
        <w:t>投标文件。未按要求加密的投标文件，招标人（</w:t>
      </w:r>
      <w:r>
        <w:rPr>
          <w:rFonts w:ascii="Times New Roman" w:hAnsi="Times New Roman" w:eastAsia="Times New Roman" w:cs="Times New Roman"/>
          <w:color w:val="auto"/>
          <w:spacing w:val="-9"/>
          <w:sz w:val="24"/>
          <w:szCs w:val="24"/>
          <w:highlight w:val="none"/>
        </w:rPr>
        <w:t>“</w:t>
      </w:r>
      <w:r>
        <w:rPr>
          <w:rFonts w:ascii="宋体" w:hAnsi="宋体" w:eastAsia="宋体" w:cs="宋体"/>
          <w:color w:val="auto"/>
          <w:spacing w:val="-9"/>
          <w:sz w:val="24"/>
          <w:szCs w:val="24"/>
          <w:highlight w:val="none"/>
        </w:rPr>
        <w:t>电子交易平台</w:t>
      </w:r>
      <w:r>
        <w:rPr>
          <w:rFonts w:ascii="Times New Roman" w:hAnsi="Times New Roman" w:eastAsia="Times New Roman" w:cs="Times New Roman"/>
          <w:color w:val="auto"/>
          <w:spacing w:val="-9"/>
          <w:sz w:val="24"/>
          <w:szCs w:val="24"/>
          <w:highlight w:val="none"/>
        </w:rPr>
        <w:t>”</w:t>
      </w:r>
      <w:r>
        <w:rPr>
          <w:rFonts w:ascii="宋体" w:hAnsi="宋体" w:eastAsia="宋体" w:cs="宋体"/>
          <w:color w:val="auto"/>
          <w:spacing w:val="-9"/>
          <w:sz w:val="24"/>
          <w:szCs w:val="24"/>
          <w:highlight w:val="none"/>
        </w:rPr>
        <w:t>）将拒绝接收并提示。</w:t>
      </w:r>
    </w:p>
    <w:p w14:paraId="4ED90995">
      <w:pPr>
        <w:spacing w:line="219" w:lineRule="auto"/>
        <w:ind w:left="2"/>
        <w:outlineLvl w:val="2"/>
        <w:rPr>
          <w:rFonts w:ascii="宋体" w:hAnsi="宋体" w:eastAsia="宋体" w:cs="宋体"/>
          <w:color w:val="auto"/>
          <w:sz w:val="24"/>
          <w:szCs w:val="24"/>
          <w:highlight w:val="none"/>
        </w:rPr>
      </w:pPr>
      <w:bookmarkStart w:id="114" w:name="bookmark54"/>
      <w:bookmarkEnd w:id="114"/>
      <w:bookmarkStart w:id="115" w:name="_Toc9964"/>
      <w:bookmarkStart w:id="116" w:name="_Toc5778"/>
      <w:r>
        <w:rPr>
          <w:rFonts w:ascii="Times New Roman" w:hAnsi="Times New Roman" w:eastAsia="Times New Roman" w:cs="Times New Roman"/>
          <w:b/>
          <w:bCs/>
          <w:color w:val="auto"/>
          <w:spacing w:val="-2"/>
          <w:sz w:val="24"/>
          <w:szCs w:val="24"/>
          <w:highlight w:val="none"/>
        </w:rPr>
        <w:t xml:space="preserve">4.2  </w:t>
      </w:r>
      <w:r>
        <w:rPr>
          <w:rFonts w:ascii="宋体" w:hAnsi="宋体" w:eastAsia="宋体" w:cs="宋体"/>
          <w:b/>
          <w:bCs/>
          <w:color w:val="auto"/>
          <w:spacing w:val="-2"/>
          <w:sz w:val="24"/>
          <w:szCs w:val="24"/>
          <w:highlight w:val="none"/>
        </w:rPr>
        <w:t>投标文件的递交</w:t>
      </w:r>
      <w:bookmarkEnd w:id="115"/>
      <w:bookmarkEnd w:id="116"/>
    </w:p>
    <w:p w14:paraId="13BE8D82">
      <w:pPr>
        <w:spacing w:before="183" w:line="219"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4.2.1  </w:t>
      </w:r>
      <w:r>
        <w:rPr>
          <w:rFonts w:ascii="宋体" w:hAnsi="宋体" w:eastAsia="宋体" w:cs="宋体"/>
          <w:color w:val="auto"/>
          <w:spacing w:val="-1"/>
          <w:sz w:val="24"/>
          <w:szCs w:val="24"/>
          <w:highlight w:val="none"/>
        </w:rPr>
        <w:t>投标人应在本章第</w:t>
      </w:r>
      <w:r>
        <w:rPr>
          <w:rFonts w:ascii="Times New Roman" w:hAnsi="Times New Roman" w:eastAsia="Times New Roman" w:cs="Times New Roman"/>
          <w:color w:val="auto"/>
          <w:spacing w:val="-1"/>
          <w:sz w:val="24"/>
          <w:szCs w:val="24"/>
          <w:highlight w:val="none"/>
        </w:rPr>
        <w:t>1.10.3</w:t>
      </w:r>
      <w:r>
        <w:rPr>
          <w:rFonts w:ascii="宋体" w:hAnsi="宋体" w:eastAsia="宋体" w:cs="宋体"/>
          <w:color w:val="auto"/>
          <w:spacing w:val="-1"/>
          <w:sz w:val="24"/>
          <w:szCs w:val="24"/>
          <w:highlight w:val="none"/>
        </w:rPr>
        <w:t>项规定的投标截止时间前递交投标文件。</w:t>
      </w:r>
    </w:p>
    <w:p w14:paraId="6526D352">
      <w:pPr>
        <w:spacing w:before="180" w:line="219"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4.2.2  </w:t>
      </w:r>
      <w:r>
        <w:rPr>
          <w:rFonts w:ascii="宋体" w:hAnsi="宋体" w:eastAsia="宋体" w:cs="宋体"/>
          <w:color w:val="auto"/>
          <w:spacing w:val="-1"/>
          <w:sz w:val="24"/>
          <w:szCs w:val="24"/>
          <w:highlight w:val="none"/>
        </w:rPr>
        <w:t>投标人递交投标文件的方式和地点见投</w:t>
      </w:r>
      <w:r>
        <w:rPr>
          <w:rFonts w:ascii="宋体" w:hAnsi="宋体" w:eastAsia="宋体" w:cs="宋体"/>
          <w:color w:val="auto"/>
          <w:spacing w:val="-2"/>
          <w:sz w:val="24"/>
          <w:szCs w:val="24"/>
          <w:highlight w:val="none"/>
        </w:rPr>
        <w:t>标人须知前附表。</w:t>
      </w:r>
    </w:p>
    <w:p w14:paraId="5F05BBDB">
      <w:pPr>
        <w:spacing w:before="183" w:line="220"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4.2.3  </w:t>
      </w:r>
      <w:r>
        <w:rPr>
          <w:rFonts w:ascii="宋体" w:hAnsi="宋体" w:eastAsia="宋体" w:cs="宋体"/>
          <w:color w:val="auto"/>
          <w:spacing w:val="-2"/>
          <w:sz w:val="24"/>
          <w:szCs w:val="24"/>
          <w:highlight w:val="none"/>
        </w:rPr>
        <w:t>投标人所递交的投标文件不予退还。</w:t>
      </w:r>
    </w:p>
    <w:p w14:paraId="2125A3EF">
      <w:pPr>
        <w:spacing w:before="182" w:line="289" w:lineRule="auto"/>
        <w:ind w:left="8" w:right="4" w:firstLine="476"/>
        <w:rPr>
          <w:rFonts w:ascii="宋体" w:hAnsi="宋体" w:eastAsia="宋体" w:cs="宋体"/>
          <w:color w:val="auto"/>
          <w:spacing w:val="-2"/>
          <w:sz w:val="24"/>
          <w:szCs w:val="24"/>
          <w:highlight w:val="none"/>
        </w:rPr>
      </w:pPr>
      <w:r>
        <w:rPr>
          <w:rFonts w:ascii="Times New Roman" w:hAnsi="Times New Roman" w:eastAsia="Times New Roman" w:cs="Times New Roman"/>
          <w:b/>
          <w:bCs/>
          <w:color w:val="auto"/>
          <w:spacing w:val="1"/>
          <w:sz w:val="24"/>
          <w:szCs w:val="24"/>
          <w:highlight w:val="none"/>
        </w:rPr>
        <w:t xml:space="preserve">4.2.4  </w:t>
      </w:r>
      <w:r>
        <w:rPr>
          <w:rFonts w:ascii="宋体" w:hAnsi="宋体" w:eastAsia="宋体" w:cs="宋体"/>
          <w:color w:val="auto"/>
          <w:spacing w:val="-2"/>
          <w:sz w:val="24"/>
          <w:szCs w:val="24"/>
          <w:highlight w:val="none"/>
        </w:rPr>
        <w:t>投标人完成电子投标文件上传后，电子招标投标交易平台即时向投标人发</w:t>
      </w:r>
    </w:p>
    <w:p w14:paraId="61AD8F37">
      <w:pPr>
        <w:spacing w:before="182" w:line="289" w:lineRule="auto"/>
        <w:ind w:right="4"/>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出递交回执通知。递交时间以递交回执通知载明的传输完成时间为准。</w:t>
      </w:r>
    </w:p>
    <w:p w14:paraId="22AE0EE7">
      <w:pPr>
        <w:spacing w:before="183" w:line="219"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4.2.5  </w:t>
      </w:r>
      <w:r>
        <w:rPr>
          <w:rFonts w:ascii="宋体" w:hAnsi="宋体" w:eastAsia="宋体" w:cs="宋体"/>
          <w:color w:val="auto"/>
          <w:spacing w:val="-1"/>
          <w:sz w:val="24"/>
          <w:szCs w:val="24"/>
          <w:highlight w:val="none"/>
        </w:rPr>
        <w:t>当出现投标人须知前附表规定的任何一种情形的，其投标文件将被拒收。</w:t>
      </w:r>
    </w:p>
    <w:p w14:paraId="61FECA98">
      <w:pPr>
        <w:spacing w:before="180" w:line="220" w:lineRule="auto"/>
        <w:ind w:left="2"/>
        <w:outlineLvl w:val="2"/>
        <w:rPr>
          <w:rFonts w:ascii="宋体" w:hAnsi="宋体" w:eastAsia="宋体" w:cs="宋体"/>
          <w:color w:val="auto"/>
          <w:sz w:val="24"/>
          <w:szCs w:val="24"/>
          <w:highlight w:val="none"/>
        </w:rPr>
      </w:pPr>
      <w:bookmarkStart w:id="117" w:name="bookmark55"/>
      <w:bookmarkEnd w:id="117"/>
      <w:bookmarkStart w:id="118" w:name="_Toc26758"/>
      <w:bookmarkStart w:id="119" w:name="_Toc4268"/>
      <w:r>
        <w:rPr>
          <w:rFonts w:ascii="Times New Roman" w:hAnsi="Times New Roman" w:eastAsia="Times New Roman" w:cs="Times New Roman"/>
          <w:b/>
          <w:bCs/>
          <w:color w:val="auto"/>
          <w:spacing w:val="-2"/>
          <w:sz w:val="24"/>
          <w:szCs w:val="24"/>
          <w:highlight w:val="none"/>
        </w:rPr>
        <w:t xml:space="preserve">4.3  </w:t>
      </w:r>
      <w:r>
        <w:rPr>
          <w:rFonts w:ascii="宋体" w:hAnsi="宋体" w:eastAsia="宋体" w:cs="宋体"/>
          <w:b/>
          <w:bCs/>
          <w:color w:val="auto"/>
          <w:spacing w:val="-2"/>
          <w:sz w:val="24"/>
          <w:szCs w:val="24"/>
          <w:highlight w:val="none"/>
        </w:rPr>
        <w:t>投标文件的修改与撤回</w:t>
      </w:r>
      <w:bookmarkEnd w:id="118"/>
      <w:bookmarkEnd w:id="119"/>
    </w:p>
    <w:p w14:paraId="79424440">
      <w:pPr>
        <w:spacing w:before="182" w:line="289" w:lineRule="auto"/>
        <w:ind w:left="8" w:right="4"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4.3.1  </w:t>
      </w:r>
      <w:r>
        <w:rPr>
          <w:rFonts w:ascii="宋体" w:hAnsi="宋体" w:eastAsia="宋体" w:cs="宋体"/>
          <w:color w:val="auto"/>
          <w:spacing w:val="-2"/>
          <w:sz w:val="24"/>
          <w:szCs w:val="24"/>
          <w:highlight w:val="none"/>
        </w:rPr>
        <w:t>在本章第</w:t>
      </w:r>
      <w:r>
        <w:rPr>
          <w:rFonts w:ascii="Times New Roman" w:hAnsi="Times New Roman" w:eastAsia="Times New Roman" w:cs="Times New Roman"/>
          <w:color w:val="auto"/>
          <w:spacing w:val="-2"/>
          <w:sz w:val="24"/>
          <w:szCs w:val="24"/>
          <w:highlight w:val="none"/>
        </w:rPr>
        <w:t>1.10.3</w:t>
      </w:r>
      <w:r>
        <w:rPr>
          <w:rFonts w:ascii="宋体" w:hAnsi="宋体" w:eastAsia="宋体" w:cs="宋体"/>
          <w:color w:val="auto"/>
          <w:spacing w:val="-2"/>
          <w:sz w:val="24"/>
          <w:szCs w:val="24"/>
          <w:highlight w:val="none"/>
        </w:rPr>
        <w:t>项规定的投标截止时间前</w:t>
      </w:r>
      <w:r>
        <w:rPr>
          <w:rFonts w:ascii="宋体" w:hAnsi="宋体" w:eastAsia="宋体" w:cs="宋体"/>
          <w:color w:val="auto"/>
          <w:spacing w:val="-3"/>
          <w:sz w:val="24"/>
          <w:szCs w:val="24"/>
          <w:highlight w:val="none"/>
        </w:rPr>
        <w:t>，投标人可以修改或撤回已递交的</w:t>
      </w:r>
      <w:r>
        <w:rPr>
          <w:rFonts w:ascii="宋体" w:hAnsi="宋体" w:eastAsia="宋体" w:cs="宋体"/>
          <w:color w:val="auto"/>
          <w:spacing w:val="-8"/>
          <w:sz w:val="24"/>
          <w:szCs w:val="24"/>
          <w:highlight w:val="none"/>
        </w:rPr>
        <w:t>投标文件。</w:t>
      </w:r>
    </w:p>
    <w:p w14:paraId="69D85990">
      <w:pPr>
        <w:spacing w:before="180" w:line="313" w:lineRule="auto"/>
        <w:ind w:left="6"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4.3.2  </w:t>
      </w:r>
      <w:r>
        <w:rPr>
          <w:rFonts w:ascii="宋体" w:hAnsi="宋体" w:eastAsia="宋体" w:cs="宋体"/>
          <w:color w:val="auto"/>
          <w:spacing w:val="1"/>
          <w:sz w:val="24"/>
          <w:szCs w:val="24"/>
          <w:highlight w:val="none"/>
        </w:rPr>
        <w:t>投标人修改已递交投标文件时，应先在</w:t>
      </w:r>
      <w:r>
        <w:rPr>
          <w:rFonts w:ascii="宋体" w:hAnsi="宋体" w:eastAsia="宋体" w:cs="宋体"/>
          <w:color w:val="auto"/>
          <w:sz w:val="24"/>
          <w:szCs w:val="24"/>
          <w:highlight w:val="none"/>
        </w:rPr>
        <w:t>交易平台对原投标文件进行撤回操</w:t>
      </w:r>
      <w:r>
        <w:rPr>
          <w:rFonts w:ascii="宋体" w:hAnsi="宋体" w:eastAsia="宋体" w:cs="宋体"/>
          <w:color w:val="auto"/>
          <w:spacing w:val="-3"/>
          <w:sz w:val="24"/>
          <w:szCs w:val="24"/>
          <w:highlight w:val="none"/>
        </w:rPr>
        <w:t>作，修改完成后再重新上传已修改的投标文件，交易平台将完整记录投标人的撤回修</w:t>
      </w:r>
      <w:r>
        <w:rPr>
          <w:rFonts w:ascii="宋体" w:hAnsi="宋体" w:eastAsia="宋体" w:cs="宋体"/>
          <w:color w:val="auto"/>
          <w:spacing w:val="-9"/>
          <w:sz w:val="24"/>
          <w:szCs w:val="24"/>
          <w:highlight w:val="none"/>
        </w:rPr>
        <w:t>改情况。</w:t>
      </w:r>
    </w:p>
    <w:p w14:paraId="5F571074">
      <w:pPr>
        <w:spacing w:before="180" w:line="290" w:lineRule="auto"/>
        <w:ind w:right="23" w:firstLine="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4.3.3  </w:t>
      </w:r>
      <w:r>
        <w:rPr>
          <w:rFonts w:ascii="宋体" w:hAnsi="宋体" w:eastAsia="宋体" w:cs="宋体"/>
          <w:color w:val="auto"/>
          <w:spacing w:val="-3"/>
          <w:sz w:val="24"/>
          <w:szCs w:val="24"/>
          <w:highlight w:val="none"/>
        </w:rPr>
        <w:t>修改的内容为投标文件的组成部分。修改的投标文件应按照本章第</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节、第</w:t>
      </w:r>
      <w:r>
        <w:rPr>
          <w:rFonts w:ascii="Times New Roman" w:hAnsi="Times New Roman" w:eastAsia="Times New Roman" w:cs="Times New Roman"/>
          <w:color w:val="auto"/>
          <w:spacing w:val="-3"/>
          <w:sz w:val="24"/>
          <w:szCs w:val="24"/>
          <w:highlight w:val="none"/>
        </w:rPr>
        <w:t>4</w:t>
      </w:r>
      <w:r>
        <w:rPr>
          <w:rFonts w:ascii="宋体" w:hAnsi="宋体" w:eastAsia="宋体" w:cs="宋体"/>
          <w:color w:val="auto"/>
          <w:spacing w:val="-3"/>
          <w:sz w:val="24"/>
          <w:szCs w:val="24"/>
          <w:highlight w:val="none"/>
        </w:rPr>
        <w:t>节规定进行编制并递交。</w:t>
      </w:r>
    </w:p>
    <w:p w14:paraId="01AA4949">
      <w:pPr>
        <w:spacing w:before="179" w:line="290" w:lineRule="auto"/>
        <w:ind w:left="4" w:right="4"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4.3.4  </w:t>
      </w:r>
      <w:r>
        <w:rPr>
          <w:rFonts w:ascii="宋体" w:hAnsi="宋体" w:eastAsia="宋体" w:cs="宋体"/>
          <w:color w:val="auto"/>
          <w:spacing w:val="-2"/>
          <w:sz w:val="24"/>
          <w:szCs w:val="24"/>
          <w:highlight w:val="none"/>
        </w:rPr>
        <w:t>投标人撤回投标文件的，招</w:t>
      </w:r>
      <w:r>
        <w:rPr>
          <w:rFonts w:ascii="宋体" w:hAnsi="宋体" w:eastAsia="宋体" w:cs="宋体"/>
          <w:color w:val="auto"/>
          <w:spacing w:val="-3"/>
          <w:sz w:val="24"/>
          <w:szCs w:val="24"/>
          <w:highlight w:val="none"/>
        </w:rPr>
        <w:t>标人自收到投标人书面撤回通知之日起</w:t>
      </w:r>
      <w:r>
        <w:rPr>
          <w:rFonts w:ascii="Times New Roman" w:hAnsi="Times New Roman" w:eastAsia="Times New Roman" w:cs="Times New Roman"/>
          <w:color w:val="auto"/>
          <w:spacing w:val="-3"/>
          <w:sz w:val="24"/>
          <w:szCs w:val="24"/>
          <w:highlight w:val="none"/>
        </w:rPr>
        <w:t>5</w:t>
      </w:r>
      <w:r>
        <w:rPr>
          <w:rFonts w:ascii="宋体" w:hAnsi="宋体" w:eastAsia="宋体" w:cs="宋体"/>
          <w:color w:val="auto"/>
          <w:spacing w:val="-3"/>
          <w:sz w:val="24"/>
          <w:szCs w:val="24"/>
          <w:highlight w:val="none"/>
        </w:rPr>
        <w:t>日内退还已收取的投标保证金</w:t>
      </w:r>
      <w:r>
        <w:rPr>
          <w:rFonts w:ascii="宋体" w:hAnsi="宋体" w:eastAsia="宋体" w:cs="宋体"/>
          <w:strike/>
          <w:dstrike w:val="0"/>
          <w:color w:val="auto"/>
          <w:spacing w:val="-3"/>
          <w:sz w:val="24"/>
          <w:szCs w:val="24"/>
          <w:highlight w:val="none"/>
        </w:rPr>
        <w:t>及银行活期存款利息</w:t>
      </w:r>
      <w:r>
        <w:rPr>
          <w:rFonts w:ascii="宋体" w:hAnsi="宋体" w:eastAsia="宋体" w:cs="宋体"/>
          <w:color w:val="auto"/>
          <w:spacing w:val="-3"/>
          <w:sz w:val="24"/>
          <w:szCs w:val="24"/>
          <w:highlight w:val="none"/>
        </w:rPr>
        <w:t>。</w:t>
      </w:r>
    </w:p>
    <w:p w14:paraId="7D528832">
      <w:pPr>
        <w:spacing w:before="306" w:line="221" w:lineRule="auto"/>
        <w:ind w:left="5"/>
        <w:outlineLvl w:val="1"/>
        <w:rPr>
          <w:rFonts w:ascii="宋体" w:hAnsi="宋体" w:eastAsia="宋体" w:cs="宋体"/>
          <w:color w:val="auto"/>
          <w:sz w:val="28"/>
          <w:szCs w:val="28"/>
          <w:highlight w:val="none"/>
        </w:rPr>
      </w:pPr>
      <w:bookmarkStart w:id="120" w:name="bookmark57"/>
      <w:bookmarkEnd w:id="120"/>
      <w:bookmarkStart w:id="121" w:name="bookmark56"/>
      <w:bookmarkEnd w:id="121"/>
      <w:bookmarkStart w:id="122" w:name="_Toc8512"/>
      <w:bookmarkStart w:id="123" w:name="_Toc1952"/>
      <w:r>
        <w:rPr>
          <w:rFonts w:ascii="Times New Roman" w:hAnsi="Times New Roman" w:eastAsia="Times New Roman" w:cs="Times New Roman"/>
          <w:b/>
          <w:bCs/>
          <w:color w:val="auto"/>
          <w:spacing w:val="-7"/>
          <w:sz w:val="28"/>
          <w:szCs w:val="28"/>
          <w:highlight w:val="none"/>
        </w:rPr>
        <w:t>5</w:t>
      </w:r>
      <w:r>
        <w:rPr>
          <w:rFonts w:hint="eastAsia" w:ascii="Times New Roman" w:hAnsi="Times New Roman" w:eastAsia="宋体" w:cs="Times New Roman"/>
          <w:b/>
          <w:bCs/>
          <w:color w:val="auto"/>
          <w:spacing w:val="6"/>
          <w:sz w:val="28"/>
          <w:szCs w:val="28"/>
          <w:highlight w:val="none"/>
          <w:lang w:eastAsia="zh-CN"/>
        </w:rPr>
        <w:t>、</w:t>
      </w:r>
      <w:r>
        <w:rPr>
          <w:rFonts w:ascii="宋体" w:hAnsi="宋体" w:eastAsia="宋体" w:cs="宋体"/>
          <w:b/>
          <w:bCs/>
          <w:color w:val="auto"/>
          <w:spacing w:val="-7"/>
          <w:sz w:val="28"/>
          <w:szCs w:val="28"/>
          <w:highlight w:val="none"/>
        </w:rPr>
        <w:t>开标</w:t>
      </w:r>
      <w:bookmarkEnd w:id="122"/>
      <w:bookmarkEnd w:id="123"/>
    </w:p>
    <w:p w14:paraId="6D59C91F">
      <w:pPr>
        <w:pStyle w:val="3"/>
        <w:spacing w:line="245" w:lineRule="auto"/>
        <w:rPr>
          <w:color w:val="auto"/>
          <w:highlight w:val="none"/>
        </w:rPr>
      </w:pPr>
    </w:p>
    <w:p w14:paraId="5C1A202F">
      <w:pPr>
        <w:spacing w:before="78" w:line="220" w:lineRule="auto"/>
        <w:ind w:left="4"/>
        <w:outlineLvl w:val="2"/>
        <w:rPr>
          <w:rFonts w:ascii="宋体" w:hAnsi="宋体" w:eastAsia="宋体" w:cs="宋体"/>
          <w:color w:val="auto"/>
          <w:sz w:val="24"/>
          <w:szCs w:val="24"/>
          <w:highlight w:val="none"/>
        </w:rPr>
      </w:pPr>
      <w:bookmarkStart w:id="124" w:name="bookmark669"/>
      <w:bookmarkEnd w:id="124"/>
      <w:bookmarkStart w:id="125" w:name="_Toc16524"/>
      <w:bookmarkStart w:id="126" w:name="_Toc6030"/>
      <w:r>
        <w:rPr>
          <w:rFonts w:ascii="Times New Roman" w:hAnsi="Times New Roman" w:eastAsia="Times New Roman" w:cs="Times New Roman"/>
          <w:b/>
          <w:bCs/>
          <w:color w:val="auto"/>
          <w:spacing w:val="-2"/>
          <w:sz w:val="24"/>
          <w:szCs w:val="24"/>
          <w:highlight w:val="none"/>
        </w:rPr>
        <w:t>5.1</w:t>
      </w:r>
      <w:r>
        <w:rPr>
          <w:rFonts w:ascii="宋体" w:hAnsi="宋体" w:eastAsia="宋体" w:cs="宋体"/>
          <w:b/>
          <w:bCs/>
          <w:color w:val="auto"/>
          <w:spacing w:val="-2"/>
          <w:sz w:val="24"/>
          <w:szCs w:val="24"/>
          <w:highlight w:val="none"/>
        </w:rPr>
        <w:t>开标时间和地点</w:t>
      </w:r>
      <w:bookmarkEnd w:id="125"/>
      <w:bookmarkEnd w:id="126"/>
    </w:p>
    <w:p w14:paraId="04F87413">
      <w:pPr>
        <w:spacing w:before="182" w:line="359" w:lineRule="auto"/>
        <w:ind w:left="10" w:right="7" w:firstLine="476"/>
        <w:rPr>
          <w:rFonts w:ascii="宋体" w:hAnsi="宋体" w:eastAsia="宋体" w:cs="宋体"/>
          <w:color w:val="auto"/>
          <w:sz w:val="24"/>
          <w:szCs w:val="24"/>
          <w:highlight w:val="none"/>
        </w:rPr>
      </w:pPr>
      <w:r>
        <w:rPr>
          <w:rFonts w:ascii="宋体" w:hAnsi="宋体" w:eastAsia="宋体" w:cs="宋体"/>
          <w:color w:val="auto"/>
          <w:sz w:val="24"/>
          <w:szCs w:val="24"/>
          <w:highlight w:val="none"/>
        </w:rPr>
        <w:t>招标人在本章第</w:t>
      </w:r>
      <w:r>
        <w:rPr>
          <w:rFonts w:ascii="Times New Roman" w:hAnsi="Times New Roman" w:eastAsia="Times New Roman" w:cs="Times New Roman"/>
          <w:color w:val="auto"/>
          <w:sz w:val="24"/>
          <w:szCs w:val="24"/>
          <w:highlight w:val="none"/>
        </w:rPr>
        <w:t>1.10.3</w:t>
      </w:r>
      <w:r>
        <w:rPr>
          <w:rFonts w:ascii="宋体" w:hAnsi="宋体" w:eastAsia="宋体" w:cs="宋体"/>
          <w:color w:val="auto"/>
          <w:sz w:val="24"/>
          <w:szCs w:val="24"/>
          <w:highlight w:val="none"/>
        </w:rPr>
        <w:t>项规定的投标截止时间（开标时间</w:t>
      </w:r>
      <w:r>
        <w:rPr>
          <w:rFonts w:ascii="宋体" w:hAnsi="宋体" w:eastAsia="宋体" w:cs="宋体"/>
          <w:color w:val="auto"/>
          <w:spacing w:val="7"/>
          <w:sz w:val="24"/>
          <w:szCs w:val="24"/>
          <w:highlight w:val="none"/>
        </w:rPr>
        <w:t>），</w:t>
      </w:r>
      <w:r>
        <w:rPr>
          <w:rFonts w:ascii="宋体" w:hAnsi="宋体" w:eastAsia="宋体" w:cs="宋体"/>
          <w:color w:val="auto"/>
          <w:sz w:val="24"/>
          <w:szCs w:val="24"/>
          <w:highlight w:val="none"/>
        </w:rPr>
        <w:t>通过电子招标投标</w:t>
      </w:r>
      <w:r>
        <w:rPr>
          <w:rFonts w:ascii="宋体" w:hAnsi="宋体" w:eastAsia="宋体" w:cs="宋体"/>
          <w:color w:val="auto"/>
          <w:spacing w:val="-2"/>
          <w:sz w:val="24"/>
          <w:szCs w:val="24"/>
          <w:highlight w:val="none"/>
        </w:rPr>
        <w:t>交易平台公开开标，具体要求见投标人须知前附表规定。</w:t>
      </w:r>
    </w:p>
    <w:p w14:paraId="05DFD066">
      <w:pPr>
        <w:spacing w:line="220" w:lineRule="auto"/>
        <w:ind w:left="4"/>
        <w:outlineLvl w:val="2"/>
        <w:rPr>
          <w:rFonts w:ascii="宋体" w:hAnsi="宋体" w:eastAsia="宋体" w:cs="宋体"/>
          <w:color w:val="auto"/>
          <w:sz w:val="24"/>
          <w:szCs w:val="24"/>
          <w:highlight w:val="none"/>
        </w:rPr>
      </w:pPr>
      <w:bookmarkStart w:id="127" w:name="bookmark58"/>
      <w:bookmarkEnd w:id="127"/>
      <w:bookmarkStart w:id="128" w:name="_Toc19791"/>
      <w:bookmarkStart w:id="129" w:name="_Toc3698"/>
      <w:r>
        <w:rPr>
          <w:rFonts w:ascii="Times New Roman" w:hAnsi="Times New Roman" w:eastAsia="Times New Roman" w:cs="Times New Roman"/>
          <w:b/>
          <w:bCs/>
          <w:color w:val="auto"/>
          <w:spacing w:val="-2"/>
          <w:sz w:val="24"/>
          <w:szCs w:val="24"/>
          <w:highlight w:val="none"/>
        </w:rPr>
        <w:t xml:space="preserve">5.2  </w:t>
      </w:r>
      <w:r>
        <w:rPr>
          <w:rFonts w:ascii="宋体" w:hAnsi="宋体" w:eastAsia="宋体" w:cs="宋体"/>
          <w:b/>
          <w:bCs/>
          <w:color w:val="auto"/>
          <w:spacing w:val="-2"/>
          <w:sz w:val="24"/>
          <w:szCs w:val="24"/>
          <w:highlight w:val="none"/>
        </w:rPr>
        <w:t>开标程序</w:t>
      </w:r>
      <w:bookmarkEnd w:id="128"/>
      <w:bookmarkEnd w:id="129"/>
    </w:p>
    <w:p w14:paraId="5D92BF7F">
      <w:pPr>
        <w:spacing w:before="179" w:line="219" w:lineRule="auto"/>
        <w:ind w:left="49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开标程序见投标人须知前附表。</w:t>
      </w:r>
    </w:p>
    <w:p w14:paraId="10F6E36F">
      <w:pPr>
        <w:spacing w:before="183" w:line="220" w:lineRule="auto"/>
        <w:ind w:left="4"/>
        <w:outlineLvl w:val="2"/>
        <w:rPr>
          <w:rFonts w:ascii="宋体" w:hAnsi="宋体" w:eastAsia="宋体" w:cs="宋体"/>
          <w:color w:val="auto"/>
          <w:sz w:val="24"/>
          <w:szCs w:val="24"/>
          <w:highlight w:val="none"/>
        </w:rPr>
      </w:pPr>
      <w:bookmarkStart w:id="130" w:name="bookmark59"/>
      <w:bookmarkEnd w:id="130"/>
      <w:bookmarkStart w:id="131" w:name="_Toc20965"/>
      <w:bookmarkStart w:id="132" w:name="_Toc26255"/>
      <w:r>
        <w:rPr>
          <w:rFonts w:ascii="Times New Roman" w:hAnsi="Times New Roman" w:eastAsia="Times New Roman" w:cs="Times New Roman"/>
          <w:b/>
          <w:bCs/>
          <w:color w:val="auto"/>
          <w:spacing w:val="-2"/>
          <w:sz w:val="24"/>
          <w:szCs w:val="24"/>
          <w:highlight w:val="none"/>
        </w:rPr>
        <w:t xml:space="preserve">5.3  </w:t>
      </w:r>
      <w:r>
        <w:rPr>
          <w:rFonts w:ascii="宋体" w:hAnsi="宋体" w:eastAsia="宋体" w:cs="宋体"/>
          <w:b/>
          <w:bCs/>
          <w:color w:val="auto"/>
          <w:spacing w:val="-2"/>
          <w:sz w:val="24"/>
          <w:szCs w:val="24"/>
          <w:highlight w:val="none"/>
        </w:rPr>
        <w:t>特殊情况处置</w:t>
      </w:r>
      <w:bookmarkEnd w:id="131"/>
      <w:bookmarkEnd w:id="132"/>
    </w:p>
    <w:p w14:paraId="24621369">
      <w:pPr>
        <w:spacing w:before="183" w:line="219" w:lineRule="auto"/>
        <w:ind w:left="49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特殊情况处置见投标人须知前附表。</w:t>
      </w:r>
    </w:p>
    <w:p w14:paraId="3A60A1C8">
      <w:pPr>
        <w:spacing w:before="180" w:line="220" w:lineRule="auto"/>
        <w:ind w:left="4"/>
        <w:outlineLvl w:val="2"/>
        <w:rPr>
          <w:rFonts w:ascii="宋体" w:hAnsi="宋体" w:eastAsia="宋体" w:cs="宋体"/>
          <w:color w:val="auto"/>
          <w:sz w:val="24"/>
          <w:szCs w:val="24"/>
          <w:highlight w:val="none"/>
        </w:rPr>
      </w:pPr>
      <w:bookmarkStart w:id="133" w:name="bookmark60"/>
      <w:bookmarkEnd w:id="133"/>
      <w:bookmarkStart w:id="134" w:name="_Toc2378"/>
      <w:bookmarkStart w:id="135" w:name="_Toc3893"/>
      <w:r>
        <w:rPr>
          <w:rFonts w:ascii="Times New Roman" w:hAnsi="Times New Roman" w:eastAsia="Times New Roman" w:cs="Times New Roman"/>
          <w:b/>
          <w:bCs/>
          <w:color w:val="auto"/>
          <w:spacing w:val="-2"/>
          <w:sz w:val="24"/>
          <w:szCs w:val="24"/>
          <w:highlight w:val="none"/>
        </w:rPr>
        <w:t xml:space="preserve">5.4  </w:t>
      </w:r>
      <w:r>
        <w:rPr>
          <w:rFonts w:ascii="宋体" w:hAnsi="宋体" w:eastAsia="宋体" w:cs="宋体"/>
          <w:b/>
          <w:bCs/>
          <w:color w:val="auto"/>
          <w:spacing w:val="-2"/>
          <w:sz w:val="24"/>
          <w:szCs w:val="24"/>
          <w:highlight w:val="none"/>
        </w:rPr>
        <w:t>开标异议</w:t>
      </w:r>
      <w:bookmarkEnd w:id="134"/>
      <w:bookmarkEnd w:id="135"/>
    </w:p>
    <w:p w14:paraId="1E35D238">
      <w:pPr>
        <w:spacing w:before="183" w:line="360" w:lineRule="auto"/>
        <w:ind w:left="11" w:right="4" w:firstLine="47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投标人对开标有异议的，应当通过电子招标投标交易平台提出，招标人将在开标结束前通过电子招标投标交易平台作出答复。</w:t>
      </w:r>
    </w:p>
    <w:p w14:paraId="69C12CD4">
      <w:pPr>
        <w:spacing w:before="123" w:line="221" w:lineRule="auto"/>
        <w:ind w:left="6"/>
        <w:outlineLvl w:val="1"/>
        <w:rPr>
          <w:rFonts w:ascii="宋体" w:hAnsi="宋体" w:eastAsia="宋体" w:cs="宋体"/>
          <w:color w:val="auto"/>
          <w:sz w:val="28"/>
          <w:szCs w:val="28"/>
          <w:highlight w:val="none"/>
        </w:rPr>
      </w:pPr>
      <w:bookmarkStart w:id="136" w:name="bookmark61"/>
      <w:bookmarkEnd w:id="136"/>
      <w:bookmarkStart w:id="137" w:name="bookmark62"/>
      <w:bookmarkEnd w:id="137"/>
      <w:bookmarkStart w:id="138" w:name="_Toc21246"/>
      <w:bookmarkStart w:id="139" w:name="_Toc15248"/>
      <w:r>
        <w:rPr>
          <w:rFonts w:ascii="Times New Roman" w:hAnsi="Times New Roman" w:eastAsia="Times New Roman" w:cs="Times New Roman"/>
          <w:b/>
          <w:bCs/>
          <w:color w:val="auto"/>
          <w:spacing w:val="-7"/>
          <w:sz w:val="28"/>
          <w:szCs w:val="28"/>
          <w:highlight w:val="none"/>
        </w:rPr>
        <w:t>6</w:t>
      </w:r>
      <w:r>
        <w:rPr>
          <w:rFonts w:hint="eastAsia" w:ascii="Times New Roman" w:hAnsi="Times New Roman" w:eastAsia="宋体" w:cs="Times New Roman"/>
          <w:b/>
          <w:bCs/>
          <w:color w:val="auto"/>
          <w:spacing w:val="5"/>
          <w:sz w:val="28"/>
          <w:szCs w:val="28"/>
          <w:highlight w:val="none"/>
          <w:lang w:eastAsia="zh-CN"/>
        </w:rPr>
        <w:t>、</w:t>
      </w:r>
      <w:r>
        <w:rPr>
          <w:rFonts w:ascii="宋体" w:hAnsi="宋体" w:eastAsia="宋体" w:cs="宋体"/>
          <w:b/>
          <w:bCs/>
          <w:color w:val="auto"/>
          <w:spacing w:val="-7"/>
          <w:sz w:val="28"/>
          <w:szCs w:val="28"/>
          <w:highlight w:val="none"/>
        </w:rPr>
        <w:t>评标</w:t>
      </w:r>
      <w:bookmarkEnd w:id="138"/>
      <w:bookmarkEnd w:id="139"/>
    </w:p>
    <w:p w14:paraId="14714086">
      <w:pPr>
        <w:pStyle w:val="3"/>
        <w:spacing w:line="244" w:lineRule="auto"/>
        <w:rPr>
          <w:color w:val="auto"/>
          <w:highlight w:val="none"/>
        </w:rPr>
      </w:pPr>
    </w:p>
    <w:p w14:paraId="2D909CBC">
      <w:pPr>
        <w:spacing w:before="78" w:line="219" w:lineRule="auto"/>
        <w:ind w:left="5"/>
        <w:outlineLvl w:val="2"/>
        <w:rPr>
          <w:rFonts w:ascii="宋体" w:hAnsi="宋体" w:eastAsia="宋体" w:cs="宋体"/>
          <w:color w:val="auto"/>
          <w:sz w:val="24"/>
          <w:szCs w:val="24"/>
          <w:highlight w:val="none"/>
        </w:rPr>
      </w:pPr>
      <w:bookmarkStart w:id="140" w:name="bookmark670"/>
      <w:bookmarkEnd w:id="140"/>
      <w:bookmarkStart w:id="141" w:name="_Toc16971"/>
      <w:bookmarkStart w:id="142" w:name="_Toc15784"/>
      <w:r>
        <w:rPr>
          <w:rFonts w:ascii="Times New Roman" w:hAnsi="Times New Roman" w:eastAsia="Times New Roman" w:cs="Times New Roman"/>
          <w:b/>
          <w:bCs/>
          <w:color w:val="auto"/>
          <w:spacing w:val="-2"/>
          <w:sz w:val="24"/>
          <w:szCs w:val="24"/>
          <w:highlight w:val="none"/>
        </w:rPr>
        <w:t xml:space="preserve">6.1  </w:t>
      </w:r>
      <w:r>
        <w:rPr>
          <w:rFonts w:ascii="宋体" w:hAnsi="宋体" w:eastAsia="宋体" w:cs="宋体"/>
          <w:b/>
          <w:bCs/>
          <w:color w:val="auto"/>
          <w:spacing w:val="-2"/>
          <w:sz w:val="24"/>
          <w:szCs w:val="24"/>
          <w:highlight w:val="none"/>
        </w:rPr>
        <w:t>评标委员会</w:t>
      </w:r>
      <w:bookmarkEnd w:id="141"/>
      <w:bookmarkEnd w:id="142"/>
    </w:p>
    <w:p w14:paraId="4733FF10">
      <w:pPr>
        <w:spacing w:before="182" w:line="360" w:lineRule="auto"/>
        <w:ind w:left="4" w:right="4" w:firstLine="482"/>
        <w:jc w:val="both"/>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6.1.1  </w:t>
      </w:r>
      <w:r>
        <w:rPr>
          <w:rFonts w:ascii="宋体" w:hAnsi="宋体" w:eastAsia="宋体" w:cs="宋体"/>
          <w:color w:val="auto"/>
          <w:sz w:val="24"/>
          <w:szCs w:val="24"/>
          <w:highlight w:val="none"/>
        </w:rPr>
        <w:t>评标由招标人依法组建的评标委员会负责。评标委员会由招标人或其委托</w:t>
      </w:r>
      <w:r>
        <w:rPr>
          <w:rFonts w:ascii="宋体" w:hAnsi="宋体" w:eastAsia="宋体" w:cs="宋体"/>
          <w:color w:val="auto"/>
          <w:spacing w:val="-3"/>
          <w:sz w:val="24"/>
          <w:szCs w:val="24"/>
          <w:highlight w:val="none"/>
        </w:rPr>
        <w:t>的招标代理机构熟悉相关业务的代表，以及有关技术、经济等方面的专家组成。评标</w:t>
      </w:r>
      <w:r>
        <w:rPr>
          <w:rFonts w:ascii="宋体" w:hAnsi="宋体" w:eastAsia="宋体" w:cs="宋体"/>
          <w:color w:val="auto"/>
          <w:spacing w:val="-1"/>
          <w:sz w:val="24"/>
          <w:szCs w:val="24"/>
          <w:highlight w:val="none"/>
        </w:rPr>
        <w:t>委员会成员人数以及技术、经济等方面专家的确定方式见</w:t>
      </w:r>
      <w:r>
        <w:rPr>
          <w:rFonts w:ascii="宋体" w:hAnsi="宋体" w:eastAsia="宋体" w:cs="宋体"/>
          <w:color w:val="auto"/>
          <w:spacing w:val="-2"/>
          <w:sz w:val="24"/>
          <w:szCs w:val="24"/>
          <w:highlight w:val="none"/>
        </w:rPr>
        <w:t>投标人须知前附表。</w:t>
      </w:r>
    </w:p>
    <w:p w14:paraId="453036D0">
      <w:pPr>
        <w:tabs>
          <w:tab w:val="left" w:pos="469"/>
        </w:tabs>
        <w:bidi w:val="0"/>
        <w:jc w:val="left"/>
        <w:rPr>
          <w:rFonts w:ascii="宋体" w:hAnsi="宋体" w:eastAsia="宋体" w:cs="宋体"/>
          <w:color w:val="auto"/>
          <w:sz w:val="24"/>
          <w:szCs w:val="24"/>
          <w:highlight w:val="none"/>
        </w:rPr>
      </w:pPr>
      <w:r>
        <w:rPr>
          <w:rFonts w:hint="eastAsia" w:eastAsia="宋体"/>
          <w:color w:val="auto"/>
          <w:highlight w:val="none"/>
          <w:lang w:val="en-US" w:eastAsia="zh-CN"/>
        </w:rPr>
        <w:tab/>
      </w:r>
      <w:r>
        <w:rPr>
          <w:rFonts w:ascii="Times New Roman" w:hAnsi="Times New Roman" w:eastAsia="Times New Roman" w:cs="Times New Roman"/>
          <w:b/>
          <w:bCs/>
          <w:color w:val="auto"/>
          <w:spacing w:val="-2"/>
          <w:sz w:val="24"/>
          <w:szCs w:val="24"/>
          <w:highlight w:val="none"/>
        </w:rPr>
        <w:t xml:space="preserve">6.1.2  </w:t>
      </w:r>
      <w:r>
        <w:rPr>
          <w:rFonts w:ascii="宋体" w:hAnsi="宋体" w:eastAsia="宋体" w:cs="宋体"/>
          <w:color w:val="auto"/>
          <w:spacing w:val="-2"/>
          <w:sz w:val="24"/>
          <w:szCs w:val="24"/>
          <w:highlight w:val="none"/>
        </w:rPr>
        <w:t>评标委员会成员有下列情形之一的，应当回</w:t>
      </w:r>
      <w:r>
        <w:rPr>
          <w:rFonts w:ascii="宋体" w:hAnsi="宋体" w:eastAsia="宋体" w:cs="宋体"/>
          <w:color w:val="auto"/>
          <w:spacing w:val="-3"/>
          <w:sz w:val="24"/>
          <w:szCs w:val="24"/>
          <w:highlight w:val="none"/>
        </w:rPr>
        <w:t>避：</w:t>
      </w:r>
    </w:p>
    <w:p w14:paraId="4A14C1E5">
      <w:pPr>
        <w:spacing w:before="182" w:line="220" w:lineRule="auto"/>
        <w:ind w:left="48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）投标人或投标人的主要负责人的近亲属。</w:t>
      </w:r>
    </w:p>
    <w:p w14:paraId="2AF4C28A">
      <w:pPr>
        <w:spacing w:before="179" w:line="220" w:lineRule="auto"/>
        <w:ind w:left="48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）项目主管部门或者行政监督部门的人员。</w:t>
      </w:r>
    </w:p>
    <w:p w14:paraId="09E7344B">
      <w:pPr>
        <w:spacing w:before="183" w:line="220"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）与投标人有经济利益关系，可能影响对投标公正评审的。</w:t>
      </w:r>
    </w:p>
    <w:p w14:paraId="1B6ED71D">
      <w:pPr>
        <w:spacing w:before="179" w:line="290" w:lineRule="auto"/>
        <w:ind w:right="92" w:firstLine="487"/>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4</w:t>
      </w:r>
      <w:r>
        <w:rPr>
          <w:rFonts w:ascii="宋体" w:hAnsi="宋体" w:eastAsia="宋体" w:cs="宋体"/>
          <w:color w:val="auto"/>
          <w:sz w:val="24"/>
          <w:szCs w:val="24"/>
          <w:highlight w:val="none"/>
        </w:rPr>
        <w:t>）曾因在招标、评标以及其他与招标投标有关活动中从事违法行为而受过行</w:t>
      </w:r>
      <w:r>
        <w:rPr>
          <w:rFonts w:ascii="宋体" w:hAnsi="宋体" w:eastAsia="宋体" w:cs="宋体"/>
          <w:color w:val="auto"/>
          <w:spacing w:val="-4"/>
          <w:sz w:val="24"/>
          <w:szCs w:val="24"/>
          <w:highlight w:val="none"/>
        </w:rPr>
        <w:t>政处罚或刑事处罚的。</w:t>
      </w:r>
    </w:p>
    <w:p w14:paraId="5E4BAE0A">
      <w:pPr>
        <w:spacing w:before="179" w:line="219"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5</w:t>
      </w:r>
      <w:r>
        <w:rPr>
          <w:rFonts w:ascii="宋体" w:hAnsi="宋体" w:eastAsia="宋体" w:cs="宋体"/>
          <w:color w:val="auto"/>
          <w:spacing w:val="-2"/>
          <w:sz w:val="24"/>
          <w:szCs w:val="24"/>
          <w:highlight w:val="none"/>
        </w:rPr>
        <w:t>）法律、法规、规章规定应当回避的其</w:t>
      </w:r>
      <w:r>
        <w:rPr>
          <w:rFonts w:ascii="宋体" w:hAnsi="宋体" w:eastAsia="宋体" w:cs="宋体"/>
          <w:color w:val="auto"/>
          <w:spacing w:val="-3"/>
          <w:sz w:val="24"/>
          <w:szCs w:val="24"/>
          <w:highlight w:val="none"/>
        </w:rPr>
        <w:t>他情形。</w:t>
      </w:r>
    </w:p>
    <w:p w14:paraId="342ABCF6">
      <w:pPr>
        <w:spacing w:before="184" w:line="220" w:lineRule="auto"/>
        <w:outlineLvl w:val="2"/>
        <w:rPr>
          <w:rFonts w:ascii="宋体" w:hAnsi="宋体" w:eastAsia="宋体" w:cs="宋体"/>
          <w:color w:val="auto"/>
          <w:sz w:val="24"/>
          <w:szCs w:val="24"/>
          <w:highlight w:val="none"/>
        </w:rPr>
      </w:pPr>
      <w:bookmarkStart w:id="143" w:name="bookmark63"/>
      <w:bookmarkEnd w:id="143"/>
      <w:bookmarkStart w:id="144" w:name="_Toc20133"/>
      <w:bookmarkStart w:id="145" w:name="_Toc8201"/>
      <w:r>
        <w:rPr>
          <w:rFonts w:ascii="Times New Roman" w:hAnsi="Times New Roman" w:eastAsia="Times New Roman" w:cs="Times New Roman"/>
          <w:b/>
          <w:bCs/>
          <w:color w:val="auto"/>
          <w:spacing w:val="-2"/>
          <w:sz w:val="24"/>
          <w:szCs w:val="24"/>
          <w:highlight w:val="none"/>
        </w:rPr>
        <w:t xml:space="preserve">6.2  </w:t>
      </w:r>
      <w:r>
        <w:rPr>
          <w:rFonts w:ascii="宋体" w:hAnsi="宋体" w:eastAsia="宋体" w:cs="宋体"/>
          <w:b/>
          <w:bCs/>
          <w:color w:val="auto"/>
          <w:spacing w:val="-2"/>
          <w:sz w:val="24"/>
          <w:szCs w:val="24"/>
          <w:highlight w:val="none"/>
        </w:rPr>
        <w:t>评标原则</w:t>
      </w:r>
      <w:bookmarkEnd w:id="144"/>
      <w:bookmarkEnd w:id="145"/>
    </w:p>
    <w:p w14:paraId="6CBDB6B5">
      <w:pPr>
        <w:spacing w:before="179" w:line="219" w:lineRule="auto"/>
        <w:ind w:left="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评标活动遵循公平、公正、科学和择优的原则。</w:t>
      </w:r>
    </w:p>
    <w:p w14:paraId="3D239B34">
      <w:pPr>
        <w:spacing w:before="184" w:line="219" w:lineRule="auto"/>
        <w:outlineLvl w:val="2"/>
        <w:rPr>
          <w:rFonts w:ascii="宋体" w:hAnsi="宋体" w:eastAsia="宋体" w:cs="宋体"/>
          <w:color w:val="auto"/>
          <w:sz w:val="24"/>
          <w:szCs w:val="24"/>
          <w:highlight w:val="none"/>
        </w:rPr>
      </w:pPr>
      <w:bookmarkStart w:id="146" w:name="bookmark64"/>
      <w:bookmarkEnd w:id="146"/>
      <w:bookmarkStart w:id="147" w:name="_Toc7270"/>
      <w:bookmarkStart w:id="148" w:name="_Toc1150"/>
      <w:r>
        <w:rPr>
          <w:rFonts w:ascii="Times New Roman" w:hAnsi="Times New Roman" w:eastAsia="Times New Roman" w:cs="Times New Roman"/>
          <w:b/>
          <w:bCs/>
          <w:color w:val="auto"/>
          <w:spacing w:val="-2"/>
          <w:sz w:val="24"/>
          <w:szCs w:val="24"/>
          <w:highlight w:val="none"/>
        </w:rPr>
        <w:t xml:space="preserve">6.3  </w:t>
      </w:r>
      <w:r>
        <w:rPr>
          <w:rFonts w:ascii="宋体" w:hAnsi="宋体" w:eastAsia="宋体" w:cs="宋体"/>
          <w:b/>
          <w:bCs/>
          <w:color w:val="auto"/>
          <w:spacing w:val="-2"/>
          <w:sz w:val="24"/>
          <w:szCs w:val="24"/>
          <w:highlight w:val="none"/>
        </w:rPr>
        <w:t>评标办法与中标候选人推荐</w:t>
      </w:r>
      <w:bookmarkEnd w:id="147"/>
      <w:bookmarkEnd w:id="148"/>
    </w:p>
    <w:p w14:paraId="6AE55F37">
      <w:pPr>
        <w:spacing w:before="182" w:line="359" w:lineRule="auto"/>
        <w:ind w:left="4" w:right="80" w:firstLine="476"/>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评标委员会按照第三章“评标定标办法”规定的方法、评审因素、标准和程序对</w:t>
      </w:r>
      <w:r>
        <w:rPr>
          <w:rFonts w:ascii="宋体" w:hAnsi="宋体" w:eastAsia="宋体" w:cs="宋体"/>
          <w:color w:val="auto"/>
          <w:sz w:val="24"/>
          <w:szCs w:val="24"/>
          <w:highlight w:val="none"/>
        </w:rPr>
        <w:t>投标文件进行评审并推荐中标候选人，中标候选人数量详见投标人须知前附表。第</w:t>
      </w:r>
      <w:r>
        <w:rPr>
          <w:rFonts w:ascii="Times New Roman" w:hAnsi="Times New Roman" w:eastAsia="Times New Roman" w:cs="Times New Roman"/>
          <w:color w:val="auto"/>
          <w:sz w:val="24"/>
          <w:szCs w:val="24"/>
          <w:highlight w:val="none"/>
        </w:rPr>
        <w:t>3</w:t>
      </w:r>
      <w:r>
        <w:rPr>
          <w:rFonts w:ascii="宋体" w:hAnsi="宋体" w:eastAsia="宋体" w:cs="宋体"/>
          <w:color w:val="auto"/>
          <w:spacing w:val="-1"/>
          <w:sz w:val="24"/>
          <w:szCs w:val="24"/>
          <w:highlight w:val="none"/>
        </w:rPr>
        <w:t>章“评标定标办法”没有规定的方法、评审</w:t>
      </w:r>
      <w:r>
        <w:rPr>
          <w:rFonts w:ascii="宋体" w:hAnsi="宋体" w:eastAsia="宋体" w:cs="宋体"/>
          <w:color w:val="auto"/>
          <w:spacing w:val="-2"/>
          <w:sz w:val="24"/>
          <w:szCs w:val="24"/>
          <w:highlight w:val="none"/>
        </w:rPr>
        <w:t>因素和标准，不作为评标依据。</w:t>
      </w:r>
    </w:p>
    <w:p w14:paraId="71E96760">
      <w:pPr>
        <w:spacing w:before="1" w:line="218" w:lineRule="auto"/>
        <w:outlineLvl w:val="2"/>
        <w:rPr>
          <w:rFonts w:ascii="宋体" w:hAnsi="宋体" w:eastAsia="宋体" w:cs="宋体"/>
          <w:color w:val="auto"/>
          <w:sz w:val="24"/>
          <w:szCs w:val="24"/>
          <w:highlight w:val="none"/>
        </w:rPr>
      </w:pPr>
      <w:bookmarkStart w:id="149" w:name="bookmark65"/>
      <w:bookmarkEnd w:id="149"/>
      <w:bookmarkStart w:id="150" w:name="_Toc7234"/>
      <w:bookmarkStart w:id="151" w:name="_Toc7522"/>
      <w:r>
        <w:rPr>
          <w:rFonts w:ascii="Times New Roman" w:hAnsi="Times New Roman" w:eastAsia="Times New Roman" w:cs="Times New Roman"/>
          <w:b/>
          <w:bCs/>
          <w:color w:val="auto"/>
          <w:spacing w:val="-5"/>
          <w:sz w:val="24"/>
          <w:szCs w:val="24"/>
          <w:highlight w:val="none"/>
        </w:rPr>
        <w:t>6.4</w:t>
      </w:r>
      <w:r>
        <w:rPr>
          <w:rFonts w:ascii="Times New Roman" w:hAnsi="Times New Roman" w:eastAsia="Times New Roman" w:cs="Times New Roman"/>
          <w:b/>
          <w:bCs/>
          <w:color w:val="auto"/>
          <w:spacing w:val="19"/>
          <w:w w:val="101"/>
          <w:sz w:val="24"/>
          <w:szCs w:val="24"/>
          <w:highlight w:val="none"/>
        </w:rPr>
        <w:t xml:space="preserve">  </w:t>
      </w:r>
      <w:r>
        <w:rPr>
          <w:rFonts w:ascii="宋体" w:hAnsi="宋体" w:eastAsia="宋体" w:cs="宋体"/>
          <w:b/>
          <w:bCs/>
          <w:color w:val="auto"/>
          <w:spacing w:val="-5"/>
          <w:sz w:val="24"/>
          <w:szCs w:val="24"/>
          <w:highlight w:val="none"/>
        </w:rPr>
        <w:t>中标候选人公示及媒介</w:t>
      </w:r>
      <w:bookmarkEnd w:id="150"/>
      <w:bookmarkEnd w:id="151"/>
    </w:p>
    <w:p w14:paraId="275B46B2">
      <w:pPr>
        <w:spacing w:before="181" w:line="361" w:lineRule="auto"/>
        <w:ind w:left="6" w:right="80" w:firstLine="475"/>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招标人自确定中标候选人之日起</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日内，认真审查评标委员会提交的书面评标报</w:t>
      </w:r>
      <w:r>
        <w:rPr>
          <w:rFonts w:ascii="宋体" w:hAnsi="宋体" w:eastAsia="宋体" w:cs="宋体"/>
          <w:color w:val="auto"/>
          <w:spacing w:val="-3"/>
          <w:sz w:val="24"/>
          <w:szCs w:val="24"/>
          <w:highlight w:val="none"/>
        </w:rPr>
        <w:t>告，发现异常情形的，依法依规进行复核和纠正，应在原发布招标公告或资格预审公</w:t>
      </w:r>
      <w:r>
        <w:rPr>
          <w:rFonts w:ascii="宋体" w:hAnsi="宋体" w:eastAsia="宋体" w:cs="宋体"/>
          <w:color w:val="auto"/>
          <w:spacing w:val="-1"/>
          <w:sz w:val="24"/>
          <w:szCs w:val="24"/>
          <w:highlight w:val="none"/>
        </w:rPr>
        <w:t>告的媒介上发布中标公示</w:t>
      </w:r>
      <w:r>
        <w:rPr>
          <w:rFonts w:hint="eastAsia" w:ascii="宋体" w:hAnsi="宋体" w:eastAsia="宋体" w:cs="宋体"/>
          <w:color w:val="auto"/>
          <w:spacing w:val="-1"/>
          <w:sz w:val="24"/>
          <w:szCs w:val="24"/>
          <w:highlight w:val="none"/>
          <w:lang w:eastAsia="zh-CN"/>
        </w:rPr>
        <w:t>，</w:t>
      </w:r>
      <w:r>
        <w:rPr>
          <w:rFonts w:ascii="宋体" w:hAnsi="宋体" w:eastAsia="宋体" w:cs="宋体"/>
          <w:color w:val="auto"/>
          <w:spacing w:val="-1"/>
          <w:sz w:val="24"/>
          <w:szCs w:val="24"/>
          <w:highlight w:val="none"/>
        </w:rPr>
        <w:t>公示期为</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日</w:t>
      </w:r>
      <w:r>
        <w:rPr>
          <w:rFonts w:ascii="宋体" w:hAnsi="宋体" w:eastAsia="宋体" w:cs="宋体"/>
          <w:color w:val="auto"/>
          <w:spacing w:val="-2"/>
          <w:sz w:val="24"/>
          <w:szCs w:val="24"/>
          <w:highlight w:val="none"/>
        </w:rPr>
        <w:t>，公示媒介见投标人须知前附表。</w:t>
      </w:r>
    </w:p>
    <w:p w14:paraId="049C099C">
      <w:pPr>
        <w:spacing w:before="121" w:line="221" w:lineRule="auto"/>
        <w:ind w:left="1"/>
        <w:outlineLvl w:val="1"/>
        <w:rPr>
          <w:rFonts w:ascii="宋体" w:hAnsi="宋体" w:eastAsia="宋体" w:cs="宋体"/>
          <w:color w:val="auto"/>
          <w:sz w:val="28"/>
          <w:szCs w:val="28"/>
          <w:highlight w:val="none"/>
        </w:rPr>
      </w:pPr>
      <w:bookmarkStart w:id="152" w:name="bookmark66"/>
      <w:bookmarkEnd w:id="152"/>
      <w:bookmarkStart w:id="153" w:name="bookmark67"/>
      <w:bookmarkEnd w:id="153"/>
      <w:bookmarkStart w:id="154" w:name="_Toc3514"/>
      <w:bookmarkStart w:id="155" w:name="_Toc21415"/>
      <w:r>
        <w:rPr>
          <w:rFonts w:ascii="Times New Roman" w:hAnsi="Times New Roman" w:eastAsia="Times New Roman" w:cs="Times New Roman"/>
          <w:b/>
          <w:bCs/>
          <w:color w:val="auto"/>
          <w:spacing w:val="-6"/>
          <w:sz w:val="28"/>
          <w:szCs w:val="28"/>
          <w:highlight w:val="none"/>
        </w:rPr>
        <w:t>7</w:t>
      </w:r>
      <w:r>
        <w:rPr>
          <w:rFonts w:hint="eastAsia" w:ascii="Times New Roman" w:hAnsi="Times New Roman" w:eastAsia="宋体" w:cs="Times New Roman"/>
          <w:b/>
          <w:bCs/>
          <w:color w:val="auto"/>
          <w:spacing w:val="6"/>
          <w:sz w:val="28"/>
          <w:szCs w:val="28"/>
          <w:highlight w:val="none"/>
          <w:lang w:eastAsia="zh-CN"/>
        </w:rPr>
        <w:t>、</w:t>
      </w:r>
      <w:r>
        <w:rPr>
          <w:rFonts w:ascii="宋体" w:hAnsi="宋体" w:eastAsia="宋体" w:cs="宋体"/>
          <w:b/>
          <w:bCs/>
          <w:color w:val="auto"/>
          <w:spacing w:val="-6"/>
          <w:sz w:val="28"/>
          <w:szCs w:val="28"/>
          <w:highlight w:val="none"/>
        </w:rPr>
        <w:t>合同授予</w:t>
      </w:r>
      <w:bookmarkEnd w:id="154"/>
      <w:bookmarkEnd w:id="155"/>
    </w:p>
    <w:p w14:paraId="15506C46">
      <w:pPr>
        <w:pStyle w:val="3"/>
        <w:spacing w:line="243" w:lineRule="auto"/>
        <w:rPr>
          <w:color w:val="auto"/>
          <w:highlight w:val="none"/>
        </w:rPr>
      </w:pPr>
    </w:p>
    <w:p w14:paraId="27149AA5">
      <w:pPr>
        <w:spacing w:before="79" w:line="220" w:lineRule="auto"/>
        <w:outlineLvl w:val="2"/>
        <w:rPr>
          <w:rFonts w:ascii="宋体" w:hAnsi="宋体" w:eastAsia="宋体" w:cs="宋体"/>
          <w:color w:val="auto"/>
          <w:sz w:val="24"/>
          <w:szCs w:val="24"/>
          <w:highlight w:val="none"/>
        </w:rPr>
      </w:pPr>
      <w:bookmarkStart w:id="156" w:name="bookmark671"/>
      <w:bookmarkEnd w:id="156"/>
      <w:bookmarkStart w:id="157" w:name="_Toc13945"/>
      <w:bookmarkStart w:id="158" w:name="_Toc23901"/>
      <w:r>
        <w:rPr>
          <w:rFonts w:ascii="Times New Roman" w:hAnsi="Times New Roman" w:eastAsia="Times New Roman" w:cs="Times New Roman"/>
          <w:b/>
          <w:bCs/>
          <w:color w:val="auto"/>
          <w:spacing w:val="-5"/>
          <w:sz w:val="24"/>
          <w:szCs w:val="24"/>
          <w:highlight w:val="none"/>
        </w:rPr>
        <w:t>7.1</w:t>
      </w:r>
      <w:r>
        <w:rPr>
          <w:rFonts w:ascii="Times New Roman" w:hAnsi="Times New Roman" w:eastAsia="Times New Roman" w:cs="Times New Roman"/>
          <w:b/>
          <w:bCs/>
          <w:color w:val="auto"/>
          <w:spacing w:val="10"/>
          <w:sz w:val="24"/>
          <w:szCs w:val="24"/>
          <w:highlight w:val="none"/>
        </w:rPr>
        <w:t xml:space="preserve">  </w:t>
      </w:r>
      <w:r>
        <w:rPr>
          <w:rFonts w:ascii="宋体" w:hAnsi="宋体" w:eastAsia="宋体" w:cs="宋体"/>
          <w:b/>
          <w:bCs/>
          <w:color w:val="auto"/>
          <w:spacing w:val="-5"/>
          <w:sz w:val="24"/>
          <w:szCs w:val="24"/>
          <w:highlight w:val="none"/>
        </w:rPr>
        <w:t>定标方式</w:t>
      </w:r>
      <w:bookmarkEnd w:id="157"/>
      <w:bookmarkEnd w:id="158"/>
    </w:p>
    <w:p w14:paraId="68BA5444">
      <w:pPr>
        <w:spacing w:before="181" w:line="361" w:lineRule="auto"/>
        <w:ind w:left="6" w:right="80" w:firstLine="475"/>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7.1.1 除投标人须知前附表规定评标委员会直接确定中标人外，招标人依据评标委员会推荐的中标候选人确定中标人。采用评定分离的，由招标人在投标人须知前附表7.1.1项中明确。定标前，招标人可对中标候选人的证书、业绩、诚信等进行核查。评定分离的定标办法按本章7.1.7项规定的定标程序和方法，组建定标委员会确定中标人。</w:t>
      </w:r>
    </w:p>
    <w:p w14:paraId="67207B97">
      <w:pPr>
        <w:spacing w:before="181" w:line="361" w:lineRule="auto"/>
        <w:ind w:left="6" w:right="80" w:firstLine="475"/>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7.1.2 依法必须招标的项目，中标候选人放弃中标、因不可抗力提出不能履行合同，或者招标文件规定应当提交履约担保而在规定的期限内未能提交，或者被查实存在影响中标结果的违法行为等情形，不符合中标条件的，取消其中标资格。</w:t>
      </w:r>
    </w:p>
    <w:p w14:paraId="52CC561F">
      <w:pPr>
        <w:spacing w:before="181" w:line="361" w:lineRule="auto"/>
        <w:ind w:left="6" w:right="80" w:firstLine="475"/>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7.1.3 招标人在定标前，应通过中国裁判文书网查询中标候选人及其法定代表人和拟派项目负责人有无行贿犯罪记录，若发现有未如实填报或隐瞒不报情况的，一律取消其中标资格并上报行政主管部门，由行政主管部门列为不良行为记录。</w:t>
      </w:r>
    </w:p>
    <w:p w14:paraId="10D00857">
      <w:pPr>
        <w:spacing w:before="181" w:line="361" w:lineRule="auto"/>
        <w:ind w:left="6" w:right="80" w:firstLine="475"/>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7.1.4 招标人在定标前，应查询中标候选人及其法定代表人和拟派项目负责人的失信被执行人名单[以“信用中国”网站（</w:t>
      </w:r>
      <w:r>
        <w:rPr>
          <w:rFonts w:ascii="宋体" w:hAnsi="宋体" w:eastAsia="宋体" w:cs="宋体"/>
          <w:color w:val="auto"/>
          <w:sz w:val="24"/>
          <w:szCs w:val="24"/>
          <w:highlight w:val="none"/>
        </w:rPr>
        <w:fldChar w:fldCharType="begin"/>
      </w:r>
      <w:r>
        <w:rPr>
          <w:rFonts w:ascii="宋体" w:hAnsi="宋体" w:eastAsia="宋体" w:cs="宋体"/>
          <w:color w:val="auto"/>
          <w:sz w:val="24"/>
          <w:szCs w:val="24"/>
          <w:highlight w:val="none"/>
        </w:rPr>
        <w:instrText xml:space="preserve"> HYPERLINK "http://www.creditchina.gov.cn/" </w:instrText>
      </w:r>
      <w:r>
        <w:rPr>
          <w:rFonts w:ascii="宋体" w:hAnsi="宋体" w:eastAsia="宋体" w:cs="宋体"/>
          <w:color w:val="auto"/>
          <w:sz w:val="24"/>
          <w:szCs w:val="24"/>
          <w:highlight w:val="none"/>
        </w:rPr>
        <w:fldChar w:fldCharType="separate"/>
      </w:r>
      <w:r>
        <w:rPr>
          <w:rFonts w:ascii="宋体" w:hAnsi="宋体" w:eastAsia="宋体" w:cs="宋体"/>
          <w:color w:val="auto"/>
          <w:sz w:val="24"/>
          <w:szCs w:val="24"/>
          <w:highlight w:val="none"/>
        </w:rPr>
        <w:t>www.creditchina.gov.cn</w:t>
      </w:r>
      <w:r>
        <w:rPr>
          <w:rFonts w:ascii="宋体" w:hAnsi="宋体" w:eastAsia="宋体" w:cs="宋体"/>
          <w:color w:val="auto"/>
          <w:sz w:val="24"/>
          <w:szCs w:val="24"/>
          <w:highlight w:val="none"/>
        </w:rPr>
        <w:fldChar w:fldCharType="end"/>
      </w:r>
      <w:r>
        <w:rPr>
          <w:rFonts w:ascii="宋体" w:hAnsi="宋体" w:eastAsia="宋体" w:cs="宋体"/>
          <w:color w:val="auto"/>
          <w:sz w:val="24"/>
          <w:szCs w:val="24"/>
          <w:highlight w:val="none"/>
        </w:rPr>
        <w:t>）查询为准]，若发现有未如实填报或隐瞒不报情况的，一律取消其中标资格并上报行政主管部门，由行政主管部门列为不良行为记录。</w:t>
      </w:r>
    </w:p>
    <w:p w14:paraId="7710528C">
      <w:pPr>
        <w:spacing w:before="181" w:line="361" w:lineRule="auto"/>
        <w:ind w:left="6" w:right="80" w:firstLine="475"/>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7.1.5 招标人在定标前，应查询中标候选人资质动态核查处于“合格”状态（根据相关文件要求进行核查）</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若发现有未如实填报或隐瞒不报情况的，一律取消其中标资格并上报行政主管部门，由行政主管部门列为不良行为记录；核查结果“不合格”的，取消其中标资格。</w:t>
      </w:r>
    </w:p>
    <w:p w14:paraId="1D26B808">
      <w:pPr>
        <w:keepNext w:val="0"/>
        <w:keepLines w:val="0"/>
        <w:pageBreakBefore w:val="0"/>
        <w:widowControl/>
        <w:kinsoku w:val="0"/>
        <w:wordWrap/>
        <w:overflowPunct/>
        <w:topLinePunct w:val="0"/>
        <w:autoSpaceDE w:val="0"/>
        <w:autoSpaceDN w:val="0"/>
        <w:bidi w:val="0"/>
        <w:adjustRightInd w:val="0"/>
        <w:snapToGrid w:val="0"/>
        <w:spacing w:before="183" w:line="360" w:lineRule="auto"/>
        <w:ind w:left="0" w:right="119" w:firstLine="476"/>
        <w:textAlignment w:val="baseline"/>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 xml:space="preserve">7.1.6  </w:t>
      </w:r>
      <w:r>
        <w:rPr>
          <w:rFonts w:ascii="宋体" w:hAnsi="宋体" w:eastAsia="宋体" w:cs="宋体"/>
          <w:color w:val="auto"/>
          <w:sz w:val="24"/>
          <w:szCs w:val="24"/>
          <w:highlight w:val="none"/>
        </w:rPr>
        <w:t>出现本章第</w:t>
      </w:r>
      <w:r>
        <w:rPr>
          <w:rFonts w:ascii="Times New Roman" w:hAnsi="Times New Roman" w:eastAsia="Times New Roman" w:cs="Times New Roman"/>
          <w:color w:val="auto"/>
          <w:sz w:val="24"/>
          <w:szCs w:val="24"/>
          <w:highlight w:val="none"/>
        </w:rPr>
        <w:t>7.1.2</w:t>
      </w:r>
      <w:r>
        <w:rPr>
          <w:rFonts w:ascii="宋体" w:hAnsi="宋体" w:eastAsia="宋体" w:cs="宋体"/>
          <w:color w:val="auto"/>
          <w:sz w:val="24"/>
          <w:szCs w:val="24"/>
          <w:highlight w:val="none"/>
        </w:rPr>
        <w:t>项～第</w:t>
      </w:r>
      <w:r>
        <w:rPr>
          <w:rFonts w:ascii="Times New Roman" w:hAnsi="Times New Roman" w:eastAsia="Times New Roman" w:cs="Times New Roman"/>
          <w:color w:val="auto"/>
          <w:sz w:val="24"/>
          <w:szCs w:val="24"/>
          <w:highlight w:val="none"/>
        </w:rPr>
        <w:t>7.1.5</w:t>
      </w:r>
      <w:r>
        <w:rPr>
          <w:rFonts w:ascii="宋体" w:hAnsi="宋体" w:eastAsia="宋体" w:cs="宋体"/>
          <w:color w:val="auto"/>
          <w:sz w:val="24"/>
          <w:szCs w:val="24"/>
          <w:highlight w:val="none"/>
        </w:rPr>
        <w:t>项情形被取消中标资格的，招标人可以按照评</w:t>
      </w:r>
      <w:r>
        <w:rPr>
          <w:rFonts w:ascii="宋体" w:hAnsi="宋体" w:eastAsia="宋体" w:cs="宋体"/>
          <w:color w:val="auto"/>
          <w:spacing w:val="-3"/>
          <w:sz w:val="24"/>
          <w:szCs w:val="24"/>
          <w:highlight w:val="none"/>
        </w:rPr>
        <w:t>标委员会提出的中标候选人名单排序依次确定其他中标候选人为中标人（采用“评定</w:t>
      </w:r>
      <w:r>
        <w:rPr>
          <w:rFonts w:ascii="宋体" w:hAnsi="宋体" w:eastAsia="宋体" w:cs="宋体"/>
          <w:color w:val="auto"/>
          <w:spacing w:val="-1"/>
          <w:sz w:val="24"/>
          <w:szCs w:val="24"/>
          <w:highlight w:val="none"/>
        </w:rPr>
        <w:t>分离”的，在剩余推荐名单的中标候选人确定为中标人</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也</w:t>
      </w:r>
      <w:r>
        <w:rPr>
          <w:rFonts w:ascii="宋体" w:hAnsi="宋体" w:eastAsia="宋体" w:cs="宋体"/>
          <w:color w:val="auto"/>
          <w:spacing w:val="-2"/>
          <w:sz w:val="24"/>
          <w:szCs w:val="24"/>
          <w:highlight w:val="none"/>
        </w:rPr>
        <w:t>可以重新招标。</w:t>
      </w:r>
    </w:p>
    <w:p w14:paraId="66A501BF">
      <w:pPr>
        <w:spacing w:before="180" w:line="220" w:lineRule="auto"/>
        <w:ind w:left="480"/>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1"/>
          <w:sz w:val="24"/>
          <w:szCs w:val="24"/>
          <w:highlight w:val="none"/>
        </w:rPr>
        <w:t xml:space="preserve">7.1.7  </w:t>
      </w:r>
      <w:r>
        <w:rPr>
          <w:rFonts w:ascii="宋体" w:hAnsi="宋体" w:eastAsia="宋体" w:cs="宋体"/>
          <w:strike/>
          <w:dstrike w:val="0"/>
          <w:color w:val="auto"/>
          <w:spacing w:val="-1"/>
          <w:sz w:val="24"/>
          <w:szCs w:val="24"/>
          <w:highlight w:val="none"/>
        </w:rPr>
        <w:t>评定分离定标办法</w:t>
      </w:r>
    </w:p>
    <w:p w14:paraId="5A2DD647">
      <w:pPr>
        <w:spacing w:before="183" w:line="220" w:lineRule="auto"/>
        <w:ind w:left="48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）定标原则</w:t>
      </w:r>
    </w:p>
    <w:p w14:paraId="741471D8">
      <w:pPr>
        <w:spacing w:before="179" w:line="218" w:lineRule="auto"/>
        <w:ind w:left="48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定标应遵循招标人负责制、兼顾择优和竞价、公平竞争的原则。</w:t>
      </w:r>
    </w:p>
    <w:p w14:paraId="36E880DA">
      <w:pPr>
        <w:spacing w:before="185" w:line="220" w:lineRule="auto"/>
        <w:ind w:left="48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w:t>
      </w:r>
      <w:r>
        <w:rPr>
          <w:rFonts w:ascii="Times New Roman" w:hAnsi="Times New Roman" w:eastAsia="Times New Roman" w:cs="Times New Roman"/>
          <w:strike/>
          <w:dstrike w:val="0"/>
          <w:color w:val="auto"/>
          <w:spacing w:val="-3"/>
          <w:sz w:val="24"/>
          <w:szCs w:val="24"/>
          <w:highlight w:val="none"/>
        </w:rPr>
        <w:t>2</w:t>
      </w:r>
      <w:r>
        <w:rPr>
          <w:rFonts w:ascii="宋体" w:hAnsi="宋体" w:eastAsia="宋体" w:cs="宋体"/>
          <w:strike/>
          <w:dstrike w:val="0"/>
          <w:color w:val="auto"/>
          <w:spacing w:val="-3"/>
          <w:sz w:val="24"/>
          <w:szCs w:val="24"/>
          <w:highlight w:val="none"/>
        </w:rPr>
        <w:t>）评定分离定标组织</w:t>
      </w:r>
    </w:p>
    <w:p w14:paraId="5C0457E3">
      <w:pPr>
        <w:spacing w:before="182" w:line="359" w:lineRule="auto"/>
        <w:ind w:right="120" w:firstLine="48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定标工作由招标人组建的定标委员会负责，定标委员会的组建见投标人须</w:t>
      </w:r>
      <w:r>
        <w:rPr>
          <w:rFonts w:ascii="宋体" w:hAnsi="宋体" w:eastAsia="宋体" w:cs="宋体"/>
          <w:strike/>
          <w:dstrike w:val="0"/>
          <w:color w:val="auto"/>
          <w:spacing w:val="-4"/>
          <w:sz w:val="24"/>
          <w:szCs w:val="24"/>
          <w:highlight w:val="none"/>
        </w:rPr>
        <w:t>知前附</w:t>
      </w:r>
      <w:r>
        <w:rPr>
          <w:rFonts w:ascii="宋体" w:hAnsi="宋体" w:eastAsia="宋体" w:cs="宋体"/>
          <w:strike/>
          <w:dstrike w:val="0"/>
          <w:color w:val="auto"/>
          <w:spacing w:val="-2"/>
          <w:sz w:val="24"/>
          <w:szCs w:val="24"/>
          <w:highlight w:val="none"/>
        </w:rPr>
        <w:t>表，定标委员会成员为不少于</w:t>
      </w:r>
      <w:r>
        <w:rPr>
          <w:rFonts w:ascii="Times New Roman" w:hAnsi="Times New Roman" w:eastAsia="Times New Roman" w:cs="Times New Roman"/>
          <w:strike/>
          <w:dstrike w:val="0"/>
          <w:color w:val="auto"/>
          <w:spacing w:val="-2"/>
          <w:sz w:val="24"/>
          <w:szCs w:val="24"/>
          <w:highlight w:val="none"/>
        </w:rPr>
        <w:t>5</w:t>
      </w:r>
      <w:r>
        <w:rPr>
          <w:rFonts w:ascii="宋体" w:hAnsi="宋体" w:eastAsia="宋体" w:cs="宋体"/>
          <w:strike/>
          <w:dstrike w:val="0"/>
          <w:color w:val="auto"/>
          <w:spacing w:val="-2"/>
          <w:sz w:val="24"/>
          <w:szCs w:val="24"/>
          <w:highlight w:val="none"/>
        </w:rPr>
        <w:t>人的单数。</w:t>
      </w:r>
    </w:p>
    <w:p w14:paraId="0C26522D">
      <w:pPr>
        <w:spacing w:before="1" w:line="359" w:lineRule="auto"/>
        <w:ind w:right="120" w:firstLine="486"/>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定标委员会成员一般由招标人代表、项目业主代表和项目使用单位代表组</w:t>
      </w:r>
      <w:r>
        <w:rPr>
          <w:rFonts w:ascii="宋体" w:hAnsi="宋体" w:eastAsia="宋体" w:cs="宋体"/>
          <w:strike/>
          <w:dstrike w:val="0"/>
          <w:color w:val="auto"/>
          <w:spacing w:val="-4"/>
          <w:sz w:val="24"/>
          <w:szCs w:val="24"/>
          <w:highlight w:val="none"/>
        </w:rPr>
        <w:t>成。确</w:t>
      </w:r>
      <w:r>
        <w:rPr>
          <w:rFonts w:ascii="宋体" w:hAnsi="宋体" w:eastAsia="宋体" w:cs="宋体"/>
          <w:strike/>
          <w:dstrike w:val="0"/>
          <w:color w:val="auto"/>
          <w:spacing w:val="-3"/>
          <w:sz w:val="24"/>
          <w:szCs w:val="24"/>
          <w:highlight w:val="none"/>
        </w:rPr>
        <w:t>有需要的，招标人可邀请外部专家担任定标委员会成员，但邀请的外部成员人数不得超过定标委员会成员总人数的二分之一。评标委员会成员原则上不得担任定标委员会</w:t>
      </w:r>
      <w:r>
        <w:rPr>
          <w:rFonts w:ascii="宋体" w:hAnsi="宋体" w:eastAsia="宋体" w:cs="宋体"/>
          <w:strike/>
          <w:dstrike w:val="0"/>
          <w:color w:val="auto"/>
          <w:spacing w:val="-5"/>
          <w:sz w:val="24"/>
          <w:szCs w:val="24"/>
          <w:highlight w:val="none"/>
        </w:rPr>
        <w:t>成员。招标人的法定代表人或主要负责人或分管负责人应进入定标委员会，</w:t>
      </w:r>
      <w:r>
        <w:rPr>
          <w:rFonts w:ascii="宋体" w:hAnsi="宋体" w:eastAsia="宋体" w:cs="宋体"/>
          <w:strike/>
          <w:dstrike w:val="0"/>
          <w:color w:val="auto"/>
          <w:spacing w:val="-36"/>
          <w:sz w:val="24"/>
          <w:szCs w:val="24"/>
          <w:highlight w:val="none"/>
        </w:rPr>
        <w:t xml:space="preserve"> </w:t>
      </w:r>
      <w:r>
        <w:rPr>
          <w:rFonts w:ascii="宋体" w:hAnsi="宋体" w:eastAsia="宋体" w:cs="宋体"/>
          <w:strike/>
          <w:dstrike w:val="0"/>
          <w:color w:val="auto"/>
          <w:spacing w:val="-5"/>
          <w:sz w:val="24"/>
          <w:szCs w:val="24"/>
          <w:highlight w:val="none"/>
        </w:rPr>
        <w:t>并担任组</w:t>
      </w:r>
      <w:r>
        <w:rPr>
          <w:rFonts w:ascii="宋体" w:hAnsi="宋体" w:eastAsia="宋体" w:cs="宋体"/>
          <w:strike/>
          <w:dstrike w:val="0"/>
          <w:color w:val="auto"/>
          <w:spacing w:val="-3"/>
          <w:sz w:val="24"/>
          <w:szCs w:val="24"/>
          <w:highlight w:val="none"/>
        </w:rPr>
        <w:t>长，主持定标会议。招标人的法定代表人、主要负责人、分管负责人均进入定标委员</w:t>
      </w:r>
      <w:r>
        <w:rPr>
          <w:rFonts w:ascii="宋体" w:hAnsi="宋体" w:eastAsia="宋体" w:cs="宋体"/>
          <w:strike/>
          <w:dstrike w:val="0"/>
          <w:color w:val="auto"/>
          <w:spacing w:val="-1"/>
          <w:sz w:val="24"/>
          <w:szCs w:val="24"/>
          <w:highlight w:val="none"/>
        </w:rPr>
        <w:t>会的，或其中两人进入定标委员会的，应从其中</w:t>
      </w:r>
      <w:r>
        <w:rPr>
          <w:rFonts w:ascii="宋体" w:hAnsi="宋体" w:eastAsia="宋体" w:cs="宋体"/>
          <w:strike/>
          <w:dstrike w:val="0"/>
          <w:color w:val="auto"/>
          <w:spacing w:val="-2"/>
          <w:sz w:val="24"/>
          <w:szCs w:val="24"/>
          <w:highlight w:val="none"/>
        </w:rPr>
        <w:t>推选一人担任组长。</w:t>
      </w:r>
    </w:p>
    <w:p w14:paraId="55091941">
      <w:pPr>
        <w:spacing w:before="1" w:line="218" w:lineRule="auto"/>
        <w:ind w:left="48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定标委员会成员与中标候选人有利害关系的应主动说明并申请回避。</w:t>
      </w:r>
    </w:p>
    <w:p w14:paraId="2087548D">
      <w:pPr>
        <w:spacing w:before="181" w:line="219" w:lineRule="auto"/>
        <w:ind w:left="48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定标委员会名单在中标结果确定前应保密。</w:t>
      </w:r>
    </w:p>
    <w:p w14:paraId="3E06B46C">
      <w:pPr>
        <w:spacing w:before="182" w:line="359" w:lineRule="auto"/>
        <w:ind w:right="20"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定标委员会应推举产生</w:t>
      </w:r>
      <w:r>
        <w:rPr>
          <w:rFonts w:ascii="Times New Roman" w:hAnsi="Times New Roman" w:eastAsia="Times New Roman" w:cs="Times New Roman"/>
          <w:strike/>
          <w:dstrike w:val="0"/>
          <w:color w:val="auto"/>
          <w:sz w:val="24"/>
          <w:szCs w:val="24"/>
          <w:highlight w:val="none"/>
        </w:rPr>
        <w:t>1</w:t>
      </w:r>
      <w:r>
        <w:rPr>
          <w:rFonts w:ascii="宋体" w:hAnsi="宋体" w:eastAsia="宋体" w:cs="宋体"/>
          <w:strike/>
          <w:dstrike w:val="0"/>
          <w:color w:val="auto"/>
          <w:sz w:val="24"/>
          <w:szCs w:val="24"/>
          <w:highlight w:val="none"/>
        </w:rPr>
        <w:t>名定标委员会组长。定标委员会组长负责组织定标、掌握定标进程、现场面试、编写定标报告等工作，定标委员会组长（集体议事法</w:t>
      </w:r>
      <w:r>
        <w:rPr>
          <w:rFonts w:ascii="宋体" w:hAnsi="宋体" w:eastAsia="宋体" w:cs="宋体"/>
          <w:strike/>
          <w:dstrike w:val="0"/>
          <w:color w:val="auto"/>
          <w:spacing w:val="-1"/>
          <w:sz w:val="24"/>
          <w:szCs w:val="24"/>
          <w:highlight w:val="none"/>
        </w:rPr>
        <w:t>除外）与其他成员具有同等的权利。定标委员会成员对所提出</w:t>
      </w:r>
      <w:r>
        <w:rPr>
          <w:rFonts w:ascii="宋体" w:hAnsi="宋体" w:eastAsia="宋体" w:cs="宋体"/>
          <w:strike/>
          <w:dstrike w:val="0"/>
          <w:color w:val="auto"/>
          <w:spacing w:val="-2"/>
          <w:sz w:val="24"/>
          <w:szCs w:val="24"/>
          <w:highlight w:val="none"/>
        </w:rPr>
        <w:t>的意见承担个人责任。</w:t>
      </w:r>
    </w:p>
    <w:p w14:paraId="66605CC5">
      <w:pPr>
        <w:spacing w:before="182" w:line="359" w:lineRule="auto"/>
        <w:ind w:right="20"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定标委员会应当按照招标文件确定的定标标准和方法，客观、公正定标，招标文件没有规定的定标标准和方法不得作为定标的依据。</w:t>
      </w:r>
    </w:p>
    <w:p w14:paraId="3D1ED2D8">
      <w:pPr>
        <w:spacing w:before="183" w:line="219" w:lineRule="auto"/>
        <w:ind w:left="48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w:t>
      </w:r>
      <w:r>
        <w:rPr>
          <w:rFonts w:ascii="Times New Roman" w:hAnsi="Times New Roman" w:eastAsia="Times New Roman" w:cs="Times New Roman"/>
          <w:strike/>
          <w:dstrike w:val="0"/>
          <w:color w:val="auto"/>
          <w:spacing w:val="-3"/>
          <w:sz w:val="24"/>
          <w:szCs w:val="24"/>
          <w:highlight w:val="none"/>
        </w:rPr>
        <w:t>3</w:t>
      </w:r>
      <w:r>
        <w:rPr>
          <w:rFonts w:ascii="宋体" w:hAnsi="宋体" w:eastAsia="宋体" w:cs="宋体"/>
          <w:strike/>
          <w:dstrike w:val="0"/>
          <w:color w:val="auto"/>
          <w:spacing w:val="-3"/>
          <w:sz w:val="24"/>
          <w:szCs w:val="24"/>
          <w:highlight w:val="none"/>
        </w:rPr>
        <w:t>）定标会议时间和地点见投标人须知前附表。</w:t>
      </w:r>
    </w:p>
    <w:p w14:paraId="5DAAEEE6">
      <w:pPr>
        <w:spacing w:before="183" w:line="331" w:lineRule="auto"/>
        <w:ind w:right="3" w:firstLine="48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4</w:t>
      </w:r>
      <w:r>
        <w:rPr>
          <w:rFonts w:ascii="宋体" w:hAnsi="宋体" w:eastAsia="宋体" w:cs="宋体"/>
          <w:strike/>
          <w:dstrike w:val="0"/>
          <w:color w:val="auto"/>
          <w:spacing w:val="-1"/>
          <w:sz w:val="24"/>
          <w:szCs w:val="24"/>
          <w:highlight w:val="none"/>
        </w:rPr>
        <w:t>）招标人可在投标人须知前附表规定的时间前对所有中标候选人进行考察、</w:t>
      </w:r>
      <w:r>
        <w:rPr>
          <w:rFonts w:ascii="宋体" w:hAnsi="宋体" w:eastAsia="宋体" w:cs="宋体"/>
          <w:strike/>
          <w:dstrike w:val="0"/>
          <w:color w:val="auto"/>
          <w:sz w:val="24"/>
          <w:szCs w:val="24"/>
          <w:highlight w:val="none"/>
        </w:rPr>
        <w:t>质询。考察、质询小组应由投标须知前附表规定的人数组成。考察、质询小组应由</w:t>
      </w:r>
      <w:r>
        <w:rPr>
          <w:rFonts w:ascii="Times New Roman" w:hAnsi="Times New Roman" w:eastAsia="Times New Roman" w:cs="Times New Roman"/>
          <w:strike/>
          <w:dstrike w:val="0"/>
          <w:color w:val="auto"/>
          <w:sz w:val="24"/>
          <w:szCs w:val="24"/>
          <w:highlight w:val="none"/>
        </w:rPr>
        <w:t>3</w:t>
      </w:r>
      <w:r>
        <w:rPr>
          <w:rFonts w:ascii="宋体" w:hAnsi="宋体" w:eastAsia="宋体" w:cs="宋体"/>
          <w:strike/>
          <w:dstrike w:val="0"/>
          <w:color w:val="auto"/>
          <w:spacing w:val="-6"/>
          <w:sz w:val="24"/>
          <w:szCs w:val="24"/>
          <w:highlight w:val="none"/>
        </w:rPr>
        <w:t>人及以上单数组成。考察、质询小组应如实记录考察、质询情况， 并出具考察、质询</w:t>
      </w:r>
      <w:r>
        <w:rPr>
          <w:rFonts w:ascii="宋体" w:hAnsi="宋体" w:eastAsia="宋体" w:cs="宋体"/>
          <w:strike/>
          <w:dstrike w:val="0"/>
          <w:color w:val="auto"/>
          <w:spacing w:val="-3"/>
          <w:sz w:val="24"/>
          <w:szCs w:val="24"/>
          <w:highlight w:val="none"/>
        </w:rPr>
        <w:t>报告作为定标要素之一。考察、质询报告应客观公正，不得有明示或暗示中标人的内</w:t>
      </w:r>
      <w:r>
        <w:rPr>
          <w:rFonts w:ascii="宋体" w:hAnsi="宋体" w:eastAsia="宋体" w:cs="宋体"/>
          <w:strike/>
          <w:dstrike w:val="0"/>
          <w:color w:val="auto"/>
          <w:spacing w:val="-11"/>
          <w:sz w:val="24"/>
          <w:szCs w:val="24"/>
          <w:highlight w:val="none"/>
        </w:rPr>
        <w:t>容。</w:t>
      </w:r>
    </w:p>
    <w:p w14:paraId="18A52A6A">
      <w:pPr>
        <w:spacing w:before="182" w:line="288" w:lineRule="auto"/>
        <w:ind w:right="1" w:firstLine="487"/>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w:t>
      </w:r>
      <w:r>
        <w:rPr>
          <w:rFonts w:ascii="Times New Roman" w:hAnsi="Times New Roman" w:eastAsia="Times New Roman" w:cs="Times New Roman"/>
          <w:strike/>
          <w:dstrike w:val="0"/>
          <w:color w:val="auto"/>
          <w:sz w:val="24"/>
          <w:szCs w:val="24"/>
          <w:highlight w:val="none"/>
        </w:rPr>
        <w:t>5</w:t>
      </w:r>
      <w:r>
        <w:rPr>
          <w:rFonts w:ascii="宋体" w:hAnsi="宋体" w:eastAsia="宋体" w:cs="宋体"/>
          <w:strike/>
          <w:dstrike w:val="0"/>
          <w:color w:val="auto"/>
          <w:sz w:val="24"/>
          <w:szCs w:val="24"/>
          <w:highlight w:val="none"/>
        </w:rPr>
        <w:t>）现场面试见投标人须知前附表。招标人在定标阶段对中标候选人的法定代</w:t>
      </w:r>
      <w:r>
        <w:rPr>
          <w:rFonts w:ascii="宋体" w:hAnsi="宋体" w:eastAsia="宋体" w:cs="宋体"/>
          <w:strike/>
          <w:dstrike w:val="0"/>
          <w:color w:val="auto"/>
          <w:spacing w:val="-1"/>
          <w:sz w:val="24"/>
          <w:szCs w:val="24"/>
          <w:highlight w:val="none"/>
        </w:rPr>
        <w:t>表人、拟派项目负责人开展现场面试。现场面试</w:t>
      </w:r>
      <w:r>
        <w:rPr>
          <w:rFonts w:ascii="宋体" w:hAnsi="宋体" w:eastAsia="宋体" w:cs="宋体"/>
          <w:strike/>
          <w:dstrike w:val="0"/>
          <w:color w:val="auto"/>
          <w:spacing w:val="-2"/>
          <w:sz w:val="24"/>
          <w:szCs w:val="24"/>
          <w:highlight w:val="none"/>
        </w:rPr>
        <w:t>由定标委员会具体实施。</w:t>
      </w:r>
    </w:p>
    <w:p w14:paraId="5BA17F40">
      <w:pPr>
        <w:spacing w:before="182" w:line="290" w:lineRule="auto"/>
        <w:ind w:left="2" w:right="1" w:firstLine="485"/>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w:t>
      </w:r>
      <w:r>
        <w:rPr>
          <w:rFonts w:ascii="Times New Roman" w:hAnsi="Times New Roman" w:eastAsia="Times New Roman" w:cs="Times New Roman"/>
          <w:strike/>
          <w:dstrike w:val="0"/>
          <w:color w:val="auto"/>
          <w:sz w:val="24"/>
          <w:szCs w:val="24"/>
          <w:highlight w:val="none"/>
        </w:rPr>
        <w:t>6</w:t>
      </w:r>
      <w:r>
        <w:rPr>
          <w:rFonts w:ascii="宋体" w:hAnsi="宋体" w:eastAsia="宋体" w:cs="宋体"/>
          <w:strike/>
          <w:dstrike w:val="0"/>
          <w:color w:val="auto"/>
          <w:sz w:val="24"/>
          <w:szCs w:val="24"/>
          <w:highlight w:val="none"/>
        </w:rPr>
        <w:t>）定标因素由招标人在投标人须知前附表中根据项目实际情况进行调整并细</w:t>
      </w:r>
      <w:r>
        <w:rPr>
          <w:rFonts w:ascii="宋体" w:hAnsi="宋体" w:eastAsia="宋体" w:cs="宋体"/>
          <w:strike/>
          <w:dstrike w:val="0"/>
          <w:color w:val="auto"/>
          <w:spacing w:val="-12"/>
          <w:sz w:val="24"/>
          <w:szCs w:val="24"/>
          <w:highlight w:val="none"/>
        </w:rPr>
        <w:t>化。</w:t>
      </w:r>
    </w:p>
    <w:p w14:paraId="25A0E00E">
      <w:pPr>
        <w:spacing w:before="181" w:line="219" w:lineRule="auto"/>
        <w:ind w:left="48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w:t>
      </w:r>
      <w:r>
        <w:rPr>
          <w:rFonts w:ascii="Times New Roman" w:hAnsi="Times New Roman" w:eastAsia="Times New Roman" w:cs="Times New Roman"/>
          <w:strike/>
          <w:dstrike w:val="0"/>
          <w:color w:val="auto"/>
          <w:spacing w:val="-3"/>
          <w:sz w:val="24"/>
          <w:szCs w:val="24"/>
          <w:highlight w:val="none"/>
        </w:rPr>
        <w:t>7</w:t>
      </w:r>
      <w:r>
        <w:rPr>
          <w:rFonts w:ascii="宋体" w:hAnsi="宋体" w:eastAsia="宋体" w:cs="宋体"/>
          <w:strike/>
          <w:dstrike w:val="0"/>
          <w:color w:val="auto"/>
          <w:spacing w:val="-3"/>
          <w:sz w:val="24"/>
          <w:szCs w:val="24"/>
          <w:highlight w:val="none"/>
        </w:rPr>
        <w:t>）定标方法可采用下列方法或者下列方法的组合：</w:t>
      </w:r>
    </w:p>
    <w:p w14:paraId="1072AF7C">
      <w:pPr>
        <w:spacing w:before="180" w:line="219" w:lineRule="auto"/>
        <w:ind w:left="500"/>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3"/>
          <w:sz w:val="24"/>
          <w:szCs w:val="24"/>
          <w:highlight w:val="none"/>
        </w:rPr>
        <w:t>1</w:t>
      </w:r>
      <w:r>
        <w:rPr>
          <w:rFonts w:ascii="宋体" w:hAnsi="宋体" w:eastAsia="宋体" w:cs="宋体"/>
          <w:strike/>
          <w:dstrike w:val="0"/>
          <w:color w:val="auto"/>
          <w:spacing w:val="-3"/>
          <w:sz w:val="24"/>
          <w:szCs w:val="24"/>
          <w:highlight w:val="none"/>
        </w:rPr>
        <w:t>）票决法，由定标委员会直接票决方式确定中标人。</w:t>
      </w:r>
    </w:p>
    <w:p w14:paraId="37E91C96">
      <w:pPr>
        <w:spacing w:before="185" w:line="312" w:lineRule="auto"/>
        <w:ind w:right="1" w:firstLine="476"/>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）集体议事法，由定标委员会集体商议，在</w:t>
      </w:r>
      <w:r>
        <w:rPr>
          <w:rFonts w:ascii="宋体" w:hAnsi="宋体" w:eastAsia="宋体" w:cs="宋体"/>
          <w:strike/>
          <w:dstrike w:val="0"/>
          <w:color w:val="auto"/>
          <w:sz w:val="24"/>
          <w:szCs w:val="24"/>
          <w:highlight w:val="none"/>
        </w:rPr>
        <w:t>组成成员各自发表意见的基础上，</w:t>
      </w:r>
      <w:r>
        <w:rPr>
          <w:rFonts w:ascii="宋体" w:hAnsi="宋体" w:eastAsia="宋体" w:cs="宋体"/>
          <w:strike/>
          <w:dstrike w:val="0"/>
          <w:color w:val="auto"/>
          <w:spacing w:val="-3"/>
          <w:sz w:val="24"/>
          <w:szCs w:val="24"/>
          <w:highlight w:val="none"/>
        </w:rPr>
        <w:t>由定标委员会组长最终确定中标人。所有参加会议的定标委员会成员的意见应作书面</w:t>
      </w:r>
      <w:r>
        <w:rPr>
          <w:rFonts w:ascii="宋体" w:hAnsi="宋体" w:eastAsia="宋体" w:cs="宋体"/>
          <w:strike/>
          <w:dstrike w:val="0"/>
          <w:color w:val="auto"/>
          <w:spacing w:val="-4"/>
          <w:sz w:val="24"/>
          <w:szCs w:val="24"/>
          <w:highlight w:val="none"/>
        </w:rPr>
        <w:t>记录，并由本人签字确认。</w:t>
      </w:r>
    </w:p>
    <w:p w14:paraId="4C9AE625">
      <w:pPr>
        <w:spacing w:before="184" w:line="219" w:lineRule="auto"/>
        <w:ind w:left="482"/>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3"/>
          <w:sz w:val="24"/>
          <w:szCs w:val="24"/>
          <w:highlight w:val="none"/>
        </w:rPr>
        <w:t>3</w:t>
      </w:r>
      <w:r>
        <w:rPr>
          <w:rFonts w:ascii="宋体" w:hAnsi="宋体" w:eastAsia="宋体" w:cs="宋体"/>
          <w:strike/>
          <w:dstrike w:val="0"/>
          <w:color w:val="auto"/>
          <w:spacing w:val="-3"/>
          <w:sz w:val="24"/>
          <w:szCs w:val="24"/>
          <w:highlight w:val="none"/>
        </w:rPr>
        <w:t>）投标须知前附表规定的其他定标办法。</w:t>
      </w:r>
    </w:p>
    <w:p w14:paraId="0F9EBFC9">
      <w:pPr>
        <w:spacing w:before="181" w:line="359" w:lineRule="auto"/>
        <w:ind w:left="3" w:right="30" w:firstLine="48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8</w:t>
      </w:r>
      <w:r>
        <w:rPr>
          <w:rFonts w:ascii="宋体" w:hAnsi="宋体" w:eastAsia="宋体" w:cs="宋体"/>
          <w:strike/>
          <w:dstrike w:val="0"/>
          <w:color w:val="auto"/>
          <w:spacing w:val="-1"/>
          <w:sz w:val="24"/>
          <w:szCs w:val="24"/>
          <w:highlight w:val="none"/>
        </w:rPr>
        <w:t>）定标后有下列情形之一的，招标人可以组织原定标委员会从其他中标候选</w:t>
      </w:r>
      <w:r>
        <w:rPr>
          <w:rFonts w:ascii="宋体" w:hAnsi="宋体" w:eastAsia="宋体" w:cs="宋体"/>
          <w:strike/>
          <w:dstrike w:val="0"/>
          <w:color w:val="auto"/>
          <w:spacing w:val="-5"/>
          <w:sz w:val="24"/>
          <w:szCs w:val="24"/>
          <w:highlight w:val="none"/>
        </w:rPr>
        <w:t>人中按原定标方法确定中标人：</w:t>
      </w:r>
    </w:p>
    <w:p w14:paraId="23E5D524">
      <w:pPr>
        <w:spacing w:before="1" w:line="219" w:lineRule="auto"/>
        <w:ind w:left="500"/>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4"/>
          <w:sz w:val="24"/>
          <w:szCs w:val="24"/>
          <w:highlight w:val="none"/>
        </w:rPr>
        <w:t>1</w:t>
      </w:r>
      <w:r>
        <w:rPr>
          <w:rFonts w:ascii="宋体" w:hAnsi="宋体" w:eastAsia="宋体" w:cs="宋体"/>
          <w:strike/>
          <w:dstrike w:val="0"/>
          <w:color w:val="auto"/>
          <w:spacing w:val="-4"/>
          <w:sz w:val="24"/>
          <w:szCs w:val="24"/>
          <w:highlight w:val="none"/>
        </w:rPr>
        <w:t>）中标人放弃中标资格或者拒不签订合同的；</w:t>
      </w:r>
    </w:p>
    <w:p w14:paraId="600E68B9">
      <w:pPr>
        <w:spacing w:before="182" w:line="220" w:lineRule="auto"/>
        <w:ind w:left="477"/>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3"/>
          <w:sz w:val="24"/>
          <w:szCs w:val="24"/>
          <w:highlight w:val="none"/>
        </w:rPr>
        <w:t>2</w:t>
      </w:r>
      <w:r>
        <w:rPr>
          <w:rFonts w:ascii="宋体" w:hAnsi="宋体" w:eastAsia="宋体" w:cs="宋体"/>
          <w:strike/>
          <w:dstrike w:val="0"/>
          <w:color w:val="auto"/>
          <w:spacing w:val="-3"/>
          <w:sz w:val="24"/>
          <w:szCs w:val="24"/>
          <w:highlight w:val="none"/>
        </w:rPr>
        <w:t>）中标人被查实存在违法行为影响中标结果的；</w:t>
      </w:r>
    </w:p>
    <w:p w14:paraId="404F3738">
      <w:pPr>
        <w:spacing w:before="180" w:line="219" w:lineRule="auto"/>
        <w:ind w:left="482"/>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3"/>
          <w:sz w:val="24"/>
          <w:szCs w:val="24"/>
          <w:highlight w:val="none"/>
        </w:rPr>
        <w:t>3</w:t>
      </w:r>
      <w:r>
        <w:rPr>
          <w:rFonts w:ascii="宋体" w:hAnsi="宋体" w:eastAsia="宋体" w:cs="宋体"/>
          <w:strike/>
          <w:dstrike w:val="0"/>
          <w:color w:val="auto"/>
          <w:spacing w:val="-3"/>
          <w:sz w:val="24"/>
          <w:szCs w:val="24"/>
          <w:highlight w:val="none"/>
        </w:rPr>
        <w:t>）投标须知前附表规定的其他情形。</w:t>
      </w:r>
    </w:p>
    <w:p w14:paraId="4CC6A330">
      <w:pPr>
        <w:spacing w:before="183" w:line="220" w:lineRule="auto"/>
        <w:ind w:left="48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9</w:t>
      </w:r>
      <w:r>
        <w:rPr>
          <w:rFonts w:ascii="宋体" w:hAnsi="宋体" w:eastAsia="宋体" w:cs="宋体"/>
          <w:strike/>
          <w:dstrike w:val="0"/>
          <w:color w:val="auto"/>
          <w:spacing w:val="-4"/>
          <w:sz w:val="24"/>
          <w:szCs w:val="24"/>
          <w:highlight w:val="none"/>
        </w:rPr>
        <w:t>）定标后有下列情形之一的，应重新定标：</w:t>
      </w:r>
    </w:p>
    <w:p w14:paraId="0B63F539">
      <w:pPr>
        <w:spacing w:before="179" w:line="219" w:lineRule="auto"/>
        <w:ind w:left="500"/>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4"/>
          <w:sz w:val="24"/>
          <w:szCs w:val="24"/>
          <w:highlight w:val="none"/>
        </w:rPr>
        <w:t>1</w:t>
      </w:r>
      <w:r>
        <w:rPr>
          <w:rFonts w:ascii="宋体" w:hAnsi="宋体" w:eastAsia="宋体" w:cs="宋体"/>
          <w:strike/>
          <w:dstrike w:val="0"/>
          <w:color w:val="auto"/>
          <w:spacing w:val="-4"/>
          <w:sz w:val="24"/>
          <w:szCs w:val="24"/>
          <w:highlight w:val="none"/>
        </w:rPr>
        <w:t>）查实定标委员会未按定标办法公正履职的；</w:t>
      </w:r>
    </w:p>
    <w:p w14:paraId="625411FC">
      <w:pPr>
        <w:spacing w:before="184" w:line="219" w:lineRule="auto"/>
        <w:ind w:left="477"/>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2"/>
          <w:sz w:val="24"/>
          <w:szCs w:val="24"/>
          <w:highlight w:val="none"/>
        </w:rPr>
        <w:t>2</w:t>
      </w:r>
      <w:r>
        <w:rPr>
          <w:rFonts w:ascii="宋体" w:hAnsi="宋体" w:eastAsia="宋体" w:cs="宋体"/>
          <w:strike/>
          <w:dstrike w:val="0"/>
          <w:color w:val="auto"/>
          <w:spacing w:val="-2"/>
          <w:sz w:val="24"/>
          <w:szCs w:val="24"/>
          <w:highlight w:val="none"/>
        </w:rPr>
        <w:t>）有定标委员会成员与中标候选人有利害关系且未申请回</w:t>
      </w:r>
      <w:r>
        <w:rPr>
          <w:rFonts w:ascii="宋体" w:hAnsi="宋体" w:eastAsia="宋体" w:cs="宋体"/>
          <w:strike/>
          <w:dstrike w:val="0"/>
          <w:color w:val="auto"/>
          <w:spacing w:val="-3"/>
          <w:sz w:val="24"/>
          <w:szCs w:val="24"/>
          <w:highlight w:val="none"/>
        </w:rPr>
        <w:t>避的；</w:t>
      </w:r>
    </w:p>
    <w:p w14:paraId="04C4830B">
      <w:pPr>
        <w:spacing w:before="181" w:line="219" w:lineRule="auto"/>
        <w:ind w:left="482"/>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3"/>
          <w:sz w:val="24"/>
          <w:szCs w:val="24"/>
          <w:highlight w:val="none"/>
        </w:rPr>
        <w:t>3</w:t>
      </w:r>
      <w:r>
        <w:rPr>
          <w:rFonts w:ascii="宋体" w:hAnsi="宋体" w:eastAsia="宋体" w:cs="宋体"/>
          <w:strike/>
          <w:dstrike w:val="0"/>
          <w:color w:val="auto"/>
          <w:spacing w:val="-3"/>
          <w:sz w:val="24"/>
          <w:szCs w:val="24"/>
          <w:highlight w:val="none"/>
        </w:rPr>
        <w:t>）投标须知前附表规定的其他情形。</w:t>
      </w:r>
    </w:p>
    <w:p w14:paraId="22C784CD">
      <w:pPr>
        <w:spacing w:before="184" w:line="220" w:lineRule="auto"/>
        <w:outlineLvl w:val="2"/>
        <w:rPr>
          <w:rFonts w:ascii="宋体" w:hAnsi="宋体" w:eastAsia="宋体" w:cs="宋体"/>
          <w:color w:val="auto"/>
          <w:sz w:val="24"/>
          <w:szCs w:val="24"/>
          <w:highlight w:val="none"/>
        </w:rPr>
      </w:pPr>
      <w:bookmarkStart w:id="159" w:name="bookmark68"/>
      <w:bookmarkEnd w:id="159"/>
      <w:bookmarkStart w:id="160" w:name="_Toc3704"/>
      <w:bookmarkStart w:id="161" w:name="_Toc29207"/>
      <w:r>
        <w:rPr>
          <w:rFonts w:ascii="Times New Roman" w:hAnsi="Times New Roman" w:eastAsia="Times New Roman" w:cs="Times New Roman"/>
          <w:b/>
          <w:bCs/>
          <w:color w:val="auto"/>
          <w:spacing w:val="-7"/>
          <w:sz w:val="24"/>
          <w:szCs w:val="24"/>
          <w:highlight w:val="none"/>
        </w:rPr>
        <w:t>7.2</w:t>
      </w:r>
      <w:r>
        <w:rPr>
          <w:rFonts w:ascii="Times New Roman" w:hAnsi="Times New Roman" w:eastAsia="Times New Roman" w:cs="Times New Roman"/>
          <w:b/>
          <w:bCs/>
          <w:color w:val="auto"/>
          <w:spacing w:val="17"/>
          <w:sz w:val="24"/>
          <w:szCs w:val="24"/>
          <w:highlight w:val="none"/>
        </w:rPr>
        <w:t xml:space="preserve">  </w:t>
      </w:r>
      <w:r>
        <w:rPr>
          <w:rFonts w:ascii="宋体" w:hAnsi="宋体" w:eastAsia="宋体" w:cs="宋体"/>
          <w:b/>
          <w:bCs/>
          <w:color w:val="auto"/>
          <w:spacing w:val="-7"/>
          <w:sz w:val="24"/>
          <w:szCs w:val="24"/>
          <w:highlight w:val="none"/>
        </w:rPr>
        <w:t>中标通知</w:t>
      </w:r>
      <w:bookmarkEnd w:id="160"/>
      <w:bookmarkEnd w:id="161"/>
    </w:p>
    <w:p w14:paraId="77FE555B">
      <w:pPr>
        <w:spacing w:before="179" w:line="359" w:lineRule="auto"/>
        <w:ind w:right="3"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在本章第</w:t>
      </w:r>
      <w:r>
        <w:rPr>
          <w:rFonts w:ascii="Times New Roman" w:hAnsi="Times New Roman" w:eastAsia="Times New Roman" w:cs="Times New Roman"/>
          <w:color w:val="auto"/>
          <w:spacing w:val="2"/>
          <w:sz w:val="24"/>
          <w:szCs w:val="24"/>
          <w:highlight w:val="none"/>
        </w:rPr>
        <w:t>3.3</w:t>
      </w:r>
      <w:r>
        <w:rPr>
          <w:rFonts w:ascii="宋体" w:hAnsi="宋体" w:eastAsia="宋体" w:cs="宋体"/>
          <w:color w:val="auto"/>
          <w:spacing w:val="2"/>
          <w:sz w:val="24"/>
          <w:szCs w:val="24"/>
          <w:highlight w:val="none"/>
        </w:rPr>
        <w:t>款规定的投标有效期内，招标人应通过电子招标投标交易平台以数</w:t>
      </w:r>
      <w:r>
        <w:rPr>
          <w:rFonts w:ascii="宋体" w:hAnsi="宋体" w:eastAsia="宋体" w:cs="宋体"/>
          <w:color w:val="auto"/>
          <w:spacing w:val="-1"/>
          <w:sz w:val="24"/>
          <w:szCs w:val="24"/>
          <w:highlight w:val="none"/>
        </w:rPr>
        <w:t>据电文形式向中标人发出中标通知书，同时将中标结果通</w:t>
      </w:r>
      <w:r>
        <w:rPr>
          <w:rFonts w:ascii="宋体" w:hAnsi="宋体" w:eastAsia="宋体" w:cs="宋体"/>
          <w:color w:val="auto"/>
          <w:spacing w:val="-2"/>
          <w:sz w:val="24"/>
          <w:szCs w:val="24"/>
          <w:highlight w:val="none"/>
        </w:rPr>
        <w:t>知未中标的投标人。</w:t>
      </w:r>
    </w:p>
    <w:p w14:paraId="25292939">
      <w:pPr>
        <w:spacing w:line="220" w:lineRule="auto"/>
        <w:outlineLvl w:val="2"/>
        <w:rPr>
          <w:rFonts w:ascii="宋体" w:hAnsi="宋体" w:eastAsia="宋体" w:cs="宋体"/>
          <w:color w:val="auto"/>
          <w:sz w:val="24"/>
          <w:szCs w:val="24"/>
          <w:highlight w:val="none"/>
        </w:rPr>
      </w:pPr>
      <w:bookmarkStart w:id="162" w:name="bookmark69"/>
      <w:bookmarkEnd w:id="162"/>
      <w:bookmarkStart w:id="163" w:name="_Toc29367"/>
      <w:bookmarkStart w:id="164" w:name="_Toc14345"/>
      <w:r>
        <w:rPr>
          <w:rFonts w:ascii="Times New Roman" w:hAnsi="Times New Roman" w:eastAsia="Times New Roman" w:cs="Times New Roman"/>
          <w:b/>
          <w:bCs/>
          <w:color w:val="auto"/>
          <w:spacing w:val="-4"/>
          <w:sz w:val="24"/>
          <w:szCs w:val="24"/>
          <w:highlight w:val="none"/>
        </w:rPr>
        <w:t>7.3</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4"/>
          <w:sz w:val="24"/>
          <w:szCs w:val="24"/>
          <w:highlight w:val="none"/>
        </w:rPr>
        <w:t>履约担保</w:t>
      </w:r>
      <w:bookmarkEnd w:id="163"/>
      <w:bookmarkEnd w:id="164"/>
    </w:p>
    <w:p w14:paraId="15E68337">
      <w:pPr>
        <w:spacing w:line="220" w:lineRule="auto"/>
        <w:rPr>
          <w:rFonts w:ascii="宋体" w:hAnsi="宋体" w:eastAsia="宋体" w:cs="宋体"/>
          <w:color w:val="auto"/>
          <w:sz w:val="24"/>
          <w:szCs w:val="24"/>
          <w:highlight w:val="none"/>
        </w:rPr>
      </w:pPr>
    </w:p>
    <w:p w14:paraId="45A59E83">
      <w:pPr>
        <w:spacing w:before="49" w:line="324" w:lineRule="auto"/>
        <w:ind w:left="1" w:right="1" w:firstLine="481"/>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7.3.1  </w:t>
      </w:r>
      <w:r>
        <w:rPr>
          <w:rFonts w:ascii="宋体" w:hAnsi="宋体" w:eastAsia="宋体" w:cs="宋体"/>
          <w:color w:val="auto"/>
          <w:sz w:val="24"/>
          <w:szCs w:val="24"/>
          <w:highlight w:val="none"/>
        </w:rPr>
        <w:t>在签订合同前，中标人应按投标人须知前附表规定的金额、担保形式和招</w:t>
      </w:r>
      <w:r>
        <w:rPr>
          <w:rFonts w:ascii="宋体" w:hAnsi="宋体" w:eastAsia="宋体" w:cs="宋体"/>
          <w:color w:val="auto"/>
          <w:spacing w:val="-3"/>
          <w:sz w:val="24"/>
          <w:szCs w:val="24"/>
          <w:highlight w:val="none"/>
        </w:rPr>
        <w:t>标文件第四章“合同条款及格式”规定的履约担保格式向招标人提交履约担保。联合体中标的，其履约担保由牵头人递交，并应符合投标人须知前附表规定的金额、担保</w:t>
      </w:r>
      <w:r>
        <w:rPr>
          <w:rFonts w:ascii="宋体" w:hAnsi="宋体" w:eastAsia="宋体" w:cs="宋体"/>
          <w:color w:val="auto"/>
          <w:spacing w:val="-2"/>
          <w:sz w:val="24"/>
          <w:szCs w:val="24"/>
          <w:highlight w:val="none"/>
        </w:rPr>
        <w:t>形式和招标文件第四章“合同条款及格式”规定的履约担保格式要求。</w:t>
      </w:r>
    </w:p>
    <w:p w14:paraId="123C85B5">
      <w:pPr>
        <w:spacing w:before="179" w:line="313" w:lineRule="auto"/>
        <w:ind w:left="2" w:righ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7.3.2</w:t>
      </w:r>
      <w:r>
        <w:rPr>
          <w:rFonts w:ascii="Times New Roman" w:hAnsi="Times New Roman" w:eastAsia="Times New Roman" w:cs="Times New Roman"/>
          <w:b/>
          <w:bCs/>
          <w:color w:val="auto"/>
          <w:spacing w:val="16"/>
          <w:sz w:val="24"/>
          <w:szCs w:val="24"/>
          <w:highlight w:val="none"/>
        </w:rPr>
        <w:t xml:space="preserve">  </w:t>
      </w:r>
      <w:r>
        <w:rPr>
          <w:rFonts w:ascii="宋体" w:hAnsi="宋体" w:eastAsia="宋体" w:cs="宋体"/>
          <w:color w:val="auto"/>
          <w:sz w:val="24"/>
          <w:szCs w:val="24"/>
          <w:highlight w:val="none"/>
        </w:rPr>
        <w:t>中标人不能按本章第</w:t>
      </w:r>
      <w:r>
        <w:rPr>
          <w:rFonts w:ascii="Times New Roman" w:hAnsi="Times New Roman" w:eastAsia="Times New Roman" w:cs="Times New Roman"/>
          <w:color w:val="auto"/>
          <w:sz w:val="24"/>
          <w:szCs w:val="24"/>
          <w:highlight w:val="none"/>
        </w:rPr>
        <w:t>7.3.1</w:t>
      </w:r>
      <w:r>
        <w:rPr>
          <w:rFonts w:ascii="宋体" w:hAnsi="宋体" w:eastAsia="宋体" w:cs="宋体"/>
          <w:color w:val="auto"/>
          <w:sz w:val="24"/>
          <w:szCs w:val="24"/>
          <w:highlight w:val="none"/>
        </w:rPr>
        <w:t>项要求</w:t>
      </w:r>
      <w:r>
        <w:rPr>
          <w:rFonts w:ascii="宋体" w:hAnsi="宋体" w:eastAsia="宋体" w:cs="宋体"/>
          <w:color w:val="auto"/>
          <w:spacing w:val="-1"/>
          <w:sz w:val="24"/>
          <w:szCs w:val="24"/>
          <w:highlight w:val="none"/>
        </w:rPr>
        <w:t>提交履约担保的，视为放弃中标，其投标</w:t>
      </w:r>
      <w:r>
        <w:rPr>
          <w:rFonts w:ascii="宋体" w:hAnsi="宋体" w:eastAsia="宋体" w:cs="宋体"/>
          <w:color w:val="auto"/>
          <w:spacing w:val="-3"/>
          <w:sz w:val="24"/>
          <w:szCs w:val="24"/>
          <w:highlight w:val="none"/>
        </w:rPr>
        <w:t>保证金不予退还，给招标人造成的损失超过投标保证金数额的，中标人还应当对超过</w:t>
      </w:r>
      <w:r>
        <w:rPr>
          <w:rFonts w:ascii="宋体" w:hAnsi="宋体" w:eastAsia="宋体" w:cs="宋体"/>
          <w:color w:val="auto"/>
          <w:spacing w:val="-6"/>
          <w:sz w:val="24"/>
          <w:szCs w:val="24"/>
          <w:highlight w:val="none"/>
        </w:rPr>
        <w:t>部分予以赔偿。</w:t>
      </w:r>
    </w:p>
    <w:p w14:paraId="1C8DC706">
      <w:pPr>
        <w:spacing w:before="182" w:line="222" w:lineRule="auto"/>
        <w:outlineLvl w:val="2"/>
        <w:rPr>
          <w:rFonts w:ascii="宋体" w:hAnsi="宋体" w:eastAsia="宋体" w:cs="宋体"/>
          <w:color w:val="auto"/>
          <w:sz w:val="24"/>
          <w:szCs w:val="24"/>
          <w:highlight w:val="none"/>
        </w:rPr>
      </w:pPr>
      <w:bookmarkStart w:id="165" w:name="bookmark70"/>
      <w:bookmarkEnd w:id="165"/>
      <w:bookmarkStart w:id="166" w:name="_Toc19652"/>
      <w:bookmarkStart w:id="167" w:name="_Toc6261"/>
      <w:r>
        <w:rPr>
          <w:rFonts w:ascii="Times New Roman" w:hAnsi="Times New Roman" w:eastAsia="Times New Roman" w:cs="Times New Roman"/>
          <w:b/>
          <w:bCs/>
          <w:color w:val="auto"/>
          <w:spacing w:val="-2"/>
          <w:sz w:val="24"/>
          <w:szCs w:val="24"/>
          <w:highlight w:val="none"/>
        </w:rPr>
        <w:t xml:space="preserve">7.4  </w:t>
      </w:r>
      <w:r>
        <w:rPr>
          <w:rFonts w:ascii="宋体" w:hAnsi="宋体" w:eastAsia="宋体" w:cs="宋体"/>
          <w:b/>
          <w:bCs/>
          <w:color w:val="auto"/>
          <w:spacing w:val="-2"/>
          <w:sz w:val="24"/>
          <w:szCs w:val="24"/>
          <w:highlight w:val="none"/>
        </w:rPr>
        <w:t>签订合同</w:t>
      </w:r>
      <w:bookmarkEnd w:id="166"/>
      <w:bookmarkEnd w:id="167"/>
    </w:p>
    <w:p w14:paraId="38F13B09">
      <w:pPr>
        <w:spacing w:before="176" w:line="290" w:lineRule="auto"/>
        <w:ind w:left="3" w:right="1"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7.4.1</w:t>
      </w:r>
      <w:r>
        <w:rPr>
          <w:rFonts w:ascii="宋体" w:hAnsi="宋体" w:eastAsia="宋体" w:cs="宋体"/>
          <w:color w:val="auto"/>
          <w:spacing w:val="-3"/>
          <w:sz w:val="24"/>
          <w:szCs w:val="24"/>
          <w:highlight w:val="none"/>
        </w:rPr>
        <w:t>招标人和中标人应当自中标通知书发出之日起</w:t>
      </w:r>
      <w:r>
        <w:rPr>
          <w:rFonts w:ascii="Times New Roman" w:hAnsi="Times New Roman" w:eastAsia="Times New Roman" w:cs="Times New Roman"/>
          <w:color w:val="auto"/>
          <w:spacing w:val="-3"/>
          <w:sz w:val="24"/>
          <w:szCs w:val="24"/>
          <w:highlight w:val="none"/>
        </w:rPr>
        <w:t>30</w:t>
      </w:r>
      <w:r>
        <w:rPr>
          <w:rFonts w:ascii="宋体" w:hAnsi="宋体" w:eastAsia="宋体" w:cs="宋体"/>
          <w:color w:val="auto"/>
          <w:spacing w:val="-3"/>
          <w:sz w:val="24"/>
          <w:szCs w:val="24"/>
          <w:highlight w:val="none"/>
        </w:rPr>
        <w:t>日内，根据招标文件和中标</w:t>
      </w:r>
      <w:r>
        <w:rPr>
          <w:rFonts w:ascii="宋体" w:hAnsi="宋体" w:eastAsia="宋体" w:cs="宋体"/>
          <w:color w:val="auto"/>
          <w:spacing w:val="-1"/>
          <w:sz w:val="24"/>
          <w:szCs w:val="24"/>
          <w:highlight w:val="none"/>
        </w:rPr>
        <w:t>人的投标文件通过电子招标投标交易平台以数据电文形式签订合同。</w:t>
      </w:r>
    </w:p>
    <w:p w14:paraId="65746887">
      <w:pPr>
        <w:spacing w:before="180" w:line="290" w:lineRule="auto"/>
        <w:ind w:left="1" w:right="1" w:firstLine="481"/>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7.4.2  </w:t>
      </w:r>
      <w:r>
        <w:rPr>
          <w:rFonts w:ascii="宋体" w:hAnsi="宋体" w:eastAsia="宋体" w:cs="宋体"/>
          <w:color w:val="auto"/>
          <w:sz w:val="24"/>
          <w:szCs w:val="24"/>
          <w:highlight w:val="none"/>
        </w:rPr>
        <w:t>发出中标通知书后，招标人无正当理由拒签合同的，招标人向中标人退还</w:t>
      </w:r>
      <w:r>
        <w:rPr>
          <w:rFonts w:ascii="宋体" w:hAnsi="宋体" w:eastAsia="宋体" w:cs="宋体"/>
          <w:color w:val="auto"/>
          <w:spacing w:val="-5"/>
          <w:sz w:val="24"/>
          <w:szCs w:val="24"/>
          <w:highlight w:val="none"/>
        </w:rPr>
        <w:t>双倍的投标保证金。</w:t>
      </w:r>
    </w:p>
    <w:p w14:paraId="5D21E818">
      <w:pPr>
        <w:spacing w:before="177" w:line="313" w:lineRule="auto"/>
        <w:ind w:left="1" w:right="1" w:firstLine="481"/>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7.4.3  </w:t>
      </w:r>
      <w:r>
        <w:rPr>
          <w:rFonts w:ascii="宋体" w:hAnsi="宋体" w:eastAsia="宋体" w:cs="宋体"/>
          <w:color w:val="auto"/>
          <w:sz w:val="24"/>
          <w:szCs w:val="24"/>
          <w:highlight w:val="none"/>
        </w:rPr>
        <w:t>发出中标通知书后，中标人无正当理由拒签合同的，招标人取消其中标资</w:t>
      </w:r>
      <w:r>
        <w:rPr>
          <w:rFonts w:ascii="宋体" w:hAnsi="宋体" w:eastAsia="宋体" w:cs="宋体"/>
          <w:color w:val="auto"/>
          <w:spacing w:val="-3"/>
          <w:sz w:val="24"/>
          <w:szCs w:val="24"/>
          <w:highlight w:val="none"/>
        </w:rPr>
        <w:t>格，其投标保证金不予退还；给招标人造成的损失超过投标保证金数额的，中标人还</w:t>
      </w:r>
      <w:r>
        <w:rPr>
          <w:rFonts w:ascii="宋体" w:hAnsi="宋体" w:eastAsia="宋体" w:cs="宋体"/>
          <w:color w:val="auto"/>
          <w:spacing w:val="-4"/>
          <w:sz w:val="24"/>
          <w:szCs w:val="24"/>
          <w:highlight w:val="none"/>
        </w:rPr>
        <w:t>应当对超过部分予以赔偿。</w:t>
      </w:r>
    </w:p>
    <w:p w14:paraId="476DAAF1">
      <w:pPr>
        <w:spacing w:before="308" w:line="221" w:lineRule="auto"/>
        <w:ind w:left="1"/>
        <w:outlineLvl w:val="1"/>
        <w:rPr>
          <w:rFonts w:ascii="宋体" w:hAnsi="宋体" w:eastAsia="宋体" w:cs="宋体"/>
          <w:color w:val="auto"/>
          <w:sz w:val="28"/>
          <w:szCs w:val="28"/>
          <w:highlight w:val="none"/>
        </w:rPr>
      </w:pPr>
      <w:bookmarkStart w:id="168" w:name="bookmark71"/>
      <w:bookmarkEnd w:id="168"/>
      <w:bookmarkStart w:id="169" w:name="bookmark72"/>
      <w:bookmarkEnd w:id="169"/>
      <w:bookmarkStart w:id="170" w:name="_Toc16913"/>
      <w:bookmarkStart w:id="171" w:name="_Toc10808"/>
      <w:r>
        <w:rPr>
          <w:rFonts w:ascii="Times New Roman" w:hAnsi="Times New Roman" w:eastAsia="Times New Roman" w:cs="Times New Roman"/>
          <w:b/>
          <w:bCs/>
          <w:color w:val="auto"/>
          <w:spacing w:val="-3"/>
          <w:sz w:val="28"/>
          <w:szCs w:val="28"/>
          <w:highlight w:val="none"/>
        </w:rPr>
        <w:t>8</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重新招标和不再招标</w:t>
      </w:r>
      <w:bookmarkEnd w:id="170"/>
      <w:bookmarkEnd w:id="171"/>
    </w:p>
    <w:p w14:paraId="4A624512">
      <w:pPr>
        <w:pStyle w:val="3"/>
        <w:spacing w:line="245" w:lineRule="auto"/>
        <w:rPr>
          <w:color w:val="auto"/>
          <w:highlight w:val="none"/>
        </w:rPr>
      </w:pPr>
    </w:p>
    <w:p w14:paraId="0BF9991C">
      <w:pPr>
        <w:spacing w:before="78" w:line="220" w:lineRule="auto"/>
        <w:outlineLvl w:val="2"/>
        <w:rPr>
          <w:rFonts w:ascii="宋体" w:hAnsi="宋体" w:eastAsia="宋体" w:cs="宋体"/>
          <w:color w:val="auto"/>
          <w:sz w:val="24"/>
          <w:szCs w:val="24"/>
          <w:highlight w:val="none"/>
        </w:rPr>
      </w:pPr>
      <w:bookmarkStart w:id="172" w:name="bookmark672"/>
      <w:bookmarkEnd w:id="172"/>
      <w:bookmarkStart w:id="173" w:name="_Toc21020"/>
      <w:bookmarkStart w:id="174" w:name="_Toc15530"/>
      <w:r>
        <w:rPr>
          <w:rFonts w:ascii="Times New Roman" w:hAnsi="Times New Roman" w:eastAsia="Times New Roman" w:cs="Times New Roman"/>
          <w:b/>
          <w:bCs/>
          <w:color w:val="auto"/>
          <w:spacing w:val="-2"/>
          <w:sz w:val="24"/>
          <w:szCs w:val="24"/>
          <w:highlight w:val="none"/>
        </w:rPr>
        <w:t xml:space="preserve">8.1  </w:t>
      </w:r>
      <w:r>
        <w:rPr>
          <w:rFonts w:ascii="宋体" w:hAnsi="宋体" w:eastAsia="宋体" w:cs="宋体"/>
          <w:b/>
          <w:bCs/>
          <w:color w:val="auto"/>
          <w:spacing w:val="-2"/>
          <w:sz w:val="24"/>
          <w:szCs w:val="24"/>
          <w:highlight w:val="none"/>
        </w:rPr>
        <w:t>重新招标</w:t>
      </w:r>
      <w:bookmarkEnd w:id="173"/>
      <w:bookmarkEnd w:id="174"/>
    </w:p>
    <w:p w14:paraId="792EF746">
      <w:pPr>
        <w:spacing w:before="179" w:line="220" w:lineRule="auto"/>
        <w:ind w:left="482"/>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有下列情形之一的，招标人将重新招标：</w:t>
      </w:r>
    </w:p>
    <w:p w14:paraId="2BCDA0CB">
      <w:pPr>
        <w:spacing w:before="182" w:line="290" w:lineRule="auto"/>
        <w:ind w:left="12" w:right="3" w:firstLine="47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）投标报名截止时间止，报名参加投标的潜在投标人少于</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个的；或投</w:t>
      </w:r>
      <w:r>
        <w:rPr>
          <w:rFonts w:ascii="宋体" w:hAnsi="宋体" w:eastAsia="宋体" w:cs="宋体"/>
          <w:color w:val="auto"/>
          <w:spacing w:val="-4"/>
          <w:sz w:val="24"/>
          <w:szCs w:val="24"/>
          <w:highlight w:val="none"/>
        </w:rPr>
        <w:t>标截止时间止，投标人少于</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个的。</w:t>
      </w:r>
    </w:p>
    <w:p w14:paraId="0FD8ABA6">
      <w:pPr>
        <w:spacing w:before="180" w:line="219" w:lineRule="auto"/>
        <w:ind w:left="48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）经评标委员会评审后否决所有投标的。</w:t>
      </w:r>
    </w:p>
    <w:p w14:paraId="72131FFA">
      <w:pPr>
        <w:spacing w:before="185" w:line="288" w:lineRule="auto"/>
        <w:ind w:left="2" w:right="1" w:firstLine="48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）评标委员会否决不合格投标后因有效标不足</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个使得投标明显缺乏竞争，评</w:t>
      </w:r>
      <w:r>
        <w:rPr>
          <w:rFonts w:ascii="宋体" w:hAnsi="宋体" w:eastAsia="宋体" w:cs="宋体"/>
          <w:color w:val="auto"/>
          <w:spacing w:val="-4"/>
          <w:sz w:val="24"/>
          <w:szCs w:val="24"/>
          <w:highlight w:val="none"/>
        </w:rPr>
        <w:t>标委员会否决全部投标的。</w:t>
      </w:r>
    </w:p>
    <w:p w14:paraId="4E3A12B8">
      <w:pPr>
        <w:spacing w:before="183" w:line="220"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）同意延长投标有效期的投标人少于</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个的。</w:t>
      </w:r>
    </w:p>
    <w:p w14:paraId="2DC82459">
      <w:pPr>
        <w:spacing w:before="180" w:line="219" w:lineRule="auto"/>
        <w:ind w:left="48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5</w:t>
      </w:r>
      <w:r>
        <w:rPr>
          <w:rFonts w:ascii="宋体" w:hAnsi="宋体" w:eastAsia="宋体" w:cs="宋体"/>
          <w:color w:val="auto"/>
          <w:spacing w:val="-3"/>
          <w:sz w:val="24"/>
          <w:szCs w:val="24"/>
          <w:highlight w:val="none"/>
        </w:rPr>
        <w:t>）出现本须知第</w:t>
      </w:r>
      <w:r>
        <w:rPr>
          <w:rFonts w:ascii="Times New Roman" w:hAnsi="Times New Roman" w:eastAsia="Times New Roman" w:cs="Times New Roman"/>
          <w:color w:val="auto"/>
          <w:spacing w:val="-3"/>
          <w:sz w:val="24"/>
          <w:szCs w:val="24"/>
          <w:highlight w:val="none"/>
        </w:rPr>
        <w:t>7.1.6</w:t>
      </w:r>
      <w:r>
        <w:rPr>
          <w:rFonts w:ascii="宋体" w:hAnsi="宋体" w:eastAsia="宋体" w:cs="宋体"/>
          <w:color w:val="auto"/>
          <w:spacing w:val="-3"/>
          <w:sz w:val="24"/>
          <w:szCs w:val="24"/>
          <w:highlight w:val="none"/>
        </w:rPr>
        <w:t>项情形的。</w:t>
      </w:r>
    </w:p>
    <w:p w14:paraId="0EBF06D3">
      <w:pPr>
        <w:spacing w:before="184" w:line="220" w:lineRule="auto"/>
        <w:outlineLvl w:val="2"/>
        <w:rPr>
          <w:rFonts w:ascii="宋体" w:hAnsi="宋体" w:eastAsia="宋体" w:cs="宋体"/>
          <w:color w:val="auto"/>
          <w:sz w:val="24"/>
          <w:szCs w:val="24"/>
          <w:highlight w:val="none"/>
        </w:rPr>
      </w:pPr>
      <w:bookmarkStart w:id="175" w:name="bookmark73"/>
      <w:bookmarkEnd w:id="175"/>
      <w:bookmarkStart w:id="176" w:name="_Toc31763"/>
      <w:bookmarkStart w:id="177" w:name="_Toc29402"/>
      <w:r>
        <w:rPr>
          <w:rFonts w:ascii="Times New Roman" w:hAnsi="Times New Roman" w:eastAsia="Times New Roman" w:cs="Times New Roman"/>
          <w:b/>
          <w:bCs/>
          <w:color w:val="auto"/>
          <w:spacing w:val="-4"/>
          <w:sz w:val="24"/>
          <w:szCs w:val="24"/>
          <w:highlight w:val="none"/>
        </w:rPr>
        <w:t>8.2</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4"/>
          <w:sz w:val="24"/>
          <w:szCs w:val="24"/>
          <w:highlight w:val="none"/>
        </w:rPr>
        <w:t>不再招标</w:t>
      </w:r>
      <w:bookmarkEnd w:id="176"/>
      <w:bookmarkEnd w:id="177"/>
    </w:p>
    <w:p w14:paraId="77941757">
      <w:pPr>
        <w:spacing w:before="179" w:line="362" w:lineRule="auto"/>
        <w:ind w:right="14" w:firstLine="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重新招标后，仍出现本章</w:t>
      </w:r>
      <w:r>
        <w:rPr>
          <w:rFonts w:ascii="Times New Roman" w:hAnsi="Times New Roman" w:eastAsia="Times New Roman" w:cs="Times New Roman"/>
          <w:color w:val="auto"/>
          <w:spacing w:val="-2"/>
          <w:sz w:val="24"/>
          <w:szCs w:val="24"/>
          <w:highlight w:val="none"/>
        </w:rPr>
        <w:t>8.1</w:t>
      </w:r>
      <w:r>
        <w:rPr>
          <w:rFonts w:ascii="宋体" w:hAnsi="宋体" w:eastAsia="宋体" w:cs="宋体"/>
          <w:color w:val="auto"/>
          <w:spacing w:val="-2"/>
          <w:sz w:val="24"/>
          <w:szCs w:val="24"/>
          <w:highlight w:val="none"/>
        </w:rPr>
        <w:t>款（</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）规定情形的，属于必须审批、核准的水利工程建设项目，经原审批、核准部门审批、核准后不再进行招标。</w:t>
      </w:r>
    </w:p>
    <w:p w14:paraId="36CDF7B6">
      <w:pPr>
        <w:spacing w:before="118" w:line="220" w:lineRule="auto"/>
        <w:outlineLvl w:val="1"/>
        <w:rPr>
          <w:rFonts w:ascii="宋体" w:hAnsi="宋体" w:eastAsia="宋体" w:cs="宋体"/>
          <w:color w:val="auto"/>
          <w:sz w:val="28"/>
          <w:szCs w:val="28"/>
          <w:highlight w:val="none"/>
        </w:rPr>
      </w:pPr>
      <w:bookmarkStart w:id="178" w:name="bookmark74"/>
      <w:bookmarkEnd w:id="178"/>
      <w:bookmarkStart w:id="179" w:name="_Toc12232"/>
      <w:bookmarkStart w:id="180" w:name="_Toc31731"/>
      <w:r>
        <w:rPr>
          <w:rFonts w:ascii="Times New Roman" w:hAnsi="Times New Roman" w:eastAsia="Times New Roman" w:cs="Times New Roman"/>
          <w:b/>
          <w:bCs/>
          <w:color w:val="auto"/>
          <w:spacing w:val="-6"/>
          <w:sz w:val="28"/>
          <w:szCs w:val="28"/>
          <w:highlight w:val="none"/>
        </w:rPr>
        <w:t>9</w:t>
      </w:r>
      <w:r>
        <w:rPr>
          <w:rFonts w:hint="eastAsia" w:ascii="Times New Roman" w:hAnsi="Times New Roman" w:eastAsia="宋体" w:cs="Times New Roman"/>
          <w:b/>
          <w:bCs/>
          <w:color w:val="auto"/>
          <w:spacing w:val="9"/>
          <w:sz w:val="28"/>
          <w:szCs w:val="28"/>
          <w:highlight w:val="none"/>
          <w:lang w:eastAsia="zh-CN"/>
        </w:rPr>
        <w:t>、</w:t>
      </w:r>
      <w:r>
        <w:rPr>
          <w:rFonts w:ascii="宋体" w:hAnsi="宋体" w:eastAsia="宋体" w:cs="宋体"/>
          <w:b/>
          <w:bCs/>
          <w:color w:val="auto"/>
          <w:spacing w:val="-6"/>
          <w:sz w:val="28"/>
          <w:szCs w:val="28"/>
          <w:highlight w:val="none"/>
        </w:rPr>
        <w:t>纪律和监督</w:t>
      </w:r>
      <w:bookmarkEnd w:id="179"/>
      <w:bookmarkEnd w:id="180"/>
    </w:p>
    <w:p w14:paraId="72159FD3">
      <w:pPr>
        <w:spacing w:line="220" w:lineRule="auto"/>
        <w:rPr>
          <w:rFonts w:ascii="宋体" w:hAnsi="宋体" w:eastAsia="宋体" w:cs="宋体"/>
          <w:color w:val="auto"/>
          <w:sz w:val="28"/>
          <w:szCs w:val="28"/>
          <w:highlight w:val="none"/>
        </w:rPr>
      </w:pPr>
    </w:p>
    <w:p w14:paraId="50B4F90A">
      <w:pPr>
        <w:tabs>
          <w:tab w:val="left" w:pos="300"/>
        </w:tabs>
        <w:bidi w:val="0"/>
        <w:jc w:val="left"/>
        <w:rPr>
          <w:rFonts w:ascii="宋体" w:hAnsi="宋体" w:eastAsia="宋体" w:cs="宋体"/>
          <w:color w:val="auto"/>
          <w:sz w:val="24"/>
          <w:szCs w:val="24"/>
          <w:highlight w:val="none"/>
        </w:rPr>
      </w:pPr>
      <w:r>
        <w:rPr>
          <w:rFonts w:hint="eastAsia" w:eastAsia="宋体"/>
          <w:color w:val="auto"/>
          <w:highlight w:val="none"/>
          <w:lang w:val="en-US" w:eastAsia="zh-CN"/>
        </w:rPr>
        <w:tab/>
      </w:r>
      <w:bookmarkStart w:id="181" w:name="bookmark75"/>
      <w:bookmarkEnd w:id="181"/>
      <w:r>
        <w:rPr>
          <w:rFonts w:ascii="Times New Roman" w:hAnsi="Times New Roman" w:eastAsia="Times New Roman" w:cs="Times New Roman"/>
          <w:b/>
          <w:bCs/>
          <w:color w:val="auto"/>
          <w:spacing w:val="-2"/>
          <w:sz w:val="24"/>
          <w:szCs w:val="24"/>
          <w:highlight w:val="none"/>
        </w:rPr>
        <w:t xml:space="preserve">9.1  </w:t>
      </w:r>
      <w:r>
        <w:rPr>
          <w:rFonts w:ascii="宋体" w:hAnsi="宋体" w:eastAsia="宋体" w:cs="宋体"/>
          <w:b/>
          <w:bCs/>
          <w:color w:val="auto"/>
          <w:spacing w:val="-2"/>
          <w:sz w:val="24"/>
          <w:szCs w:val="24"/>
          <w:highlight w:val="none"/>
        </w:rPr>
        <w:t>对招标人的纪律要求</w:t>
      </w:r>
    </w:p>
    <w:p w14:paraId="0F4F2991">
      <w:pPr>
        <w:spacing w:before="182" w:line="359" w:lineRule="auto"/>
        <w:ind w:left="25" w:right="186" w:firstLine="45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招标人不得泄露招标投标活动中应当保密的情况和资料，不得与投标人串通损害</w:t>
      </w:r>
      <w:r>
        <w:rPr>
          <w:rFonts w:ascii="宋体" w:hAnsi="宋体" w:eastAsia="宋体" w:cs="宋体"/>
          <w:color w:val="auto"/>
          <w:spacing w:val="-4"/>
          <w:sz w:val="24"/>
          <w:szCs w:val="24"/>
          <w:highlight w:val="none"/>
        </w:rPr>
        <w:t>国家利益、社会公共利益或者他人合法权益。</w:t>
      </w:r>
    </w:p>
    <w:p w14:paraId="071577C6">
      <w:pPr>
        <w:spacing w:line="220" w:lineRule="auto"/>
        <w:ind w:left="48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下列行为均属招标人与投标人串通投标：</w:t>
      </w:r>
    </w:p>
    <w:p w14:paraId="59660549">
      <w:pPr>
        <w:spacing w:before="178" w:line="220" w:lineRule="auto"/>
        <w:ind w:left="48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）招标人在开标前开启投标文件并将有关信息泄露给其他投标人。</w:t>
      </w:r>
    </w:p>
    <w:p w14:paraId="640C5CB9">
      <w:pPr>
        <w:spacing w:before="182" w:line="219" w:lineRule="auto"/>
        <w:ind w:left="48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）招标人直接或者间接向投标人泄露标底、评标委员会成员等信息。</w:t>
      </w:r>
    </w:p>
    <w:p w14:paraId="6A839A77">
      <w:pPr>
        <w:spacing w:before="181" w:line="218" w:lineRule="auto"/>
        <w:ind w:left="48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）招标人明示或者暗示投标人压低或者抬高投标报价。</w:t>
      </w:r>
    </w:p>
    <w:p w14:paraId="0FEAF5B0">
      <w:pPr>
        <w:spacing w:before="184" w:line="220" w:lineRule="auto"/>
        <w:ind w:left="48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4</w:t>
      </w:r>
      <w:r>
        <w:rPr>
          <w:rFonts w:ascii="宋体" w:hAnsi="宋体" w:eastAsia="宋体" w:cs="宋体"/>
          <w:color w:val="auto"/>
          <w:spacing w:val="-3"/>
          <w:sz w:val="24"/>
          <w:szCs w:val="24"/>
          <w:highlight w:val="none"/>
        </w:rPr>
        <w:t>）招标人授意投标人撤换、修改投标文件。</w:t>
      </w:r>
    </w:p>
    <w:p w14:paraId="4AEC1E29">
      <w:pPr>
        <w:spacing w:before="180" w:line="219" w:lineRule="auto"/>
        <w:ind w:left="48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5</w:t>
      </w:r>
      <w:r>
        <w:rPr>
          <w:rFonts w:ascii="宋体" w:hAnsi="宋体" w:eastAsia="宋体" w:cs="宋体"/>
          <w:color w:val="auto"/>
          <w:spacing w:val="-2"/>
          <w:sz w:val="24"/>
          <w:szCs w:val="24"/>
          <w:highlight w:val="none"/>
        </w:rPr>
        <w:t>）招标人明示或者暗示投标人为特定投标人中标提供方便。</w:t>
      </w:r>
    </w:p>
    <w:p w14:paraId="202EAC94">
      <w:pPr>
        <w:spacing w:before="183" w:line="219" w:lineRule="auto"/>
        <w:ind w:left="48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6</w:t>
      </w:r>
      <w:r>
        <w:rPr>
          <w:rFonts w:ascii="宋体" w:hAnsi="宋体" w:eastAsia="宋体" w:cs="宋体"/>
          <w:color w:val="auto"/>
          <w:spacing w:val="-2"/>
          <w:sz w:val="24"/>
          <w:szCs w:val="24"/>
          <w:highlight w:val="none"/>
        </w:rPr>
        <w:t>）招标人与投标人为谋求特定投标人中标而采取的其他串通行为。</w:t>
      </w:r>
    </w:p>
    <w:p w14:paraId="7A182052">
      <w:pPr>
        <w:spacing w:before="181" w:line="220" w:lineRule="auto"/>
        <w:outlineLvl w:val="2"/>
        <w:rPr>
          <w:rFonts w:ascii="宋体" w:hAnsi="宋体" w:eastAsia="宋体" w:cs="宋体"/>
          <w:color w:val="auto"/>
          <w:sz w:val="24"/>
          <w:szCs w:val="24"/>
          <w:highlight w:val="none"/>
        </w:rPr>
      </w:pPr>
      <w:bookmarkStart w:id="182" w:name="bookmark76"/>
      <w:bookmarkEnd w:id="182"/>
      <w:bookmarkStart w:id="183" w:name="_Toc17629"/>
      <w:bookmarkStart w:id="184" w:name="_Toc31815"/>
      <w:r>
        <w:rPr>
          <w:rFonts w:ascii="Times New Roman" w:hAnsi="Times New Roman" w:eastAsia="Times New Roman" w:cs="Times New Roman"/>
          <w:b/>
          <w:bCs/>
          <w:color w:val="auto"/>
          <w:spacing w:val="-2"/>
          <w:sz w:val="24"/>
          <w:szCs w:val="24"/>
          <w:highlight w:val="none"/>
        </w:rPr>
        <w:t xml:space="preserve">9.2  </w:t>
      </w:r>
      <w:r>
        <w:rPr>
          <w:rFonts w:ascii="宋体" w:hAnsi="宋体" w:eastAsia="宋体" w:cs="宋体"/>
          <w:b/>
          <w:bCs/>
          <w:color w:val="auto"/>
          <w:spacing w:val="-2"/>
          <w:sz w:val="24"/>
          <w:szCs w:val="24"/>
          <w:highlight w:val="none"/>
        </w:rPr>
        <w:t>对投标人的纪律要求</w:t>
      </w:r>
      <w:bookmarkEnd w:id="183"/>
      <w:bookmarkEnd w:id="184"/>
    </w:p>
    <w:p w14:paraId="3B25932C">
      <w:pPr>
        <w:spacing w:before="182" w:line="359" w:lineRule="auto"/>
        <w:ind w:left="3" w:right="186" w:firstLine="480"/>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投标人不得相互串通投标或者与招标人串通投标，不得向招标人或者评标委员会成员行贿谋取中标，不得以他人名义投标或者以其他方式弄虚作假骗取中标；投标人</w:t>
      </w:r>
      <w:r>
        <w:rPr>
          <w:rFonts w:ascii="宋体" w:hAnsi="宋体" w:eastAsia="宋体" w:cs="宋体"/>
          <w:color w:val="auto"/>
          <w:spacing w:val="-2"/>
          <w:sz w:val="24"/>
          <w:szCs w:val="24"/>
          <w:highlight w:val="none"/>
        </w:rPr>
        <w:t>不得以任何方式干扰、影响评标工作。具体行为见投标人须知前附表。</w:t>
      </w:r>
    </w:p>
    <w:p w14:paraId="588E8C1A">
      <w:pPr>
        <w:spacing w:before="1" w:line="218" w:lineRule="auto"/>
        <w:outlineLvl w:val="2"/>
        <w:rPr>
          <w:rFonts w:ascii="宋体" w:hAnsi="宋体" w:eastAsia="宋体" w:cs="宋体"/>
          <w:color w:val="auto"/>
          <w:sz w:val="24"/>
          <w:szCs w:val="24"/>
          <w:highlight w:val="none"/>
        </w:rPr>
      </w:pPr>
      <w:bookmarkStart w:id="185" w:name="bookmark77"/>
      <w:bookmarkEnd w:id="185"/>
      <w:bookmarkStart w:id="186" w:name="_Toc2801"/>
      <w:bookmarkStart w:id="187" w:name="_Toc26528"/>
      <w:r>
        <w:rPr>
          <w:rFonts w:ascii="Times New Roman" w:hAnsi="Times New Roman" w:eastAsia="Times New Roman" w:cs="Times New Roman"/>
          <w:b/>
          <w:bCs/>
          <w:color w:val="auto"/>
          <w:spacing w:val="-2"/>
          <w:sz w:val="24"/>
          <w:szCs w:val="24"/>
          <w:highlight w:val="none"/>
        </w:rPr>
        <w:t xml:space="preserve">9.3  </w:t>
      </w:r>
      <w:r>
        <w:rPr>
          <w:rFonts w:ascii="宋体" w:hAnsi="宋体" w:eastAsia="宋体" w:cs="宋体"/>
          <w:b/>
          <w:bCs/>
          <w:color w:val="auto"/>
          <w:spacing w:val="-2"/>
          <w:sz w:val="24"/>
          <w:szCs w:val="24"/>
          <w:highlight w:val="none"/>
        </w:rPr>
        <w:t>对评标委员会成员的纪律要求</w:t>
      </w:r>
      <w:bookmarkEnd w:id="186"/>
      <w:bookmarkEnd w:id="187"/>
    </w:p>
    <w:p w14:paraId="4D4EA3B6">
      <w:pPr>
        <w:spacing w:before="185" w:line="359" w:lineRule="auto"/>
        <w:ind w:left="5" w:firstLine="475"/>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评标委员会成员不得私下接触投标人</w:t>
      </w: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不得收受投标人给</w:t>
      </w:r>
      <w:r>
        <w:rPr>
          <w:rFonts w:ascii="宋体" w:hAnsi="宋体" w:eastAsia="宋体" w:cs="宋体"/>
          <w:color w:val="auto"/>
          <w:spacing w:val="-5"/>
          <w:sz w:val="24"/>
          <w:szCs w:val="24"/>
          <w:highlight w:val="none"/>
        </w:rPr>
        <w:t>予的财物或者其他好处，</w:t>
      </w:r>
      <w:r>
        <w:rPr>
          <w:rFonts w:ascii="宋体" w:hAnsi="宋体" w:eastAsia="宋体" w:cs="宋体"/>
          <w:color w:val="auto"/>
          <w:spacing w:val="-3"/>
          <w:sz w:val="24"/>
          <w:szCs w:val="24"/>
          <w:highlight w:val="none"/>
        </w:rPr>
        <w:t>不得向招标人征询确定中标人的意向</w:t>
      </w:r>
      <w:r>
        <w:rPr>
          <w:rFonts w:hint="eastAsia" w:ascii="宋体" w:hAnsi="宋体" w:eastAsia="宋体" w:cs="宋体"/>
          <w:color w:val="auto"/>
          <w:spacing w:val="-3"/>
          <w:sz w:val="24"/>
          <w:szCs w:val="24"/>
          <w:highlight w:val="none"/>
          <w:lang w:eastAsia="zh-CN"/>
        </w:rPr>
        <w:t>，</w:t>
      </w:r>
      <w:r>
        <w:rPr>
          <w:rFonts w:ascii="宋体" w:hAnsi="宋体" w:eastAsia="宋体" w:cs="宋体"/>
          <w:color w:val="auto"/>
          <w:spacing w:val="-3"/>
          <w:sz w:val="24"/>
          <w:szCs w:val="24"/>
          <w:highlight w:val="none"/>
        </w:rPr>
        <w:t>不得接受任何单位或者个人明示或者暗示提出</w:t>
      </w:r>
      <w:r>
        <w:rPr>
          <w:rFonts w:ascii="宋体" w:hAnsi="宋体" w:eastAsia="宋体" w:cs="宋体"/>
          <w:color w:val="auto"/>
          <w:spacing w:val="-1"/>
          <w:sz w:val="24"/>
          <w:szCs w:val="24"/>
          <w:highlight w:val="none"/>
        </w:rPr>
        <w:t>的倾向或者排斥特定投标人的要求</w:t>
      </w:r>
      <w:r>
        <w:rPr>
          <w:rFonts w:hint="eastAsia" w:ascii="宋体" w:hAnsi="宋体" w:eastAsia="宋体" w:cs="宋体"/>
          <w:color w:val="auto"/>
          <w:spacing w:val="-1"/>
          <w:sz w:val="24"/>
          <w:szCs w:val="24"/>
          <w:highlight w:val="none"/>
          <w:lang w:eastAsia="zh-CN"/>
        </w:rPr>
        <w:t>，</w:t>
      </w:r>
      <w:r>
        <w:rPr>
          <w:rFonts w:ascii="宋体" w:hAnsi="宋体" w:eastAsia="宋体" w:cs="宋体"/>
          <w:color w:val="auto"/>
          <w:spacing w:val="-1"/>
          <w:sz w:val="24"/>
          <w:szCs w:val="24"/>
          <w:highlight w:val="none"/>
        </w:rPr>
        <w:t>不得有其他不客观</w:t>
      </w:r>
      <w:r>
        <w:rPr>
          <w:rFonts w:hint="eastAsia" w:ascii="宋体" w:hAnsi="宋体" w:eastAsia="宋体" w:cs="宋体"/>
          <w:color w:val="auto"/>
          <w:spacing w:val="-2"/>
          <w:sz w:val="24"/>
          <w:szCs w:val="24"/>
          <w:highlight w:val="none"/>
          <w:lang w:eastAsia="zh-CN"/>
        </w:rPr>
        <w:t>、</w:t>
      </w:r>
      <w:r>
        <w:rPr>
          <w:rFonts w:ascii="宋体" w:hAnsi="宋体" w:eastAsia="宋体" w:cs="宋体"/>
          <w:color w:val="auto"/>
          <w:spacing w:val="-2"/>
          <w:sz w:val="24"/>
          <w:szCs w:val="24"/>
          <w:highlight w:val="none"/>
        </w:rPr>
        <w:t>不公正履行职务的行为。</w:t>
      </w:r>
    </w:p>
    <w:p w14:paraId="152CCC47">
      <w:pPr>
        <w:spacing w:line="219" w:lineRule="auto"/>
        <w:outlineLvl w:val="2"/>
        <w:rPr>
          <w:rFonts w:ascii="宋体" w:hAnsi="宋体" w:eastAsia="宋体" w:cs="宋体"/>
          <w:color w:val="auto"/>
          <w:sz w:val="24"/>
          <w:szCs w:val="24"/>
          <w:highlight w:val="none"/>
        </w:rPr>
      </w:pPr>
      <w:bookmarkStart w:id="188" w:name="bookmark78"/>
      <w:bookmarkEnd w:id="188"/>
      <w:bookmarkStart w:id="189" w:name="_Toc23557"/>
      <w:bookmarkStart w:id="190" w:name="_Toc11757"/>
      <w:r>
        <w:rPr>
          <w:rFonts w:ascii="Times New Roman" w:hAnsi="Times New Roman" w:eastAsia="Times New Roman" w:cs="Times New Roman"/>
          <w:b/>
          <w:bCs/>
          <w:color w:val="auto"/>
          <w:spacing w:val="-2"/>
          <w:sz w:val="24"/>
          <w:szCs w:val="24"/>
          <w:highlight w:val="none"/>
        </w:rPr>
        <w:t xml:space="preserve">9.4  </w:t>
      </w:r>
      <w:r>
        <w:rPr>
          <w:rFonts w:ascii="宋体" w:hAnsi="宋体" w:eastAsia="宋体" w:cs="宋体"/>
          <w:b/>
          <w:bCs/>
          <w:color w:val="auto"/>
          <w:spacing w:val="-2"/>
          <w:sz w:val="24"/>
          <w:szCs w:val="24"/>
          <w:highlight w:val="none"/>
        </w:rPr>
        <w:t>对与评标活动有关的工作人员的纪律要求</w:t>
      </w:r>
      <w:bookmarkEnd w:id="189"/>
      <w:bookmarkEnd w:id="190"/>
    </w:p>
    <w:p w14:paraId="7D437448">
      <w:pPr>
        <w:spacing w:before="182" w:line="359" w:lineRule="auto"/>
        <w:ind w:right="186" w:firstLine="485"/>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与评标活动有关的工作人员不得收受他人的财物或者其他好处，不得向他人</w:t>
      </w:r>
      <w:r>
        <w:rPr>
          <w:rFonts w:ascii="宋体" w:hAnsi="宋体" w:eastAsia="宋体" w:cs="宋体"/>
          <w:color w:val="auto"/>
          <w:spacing w:val="-4"/>
          <w:sz w:val="24"/>
          <w:szCs w:val="24"/>
          <w:highlight w:val="none"/>
        </w:rPr>
        <w:t>透漏</w:t>
      </w:r>
      <w:r>
        <w:rPr>
          <w:rFonts w:ascii="宋体" w:hAnsi="宋体" w:eastAsia="宋体" w:cs="宋体"/>
          <w:color w:val="auto"/>
          <w:spacing w:val="-3"/>
          <w:sz w:val="24"/>
          <w:szCs w:val="24"/>
          <w:highlight w:val="none"/>
        </w:rPr>
        <w:t>对投标文件的评审和比较、中标候选人的推荐情况以及评标有关的其他情况。在评标</w:t>
      </w:r>
      <w:r>
        <w:rPr>
          <w:rFonts w:ascii="宋体" w:hAnsi="宋体" w:eastAsia="宋体" w:cs="宋体"/>
          <w:color w:val="auto"/>
          <w:spacing w:val="-1"/>
          <w:sz w:val="24"/>
          <w:szCs w:val="24"/>
          <w:highlight w:val="none"/>
        </w:rPr>
        <w:t>活动中，与评标活动有关的工作人员不得擅离职守，影响</w:t>
      </w:r>
      <w:r>
        <w:rPr>
          <w:rFonts w:ascii="宋体" w:hAnsi="宋体" w:eastAsia="宋体" w:cs="宋体"/>
          <w:color w:val="auto"/>
          <w:spacing w:val="-2"/>
          <w:sz w:val="24"/>
          <w:szCs w:val="24"/>
          <w:highlight w:val="none"/>
        </w:rPr>
        <w:t>评标程序正常进行。</w:t>
      </w:r>
    </w:p>
    <w:p w14:paraId="69A1127E">
      <w:pPr>
        <w:spacing w:before="1" w:line="219" w:lineRule="auto"/>
        <w:outlineLvl w:val="2"/>
        <w:rPr>
          <w:rFonts w:ascii="宋体" w:hAnsi="宋体" w:eastAsia="宋体" w:cs="宋体"/>
          <w:color w:val="auto"/>
          <w:sz w:val="24"/>
          <w:szCs w:val="24"/>
          <w:highlight w:val="none"/>
        </w:rPr>
      </w:pPr>
      <w:bookmarkStart w:id="191" w:name="bookmark79"/>
      <w:bookmarkEnd w:id="191"/>
      <w:bookmarkStart w:id="192" w:name="_Toc8376"/>
      <w:bookmarkStart w:id="193" w:name="_Toc7742"/>
      <w:r>
        <w:rPr>
          <w:rFonts w:ascii="Times New Roman" w:hAnsi="Times New Roman" w:eastAsia="Times New Roman" w:cs="Times New Roman"/>
          <w:b/>
          <w:bCs/>
          <w:color w:val="auto"/>
          <w:spacing w:val="-2"/>
          <w:sz w:val="24"/>
          <w:szCs w:val="24"/>
          <w:highlight w:val="none"/>
        </w:rPr>
        <w:t xml:space="preserve">9.5  </w:t>
      </w:r>
      <w:r>
        <w:rPr>
          <w:rFonts w:ascii="宋体" w:hAnsi="宋体" w:eastAsia="宋体" w:cs="宋体"/>
          <w:b/>
          <w:bCs/>
          <w:color w:val="auto"/>
          <w:spacing w:val="-2"/>
          <w:sz w:val="24"/>
          <w:szCs w:val="24"/>
          <w:highlight w:val="none"/>
        </w:rPr>
        <w:t>异议与投诉</w:t>
      </w:r>
      <w:bookmarkEnd w:id="192"/>
      <w:bookmarkEnd w:id="193"/>
    </w:p>
    <w:p w14:paraId="4F852878">
      <w:pPr>
        <w:spacing w:before="181" w:line="360" w:lineRule="auto"/>
        <w:ind w:right="335" w:firstLine="483"/>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投标人和其他利害关系人认为本次招标活动违</w:t>
      </w:r>
      <w:r>
        <w:rPr>
          <w:rFonts w:ascii="宋体" w:hAnsi="宋体" w:eastAsia="宋体" w:cs="宋体"/>
          <w:color w:val="auto"/>
          <w:spacing w:val="-1"/>
          <w:sz w:val="24"/>
          <w:szCs w:val="24"/>
          <w:highlight w:val="none"/>
        </w:rPr>
        <w:t>反法律、法规和规章规定的，有</w:t>
      </w:r>
      <w:r>
        <w:rPr>
          <w:rFonts w:ascii="宋体" w:hAnsi="宋体" w:eastAsia="宋体" w:cs="宋体"/>
          <w:color w:val="auto"/>
          <w:sz w:val="24"/>
          <w:szCs w:val="24"/>
          <w:highlight w:val="none"/>
        </w:rPr>
        <w:t>权按照《中华人民共和国招标投标法实施条例》等规定提出</w:t>
      </w:r>
      <w:r>
        <w:rPr>
          <w:rFonts w:ascii="宋体" w:hAnsi="宋体" w:eastAsia="宋体" w:cs="宋体"/>
          <w:color w:val="auto"/>
          <w:spacing w:val="-1"/>
          <w:sz w:val="24"/>
          <w:szCs w:val="24"/>
          <w:highlight w:val="none"/>
        </w:rPr>
        <w:t>书面异议和投诉。异议</w:t>
      </w:r>
      <w:r>
        <w:rPr>
          <w:rFonts w:ascii="宋体" w:hAnsi="宋体" w:eastAsia="宋体" w:cs="宋体"/>
          <w:color w:val="auto"/>
          <w:spacing w:val="-4"/>
          <w:sz w:val="24"/>
          <w:szCs w:val="24"/>
          <w:highlight w:val="none"/>
        </w:rPr>
        <w:t>与投诉见投标人须知前附表。</w:t>
      </w:r>
    </w:p>
    <w:p w14:paraId="57583BFE">
      <w:pPr>
        <w:spacing w:before="123" w:line="220" w:lineRule="auto"/>
        <w:ind w:left="11"/>
        <w:outlineLvl w:val="1"/>
        <w:rPr>
          <w:rFonts w:ascii="宋体" w:hAnsi="宋体" w:eastAsia="宋体" w:cs="宋体"/>
          <w:color w:val="auto"/>
          <w:sz w:val="28"/>
          <w:szCs w:val="28"/>
          <w:highlight w:val="none"/>
        </w:rPr>
      </w:pPr>
      <w:bookmarkStart w:id="194" w:name="bookmark81"/>
      <w:bookmarkEnd w:id="194"/>
      <w:bookmarkStart w:id="195" w:name="bookmark80"/>
      <w:bookmarkEnd w:id="195"/>
      <w:bookmarkStart w:id="196" w:name="_Toc22192"/>
      <w:bookmarkStart w:id="197" w:name="_Toc23916"/>
      <w:r>
        <w:rPr>
          <w:rFonts w:ascii="Times New Roman" w:hAnsi="Times New Roman" w:eastAsia="Times New Roman" w:cs="Times New Roman"/>
          <w:b/>
          <w:bCs/>
          <w:color w:val="auto"/>
          <w:spacing w:val="-4"/>
          <w:sz w:val="28"/>
          <w:szCs w:val="28"/>
          <w:highlight w:val="none"/>
        </w:rPr>
        <w:t>10</w:t>
      </w:r>
      <w:r>
        <w:rPr>
          <w:rFonts w:hint="eastAsia" w:ascii="Times New Roman" w:hAnsi="Times New Roman" w:eastAsia="宋体" w:cs="Times New Roman"/>
          <w:b/>
          <w:bCs/>
          <w:color w:val="auto"/>
          <w:spacing w:val="-4"/>
          <w:sz w:val="28"/>
          <w:szCs w:val="28"/>
          <w:highlight w:val="none"/>
          <w:lang w:eastAsia="zh-CN"/>
        </w:rPr>
        <w:t>、</w:t>
      </w:r>
      <w:r>
        <w:rPr>
          <w:rFonts w:ascii="宋体" w:hAnsi="宋体" w:eastAsia="宋体" w:cs="宋体"/>
          <w:b/>
          <w:bCs/>
          <w:color w:val="auto"/>
          <w:spacing w:val="-4"/>
          <w:sz w:val="28"/>
          <w:szCs w:val="28"/>
          <w:highlight w:val="none"/>
        </w:rPr>
        <w:t>其他内容</w:t>
      </w:r>
      <w:bookmarkEnd w:id="196"/>
      <w:bookmarkEnd w:id="197"/>
    </w:p>
    <w:p w14:paraId="1CC86ACC">
      <w:pPr>
        <w:pStyle w:val="3"/>
        <w:spacing w:line="245" w:lineRule="auto"/>
        <w:rPr>
          <w:color w:val="auto"/>
          <w:highlight w:val="none"/>
        </w:rPr>
      </w:pPr>
    </w:p>
    <w:p w14:paraId="7821C92C">
      <w:pPr>
        <w:spacing w:before="78" w:line="220" w:lineRule="auto"/>
        <w:ind w:left="8"/>
        <w:outlineLvl w:val="2"/>
        <w:rPr>
          <w:rFonts w:ascii="宋体" w:hAnsi="宋体" w:eastAsia="宋体" w:cs="宋体"/>
          <w:color w:val="auto"/>
          <w:sz w:val="24"/>
          <w:szCs w:val="24"/>
          <w:highlight w:val="none"/>
        </w:rPr>
      </w:pPr>
      <w:bookmarkStart w:id="198" w:name="bookmark673"/>
      <w:bookmarkEnd w:id="198"/>
      <w:bookmarkStart w:id="199" w:name="_Toc4505"/>
      <w:bookmarkStart w:id="200" w:name="_Toc30107"/>
      <w:r>
        <w:rPr>
          <w:rFonts w:ascii="Times New Roman" w:hAnsi="Times New Roman" w:eastAsia="Times New Roman" w:cs="Times New Roman"/>
          <w:b/>
          <w:bCs/>
          <w:color w:val="auto"/>
          <w:spacing w:val="-3"/>
          <w:sz w:val="24"/>
          <w:szCs w:val="24"/>
          <w:highlight w:val="none"/>
        </w:rPr>
        <w:t xml:space="preserve">10.1  </w:t>
      </w:r>
      <w:r>
        <w:rPr>
          <w:rFonts w:ascii="宋体" w:hAnsi="宋体" w:eastAsia="宋体" w:cs="宋体"/>
          <w:b/>
          <w:bCs/>
          <w:color w:val="auto"/>
          <w:spacing w:val="-3"/>
          <w:sz w:val="24"/>
          <w:szCs w:val="24"/>
          <w:highlight w:val="none"/>
        </w:rPr>
        <w:t>类似项目</w:t>
      </w:r>
      <w:bookmarkEnd w:id="199"/>
      <w:bookmarkEnd w:id="200"/>
    </w:p>
    <w:p w14:paraId="4D560446">
      <w:pPr>
        <w:spacing w:before="180" w:line="219" w:lineRule="auto"/>
        <w:ind w:left="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类似项目的要求见投标人须知前附表。</w:t>
      </w:r>
    </w:p>
    <w:p w14:paraId="2A419EA9">
      <w:pPr>
        <w:spacing w:line="219" w:lineRule="auto"/>
        <w:rPr>
          <w:rFonts w:ascii="宋体" w:hAnsi="宋体" w:eastAsia="宋体" w:cs="宋体"/>
          <w:color w:val="auto"/>
          <w:sz w:val="24"/>
          <w:szCs w:val="24"/>
          <w:highlight w:val="none"/>
        </w:rPr>
      </w:pPr>
    </w:p>
    <w:p w14:paraId="60791804">
      <w:pPr>
        <w:tabs>
          <w:tab w:val="left" w:pos="525"/>
        </w:tabs>
        <w:bidi w:val="0"/>
        <w:jc w:val="left"/>
        <w:rPr>
          <w:rFonts w:ascii="宋体" w:hAnsi="宋体" w:eastAsia="宋体" w:cs="宋体"/>
          <w:color w:val="auto"/>
          <w:sz w:val="24"/>
          <w:szCs w:val="24"/>
          <w:highlight w:val="none"/>
        </w:rPr>
      </w:pPr>
      <w:bookmarkStart w:id="201" w:name="bookmark82"/>
      <w:bookmarkEnd w:id="201"/>
      <w:r>
        <w:rPr>
          <w:rFonts w:ascii="Times New Roman" w:hAnsi="Times New Roman" w:eastAsia="Times New Roman" w:cs="Times New Roman"/>
          <w:b/>
          <w:bCs/>
          <w:color w:val="auto"/>
          <w:spacing w:val="-2"/>
          <w:sz w:val="24"/>
          <w:szCs w:val="24"/>
          <w:highlight w:val="none"/>
        </w:rPr>
        <w:t xml:space="preserve">10.2  </w:t>
      </w:r>
      <w:r>
        <w:rPr>
          <w:rFonts w:ascii="宋体" w:hAnsi="宋体" w:eastAsia="宋体" w:cs="宋体"/>
          <w:b/>
          <w:bCs/>
          <w:color w:val="auto"/>
          <w:spacing w:val="-2"/>
          <w:sz w:val="24"/>
          <w:szCs w:val="24"/>
          <w:highlight w:val="none"/>
        </w:rPr>
        <w:t>投标文件的澄清、说明</w:t>
      </w:r>
    </w:p>
    <w:p w14:paraId="72A67415">
      <w:pPr>
        <w:spacing w:before="181" w:line="359" w:lineRule="auto"/>
        <w:ind w:right="2" w:firstLine="480"/>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评标过程中，评标委员会认为有必要对投标文件中的问题进行询标，或拟作出否决投标决定前对相关投标人进行询问核实，投标文件的澄清、质询见投标人须知前附</w:t>
      </w:r>
      <w:r>
        <w:rPr>
          <w:rFonts w:ascii="宋体" w:hAnsi="宋体" w:eastAsia="宋体" w:cs="宋体"/>
          <w:color w:val="auto"/>
          <w:spacing w:val="-11"/>
          <w:sz w:val="24"/>
          <w:szCs w:val="24"/>
          <w:highlight w:val="none"/>
        </w:rPr>
        <w:t>表。</w:t>
      </w:r>
    </w:p>
    <w:p w14:paraId="056C8D41">
      <w:pPr>
        <w:spacing w:line="219" w:lineRule="auto"/>
        <w:ind w:left="7"/>
        <w:outlineLvl w:val="2"/>
        <w:rPr>
          <w:rFonts w:ascii="宋体" w:hAnsi="宋体" w:eastAsia="宋体" w:cs="宋体"/>
          <w:color w:val="auto"/>
          <w:sz w:val="24"/>
          <w:szCs w:val="24"/>
          <w:highlight w:val="none"/>
        </w:rPr>
      </w:pPr>
      <w:bookmarkStart w:id="202" w:name="bookmark83"/>
      <w:bookmarkEnd w:id="202"/>
      <w:bookmarkStart w:id="203" w:name="_Toc29391"/>
      <w:bookmarkStart w:id="204" w:name="_Toc13849"/>
      <w:r>
        <w:rPr>
          <w:rFonts w:ascii="Times New Roman" w:hAnsi="Times New Roman" w:eastAsia="Times New Roman" w:cs="Times New Roman"/>
          <w:b/>
          <w:bCs/>
          <w:color w:val="auto"/>
          <w:spacing w:val="-2"/>
          <w:sz w:val="24"/>
          <w:szCs w:val="24"/>
          <w:highlight w:val="none"/>
        </w:rPr>
        <w:t xml:space="preserve">10.3  </w:t>
      </w:r>
      <w:r>
        <w:rPr>
          <w:rFonts w:ascii="宋体" w:hAnsi="宋体" w:eastAsia="宋体" w:cs="宋体"/>
          <w:b/>
          <w:bCs/>
          <w:color w:val="auto"/>
          <w:spacing w:val="-2"/>
          <w:sz w:val="24"/>
          <w:szCs w:val="24"/>
          <w:highlight w:val="none"/>
        </w:rPr>
        <w:t>实质性响应招标文件资料及评审打分资料</w:t>
      </w:r>
      <w:bookmarkEnd w:id="203"/>
      <w:bookmarkEnd w:id="204"/>
    </w:p>
    <w:p w14:paraId="004A6511">
      <w:pPr>
        <w:spacing w:before="182" w:line="219"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实质性响应招标文件资料及评审打分资料详见投标人须知前附表。</w:t>
      </w:r>
    </w:p>
    <w:p w14:paraId="1CC9BEA9">
      <w:pPr>
        <w:spacing w:before="180" w:line="220" w:lineRule="auto"/>
        <w:ind w:left="7"/>
        <w:outlineLvl w:val="2"/>
        <w:rPr>
          <w:rFonts w:ascii="宋体" w:hAnsi="宋体" w:eastAsia="宋体" w:cs="宋体"/>
          <w:color w:val="auto"/>
          <w:sz w:val="24"/>
          <w:szCs w:val="24"/>
          <w:highlight w:val="none"/>
        </w:rPr>
      </w:pPr>
      <w:bookmarkStart w:id="205" w:name="bookmark84"/>
      <w:bookmarkEnd w:id="205"/>
      <w:bookmarkStart w:id="206" w:name="_Toc7501"/>
      <w:bookmarkStart w:id="207" w:name="_Toc15791"/>
      <w:r>
        <w:rPr>
          <w:rFonts w:ascii="Times New Roman" w:hAnsi="Times New Roman" w:eastAsia="Times New Roman" w:cs="Times New Roman"/>
          <w:b/>
          <w:bCs/>
          <w:color w:val="auto"/>
          <w:spacing w:val="-6"/>
          <w:sz w:val="24"/>
          <w:szCs w:val="24"/>
          <w:highlight w:val="none"/>
        </w:rPr>
        <w:t>10.4</w:t>
      </w:r>
      <w:r>
        <w:rPr>
          <w:rFonts w:ascii="Times New Roman" w:hAnsi="Times New Roman" w:eastAsia="Times New Roman" w:cs="Times New Roman"/>
          <w:b/>
          <w:bCs/>
          <w:color w:val="auto"/>
          <w:spacing w:val="21"/>
          <w:sz w:val="24"/>
          <w:szCs w:val="24"/>
          <w:highlight w:val="none"/>
        </w:rPr>
        <w:t xml:space="preserve">  </w:t>
      </w:r>
      <w:r>
        <w:rPr>
          <w:rFonts w:ascii="宋体" w:hAnsi="宋体" w:eastAsia="宋体" w:cs="宋体"/>
          <w:b/>
          <w:bCs/>
          <w:color w:val="auto"/>
          <w:spacing w:val="-6"/>
          <w:sz w:val="24"/>
          <w:szCs w:val="24"/>
          <w:highlight w:val="none"/>
        </w:rPr>
        <w:t>中标人的投标文件</w:t>
      </w:r>
      <w:bookmarkEnd w:id="206"/>
      <w:bookmarkEnd w:id="207"/>
    </w:p>
    <w:p w14:paraId="2E5FB00F">
      <w:pPr>
        <w:spacing w:before="183" w:line="359" w:lineRule="auto"/>
        <w:ind w:firstLine="50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中标人须在签订合同前向招标人另行提交投标人须知前附表规定份数的投标文</w:t>
      </w:r>
      <w:r>
        <w:rPr>
          <w:rFonts w:ascii="宋体" w:hAnsi="宋体" w:eastAsia="宋体" w:cs="宋体"/>
          <w:color w:val="auto"/>
          <w:spacing w:val="-9"/>
          <w:sz w:val="24"/>
          <w:szCs w:val="24"/>
          <w:highlight w:val="none"/>
        </w:rPr>
        <w:t>件副本。</w:t>
      </w:r>
    </w:p>
    <w:p w14:paraId="3FC5511D">
      <w:pPr>
        <w:spacing w:line="218" w:lineRule="auto"/>
        <w:ind w:left="7"/>
        <w:outlineLvl w:val="2"/>
        <w:rPr>
          <w:rFonts w:ascii="宋体" w:hAnsi="宋体" w:eastAsia="宋体" w:cs="宋体"/>
          <w:color w:val="auto"/>
          <w:sz w:val="24"/>
          <w:szCs w:val="24"/>
          <w:highlight w:val="none"/>
        </w:rPr>
      </w:pPr>
      <w:bookmarkStart w:id="208" w:name="bookmark85"/>
      <w:bookmarkEnd w:id="208"/>
      <w:bookmarkStart w:id="209" w:name="_Toc26531"/>
      <w:bookmarkStart w:id="210" w:name="_Toc24370"/>
      <w:r>
        <w:rPr>
          <w:rFonts w:ascii="Times New Roman" w:hAnsi="Times New Roman" w:eastAsia="Times New Roman" w:cs="Times New Roman"/>
          <w:b/>
          <w:bCs/>
          <w:color w:val="auto"/>
          <w:spacing w:val="-2"/>
          <w:sz w:val="24"/>
          <w:szCs w:val="24"/>
          <w:highlight w:val="none"/>
        </w:rPr>
        <w:t xml:space="preserve">10.5  </w:t>
      </w:r>
      <w:r>
        <w:rPr>
          <w:rFonts w:ascii="宋体" w:hAnsi="宋体" w:eastAsia="宋体" w:cs="宋体"/>
          <w:b/>
          <w:bCs/>
          <w:color w:val="auto"/>
          <w:spacing w:val="-2"/>
          <w:sz w:val="24"/>
          <w:szCs w:val="24"/>
          <w:highlight w:val="none"/>
        </w:rPr>
        <w:t>招标人最高投标限价或其计算方法</w:t>
      </w:r>
      <w:bookmarkEnd w:id="209"/>
      <w:bookmarkEnd w:id="210"/>
    </w:p>
    <w:p w14:paraId="24FCF1B5">
      <w:pPr>
        <w:spacing w:before="182" w:line="218" w:lineRule="auto"/>
        <w:ind w:left="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招标人最高投标限价或其计算方法见投标人须知前附表。</w:t>
      </w:r>
    </w:p>
    <w:p w14:paraId="2DFD6822">
      <w:pPr>
        <w:spacing w:before="184" w:line="220" w:lineRule="auto"/>
        <w:ind w:left="7"/>
        <w:outlineLvl w:val="2"/>
        <w:rPr>
          <w:rFonts w:ascii="宋体" w:hAnsi="宋体" w:eastAsia="宋体" w:cs="宋体"/>
          <w:color w:val="auto"/>
          <w:sz w:val="24"/>
          <w:szCs w:val="24"/>
          <w:highlight w:val="none"/>
        </w:rPr>
      </w:pPr>
      <w:bookmarkStart w:id="211" w:name="bookmark86"/>
      <w:bookmarkEnd w:id="211"/>
      <w:bookmarkStart w:id="212" w:name="_Toc22407"/>
      <w:bookmarkStart w:id="213" w:name="_Toc20123"/>
      <w:r>
        <w:rPr>
          <w:rFonts w:ascii="Times New Roman" w:hAnsi="Times New Roman" w:eastAsia="Times New Roman" w:cs="Times New Roman"/>
          <w:b/>
          <w:bCs/>
          <w:color w:val="auto"/>
          <w:spacing w:val="-2"/>
          <w:sz w:val="24"/>
          <w:szCs w:val="24"/>
          <w:highlight w:val="none"/>
        </w:rPr>
        <w:t xml:space="preserve">10.6  </w:t>
      </w:r>
      <w:r>
        <w:rPr>
          <w:rFonts w:ascii="宋体" w:hAnsi="宋体" w:eastAsia="宋体" w:cs="宋体"/>
          <w:b/>
          <w:bCs/>
          <w:color w:val="auto"/>
          <w:spacing w:val="-2"/>
          <w:sz w:val="24"/>
          <w:szCs w:val="24"/>
          <w:highlight w:val="none"/>
        </w:rPr>
        <w:t>在建合同工程的认定及变更证明</w:t>
      </w:r>
      <w:bookmarkEnd w:id="212"/>
      <w:bookmarkEnd w:id="213"/>
    </w:p>
    <w:p w14:paraId="5C90FF0D">
      <w:pPr>
        <w:spacing w:before="180" w:line="219" w:lineRule="auto"/>
        <w:ind w:left="47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在建合同工程的认定及变更证明见投标人须知前附表。</w:t>
      </w:r>
    </w:p>
    <w:p w14:paraId="59DA1DFE">
      <w:pPr>
        <w:spacing w:before="183" w:line="220" w:lineRule="auto"/>
        <w:ind w:left="7"/>
        <w:outlineLvl w:val="2"/>
        <w:rPr>
          <w:rFonts w:ascii="宋体" w:hAnsi="宋体" w:eastAsia="宋体" w:cs="宋体"/>
          <w:color w:val="auto"/>
          <w:sz w:val="24"/>
          <w:szCs w:val="24"/>
          <w:highlight w:val="none"/>
        </w:rPr>
      </w:pPr>
      <w:bookmarkStart w:id="214" w:name="bookmark87"/>
      <w:bookmarkEnd w:id="214"/>
      <w:bookmarkStart w:id="215" w:name="_Toc1755"/>
      <w:bookmarkStart w:id="216" w:name="_Toc7543"/>
      <w:r>
        <w:rPr>
          <w:rFonts w:ascii="Times New Roman" w:hAnsi="Times New Roman" w:eastAsia="Times New Roman" w:cs="Times New Roman"/>
          <w:b/>
          <w:bCs/>
          <w:color w:val="auto"/>
          <w:spacing w:val="-3"/>
          <w:sz w:val="24"/>
          <w:szCs w:val="24"/>
          <w:highlight w:val="none"/>
        </w:rPr>
        <w:t xml:space="preserve">10.7  </w:t>
      </w:r>
      <w:r>
        <w:rPr>
          <w:rFonts w:ascii="宋体" w:hAnsi="宋体" w:eastAsia="宋体" w:cs="宋体"/>
          <w:b/>
          <w:bCs/>
          <w:color w:val="auto"/>
          <w:spacing w:val="-3"/>
          <w:sz w:val="24"/>
          <w:szCs w:val="24"/>
          <w:highlight w:val="none"/>
        </w:rPr>
        <w:t>特别说明</w:t>
      </w:r>
      <w:bookmarkEnd w:id="215"/>
      <w:bookmarkEnd w:id="216"/>
    </w:p>
    <w:p w14:paraId="1AA05771">
      <w:pPr>
        <w:spacing w:before="180" w:line="219" w:lineRule="auto"/>
        <w:ind w:left="47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特别说明见投标人须知前附表。</w:t>
      </w:r>
    </w:p>
    <w:p w14:paraId="0282B40E">
      <w:pPr>
        <w:spacing w:before="309" w:line="220" w:lineRule="auto"/>
        <w:ind w:left="10"/>
        <w:outlineLvl w:val="1"/>
        <w:rPr>
          <w:rFonts w:ascii="宋体" w:hAnsi="宋体" w:eastAsia="宋体" w:cs="宋体"/>
          <w:color w:val="auto"/>
          <w:sz w:val="28"/>
          <w:szCs w:val="28"/>
          <w:highlight w:val="none"/>
        </w:rPr>
      </w:pPr>
      <w:bookmarkStart w:id="217" w:name="bookmark88"/>
      <w:bookmarkEnd w:id="217"/>
      <w:bookmarkStart w:id="218" w:name="_Toc25739"/>
      <w:bookmarkStart w:id="219" w:name="_Toc25366"/>
      <w:r>
        <w:rPr>
          <w:rFonts w:ascii="Times New Roman" w:hAnsi="Times New Roman" w:eastAsia="Times New Roman" w:cs="Times New Roman"/>
          <w:b/>
          <w:bCs/>
          <w:color w:val="auto"/>
          <w:spacing w:val="-7"/>
          <w:sz w:val="28"/>
          <w:szCs w:val="28"/>
          <w:highlight w:val="none"/>
        </w:rPr>
        <w:t>11</w:t>
      </w:r>
      <w:r>
        <w:rPr>
          <w:rFonts w:hint="eastAsia" w:ascii="Times New Roman" w:hAnsi="Times New Roman" w:eastAsia="宋体" w:cs="Times New Roman"/>
          <w:b/>
          <w:bCs/>
          <w:color w:val="auto"/>
          <w:spacing w:val="15"/>
          <w:sz w:val="28"/>
          <w:szCs w:val="28"/>
          <w:highlight w:val="none"/>
          <w:lang w:eastAsia="zh-CN"/>
        </w:rPr>
        <w:t>、</w:t>
      </w:r>
      <w:r>
        <w:rPr>
          <w:rFonts w:ascii="宋体" w:hAnsi="宋体" w:eastAsia="宋体" w:cs="宋体"/>
          <w:b/>
          <w:bCs/>
          <w:color w:val="auto"/>
          <w:spacing w:val="-7"/>
          <w:sz w:val="28"/>
          <w:szCs w:val="28"/>
          <w:highlight w:val="none"/>
        </w:rPr>
        <w:t>需要补充的内容</w:t>
      </w:r>
      <w:bookmarkEnd w:id="218"/>
      <w:bookmarkEnd w:id="219"/>
    </w:p>
    <w:p w14:paraId="24596425">
      <w:pPr>
        <w:pStyle w:val="3"/>
        <w:spacing w:line="245" w:lineRule="auto"/>
        <w:rPr>
          <w:color w:val="auto"/>
          <w:highlight w:val="none"/>
        </w:rPr>
      </w:pPr>
    </w:p>
    <w:p w14:paraId="5330CBD7">
      <w:pPr>
        <w:spacing w:before="79" w:line="219" w:lineRule="auto"/>
        <w:ind w:left="49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需要补充的内容：见投标人须知前附表。</w:t>
      </w:r>
    </w:p>
    <w:p w14:paraId="3F6FDC5F">
      <w:pPr>
        <w:spacing w:line="219" w:lineRule="auto"/>
        <w:rPr>
          <w:rFonts w:ascii="宋体" w:hAnsi="宋体" w:eastAsia="宋体" w:cs="宋体"/>
          <w:color w:val="auto"/>
          <w:sz w:val="24"/>
          <w:szCs w:val="24"/>
          <w:highlight w:val="none"/>
        </w:rPr>
        <w:sectPr>
          <w:footerReference r:id="rId12" w:type="default"/>
          <w:pgSz w:w="11907" w:h="16841"/>
          <w:pgMar w:top="1428" w:right="1526" w:bottom="1254" w:left="1597" w:header="0" w:footer="1093" w:gutter="0"/>
          <w:pgNumType w:fmt="decimal"/>
          <w:cols w:space="720" w:num="1"/>
        </w:sectPr>
      </w:pPr>
    </w:p>
    <w:p w14:paraId="3302A11B">
      <w:pPr>
        <w:spacing w:before="56" w:line="219" w:lineRule="auto"/>
        <w:ind w:left="32"/>
        <w:rPr>
          <w:rFonts w:ascii="宋体" w:hAnsi="宋体" w:eastAsia="宋体" w:cs="宋体"/>
          <w:color w:val="auto"/>
          <w:sz w:val="28"/>
          <w:szCs w:val="28"/>
          <w:highlight w:val="none"/>
        </w:rPr>
      </w:pPr>
      <w:r>
        <w:rPr>
          <w:rFonts w:ascii="宋体" w:hAnsi="宋体" w:eastAsia="宋体" w:cs="宋体"/>
          <w:b/>
          <w:bCs/>
          <w:color w:val="auto"/>
          <w:spacing w:val="-11"/>
          <w:sz w:val="28"/>
          <w:szCs w:val="28"/>
          <w:highlight w:val="none"/>
        </w:rPr>
        <w:t>附件一：</w:t>
      </w:r>
    </w:p>
    <w:p w14:paraId="42EABE19">
      <w:pPr>
        <w:pStyle w:val="3"/>
        <w:spacing w:line="314" w:lineRule="auto"/>
        <w:rPr>
          <w:color w:val="auto"/>
          <w:highlight w:val="none"/>
        </w:rPr>
      </w:pPr>
    </w:p>
    <w:p w14:paraId="7D6F04E8">
      <w:pPr>
        <w:pStyle w:val="3"/>
        <w:spacing w:line="314" w:lineRule="auto"/>
        <w:rPr>
          <w:color w:val="auto"/>
          <w:highlight w:val="none"/>
        </w:rPr>
      </w:pPr>
    </w:p>
    <w:p w14:paraId="064A831D">
      <w:pPr>
        <w:pStyle w:val="3"/>
        <w:spacing w:line="315" w:lineRule="auto"/>
        <w:rPr>
          <w:color w:val="auto"/>
          <w:highlight w:val="none"/>
        </w:rPr>
      </w:pPr>
    </w:p>
    <w:p w14:paraId="150990F8">
      <w:pPr>
        <w:spacing w:before="91" w:line="220" w:lineRule="auto"/>
        <w:ind w:left="314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招标文件澄清申请函</w:t>
      </w:r>
    </w:p>
    <w:p w14:paraId="71A560B9">
      <w:pPr>
        <w:spacing w:before="204" w:line="220" w:lineRule="auto"/>
        <w:ind w:left="4045"/>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编号：</w:t>
      </w:r>
    </w:p>
    <w:p w14:paraId="36BE966E">
      <w:pPr>
        <w:pStyle w:val="3"/>
        <w:spacing w:line="255" w:lineRule="auto"/>
        <w:rPr>
          <w:color w:val="auto"/>
          <w:highlight w:val="none"/>
        </w:rPr>
      </w:pPr>
    </w:p>
    <w:p w14:paraId="66142A6D">
      <w:pPr>
        <w:pStyle w:val="3"/>
        <w:spacing w:line="255" w:lineRule="auto"/>
        <w:rPr>
          <w:color w:val="auto"/>
          <w:highlight w:val="none"/>
        </w:rPr>
      </w:pPr>
    </w:p>
    <w:p w14:paraId="3B72B054">
      <w:pPr>
        <w:tabs>
          <w:tab w:val="left" w:pos="1918"/>
        </w:tabs>
        <w:spacing w:before="82" w:line="213" w:lineRule="auto"/>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20"/>
          <w:sz w:val="24"/>
          <w:szCs w:val="24"/>
          <w:highlight w:val="none"/>
        </w:rPr>
        <w:t>（</w:t>
      </w:r>
      <w:r>
        <w:rPr>
          <w:rFonts w:ascii="宋体" w:hAnsi="宋体" w:eastAsia="宋体" w:cs="宋体"/>
          <w:color w:val="auto"/>
          <w:spacing w:val="-34"/>
          <w:sz w:val="24"/>
          <w:szCs w:val="24"/>
          <w:highlight w:val="none"/>
        </w:rPr>
        <w:t xml:space="preserve"> </w:t>
      </w:r>
      <w:r>
        <w:rPr>
          <w:rFonts w:ascii="宋体" w:hAnsi="宋体" w:eastAsia="宋体" w:cs="宋体"/>
          <w:i/>
          <w:iCs/>
          <w:color w:val="auto"/>
          <w:spacing w:val="-20"/>
          <w:sz w:val="25"/>
          <w:szCs w:val="25"/>
          <w:highlight w:val="none"/>
        </w:rPr>
        <w:t>招标人名称</w:t>
      </w:r>
      <w:r>
        <w:rPr>
          <w:rFonts w:ascii="宋体" w:hAnsi="宋体" w:eastAsia="宋体" w:cs="宋体"/>
          <w:color w:val="auto"/>
          <w:spacing w:val="-18"/>
          <w:sz w:val="24"/>
          <w:szCs w:val="24"/>
          <w:highlight w:val="none"/>
        </w:rPr>
        <w:t>）：</w:t>
      </w:r>
    </w:p>
    <w:p w14:paraId="662FDB5E">
      <w:pPr>
        <w:spacing w:before="176" w:line="355" w:lineRule="auto"/>
        <w:ind w:left="8" w:right="12" w:firstLine="48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经过仔细阅读</w:t>
      </w:r>
      <w:r>
        <w:rPr>
          <w:rFonts w:ascii="宋体" w:hAnsi="宋体" w:eastAsia="宋体" w:cs="宋体"/>
          <w:color w:val="auto"/>
          <w:spacing w:val="-117"/>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33"/>
          <w:sz w:val="24"/>
          <w:szCs w:val="24"/>
          <w:highlight w:val="none"/>
        </w:rPr>
        <w:t xml:space="preserve"> </w:t>
      </w:r>
      <w:r>
        <w:rPr>
          <w:rFonts w:ascii="宋体" w:hAnsi="宋体" w:eastAsia="宋体" w:cs="宋体"/>
          <w:i/>
          <w:iCs/>
          <w:color w:val="auto"/>
          <w:spacing w:val="-3"/>
          <w:sz w:val="25"/>
          <w:szCs w:val="25"/>
          <w:highlight w:val="none"/>
        </w:rPr>
        <w:t>项目名称</w:t>
      </w:r>
      <w:r>
        <w:rPr>
          <w:rFonts w:ascii="宋体" w:hAnsi="宋体" w:eastAsia="宋体" w:cs="宋体"/>
          <w:color w:val="auto"/>
          <w:spacing w:val="-24"/>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4"/>
          <w:sz w:val="24"/>
          <w:szCs w:val="24"/>
          <w:highlight w:val="none"/>
        </w:rPr>
        <w:t>（</w:t>
      </w:r>
      <w:r>
        <w:rPr>
          <w:rFonts w:ascii="宋体" w:hAnsi="宋体" w:eastAsia="宋体" w:cs="宋体"/>
          <w:i/>
          <w:iCs/>
          <w:color w:val="auto"/>
          <w:spacing w:val="-3"/>
          <w:sz w:val="25"/>
          <w:szCs w:val="25"/>
          <w:highlight w:val="none"/>
        </w:rPr>
        <w:t>标段名称</w:t>
      </w:r>
      <w:r>
        <w:rPr>
          <w:rFonts w:ascii="宋体" w:hAnsi="宋体" w:eastAsia="宋体" w:cs="宋体"/>
          <w:color w:val="auto"/>
          <w:spacing w:val="-3"/>
          <w:sz w:val="24"/>
          <w:szCs w:val="24"/>
          <w:highlight w:val="none"/>
        </w:rPr>
        <w:t>）招标文</w:t>
      </w:r>
      <w:r>
        <w:rPr>
          <w:rFonts w:ascii="宋体" w:hAnsi="宋体" w:eastAsia="宋体" w:cs="宋体"/>
          <w:color w:val="auto"/>
          <w:spacing w:val="-4"/>
          <w:sz w:val="24"/>
          <w:szCs w:val="24"/>
          <w:highlight w:val="none"/>
        </w:rPr>
        <w:t>件后，我方申请对以下问题予以澄清：</w:t>
      </w:r>
    </w:p>
    <w:p w14:paraId="3CCF5EB3">
      <w:pPr>
        <w:spacing w:before="36" w:line="178" w:lineRule="auto"/>
        <w:ind w:left="508"/>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9"/>
          <w:sz w:val="24"/>
          <w:szCs w:val="24"/>
          <w:highlight w:val="none"/>
        </w:rPr>
        <w:t>1</w:t>
      </w:r>
      <w:r>
        <w:rPr>
          <w:rFonts w:ascii="Times New Roman" w:hAnsi="Times New Roman" w:eastAsia="Times New Roman" w:cs="Times New Roman"/>
          <w:color w:val="auto"/>
          <w:spacing w:val="-27"/>
          <w:sz w:val="24"/>
          <w:szCs w:val="24"/>
          <w:highlight w:val="none"/>
        </w:rPr>
        <w:t xml:space="preserve"> </w:t>
      </w:r>
      <w:r>
        <w:rPr>
          <w:rFonts w:ascii="宋体" w:hAnsi="宋体" w:eastAsia="宋体" w:cs="宋体"/>
          <w:color w:val="auto"/>
          <w:spacing w:val="-19"/>
          <w:sz w:val="24"/>
          <w:szCs w:val="24"/>
          <w:highlight w:val="none"/>
        </w:rPr>
        <w:t>．</w:t>
      </w:r>
      <w:r>
        <w:rPr>
          <w:rFonts w:ascii="宋体" w:hAnsi="宋体" w:eastAsia="宋体" w:cs="宋体"/>
          <w:color w:val="auto"/>
          <w:spacing w:val="-93"/>
          <w:sz w:val="24"/>
          <w:szCs w:val="24"/>
          <w:highlight w:val="none"/>
        </w:rPr>
        <w:t xml:space="preserve"> </w:t>
      </w:r>
      <w:r>
        <w:rPr>
          <w:rFonts w:ascii="Times New Roman" w:hAnsi="Times New Roman" w:eastAsia="Times New Roman" w:cs="Times New Roman"/>
          <w:color w:val="auto"/>
          <w:spacing w:val="-19"/>
          <w:sz w:val="24"/>
          <w:szCs w:val="24"/>
          <w:highlight w:val="none"/>
        </w:rPr>
        <w:t>……</w:t>
      </w:r>
    </w:p>
    <w:p w14:paraId="25A51CDF">
      <w:pPr>
        <w:spacing w:before="237" w:line="178" w:lineRule="auto"/>
        <w:ind w:left="485"/>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3"/>
          <w:sz w:val="24"/>
          <w:szCs w:val="24"/>
          <w:highlight w:val="none"/>
        </w:rPr>
        <w:t>2</w:t>
      </w:r>
      <w:r>
        <w:rPr>
          <w:rFonts w:ascii="Times New Roman" w:hAnsi="Times New Roman" w:eastAsia="Times New Roman" w:cs="Times New Roman"/>
          <w:color w:val="auto"/>
          <w:spacing w:val="-28"/>
          <w:sz w:val="24"/>
          <w:szCs w:val="24"/>
          <w:highlight w:val="none"/>
        </w:rPr>
        <w:t xml:space="preserve"> </w:t>
      </w:r>
      <w:r>
        <w:rPr>
          <w:rFonts w:ascii="宋体" w:hAnsi="宋体" w:eastAsia="宋体" w:cs="宋体"/>
          <w:color w:val="auto"/>
          <w:spacing w:val="-13"/>
          <w:sz w:val="24"/>
          <w:szCs w:val="24"/>
          <w:highlight w:val="none"/>
        </w:rPr>
        <w:t>．</w:t>
      </w:r>
      <w:r>
        <w:rPr>
          <w:rFonts w:ascii="宋体" w:hAnsi="宋体" w:eastAsia="宋体" w:cs="宋体"/>
          <w:color w:val="auto"/>
          <w:spacing w:val="-93"/>
          <w:sz w:val="24"/>
          <w:szCs w:val="24"/>
          <w:highlight w:val="none"/>
        </w:rPr>
        <w:t xml:space="preserve"> </w:t>
      </w:r>
      <w:r>
        <w:rPr>
          <w:rFonts w:ascii="Times New Roman" w:hAnsi="Times New Roman" w:eastAsia="Times New Roman" w:cs="Times New Roman"/>
          <w:color w:val="auto"/>
          <w:spacing w:val="-13"/>
          <w:sz w:val="24"/>
          <w:szCs w:val="24"/>
          <w:highlight w:val="none"/>
        </w:rPr>
        <w:t>……</w:t>
      </w:r>
    </w:p>
    <w:p w14:paraId="4153824B">
      <w:pPr>
        <w:pStyle w:val="3"/>
        <w:spacing w:line="285" w:lineRule="auto"/>
        <w:rPr>
          <w:color w:val="auto"/>
          <w:highlight w:val="none"/>
        </w:rPr>
      </w:pPr>
    </w:p>
    <w:p w14:paraId="770490AB">
      <w:pPr>
        <w:spacing w:before="70" w:line="74" w:lineRule="exact"/>
        <w:ind w:left="506"/>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p w14:paraId="7B6EB382">
      <w:pPr>
        <w:pStyle w:val="3"/>
        <w:spacing w:line="244" w:lineRule="auto"/>
        <w:rPr>
          <w:color w:val="auto"/>
          <w:highlight w:val="none"/>
        </w:rPr>
      </w:pPr>
    </w:p>
    <w:p w14:paraId="145235B1">
      <w:pPr>
        <w:pStyle w:val="3"/>
        <w:spacing w:line="244" w:lineRule="auto"/>
        <w:rPr>
          <w:color w:val="auto"/>
          <w:highlight w:val="none"/>
        </w:rPr>
      </w:pPr>
    </w:p>
    <w:p w14:paraId="573F403F">
      <w:pPr>
        <w:pStyle w:val="3"/>
        <w:spacing w:line="244" w:lineRule="auto"/>
        <w:rPr>
          <w:color w:val="auto"/>
          <w:highlight w:val="none"/>
        </w:rPr>
      </w:pPr>
    </w:p>
    <w:p w14:paraId="02AF6AAF">
      <w:pPr>
        <w:pStyle w:val="3"/>
        <w:spacing w:line="244" w:lineRule="auto"/>
        <w:rPr>
          <w:color w:val="auto"/>
          <w:highlight w:val="none"/>
        </w:rPr>
      </w:pPr>
    </w:p>
    <w:p w14:paraId="1C74EA49">
      <w:pPr>
        <w:pStyle w:val="3"/>
        <w:spacing w:line="244" w:lineRule="auto"/>
        <w:rPr>
          <w:color w:val="auto"/>
          <w:highlight w:val="none"/>
        </w:rPr>
      </w:pPr>
    </w:p>
    <w:p w14:paraId="263008E8">
      <w:pPr>
        <w:pStyle w:val="3"/>
        <w:spacing w:line="244" w:lineRule="auto"/>
        <w:rPr>
          <w:color w:val="auto"/>
          <w:highlight w:val="none"/>
        </w:rPr>
      </w:pPr>
    </w:p>
    <w:p w14:paraId="1B65CD55">
      <w:pPr>
        <w:pStyle w:val="3"/>
        <w:spacing w:line="244" w:lineRule="auto"/>
        <w:rPr>
          <w:color w:val="auto"/>
          <w:highlight w:val="none"/>
        </w:rPr>
      </w:pPr>
    </w:p>
    <w:p w14:paraId="3348EFD5">
      <w:pPr>
        <w:pStyle w:val="3"/>
        <w:spacing w:line="244" w:lineRule="auto"/>
        <w:rPr>
          <w:color w:val="auto"/>
          <w:highlight w:val="none"/>
        </w:rPr>
      </w:pPr>
    </w:p>
    <w:p w14:paraId="022D5A37">
      <w:pPr>
        <w:pStyle w:val="3"/>
        <w:spacing w:line="244" w:lineRule="auto"/>
        <w:rPr>
          <w:color w:val="auto"/>
          <w:highlight w:val="none"/>
        </w:rPr>
      </w:pPr>
    </w:p>
    <w:p w14:paraId="708164EE">
      <w:pPr>
        <w:pStyle w:val="3"/>
        <w:spacing w:line="244" w:lineRule="auto"/>
        <w:rPr>
          <w:color w:val="auto"/>
          <w:highlight w:val="none"/>
        </w:rPr>
      </w:pPr>
    </w:p>
    <w:p w14:paraId="0C058087">
      <w:pPr>
        <w:pStyle w:val="3"/>
        <w:spacing w:line="244" w:lineRule="auto"/>
        <w:rPr>
          <w:color w:val="auto"/>
          <w:highlight w:val="none"/>
        </w:rPr>
      </w:pPr>
    </w:p>
    <w:p w14:paraId="45562DBA">
      <w:pPr>
        <w:pStyle w:val="3"/>
        <w:spacing w:line="244" w:lineRule="auto"/>
        <w:rPr>
          <w:color w:val="auto"/>
          <w:highlight w:val="none"/>
        </w:rPr>
      </w:pPr>
    </w:p>
    <w:p w14:paraId="2A71A92C">
      <w:pPr>
        <w:pStyle w:val="3"/>
        <w:spacing w:line="244" w:lineRule="auto"/>
        <w:rPr>
          <w:color w:val="auto"/>
          <w:highlight w:val="none"/>
        </w:rPr>
      </w:pPr>
    </w:p>
    <w:p w14:paraId="535E7898">
      <w:pPr>
        <w:pStyle w:val="3"/>
        <w:spacing w:line="245" w:lineRule="auto"/>
        <w:rPr>
          <w:color w:val="auto"/>
          <w:highlight w:val="none"/>
        </w:rPr>
      </w:pPr>
    </w:p>
    <w:p w14:paraId="7F9462B8">
      <w:pPr>
        <w:pStyle w:val="3"/>
        <w:spacing w:line="245" w:lineRule="auto"/>
        <w:rPr>
          <w:color w:val="auto"/>
          <w:highlight w:val="none"/>
        </w:rPr>
      </w:pPr>
    </w:p>
    <w:p w14:paraId="11DE32E6">
      <w:pPr>
        <w:pStyle w:val="3"/>
        <w:spacing w:line="245" w:lineRule="auto"/>
        <w:rPr>
          <w:color w:val="auto"/>
          <w:highlight w:val="none"/>
        </w:rPr>
      </w:pPr>
    </w:p>
    <w:p w14:paraId="2E8659B6">
      <w:pPr>
        <w:pStyle w:val="3"/>
        <w:spacing w:line="245" w:lineRule="auto"/>
        <w:rPr>
          <w:color w:val="auto"/>
          <w:highlight w:val="none"/>
        </w:rPr>
      </w:pPr>
    </w:p>
    <w:p w14:paraId="204DBF6D">
      <w:pPr>
        <w:pStyle w:val="3"/>
        <w:spacing w:line="245" w:lineRule="auto"/>
        <w:rPr>
          <w:color w:val="auto"/>
          <w:highlight w:val="none"/>
        </w:rPr>
      </w:pPr>
    </w:p>
    <w:p w14:paraId="7B577E7E">
      <w:pPr>
        <w:pStyle w:val="3"/>
        <w:spacing w:line="245" w:lineRule="auto"/>
        <w:rPr>
          <w:color w:val="auto"/>
          <w:highlight w:val="none"/>
        </w:rPr>
      </w:pPr>
    </w:p>
    <w:p w14:paraId="5451D26F">
      <w:pPr>
        <w:pStyle w:val="3"/>
        <w:spacing w:line="245" w:lineRule="auto"/>
        <w:rPr>
          <w:color w:val="auto"/>
          <w:highlight w:val="none"/>
        </w:rPr>
      </w:pPr>
    </w:p>
    <w:p w14:paraId="71CA50D2">
      <w:pPr>
        <w:pStyle w:val="3"/>
        <w:spacing w:line="245" w:lineRule="auto"/>
        <w:rPr>
          <w:color w:val="auto"/>
          <w:highlight w:val="none"/>
        </w:rPr>
      </w:pPr>
    </w:p>
    <w:p w14:paraId="4B5431D2">
      <w:pPr>
        <w:pStyle w:val="3"/>
        <w:spacing w:line="245" w:lineRule="auto"/>
        <w:rPr>
          <w:color w:val="auto"/>
          <w:highlight w:val="none"/>
        </w:rPr>
      </w:pPr>
    </w:p>
    <w:p w14:paraId="097644DA">
      <w:pPr>
        <w:pStyle w:val="3"/>
        <w:spacing w:line="245" w:lineRule="auto"/>
        <w:rPr>
          <w:color w:val="auto"/>
          <w:highlight w:val="none"/>
        </w:rPr>
      </w:pPr>
    </w:p>
    <w:p w14:paraId="7D84CE14">
      <w:pPr>
        <w:pStyle w:val="3"/>
        <w:spacing w:line="245" w:lineRule="auto"/>
        <w:rPr>
          <w:color w:val="auto"/>
          <w:highlight w:val="none"/>
        </w:rPr>
      </w:pPr>
    </w:p>
    <w:p w14:paraId="72BC9CAA">
      <w:pPr>
        <w:pStyle w:val="3"/>
        <w:spacing w:line="245" w:lineRule="auto"/>
        <w:rPr>
          <w:color w:val="auto"/>
          <w:highlight w:val="none"/>
        </w:rPr>
      </w:pPr>
    </w:p>
    <w:p w14:paraId="3AAD6AB0">
      <w:pPr>
        <w:pStyle w:val="3"/>
        <w:spacing w:line="245" w:lineRule="auto"/>
        <w:rPr>
          <w:color w:val="auto"/>
          <w:highlight w:val="none"/>
        </w:rPr>
      </w:pPr>
    </w:p>
    <w:p w14:paraId="2B293EAF">
      <w:pPr>
        <w:pStyle w:val="3"/>
        <w:spacing w:line="245" w:lineRule="auto"/>
        <w:rPr>
          <w:color w:val="auto"/>
          <w:highlight w:val="none"/>
        </w:rPr>
      </w:pPr>
    </w:p>
    <w:p w14:paraId="2EDD591D">
      <w:pPr>
        <w:pStyle w:val="3"/>
        <w:spacing w:line="245" w:lineRule="auto"/>
        <w:rPr>
          <w:color w:val="auto"/>
          <w:highlight w:val="none"/>
        </w:rPr>
      </w:pPr>
    </w:p>
    <w:p w14:paraId="28191107">
      <w:pPr>
        <w:pStyle w:val="3"/>
        <w:spacing w:line="245" w:lineRule="auto"/>
        <w:rPr>
          <w:color w:val="auto"/>
          <w:highlight w:val="none"/>
        </w:rPr>
      </w:pPr>
    </w:p>
    <w:p w14:paraId="2F5DA5B1">
      <w:pPr>
        <w:spacing w:before="69" w:line="220" w:lineRule="auto"/>
        <w:ind w:left="495"/>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注：投标人要求招标人澄清招标文件有关问题时，适用于本格式。</w:t>
      </w:r>
    </w:p>
    <w:p w14:paraId="7525ED65">
      <w:pPr>
        <w:spacing w:line="220" w:lineRule="auto"/>
        <w:rPr>
          <w:rFonts w:ascii="宋体" w:hAnsi="宋体" w:eastAsia="宋体" w:cs="宋体"/>
          <w:color w:val="auto"/>
          <w:sz w:val="21"/>
          <w:szCs w:val="21"/>
          <w:highlight w:val="none"/>
        </w:rPr>
        <w:sectPr>
          <w:footerReference r:id="rId13" w:type="default"/>
          <w:pgSz w:w="11907" w:h="16841"/>
          <w:pgMar w:top="1425" w:right="1527" w:bottom="1254" w:left="1588" w:header="0" w:footer="1093" w:gutter="0"/>
          <w:pgNumType w:fmt="decimal"/>
          <w:cols w:space="720" w:num="1"/>
        </w:sectPr>
      </w:pPr>
    </w:p>
    <w:p w14:paraId="1E2C3835">
      <w:pPr>
        <w:spacing w:before="56" w:line="219" w:lineRule="auto"/>
        <w:ind w:left="24"/>
        <w:rPr>
          <w:rFonts w:ascii="宋体" w:hAnsi="宋体" w:eastAsia="宋体" w:cs="宋体"/>
          <w:color w:val="auto"/>
          <w:sz w:val="28"/>
          <w:szCs w:val="28"/>
          <w:highlight w:val="none"/>
        </w:rPr>
      </w:pPr>
      <w:r>
        <w:rPr>
          <w:rFonts w:ascii="宋体" w:hAnsi="宋体" w:eastAsia="宋体" w:cs="宋体"/>
          <w:b/>
          <w:bCs/>
          <w:color w:val="auto"/>
          <w:spacing w:val="-11"/>
          <w:sz w:val="28"/>
          <w:szCs w:val="28"/>
          <w:highlight w:val="none"/>
        </w:rPr>
        <w:t>附件二：</w:t>
      </w:r>
    </w:p>
    <w:p w14:paraId="11D01413">
      <w:pPr>
        <w:pStyle w:val="3"/>
        <w:spacing w:line="265" w:lineRule="auto"/>
        <w:rPr>
          <w:color w:val="auto"/>
          <w:highlight w:val="none"/>
        </w:rPr>
      </w:pPr>
    </w:p>
    <w:p w14:paraId="3430CD51">
      <w:pPr>
        <w:pStyle w:val="3"/>
        <w:spacing w:line="265" w:lineRule="auto"/>
        <w:rPr>
          <w:color w:val="auto"/>
          <w:highlight w:val="none"/>
        </w:rPr>
      </w:pPr>
    </w:p>
    <w:p w14:paraId="00D38B64">
      <w:pPr>
        <w:spacing w:before="91" w:line="220" w:lineRule="auto"/>
        <w:ind w:left="327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招标文件澄清通知</w:t>
      </w:r>
    </w:p>
    <w:p w14:paraId="1E856AF5">
      <w:pPr>
        <w:spacing w:before="204" w:line="220" w:lineRule="auto"/>
        <w:ind w:left="4037"/>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编号：</w:t>
      </w:r>
    </w:p>
    <w:p w14:paraId="6072B2B9">
      <w:pPr>
        <w:pStyle w:val="3"/>
        <w:spacing w:line="257" w:lineRule="auto"/>
        <w:rPr>
          <w:color w:val="auto"/>
          <w:highlight w:val="none"/>
        </w:rPr>
      </w:pPr>
    </w:p>
    <w:p w14:paraId="40F4B635">
      <w:pPr>
        <w:pStyle w:val="3"/>
        <w:spacing w:line="257" w:lineRule="auto"/>
        <w:rPr>
          <w:color w:val="auto"/>
          <w:highlight w:val="none"/>
        </w:rPr>
      </w:pPr>
    </w:p>
    <w:p w14:paraId="222B6E24">
      <w:pPr>
        <w:spacing w:before="78" w:line="220" w:lineRule="auto"/>
        <w:ind w:left="4"/>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各投标人：</w:t>
      </w:r>
    </w:p>
    <w:p w14:paraId="4D5B8665">
      <w:pPr>
        <w:pStyle w:val="3"/>
        <w:spacing w:line="255" w:lineRule="auto"/>
        <w:rPr>
          <w:color w:val="auto"/>
          <w:highlight w:val="none"/>
        </w:rPr>
      </w:pPr>
    </w:p>
    <w:p w14:paraId="044478AB">
      <w:pPr>
        <w:pStyle w:val="3"/>
        <w:spacing w:line="255" w:lineRule="auto"/>
        <w:rPr>
          <w:color w:val="auto"/>
          <w:highlight w:val="none"/>
        </w:rPr>
      </w:pPr>
    </w:p>
    <w:p w14:paraId="3491A56C">
      <w:pPr>
        <w:spacing w:before="82" w:line="355" w:lineRule="auto"/>
        <w:ind w:left="2" w:right="59" w:firstLine="480"/>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经研究，对</w:t>
      </w:r>
      <w:r>
        <w:rPr>
          <w:rFonts w:ascii="宋体" w:hAnsi="宋体" w:eastAsia="宋体" w:cs="宋体"/>
          <w:color w:val="auto"/>
          <w:spacing w:val="-117"/>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
          <w:sz w:val="24"/>
          <w:szCs w:val="24"/>
          <w:highlight w:val="none"/>
        </w:rPr>
        <w:t>（</w:t>
      </w:r>
      <w:r>
        <w:rPr>
          <w:rFonts w:ascii="宋体" w:hAnsi="宋体" w:eastAsia="宋体" w:cs="宋体"/>
          <w:i/>
          <w:iCs/>
          <w:color w:val="auto"/>
          <w:spacing w:val="-11"/>
          <w:sz w:val="25"/>
          <w:szCs w:val="25"/>
          <w:highlight w:val="none"/>
        </w:rPr>
        <w:t>项目名称</w:t>
      </w:r>
      <w:r>
        <w:rPr>
          <w:rFonts w:ascii="宋体" w:hAnsi="宋体" w:eastAsia="宋体" w:cs="宋体"/>
          <w:color w:val="auto"/>
          <w:spacing w:val="-69"/>
          <w:w w:val="99"/>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w w:val="99"/>
          <w:sz w:val="24"/>
          <w:szCs w:val="24"/>
          <w:highlight w:val="none"/>
        </w:rPr>
        <w:t>（</w:t>
      </w:r>
      <w:r>
        <w:rPr>
          <w:rFonts w:ascii="宋体" w:hAnsi="宋体" w:eastAsia="宋体" w:cs="宋体"/>
          <w:i/>
          <w:iCs/>
          <w:color w:val="auto"/>
          <w:spacing w:val="-11"/>
          <w:sz w:val="25"/>
          <w:szCs w:val="25"/>
          <w:highlight w:val="none"/>
        </w:rPr>
        <w:t>标段名称</w:t>
      </w:r>
      <w:r>
        <w:rPr>
          <w:rFonts w:ascii="宋体" w:hAnsi="宋体" w:eastAsia="宋体" w:cs="宋体"/>
          <w:color w:val="auto"/>
          <w:spacing w:val="-11"/>
          <w:sz w:val="24"/>
          <w:szCs w:val="24"/>
          <w:highlight w:val="none"/>
        </w:rPr>
        <w:t>）招标文件，</w:t>
      </w:r>
      <w:r>
        <w:rPr>
          <w:rFonts w:ascii="宋体" w:hAnsi="宋体" w:eastAsia="宋体" w:cs="宋体"/>
          <w:color w:val="auto"/>
          <w:spacing w:val="-10"/>
          <w:sz w:val="24"/>
          <w:szCs w:val="24"/>
          <w:highlight w:val="none"/>
        </w:rPr>
        <w:t>作如下澄清：</w:t>
      </w:r>
    </w:p>
    <w:p w14:paraId="25DBC271">
      <w:pPr>
        <w:spacing w:before="35" w:line="178" w:lineRule="auto"/>
        <w:ind w:left="499"/>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9"/>
          <w:sz w:val="24"/>
          <w:szCs w:val="24"/>
          <w:highlight w:val="none"/>
        </w:rPr>
        <w:t>1</w:t>
      </w:r>
      <w:r>
        <w:rPr>
          <w:rFonts w:ascii="Times New Roman" w:hAnsi="Times New Roman" w:eastAsia="Times New Roman" w:cs="Times New Roman"/>
          <w:color w:val="auto"/>
          <w:spacing w:val="-27"/>
          <w:sz w:val="24"/>
          <w:szCs w:val="24"/>
          <w:highlight w:val="none"/>
        </w:rPr>
        <w:t xml:space="preserve"> </w:t>
      </w:r>
      <w:r>
        <w:rPr>
          <w:rFonts w:ascii="宋体" w:hAnsi="宋体" w:eastAsia="宋体" w:cs="宋体"/>
          <w:color w:val="auto"/>
          <w:spacing w:val="-19"/>
          <w:sz w:val="24"/>
          <w:szCs w:val="24"/>
          <w:highlight w:val="none"/>
        </w:rPr>
        <w:t>．</w:t>
      </w:r>
      <w:r>
        <w:rPr>
          <w:rFonts w:ascii="宋体" w:hAnsi="宋体" w:eastAsia="宋体" w:cs="宋体"/>
          <w:color w:val="auto"/>
          <w:spacing w:val="-93"/>
          <w:sz w:val="24"/>
          <w:szCs w:val="24"/>
          <w:highlight w:val="none"/>
        </w:rPr>
        <w:t xml:space="preserve"> </w:t>
      </w:r>
      <w:r>
        <w:rPr>
          <w:rFonts w:ascii="Times New Roman" w:hAnsi="Times New Roman" w:eastAsia="Times New Roman" w:cs="Times New Roman"/>
          <w:color w:val="auto"/>
          <w:spacing w:val="-19"/>
          <w:sz w:val="24"/>
          <w:szCs w:val="24"/>
          <w:highlight w:val="none"/>
        </w:rPr>
        <w:t>……</w:t>
      </w:r>
    </w:p>
    <w:p w14:paraId="2597A559">
      <w:pPr>
        <w:spacing w:before="237" w:line="178" w:lineRule="auto"/>
        <w:ind w:left="476"/>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3"/>
          <w:sz w:val="24"/>
          <w:szCs w:val="24"/>
          <w:highlight w:val="none"/>
        </w:rPr>
        <w:t>2</w:t>
      </w:r>
      <w:r>
        <w:rPr>
          <w:rFonts w:ascii="Times New Roman" w:hAnsi="Times New Roman" w:eastAsia="Times New Roman" w:cs="Times New Roman"/>
          <w:color w:val="auto"/>
          <w:spacing w:val="-28"/>
          <w:sz w:val="24"/>
          <w:szCs w:val="24"/>
          <w:highlight w:val="none"/>
        </w:rPr>
        <w:t xml:space="preserve"> </w:t>
      </w:r>
      <w:r>
        <w:rPr>
          <w:rFonts w:ascii="宋体" w:hAnsi="宋体" w:eastAsia="宋体" w:cs="宋体"/>
          <w:color w:val="auto"/>
          <w:spacing w:val="-13"/>
          <w:sz w:val="24"/>
          <w:szCs w:val="24"/>
          <w:highlight w:val="none"/>
        </w:rPr>
        <w:t>．</w:t>
      </w:r>
      <w:r>
        <w:rPr>
          <w:rFonts w:ascii="宋体" w:hAnsi="宋体" w:eastAsia="宋体" w:cs="宋体"/>
          <w:color w:val="auto"/>
          <w:spacing w:val="-93"/>
          <w:sz w:val="24"/>
          <w:szCs w:val="24"/>
          <w:highlight w:val="none"/>
        </w:rPr>
        <w:t xml:space="preserve"> </w:t>
      </w:r>
      <w:r>
        <w:rPr>
          <w:rFonts w:ascii="Times New Roman" w:hAnsi="Times New Roman" w:eastAsia="Times New Roman" w:cs="Times New Roman"/>
          <w:color w:val="auto"/>
          <w:spacing w:val="-13"/>
          <w:sz w:val="24"/>
          <w:szCs w:val="24"/>
          <w:highlight w:val="none"/>
        </w:rPr>
        <w:t>……</w:t>
      </w:r>
    </w:p>
    <w:p w14:paraId="76A5F05D">
      <w:pPr>
        <w:pStyle w:val="3"/>
        <w:spacing w:line="285" w:lineRule="auto"/>
        <w:rPr>
          <w:color w:val="auto"/>
          <w:highlight w:val="none"/>
        </w:rPr>
      </w:pPr>
    </w:p>
    <w:p w14:paraId="30BE9A47">
      <w:pPr>
        <w:spacing w:before="69" w:line="75" w:lineRule="exact"/>
        <w:ind w:left="498"/>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p w14:paraId="0D669435">
      <w:pPr>
        <w:pStyle w:val="3"/>
        <w:spacing w:line="247" w:lineRule="auto"/>
        <w:rPr>
          <w:color w:val="auto"/>
          <w:highlight w:val="none"/>
        </w:rPr>
      </w:pPr>
    </w:p>
    <w:p w14:paraId="148683E5">
      <w:pPr>
        <w:pStyle w:val="3"/>
        <w:spacing w:line="247" w:lineRule="auto"/>
        <w:rPr>
          <w:color w:val="auto"/>
          <w:highlight w:val="none"/>
        </w:rPr>
      </w:pPr>
    </w:p>
    <w:p w14:paraId="5E56D7FB">
      <w:pPr>
        <w:pStyle w:val="3"/>
        <w:spacing w:line="247" w:lineRule="auto"/>
        <w:rPr>
          <w:color w:val="auto"/>
          <w:highlight w:val="none"/>
        </w:rPr>
      </w:pPr>
    </w:p>
    <w:p w14:paraId="53120CC3">
      <w:pPr>
        <w:pStyle w:val="3"/>
        <w:spacing w:line="247" w:lineRule="auto"/>
        <w:rPr>
          <w:color w:val="auto"/>
          <w:highlight w:val="none"/>
        </w:rPr>
      </w:pPr>
    </w:p>
    <w:p w14:paraId="4CC9D4D8">
      <w:pPr>
        <w:pStyle w:val="3"/>
        <w:spacing w:line="247" w:lineRule="auto"/>
        <w:rPr>
          <w:color w:val="auto"/>
          <w:highlight w:val="none"/>
        </w:rPr>
      </w:pPr>
    </w:p>
    <w:p w14:paraId="00F7D57E">
      <w:pPr>
        <w:pStyle w:val="3"/>
        <w:spacing w:line="247" w:lineRule="auto"/>
        <w:rPr>
          <w:color w:val="auto"/>
          <w:highlight w:val="none"/>
        </w:rPr>
      </w:pPr>
    </w:p>
    <w:p w14:paraId="0333B9C4">
      <w:pPr>
        <w:pStyle w:val="3"/>
        <w:spacing w:line="248" w:lineRule="auto"/>
        <w:rPr>
          <w:color w:val="auto"/>
          <w:highlight w:val="none"/>
        </w:rPr>
      </w:pPr>
    </w:p>
    <w:p w14:paraId="12FBA6C3">
      <w:pPr>
        <w:pStyle w:val="3"/>
        <w:spacing w:line="248" w:lineRule="auto"/>
        <w:rPr>
          <w:color w:val="auto"/>
          <w:highlight w:val="none"/>
        </w:rPr>
      </w:pPr>
    </w:p>
    <w:p w14:paraId="5C5DDA04">
      <w:pPr>
        <w:pStyle w:val="3"/>
        <w:spacing w:line="248" w:lineRule="auto"/>
        <w:rPr>
          <w:color w:val="auto"/>
          <w:highlight w:val="none"/>
        </w:rPr>
      </w:pPr>
    </w:p>
    <w:p w14:paraId="045C90D8">
      <w:pPr>
        <w:pStyle w:val="3"/>
        <w:spacing w:line="248" w:lineRule="auto"/>
        <w:rPr>
          <w:color w:val="auto"/>
          <w:highlight w:val="none"/>
        </w:rPr>
      </w:pPr>
    </w:p>
    <w:p w14:paraId="764EB17B">
      <w:pPr>
        <w:pStyle w:val="3"/>
        <w:spacing w:line="248" w:lineRule="auto"/>
        <w:rPr>
          <w:color w:val="auto"/>
          <w:highlight w:val="none"/>
        </w:rPr>
      </w:pPr>
    </w:p>
    <w:p w14:paraId="6B5458A3">
      <w:pPr>
        <w:pStyle w:val="3"/>
        <w:spacing w:line="248" w:lineRule="auto"/>
        <w:rPr>
          <w:color w:val="auto"/>
          <w:highlight w:val="none"/>
        </w:rPr>
      </w:pPr>
    </w:p>
    <w:p w14:paraId="6B3470C6">
      <w:pPr>
        <w:pStyle w:val="3"/>
        <w:spacing w:line="248" w:lineRule="auto"/>
        <w:rPr>
          <w:color w:val="auto"/>
          <w:highlight w:val="none"/>
        </w:rPr>
      </w:pPr>
    </w:p>
    <w:p w14:paraId="6AA805AB">
      <w:pPr>
        <w:pStyle w:val="3"/>
        <w:spacing w:line="248" w:lineRule="auto"/>
        <w:rPr>
          <w:color w:val="auto"/>
          <w:highlight w:val="none"/>
        </w:rPr>
      </w:pPr>
    </w:p>
    <w:p w14:paraId="06383A30">
      <w:pPr>
        <w:pStyle w:val="3"/>
        <w:spacing w:line="248" w:lineRule="auto"/>
        <w:rPr>
          <w:color w:val="auto"/>
          <w:highlight w:val="none"/>
        </w:rPr>
      </w:pPr>
    </w:p>
    <w:p w14:paraId="25DEF926">
      <w:pPr>
        <w:pStyle w:val="3"/>
        <w:spacing w:line="248" w:lineRule="auto"/>
        <w:rPr>
          <w:color w:val="auto"/>
          <w:highlight w:val="none"/>
        </w:rPr>
      </w:pPr>
    </w:p>
    <w:p w14:paraId="2FDE5AD8">
      <w:pPr>
        <w:pStyle w:val="3"/>
        <w:spacing w:line="248" w:lineRule="auto"/>
        <w:rPr>
          <w:color w:val="auto"/>
          <w:highlight w:val="none"/>
        </w:rPr>
      </w:pPr>
    </w:p>
    <w:p w14:paraId="28DFCA22">
      <w:pPr>
        <w:tabs>
          <w:tab w:val="left" w:pos="6830"/>
        </w:tabs>
        <w:spacing w:before="79" w:line="360" w:lineRule="auto"/>
        <w:ind w:left="5991" w:right="168" w:hanging="118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招标人</w:t>
      </w:r>
      <w:r>
        <w:rPr>
          <w:rFonts w:ascii="宋体" w:hAnsi="宋体" w:eastAsia="宋体" w:cs="宋体"/>
          <w:color w:val="auto"/>
          <w:spacing w:val="-1"/>
          <w:sz w:val="24"/>
          <w:szCs w:val="24"/>
          <w:highlight w:val="none"/>
        </w:rPr>
        <w:t>：</w:t>
      </w:r>
      <w:r>
        <w:rPr>
          <w:rFonts w:ascii="宋体" w:hAnsi="宋体" w:eastAsia="宋体" w:cs="宋体"/>
          <w:color w:val="auto"/>
          <w:spacing w:val="13"/>
          <w:sz w:val="24"/>
          <w:szCs w:val="24"/>
          <w:highlight w:val="none"/>
          <w:u w:val="single" w:color="auto"/>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3"/>
          <w:sz w:val="24"/>
          <w:szCs w:val="24"/>
          <w:highlight w:val="none"/>
        </w:rPr>
        <w:t>盖单位公章）</w:t>
      </w: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404391D2">
      <w:pPr>
        <w:pStyle w:val="3"/>
        <w:spacing w:line="248" w:lineRule="auto"/>
        <w:rPr>
          <w:color w:val="auto"/>
          <w:highlight w:val="none"/>
        </w:rPr>
      </w:pPr>
    </w:p>
    <w:p w14:paraId="7AFF76AF">
      <w:pPr>
        <w:pStyle w:val="3"/>
        <w:spacing w:line="248" w:lineRule="auto"/>
        <w:rPr>
          <w:color w:val="auto"/>
          <w:highlight w:val="none"/>
        </w:rPr>
      </w:pPr>
    </w:p>
    <w:p w14:paraId="1BC4BD94">
      <w:pPr>
        <w:pStyle w:val="3"/>
        <w:spacing w:line="249" w:lineRule="auto"/>
        <w:rPr>
          <w:color w:val="auto"/>
          <w:highlight w:val="none"/>
        </w:rPr>
      </w:pPr>
    </w:p>
    <w:p w14:paraId="1822F3CF">
      <w:pPr>
        <w:spacing w:before="68" w:line="361" w:lineRule="auto"/>
        <w:ind w:firstLine="420"/>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注：招标人对招标文件有关问题澄清时，适用于本格式。招标人可根据需要将附件二与附件三内容合并发出。</w:t>
      </w:r>
    </w:p>
    <w:p w14:paraId="34397DCE">
      <w:pPr>
        <w:spacing w:line="361" w:lineRule="auto"/>
        <w:rPr>
          <w:rFonts w:ascii="宋体" w:hAnsi="宋体" w:eastAsia="宋体" w:cs="宋体"/>
          <w:color w:val="auto"/>
          <w:sz w:val="21"/>
          <w:szCs w:val="21"/>
          <w:highlight w:val="none"/>
        </w:rPr>
        <w:sectPr>
          <w:footerReference r:id="rId14" w:type="default"/>
          <w:pgSz w:w="11907" w:h="16841"/>
          <w:pgMar w:top="1425" w:right="1524" w:bottom="1254" w:left="1596" w:header="0" w:footer="1093" w:gutter="0"/>
          <w:pgNumType w:fmt="decimal"/>
          <w:cols w:space="720" w:num="1"/>
        </w:sectPr>
      </w:pPr>
    </w:p>
    <w:p w14:paraId="2176CE4E">
      <w:pPr>
        <w:spacing w:before="56" w:line="219" w:lineRule="auto"/>
        <w:ind w:left="22"/>
        <w:rPr>
          <w:rFonts w:ascii="宋体" w:hAnsi="宋体" w:eastAsia="宋体" w:cs="宋体"/>
          <w:color w:val="auto"/>
          <w:sz w:val="28"/>
          <w:szCs w:val="28"/>
          <w:highlight w:val="none"/>
        </w:rPr>
      </w:pPr>
      <w:r>
        <w:rPr>
          <w:rFonts w:ascii="宋体" w:hAnsi="宋体" w:eastAsia="宋体" w:cs="宋体"/>
          <w:b/>
          <w:bCs/>
          <w:color w:val="auto"/>
          <w:spacing w:val="-11"/>
          <w:sz w:val="28"/>
          <w:szCs w:val="28"/>
          <w:highlight w:val="none"/>
        </w:rPr>
        <w:t>附件三：</w:t>
      </w:r>
    </w:p>
    <w:p w14:paraId="32C20BBE">
      <w:pPr>
        <w:pStyle w:val="3"/>
        <w:spacing w:line="265" w:lineRule="auto"/>
        <w:rPr>
          <w:color w:val="auto"/>
          <w:highlight w:val="none"/>
        </w:rPr>
      </w:pPr>
    </w:p>
    <w:p w14:paraId="1B9801F5">
      <w:pPr>
        <w:pStyle w:val="3"/>
        <w:spacing w:line="265" w:lineRule="auto"/>
        <w:rPr>
          <w:color w:val="auto"/>
          <w:highlight w:val="none"/>
        </w:rPr>
      </w:pPr>
    </w:p>
    <w:p w14:paraId="0607C8AE">
      <w:pPr>
        <w:spacing w:before="91" w:line="220" w:lineRule="auto"/>
        <w:ind w:left="327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招标文件修改通知</w:t>
      </w:r>
    </w:p>
    <w:p w14:paraId="527AB3B3">
      <w:pPr>
        <w:spacing w:before="204" w:line="220" w:lineRule="auto"/>
        <w:ind w:left="4035"/>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编号：</w:t>
      </w:r>
    </w:p>
    <w:p w14:paraId="19B4B6B5">
      <w:pPr>
        <w:pStyle w:val="3"/>
        <w:spacing w:line="257" w:lineRule="auto"/>
        <w:rPr>
          <w:color w:val="auto"/>
          <w:highlight w:val="none"/>
        </w:rPr>
      </w:pPr>
    </w:p>
    <w:p w14:paraId="02D16D7E">
      <w:pPr>
        <w:pStyle w:val="3"/>
        <w:spacing w:line="257" w:lineRule="auto"/>
        <w:rPr>
          <w:color w:val="auto"/>
          <w:highlight w:val="none"/>
        </w:rPr>
      </w:pPr>
    </w:p>
    <w:p w14:paraId="6270B56E">
      <w:pPr>
        <w:spacing w:before="78" w:line="220" w:lineRule="auto"/>
        <w:ind w:left="1"/>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各投标人：</w:t>
      </w:r>
    </w:p>
    <w:p w14:paraId="3CA7DA5C">
      <w:pPr>
        <w:pStyle w:val="3"/>
        <w:spacing w:line="254" w:lineRule="auto"/>
        <w:rPr>
          <w:color w:val="auto"/>
          <w:highlight w:val="none"/>
        </w:rPr>
      </w:pPr>
    </w:p>
    <w:p w14:paraId="79176724">
      <w:pPr>
        <w:pStyle w:val="3"/>
        <w:spacing w:line="255" w:lineRule="auto"/>
        <w:rPr>
          <w:color w:val="auto"/>
          <w:highlight w:val="none"/>
        </w:rPr>
      </w:pPr>
    </w:p>
    <w:p w14:paraId="59A65EA8">
      <w:pPr>
        <w:spacing w:before="82" w:line="355" w:lineRule="auto"/>
        <w:ind w:right="57" w:firstLine="480"/>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经研究，对</w:t>
      </w:r>
      <w:r>
        <w:rPr>
          <w:rFonts w:ascii="宋体" w:hAnsi="宋体" w:eastAsia="宋体" w:cs="宋体"/>
          <w:color w:val="auto"/>
          <w:spacing w:val="-117"/>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
          <w:sz w:val="24"/>
          <w:szCs w:val="24"/>
          <w:highlight w:val="none"/>
        </w:rPr>
        <w:t>（</w:t>
      </w:r>
      <w:r>
        <w:rPr>
          <w:rFonts w:ascii="宋体" w:hAnsi="宋体" w:eastAsia="宋体" w:cs="宋体"/>
          <w:i/>
          <w:iCs/>
          <w:color w:val="auto"/>
          <w:spacing w:val="-11"/>
          <w:sz w:val="25"/>
          <w:szCs w:val="25"/>
          <w:highlight w:val="none"/>
        </w:rPr>
        <w:t>项目名称</w:t>
      </w:r>
      <w:r>
        <w:rPr>
          <w:rFonts w:ascii="宋体" w:hAnsi="宋体" w:eastAsia="宋体" w:cs="宋体"/>
          <w:color w:val="auto"/>
          <w:spacing w:val="-69"/>
          <w:w w:val="99"/>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w w:val="99"/>
          <w:sz w:val="24"/>
          <w:szCs w:val="24"/>
          <w:highlight w:val="none"/>
        </w:rPr>
        <w:t>（</w:t>
      </w:r>
      <w:r>
        <w:rPr>
          <w:rFonts w:ascii="宋体" w:hAnsi="宋体" w:eastAsia="宋体" w:cs="宋体"/>
          <w:i/>
          <w:iCs/>
          <w:color w:val="auto"/>
          <w:spacing w:val="-11"/>
          <w:sz w:val="25"/>
          <w:szCs w:val="25"/>
          <w:highlight w:val="none"/>
        </w:rPr>
        <w:t>标段名称</w:t>
      </w:r>
      <w:r>
        <w:rPr>
          <w:rFonts w:ascii="宋体" w:hAnsi="宋体" w:eastAsia="宋体" w:cs="宋体"/>
          <w:color w:val="auto"/>
          <w:spacing w:val="-11"/>
          <w:sz w:val="24"/>
          <w:szCs w:val="24"/>
          <w:highlight w:val="none"/>
        </w:rPr>
        <w:t>）招标文件，</w:t>
      </w:r>
      <w:r>
        <w:rPr>
          <w:rFonts w:ascii="宋体" w:hAnsi="宋体" w:eastAsia="宋体" w:cs="宋体"/>
          <w:color w:val="auto"/>
          <w:spacing w:val="-10"/>
          <w:sz w:val="24"/>
          <w:szCs w:val="24"/>
          <w:highlight w:val="none"/>
        </w:rPr>
        <w:t>作如下修改：</w:t>
      </w:r>
    </w:p>
    <w:p w14:paraId="0ED94855">
      <w:pPr>
        <w:spacing w:before="36" w:line="178" w:lineRule="auto"/>
        <w:ind w:left="497"/>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9"/>
          <w:sz w:val="24"/>
          <w:szCs w:val="24"/>
          <w:highlight w:val="none"/>
        </w:rPr>
        <w:t>1</w:t>
      </w:r>
      <w:r>
        <w:rPr>
          <w:rFonts w:ascii="Times New Roman" w:hAnsi="Times New Roman" w:eastAsia="Times New Roman" w:cs="Times New Roman"/>
          <w:color w:val="auto"/>
          <w:spacing w:val="-27"/>
          <w:sz w:val="24"/>
          <w:szCs w:val="24"/>
          <w:highlight w:val="none"/>
        </w:rPr>
        <w:t xml:space="preserve"> </w:t>
      </w:r>
      <w:r>
        <w:rPr>
          <w:rFonts w:ascii="宋体" w:hAnsi="宋体" w:eastAsia="宋体" w:cs="宋体"/>
          <w:color w:val="auto"/>
          <w:spacing w:val="-19"/>
          <w:sz w:val="24"/>
          <w:szCs w:val="24"/>
          <w:highlight w:val="none"/>
        </w:rPr>
        <w:t>．</w:t>
      </w:r>
      <w:r>
        <w:rPr>
          <w:rFonts w:ascii="宋体" w:hAnsi="宋体" w:eastAsia="宋体" w:cs="宋体"/>
          <w:color w:val="auto"/>
          <w:spacing w:val="-93"/>
          <w:sz w:val="24"/>
          <w:szCs w:val="24"/>
          <w:highlight w:val="none"/>
        </w:rPr>
        <w:t xml:space="preserve"> </w:t>
      </w:r>
      <w:r>
        <w:rPr>
          <w:rFonts w:ascii="Times New Roman" w:hAnsi="Times New Roman" w:eastAsia="Times New Roman" w:cs="Times New Roman"/>
          <w:color w:val="auto"/>
          <w:spacing w:val="-19"/>
          <w:sz w:val="24"/>
          <w:szCs w:val="24"/>
          <w:highlight w:val="none"/>
        </w:rPr>
        <w:t>……</w:t>
      </w:r>
    </w:p>
    <w:p w14:paraId="09BA7C24">
      <w:pPr>
        <w:spacing w:before="237" w:line="178" w:lineRule="auto"/>
        <w:ind w:left="474"/>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3"/>
          <w:sz w:val="24"/>
          <w:szCs w:val="24"/>
          <w:highlight w:val="none"/>
        </w:rPr>
        <w:t>2</w:t>
      </w:r>
      <w:r>
        <w:rPr>
          <w:rFonts w:ascii="Times New Roman" w:hAnsi="Times New Roman" w:eastAsia="Times New Roman" w:cs="Times New Roman"/>
          <w:color w:val="auto"/>
          <w:spacing w:val="-28"/>
          <w:sz w:val="24"/>
          <w:szCs w:val="24"/>
          <w:highlight w:val="none"/>
        </w:rPr>
        <w:t xml:space="preserve"> </w:t>
      </w:r>
      <w:r>
        <w:rPr>
          <w:rFonts w:ascii="宋体" w:hAnsi="宋体" w:eastAsia="宋体" w:cs="宋体"/>
          <w:color w:val="auto"/>
          <w:spacing w:val="-13"/>
          <w:sz w:val="24"/>
          <w:szCs w:val="24"/>
          <w:highlight w:val="none"/>
        </w:rPr>
        <w:t>．</w:t>
      </w:r>
      <w:r>
        <w:rPr>
          <w:rFonts w:ascii="宋体" w:hAnsi="宋体" w:eastAsia="宋体" w:cs="宋体"/>
          <w:color w:val="auto"/>
          <w:spacing w:val="-93"/>
          <w:sz w:val="24"/>
          <w:szCs w:val="24"/>
          <w:highlight w:val="none"/>
        </w:rPr>
        <w:t xml:space="preserve"> </w:t>
      </w:r>
      <w:r>
        <w:rPr>
          <w:rFonts w:ascii="Times New Roman" w:hAnsi="Times New Roman" w:eastAsia="Times New Roman" w:cs="Times New Roman"/>
          <w:color w:val="auto"/>
          <w:spacing w:val="-13"/>
          <w:sz w:val="24"/>
          <w:szCs w:val="24"/>
          <w:highlight w:val="none"/>
        </w:rPr>
        <w:t>……</w:t>
      </w:r>
    </w:p>
    <w:p w14:paraId="341DF982">
      <w:pPr>
        <w:pStyle w:val="3"/>
        <w:spacing w:line="285" w:lineRule="auto"/>
        <w:rPr>
          <w:color w:val="auto"/>
          <w:highlight w:val="none"/>
        </w:rPr>
      </w:pPr>
    </w:p>
    <w:p w14:paraId="6624F4D2">
      <w:pPr>
        <w:spacing w:before="69" w:line="75" w:lineRule="exact"/>
        <w:ind w:left="496"/>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p w14:paraId="192AC1DB">
      <w:pPr>
        <w:pStyle w:val="3"/>
        <w:spacing w:line="265" w:lineRule="auto"/>
        <w:rPr>
          <w:color w:val="auto"/>
          <w:highlight w:val="none"/>
        </w:rPr>
      </w:pPr>
    </w:p>
    <w:p w14:paraId="38CEB454">
      <w:pPr>
        <w:pStyle w:val="3"/>
        <w:spacing w:line="265" w:lineRule="auto"/>
        <w:rPr>
          <w:color w:val="auto"/>
          <w:highlight w:val="none"/>
        </w:rPr>
      </w:pPr>
    </w:p>
    <w:p w14:paraId="2C8A8067">
      <w:pPr>
        <w:pStyle w:val="3"/>
        <w:spacing w:line="266" w:lineRule="auto"/>
        <w:rPr>
          <w:color w:val="auto"/>
          <w:highlight w:val="none"/>
        </w:rPr>
      </w:pPr>
    </w:p>
    <w:p w14:paraId="5F06C6C4">
      <w:pPr>
        <w:pStyle w:val="3"/>
        <w:spacing w:line="266" w:lineRule="auto"/>
        <w:rPr>
          <w:color w:val="auto"/>
          <w:highlight w:val="none"/>
        </w:rPr>
      </w:pPr>
    </w:p>
    <w:p w14:paraId="729641ED">
      <w:pPr>
        <w:pStyle w:val="3"/>
        <w:spacing w:line="266" w:lineRule="auto"/>
        <w:rPr>
          <w:color w:val="auto"/>
          <w:highlight w:val="none"/>
        </w:rPr>
      </w:pPr>
    </w:p>
    <w:p w14:paraId="32F4C636">
      <w:pPr>
        <w:tabs>
          <w:tab w:val="left" w:pos="6829"/>
        </w:tabs>
        <w:spacing w:before="79" w:line="362" w:lineRule="auto"/>
        <w:ind w:left="6229" w:right="165" w:hanging="166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招标人</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3"/>
          <w:sz w:val="24"/>
          <w:szCs w:val="24"/>
          <w:highlight w:val="none"/>
        </w:rPr>
        <w:t>盖单位公章）</w:t>
      </w: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4E2DB361">
      <w:pPr>
        <w:pStyle w:val="3"/>
        <w:spacing w:line="254" w:lineRule="auto"/>
        <w:rPr>
          <w:color w:val="auto"/>
          <w:highlight w:val="none"/>
        </w:rPr>
      </w:pPr>
    </w:p>
    <w:p w14:paraId="3D4A3A07">
      <w:pPr>
        <w:pStyle w:val="3"/>
        <w:spacing w:line="254" w:lineRule="auto"/>
        <w:rPr>
          <w:color w:val="auto"/>
          <w:highlight w:val="none"/>
        </w:rPr>
      </w:pPr>
    </w:p>
    <w:p w14:paraId="1FC7E168">
      <w:pPr>
        <w:pStyle w:val="3"/>
        <w:spacing w:line="254" w:lineRule="auto"/>
        <w:rPr>
          <w:color w:val="auto"/>
          <w:highlight w:val="none"/>
        </w:rPr>
      </w:pPr>
    </w:p>
    <w:p w14:paraId="0786EFB9">
      <w:pPr>
        <w:pStyle w:val="3"/>
        <w:spacing w:line="254" w:lineRule="auto"/>
        <w:rPr>
          <w:color w:val="auto"/>
          <w:highlight w:val="none"/>
        </w:rPr>
      </w:pPr>
    </w:p>
    <w:p w14:paraId="3051F3A4">
      <w:pPr>
        <w:pStyle w:val="3"/>
        <w:spacing w:line="254" w:lineRule="auto"/>
        <w:rPr>
          <w:color w:val="auto"/>
          <w:highlight w:val="none"/>
        </w:rPr>
      </w:pPr>
    </w:p>
    <w:p w14:paraId="5986CC38">
      <w:pPr>
        <w:pStyle w:val="3"/>
        <w:spacing w:line="254" w:lineRule="auto"/>
        <w:rPr>
          <w:color w:val="auto"/>
          <w:highlight w:val="none"/>
        </w:rPr>
      </w:pPr>
    </w:p>
    <w:p w14:paraId="62D133E0">
      <w:pPr>
        <w:pStyle w:val="3"/>
        <w:spacing w:line="255" w:lineRule="auto"/>
        <w:rPr>
          <w:color w:val="auto"/>
          <w:highlight w:val="none"/>
        </w:rPr>
      </w:pPr>
    </w:p>
    <w:p w14:paraId="1E6072C5">
      <w:pPr>
        <w:pStyle w:val="3"/>
        <w:spacing w:line="255" w:lineRule="auto"/>
        <w:rPr>
          <w:color w:val="auto"/>
          <w:highlight w:val="none"/>
        </w:rPr>
      </w:pPr>
    </w:p>
    <w:p w14:paraId="701C52CA">
      <w:pPr>
        <w:pStyle w:val="3"/>
        <w:spacing w:line="255" w:lineRule="auto"/>
        <w:rPr>
          <w:color w:val="auto"/>
          <w:highlight w:val="none"/>
        </w:rPr>
      </w:pPr>
    </w:p>
    <w:p w14:paraId="5A9CD773">
      <w:pPr>
        <w:pStyle w:val="3"/>
        <w:spacing w:line="255" w:lineRule="auto"/>
        <w:rPr>
          <w:color w:val="auto"/>
          <w:highlight w:val="none"/>
        </w:rPr>
      </w:pPr>
    </w:p>
    <w:p w14:paraId="36F38449">
      <w:pPr>
        <w:pStyle w:val="3"/>
        <w:spacing w:line="255" w:lineRule="auto"/>
        <w:rPr>
          <w:color w:val="auto"/>
          <w:highlight w:val="none"/>
        </w:rPr>
      </w:pPr>
    </w:p>
    <w:p w14:paraId="4FB339EC">
      <w:pPr>
        <w:spacing w:before="68" w:line="220" w:lineRule="auto"/>
        <w:ind w:left="417"/>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注：招标人对招标文件修改时，适用于本格式。</w:t>
      </w:r>
    </w:p>
    <w:p w14:paraId="262AB376">
      <w:pPr>
        <w:spacing w:line="220" w:lineRule="auto"/>
        <w:rPr>
          <w:rFonts w:ascii="宋体" w:hAnsi="宋体" w:eastAsia="宋体" w:cs="宋体"/>
          <w:color w:val="auto"/>
          <w:sz w:val="21"/>
          <w:szCs w:val="21"/>
          <w:highlight w:val="none"/>
        </w:rPr>
        <w:sectPr>
          <w:footerReference r:id="rId15" w:type="default"/>
          <w:pgSz w:w="11907" w:h="16841"/>
          <w:pgMar w:top="1425" w:right="1527" w:bottom="1254" w:left="1599" w:header="0" w:footer="1093" w:gutter="0"/>
          <w:pgNumType w:fmt="decimal"/>
          <w:cols w:space="720" w:num="1"/>
        </w:sectPr>
      </w:pPr>
    </w:p>
    <w:p w14:paraId="2DD224EC">
      <w:pPr>
        <w:spacing w:before="56" w:line="219" w:lineRule="auto"/>
        <w:ind w:left="32"/>
        <w:rPr>
          <w:rFonts w:ascii="宋体" w:hAnsi="宋体" w:eastAsia="宋体" w:cs="宋体"/>
          <w:color w:val="auto"/>
          <w:sz w:val="28"/>
          <w:szCs w:val="28"/>
          <w:highlight w:val="none"/>
        </w:rPr>
      </w:pPr>
      <w:r>
        <w:rPr>
          <w:rFonts w:ascii="宋体" w:hAnsi="宋体" w:eastAsia="宋体" w:cs="宋体"/>
          <w:b/>
          <w:bCs/>
          <w:color w:val="auto"/>
          <w:spacing w:val="-11"/>
          <w:sz w:val="28"/>
          <w:szCs w:val="28"/>
          <w:highlight w:val="none"/>
        </w:rPr>
        <w:t>附件四：</w:t>
      </w:r>
    </w:p>
    <w:p w14:paraId="5FF50460">
      <w:pPr>
        <w:spacing w:before="211" w:line="221" w:lineRule="auto"/>
        <w:ind w:left="3984"/>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开标记录表</w:t>
      </w:r>
    </w:p>
    <w:p w14:paraId="1AB4FB16">
      <w:pPr>
        <w:pStyle w:val="3"/>
        <w:spacing w:line="266" w:lineRule="auto"/>
        <w:rPr>
          <w:color w:val="auto"/>
          <w:highlight w:val="none"/>
        </w:rPr>
      </w:pPr>
    </w:p>
    <w:p w14:paraId="37ED10A3">
      <w:pPr>
        <w:pStyle w:val="3"/>
        <w:spacing w:line="266" w:lineRule="auto"/>
        <w:rPr>
          <w:color w:val="auto"/>
          <w:highlight w:val="none"/>
        </w:rPr>
      </w:pPr>
    </w:p>
    <w:p w14:paraId="53C6F82E">
      <w:pPr>
        <w:tabs>
          <w:tab w:val="left" w:pos="2400"/>
        </w:tabs>
        <w:spacing w:before="81" w:line="338" w:lineRule="auto"/>
        <w:ind w:left="10" w:right="2685" w:hanging="10"/>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u w:val="single" w:color="auto"/>
        </w:rPr>
        <w:tab/>
      </w:r>
      <w:r>
        <w:rPr>
          <w:rFonts w:ascii="宋体" w:hAnsi="宋体" w:eastAsia="宋体" w:cs="宋体"/>
          <w:color w:val="auto"/>
          <w:spacing w:val="-5"/>
          <w:sz w:val="24"/>
          <w:szCs w:val="24"/>
          <w:highlight w:val="none"/>
        </w:rPr>
        <w:t>（</w:t>
      </w:r>
      <w:r>
        <w:rPr>
          <w:rFonts w:ascii="宋体" w:hAnsi="宋体" w:eastAsia="宋体" w:cs="宋体"/>
          <w:i/>
          <w:iCs/>
          <w:color w:val="auto"/>
          <w:spacing w:val="-5"/>
          <w:sz w:val="25"/>
          <w:szCs w:val="25"/>
          <w:highlight w:val="none"/>
        </w:rPr>
        <w:t>项目名称</w:t>
      </w:r>
      <w:r>
        <w:rPr>
          <w:rFonts w:ascii="宋体" w:hAnsi="宋体" w:eastAsia="宋体" w:cs="宋体"/>
          <w:color w:val="auto"/>
          <w:spacing w:val="-24"/>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4"/>
          <w:sz w:val="24"/>
          <w:szCs w:val="24"/>
          <w:highlight w:val="none"/>
        </w:rPr>
        <w:t>（</w:t>
      </w:r>
      <w:r>
        <w:rPr>
          <w:rFonts w:ascii="宋体" w:hAnsi="宋体" w:eastAsia="宋体" w:cs="宋体"/>
          <w:i/>
          <w:iCs/>
          <w:color w:val="auto"/>
          <w:spacing w:val="-5"/>
          <w:sz w:val="25"/>
          <w:szCs w:val="25"/>
          <w:highlight w:val="none"/>
        </w:rPr>
        <w:t>标段名称</w:t>
      </w:r>
      <w:r>
        <w:rPr>
          <w:rFonts w:ascii="宋体" w:hAnsi="宋体" w:eastAsia="宋体" w:cs="宋体"/>
          <w:color w:val="auto"/>
          <w:spacing w:val="-5"/>
          <w:sz w:val="24"/>
          <w:szCs w:val="24"/>
          <w:highlight w:val="none"/>
        </w:rPr>
        <w:t>）</w:t>
      </w:r>
      <w:r>
        <w:rPr>
          <w:rFonts w:ascii="宋体" w:hAnsi="宋体" w:eastAsia="宋体" w:cs="宋体"/>
          <w:color w:val="auto"/>
          <w:spacing w:val="-8"/>
          <w:sz w:val="24"/>
          <w:szCs w:val="24"/>
          <w:highlight w:val="none"/>
        </w:rPr>
        <w:t>开标时间：</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8"/>
          <w:sz w:val="24"/>
          <w:szCs w:val="24"/>
          <w:highlight w:val="none"/>
        </w:rPr>
        <w:t>年</w:t>
      </w:r>
      <w:r>
        <w:rPr>
          <w:rFonts w:ascii="宋体" w:hAnsi="宋体" w:eastAsia="宋体" w:cs="宋体"/>
          <w:color w:val="auto"/>
          <w:spacing w:val="-8"/>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8"/>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8"/>
          <w:sz w:val="24"/>
          <w:szCs w:val="24"/>
          <w:highlight w:val="none"/>
        </w:rPr>
        <w:t>日</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0"/>
          <w:sz w:val="24"/>
          <w:szCs w:val="24"/>
          <w:highlight w:val="none"/>
        </w:rPr>
        <w:t xml:space="preserve"> </w:t>
      </w:r>
      <w:r>
        <w:rPr>
          <w:rFonts w:ascii="宋体" w:hAnsi="宋体" w:eastAsia="宋体" w:cs="宋体"/>
          <w:color w:val="auto"/>
          <w:spacing w:val="-8"/>
          <w:sz w:val="24"/>
          <w:szCs w:val="24"/>
          <w:highlight w:val="none"/>
        </w:rPr>
        <w:t>时</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8"/>
          <w:sz w:val="24"/>
          <w:szCs w:val="24"/>
          <w:highlight w:val="none"/>
        </w:rPr>
        <w:t>分</w:t>
      </w:r>
    </w:p>
    <w:tbl>
      <w:tblPr>
        <w:tblStyle w:val="16"/>
        <w:tblW w:w="842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5"/>
        <w:gridCol w:w="1059"/>
        <w:gridCol w:w="819"/>
        <w:gridCol w:w="1032"/>
        <w:gridCol w:w="676"/>
        <w:gridCol w:w="623"/>
        <w:gridCol w:w="867"/>
        <w:gridCol w:w="1078"/>
        <w:gridCol w:w="1706"/>
      </w:tblGrid>
      <w:tr w14:paraId="21BCC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65" w:type="dxa"/>
            <w:tcBorders>
              <w:top w:val="single" w:color="000000" w:sz="6" w:space="0"/>
              <w:left w:val="single" w:color="000000" w:sz="6" w:space="0"/>
            </w:tcBorders>
            <w:vAlign w:val="top"/>
          </w:tcPr>
          <w:p w14:paraId="4D06EE3A">
            <w:pPr>
              <w:pStyle w:val="17"/>
              <w:spacing w:before="235" w:line="222" w:lineRule="auto"/>
              <w:ind w:left="71"/>
              <w:rPr>
                <w:color w:val="auto"/>
                <w:sz w:val="21"/>
                <w:szCs w:val="21"/>
                <w:highlight w:val="none"/>
              </w:rPr>
            </w:pPr>
            <w:r>
              <w:rPr>
                <w:color w:val="auto"/>
                <w:spacing w:val="-2"/>
                <w:sz w:val="21"/>
                <w:szCs w:val="21"/>
                <w:highlight w:val="none"/>
              </w:rPr>
              <w:t>序号</w:t>
            </w:r>
          </w:p>
        </w:tc>
        <w:tc>
          <w:tcPr>
            <w:tcW w:w="1059" w:type="dxa"/>
            <w:tcBorders>
              <w:top w:val="single" w:color="000000" w:sz="6" w:space="0"/>
            </w:tcBorders>
            <w:vAlign w:val="top"/>
          </w:tcPr>
          <w:p w14:paraId="09565841">
            <w:pPr>
              <w:pStyle w:val="17"/>
              <w:spacing w:before="235" w:line="221" w:lineRule="auto"/>
              <w:ind w:left="215"/>
              <w:rPr>
                <w:color w:val="auto"/>
                <w:sz w:val="21"/>
                <w:szCs w:val="21"/>
                <w:highlight w:val="none"/>
              </w:rPr>
            </w:pPr>
            <w:r>
              <w:rPr>
                <w:color w:val="auto"/>
                <w:spacing w:val="-2"/>
                <w:sz w:val="21"/>
                <w:szCs w:val="21"/>
                <w:highlight w:val="none"/>
              </w:rPr>
              <w:t>投标人</w:t>
            </w:r>
          </w:p>
        </w:tc>
        <w:tc>
          <w:tcPr>
            <w:tcW w:w="819" w:type="dxa"/>
            <w:tcBorders>
              <w:top w:val="single" w:color="000000" w:sz="6" w:space="0"/>
            </w:tcBorders>
            <w:vAlign w:val="top"/>
          </w:tcPr>
          <w:p w14:paraId="2DAF5D8F">
            <w:pPr>
              <w:pStyle w:val="17"/>
              <w:spacing w:before="85" w:line="245" w:lineRule="auto"/>
              <w:ind w:left="95" w:right="93" w:firstLine="107"/>
              <w:rPr>
                <w:color w:val="auto"/>
                <w:sz w:val="21"/>
                <w:szCs w:val="21"/>
                <w:highlight w:val="none"/>
              </w:rPr>
            </w:pPr>
            <w:r>
              <w:rPr>
                <w:color w:val="auto"/>
                <w:spacing w:val="-5"/>
                <w:sz w:val="21"/>
                <w:szCs w:val="21"/>
                <w:highlight w:val="none"/>
              </w:rPr>
              <w:t>投标</w:t>
            </w:r>
            <w:r>
              <w:rPr>
                <w:color w:val="auto"/>
                <w:spacing w:val="-2"/>
                <w:sz w:val="21"/>
                <w:szCs w:val="21"/>
                <w:highlight w:val="none"/>
              </w:rPr>
              <w:t>保证金</w:t>
            </w:r>
          </w:p>
        </w:tc>
        <w:tc>
          <w:tcPr>
            <w:tcW w:w="1032" w:type="dxa"/>
            <w:tcBorders>
              <w:top w:val="single" w:color="000000" w:sz="6" w:space="0"/>
            </w:tcBorders>
            <w:vAlign w:val="top"/>
          </w:tcPr>
          <w:p w14:paraId="5C5E621F">
            <w:pPr>
              <w:pStyle w:val="17"/>
              <w:spacing w:before="85" w:line="245" w:lineRule="auto"/>
              <w:ind w:left="208" w:right="93" w:hanging="107"/>
              <w:rPr>
                <w:color w:val="auto"/>
                <w:sz w:val="21"/>
                <w:szCs w:val="21"/>
                <w:highlight w:val="none"/>
              </w:rPr>
            </w:pPr>
            <w:r>
              <w:rPr>
                <w:color w:val="auto"/>
                <w:spacing w:val="-3"/>
                <w:sz w:val="21"/>
                <w:szCs w:val="21"/>
                <w:highlight w:val="none"/>
              </w:rPr>
              <w:t>投标报价</w:t>
            </w:r>
            <w:r>
              <w:rPr>
                <w:color w:val="auto"/>
                <w:spacing w:val="-6"/>
                <w:sz w:val="21"/>
                <w:szCs w:val="21"/>
                <w:highlight w:val="none"/>
              </w:rPr>
              <w:t>（元）</w:t>
            </w:r>
          </w:p>
        </w:tc>
        <w:tc>
          <w:tcPr>
            <w:tcW w:w="676" w:type="dxa"/>
            <w:tcBorders>
              <w:top w:val="single" w:color="000000" w:sz="6" w:space="0"/>
            </w:tcBorders>
            <w:vAlign w:val="top"/>
          </w:tcPr>
          <w:p w14:paraId="5E54B9BC">
            <w:pPr>
              <w:pStyle w:val="17"/>
              <w:spacing w:before="87" w:line="221" w:lineRule="auto"/>
              <w:ind w:left="136"/>
              <w:rPr>
                <w:color w:val="auto"/>
                <w:sz w:val="21"/>
                <w:szCs w:val="21"/>
                <w:highlight w:val="none"/>
              </w:rPr>
            </w:pPr>
            <w:r>
              <w:rPr>
                <w:color w:val="auto"/>
                <w:spacing w:val="-2"/>
                <w:sz w:val="21"/>
                <w:szCs w:val="21"/>
                <w:highlight w:val="none"/>
              </w:rPr>
              <w:t>质量</w:t>
            </w:r>
          </w:p>
          <w:p w14:paraId="56394327">
            <w:pPr>
              <w:pStyle w:val="17"/>
              <w:spacing w:before="48" w:line="221" w:lineRule="auto"/>
              <w:ind w:left="175"/>
              <w:rPr>
                <w:color w:val="auto"/>
                <w:sz w:val="21"/>
                <w:szCs w:val="21"/>
                <w:highlight w:val="none"/>
              </w:rPr>
            </w:pPr>
            <w:r>
              <w:rPr>
                <w:color w:val="auto"/>
                <w:spacing w:val="-12"/>
                <w:sz w:val="21"/>
                <w:szCs w:val="21"/>
                <w:highlight w:val="none"/>
              </w:rPr>
              <w:t>目标</w:t>
            </w:r>
          </w:p>
        </w:tc>
        <w:tc>
          <w:tcPr>
            <w:tcW w:w="623" w:type="dxa"/>
            <w:tcBorders>
              <w:top w:val="single" w:color="000000" w:sz="6" w:space="0"/>
            </w:tcBorders>
            <w:vAlign w:val="top"/>
          </w:tcPr>
          <w:p w14:paraId="26E721CC">
            <w:pPr>
              <w:pStyle w:val="17"/>
              <w:spacing w:before="235" w:line="221" w:lineRule="auto"/>
              <w:ind w:left="112"/>
              <w:rPr>
                <w:color w:val="auto"/>
                <w:sz w:val="21"/>
                <w:szCs w:val="21"/>
                <w:highlight w:val="none"/>
              </w:rPr>
            </w:pPr>
            <w:r>
              <w:rPr>
                <w:color w:val="auto"/>
                <w:spacing w:val="-3"/>
                <w:sz w:val="21"/>
                <w:szCs w:val="21"/>
                <w:highlight w:val="none"/>
              </w:rPr>
              <w:t>工期</w:t>
            </w:r>
          </w:p>
        </w:tc>
        <w:tc>
          <w:tcPr>
            <w:tcW w:w="867" w:type="dxa"/>
            <w:tcBorders>
              <w:top w:val="single" w:color="000000" w:sz="6" w:space="0"/>
            </w:tcBorders>
            <w:vAlign w:val="top"/>
          </w:tcPr>
          <w:p w14:paraId="778B06D6">
            <w:pPr>
              <w:pStyle w:val="17"/>
              <w:spacing w:before="85" w:line="245" w:lineRule="auto"/>
              <w:ind w:left="135" w:right="108" w:hanging="4"/>
              <w:rPr>
                <w:color w:val="auto"/>
                <w:sz w:val="21"/>
                <w:szCs w:val="21"/>
                <w:highlight w:val="none"/>
              </w:rPr>
            </w:pPr>
            <w:r>
              <w:rPr>
                <w:color w:val="auto"/>
                <w:spacing w:val="-29"/>
                <w:sz w:val="21"/>
                <w:szCs w:val="21"/>
                <w:highlight w:val="none"/>
              </w:rPr>
              <w:t>项</w:t>
            </w:r>
            <w:r>
              <w:rPr>
                <w:color w:val="auto"/>
                <w:spacing w:val="24"/>
                <w:sz w:val="21"/>
                <w:szCs w:val="21"/>
                <w:highlight w:val="none"/>
              </w:rPr>
              <w:t xml:space="preserve">  </w:t>
            </w:r>
            <w:r>
              <w:rPr>
                <w:color w:val="auto"/>
                <w:spacing w:val="-29"/>
                <w:sz w:val="21"/>
                <w:szCs w:val="21"/>
                <w:highlight w:val="none"/>
              </w:rPr>
              <w:t>目</w:t>
            </w:r>
            <w:r>
              <w:rPr>
                <w:color w:val="auto"/>
                <w:spacing w:val="-5"/>
                <w:sz w:val="21"/>
                <w:szCs w:val="21"/>
                <w:highlight w:val="none"/>
              </w:rPr>
              <w:t>负责人</w:t>
            </w:r>
          </w:p>
        </w:tc>
        <w:tc>
          <w:tcPr>
            <w:tcW w:w="1078" w:type="dxa"/>
            <w:tcBorders>
              <w:top w:val="single" w:color="000000" w:sz="6" w:space="0"/>
            </w:tcBorders>
            <w:vAlign w:val="top"/>
          </w:tcPr>
          <w:p w14:paraId="42319335">
            <w:pPr>
              <w:pStyle w:val="17"/>
              <w:spacing w:before="85" w:line="245" w:lineRule="auto"/>
              <w:ind w:left="340" w:right="109" w:hanging="207"/>
              <w:rPr>
                <w:color w:val="auto"/>
                <w:sz w:val="21"/>
                <w:szCs w:val="21"/>
                <w:highlight w:val="none"/>
              </w:rPr>
            </w:pPr>
            <w:r>
              <w:rPr>
                <w:color w:val="auto"/>
                <w:spacing w:val="-3"/>
                <w:sz w:val="21"/>
                <w:szCs w:val="21"/>
                <w:highlight w:val="none"/>
              </w:rPr>
              <w:t>企业信用</w:t>
            </w:r>
            <w:r>
              <w:rPr>
                <w:color w:val="auto"/>
                <w:spacing w:val="-2"/>
                <w:sz w:val="21"/>
                <w:szCs w:val="21"/>
                <w:highlight w:val="none"/>
              </w:rPr>
              <w:t>等级</w:t>
            </w:r>
          </w:p>
        </w:tc>
        <w:tc>
          <w:tcPr>
            <w:tcW w:w="1706" w:type="dxa"/>
            <w:tcBorders>
              <w:top w:val="single" w:color="000000" w:sz="6" w:space="0"/>
              <w:right w:val="single" w:color="000000" w:sz="6" w:space="0"/>
            </w:tcBorders>
            <w:vAlign w:val="top"/>
          </w:tcPr>
          <w:p w14:paraId="3B374859">
            <w:pPr>
              <w:pStyle w:val="17"/>
              <w:spacing w:before="235" w:line="221" w:lineRule="auto"/>
              <w:ind w:left="440"/>
              <w:rPr>
                <w:color w:val="auto"/>
                <w:sz w:val="21"/>
                <w:szCs w:val="21"/>
                <w:highlight w:val="none"/>
              </w:rPr>
            </w:pPr>
            <w:r>
              <w:rPr>
                <w:color w:val="auto"/>
                <w:spacing w:val="-2"/>
                <w:sz w:val="21"/>
                <w:szCs w:val="21"/>
                <w:highlight w:val="none"/>
              </w:rPr>
              <w:t>开标备注</w:t>
            </w:r>
          </w:p>
        </w:tc>
      </w:tr>
      <w:tr w14:paraId="1D6E1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65" w:type="dxa"/>
            <w:tcBorders>
              <w:left w:val="single" w:color="000000" w:sz="6" w:space="0"/>
            </w:tcBorders>
            <w:vAlign w:val="top"/>
          </w:tcPr>
          <w:p w14:paraId="62A38201">
            <w:pPr>
              <w:rPr>
                <w:rFonts w:ascii="Arial"/>
                <w:color w:val="auto"/>
                <w:sz w:val="21"/>
                <w:highlight w:val="none"/>
              </w:rPr>
            </w:pPr>
          </w:p>
        </w:tc>
        <w:tc>
          <w:tcPr>
            <w:tcW w:w="1059" w:type="dxa"/>
            <w:vAlign w:val="top"/>
          </w:tcPr>
          <w:p w14:paraId="31DE02BB">
            <w:pPr>
              <w:rPr>
                <w:rFonts w:ascii="Arial"/>
                <w:color w:val="auto"/>
                <w:sz w:val="21"/>
                <w:highlight w:val="none"/>
              </w:rPr>
            </w:pPr>
          </w:p>
        </w:tc>
        <w:tc>
          <w:tcPr>
            <w:tcW w:w="819" w:type="dxa"/>
            <w:vAlign w:val="top"/>
          </w:tcPr>
          <w:p w14:paraId="24A23DB8">
            <w:pPr>
              <w:rPr>
                <w:rFonts w:ascii="Arial"/>
                <w:color w:val="auto"/>
                <w:sz w:val="21"/>
                <w:highlight w:val="none"/>
              </w:rPr>
            </w:pPr>
          </w:p>
        </w:tc>
        <w:tc>
          <w:tcPr>
            <w:tcW w:w="1032" w:type="dxa"/>
            <w:vAlign w:val="top"/>
          </w:tcPr>
          <w:p w14:paraId="77B11CFF">
            <w:pPr>
              <w:rPr>
                <w:rFonts w:ascii="Arial"/>
                <w:color w:val="auto"/>
                <w:sz w:val="21"/>
                <w:highlight w:val="none"/>
              </w:rPr>
            </w:pPr>
          </w:p>
        </w:tc>
        <w:tc>
          <w:tcPr>
            <w:tcW w:w="676" w:type="dxa"/>
            <w:vAlign w:val="top"/>
          </w:tcPr>
          <w:p w14:paraId="6CD6951A">
            <w:pPr>
              <w:rPr>
                <w:rFonts w:ascii="Arial"/>
                <w:color w:val="auto"/>
                <w:sz w:val="21"/>
                <w:highlight w:val="none"/>
              </w:rPr>
            </w:pPr>
          </w:p>
        </w:tc>
        <w:tc>
          <w:tcPr>
            <w:tcW w:w="623" w:type="dxa"/>
            <w:vAlign w:val="top"/>
          </w:tcPr>
          <w:p w14:paraId="692E76AE">
            <w:pPr>
              <w:rPr>
                <w:rFonts w:ascii="Arial"/>
                <w:color w:val="auto"/>
                <w:sz w:val="21"/>
                <w:highlight w:val="none"/>
              </w:rPr>
            </w:pPr>
          </w:p>
        </w:tc>
        <w:tc>
          <w:tcPr>
            <w:tcW w:w="867" w:type="dxa"/>
            <w:vAlign w:val="top"/>
          </w:tcPr>
          <w:p w14:paraId="7338ED11">
            <w:pPr>
              <w:rPr>
                <w:rFonts w:ascii="Arial"/>
                <w:color w:val="auto"/>
                <w:sz w:val="21"/>
                <w:highlight w:val="none"/>
              </w:rPr>
            </w:pPr>
          </w:p>
        </w:tc>
        <w:tc>
          <w:tcPr>
            <w:tcW w:w="1078" w:type="dxa"/>
            <w:vAlign w:val="top"/>
          </w:tcPr>
          <w:p w14:paraId="52B1740B">
            <w:pPr>
              <w:rPr>
                <w:rFonts w:ascii="Arial"/>
                <w:color w:val="auto"/>
                <w:sz w:val="21"/>
                <w:highlight w:val="none"/>
              </w:rPr>
            </w:pPr>
          </w:p>
        </w:tc>
        <w:tc>
          <w:tcPr>
            <w:tcW w:w="1706" w:type="dxa"/>
            <w:tcBorders>
              <w:right w:val="single" w:color="000000" w:sz="6" w:space="0"/>
            </w:tcBorders>
            <w:vAlign w:val="top"/>
          </w:tcPr>
          <w:p w14:paraId="5BBA93AA">
            <w:pPr>
              <w:rPr>
                <w:rFonts w:ascii="Arial"/>
                <w:color w:val="auto"/>
                <w:sz w:val="21"/>
                <w:highlight w:val="none"/>
              </w:rPr>
            </w:pPr>
          </w:p>
        </w:tc>
      </w:tr>
      <w:tr w14:paraId="1829C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565" w:type="dxa"/>
            <w:tcBorders>
              <w:left w:val="single" w:color="000000" w:sz="6" w:space="0"/>
            </w:tcBorders>
            <w:vAlign w:val="top"/>
          </w:tcPr>
          <w:p w14:paraId="1E4FB83A">
            <w:pPr>
              <w:rPr>
                <w:rFonts w:ascii="Arial"/>
                <w:color w:val="auto"/>
                <w:sz w:val="21"/>
                <w:highlight w:val="none"/>
              </w:rPr>
            </w:pPr>
          </w:p>
        </w:tc>
        <w:tc>
          <w:tcPr>
            <w:tcW w:w="1059" w:type="dxa"/>
            <w:vAlign w:val="top"/>
          </w:tcPr>
          <w:p w14:paraId="4ED7B643">
            <w:pPr>
              <w:rPr>
                <w:rFonts w:ascii="Arial"/>
                <w:color w:val="auto"/>
                <w:sz w:val="21"/>
                <w:highlight w:val="none"/>
              </w:rPr>
            </w:pPr>
          </w:p>
        </w:tc>
        <w:tc>
          <w:tcPr>
            <w:tcW w:w="819" w:type="dxa"/>
            <w:vAlign w:val="top"/>
          </w:tcPr>
          <w:p w14:paraId="10901BB5">
            <w:pPr>
              <w:rPr>
                <w:rFonts w:ascii="Arial"/>
                <w:color w:val="auto"/>
                <w:sz w:val="21"/>
                <w:highlight w:val="none"/>
              </w:rPr>
            </w:pPr>
          </w:p>
        </w:tc>
        <w:tc>
          <w:tcPr>
            <w:tcW w:w="1032" w:type="dxa"/>
            <w:vAlign w:val="top"/>
          </w:tcPr>
          <w:p w14:paraId="0272AA0E">
            <w:pPr>
              <w:rPr>
                <w:rFonts w:ascii="Arial"/>
                <w:color w:val="auto"/>
                <w:sz w:val="21"/>
                <w:highlight w:val="none"/>
              </w:rPr>
            </w:pPr>
          </w:p>
        </w:tc>
        <w:tc>
          <w:tcPr>
            <w:tcW w:w="676" w:type="dxa"/>
            <w:vAlign w:val="top"/>
          </w:tcPr>
          <w:p w14:paraId="398610E6">
            <w:pPr>
              <w:rPr>
                <w:rFonts w:ascii="Arial"/>
                <w:color w:val="auto"/>
                <w:sz w:val="21"/>
                <w:highlight w:val="none"/>
              </w:rPr>
            </w:pPr>
          </w:p>
        </w:tc>
        <w:tc>
          <w:tcPr>
            <w:tcW w:w="623" w:type="dxa"/>
            <w:vAlign w:val="top"/>
          </w:tcPr>
          <w:p w14:paraId="518E062D">
            <w:pPr>
              <w:rPr>
                <w:rFonts w:ascii="Arial"/>
                <w:color w:val="auto"/>
                <w:sz w:val="21"/>
                <w:highlight w:val="none"/>
              </w:rPr>
            </w:pPr>
          </w:p>
        </w:tc>
        <w:tc>
          <w:tcPr>
            <w:tcW w:w="867" w:type="dxa"/>
            <w:vAlign w:val="top"/>
          </w:tcPr>
          <w:p w14:paraId="1A4E9ED3">
            <w:pPr>
              <w:rPr>
                <w:rFonts w:ascii="Arial"/>
                <w:color w:val="auto"/>
                <w:sz w:val="21"/>
                <w:highlight w:val="none"/>
              </w:rPr>
            </w:pPr>
          </w:p>
        </w:tc>
        <w:tc>
          <w:tcPr>
            <w:tcW w:w="1078" w:type="dxa"/>
            <w:vAlign w:val="top"/>
          </w:tcPr>
          <w:p w14:paraId="1F5676D3">
            <w:pPr>
              <w:rPr>
                <w:rFonts w:ascii="Arial"/>
                <w:color w:val="auto"/>
                <w:sz w:val="21"/>
                <w:highlight w:val="none"/>
              </w:rPr>
            </w:pPr>
          </w:p>
        </w:tc>
        <w:tc>
          <w:tcPr>
            <w:tcW w:w="1706" w:type="dxa"/>
            <w:tcBorders>
              <w:right w:val="single" w:color="000000" w:sz="6" w:space="0"/>
            </w:tcBorders>
            <w:vAlign w:val="top"/>
          </w:tcPr>
          <w:p w14:paraId="630161EF">
            <w:pPr>
              <w:rPr>
                <w:rFonts w:ascii="Arial"/>
                <w:color w:val="auto"/>
                <w:sz w:val="21"/>
                <w:highlight w:val="none"/>
              </w:rPr>
            </w:pPr>
          </w:p>
        </w:tc>
      </w:tr>
      <w:tr w14:paraId="2B208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65" w:type="dxa"/>
            <w:tcBorders>
              <w:left w:val="single" w:color="000000" w:sz="6" w:space="0"/>
            </w:tcBorders>
            <w:vAlign w:val="top"/>
          </w:tcPr>
          <w:p w14:paraId="18E9EE8A">
            <w:pPr>
              <w:rPr>
                <w:rFonts w:ascii="Arial"/>
                <w:color w:val="auto"/>
                <w:sz w:val="21"/>
                <w:highlight w:val="none"/>
              </w:rPr>
            </w:pPr>
          </w:p>
        </w:tc>
        <w:tc>
          <w:tcPr>
            <w:tcW w:w="1059" w:type="dxa"/>
            <w:vAlign w:val="top"/>
          </w:tcPr>
          <w:p w14:paraId="735B2251">
            <w:pPr>
              <w:rPr>
                <w:rFonts w:ascii="Arial"/>
                <w:color w:val="auto"/>
                <w:sz w:val="21"/>
                <w:highlight w:val="none"/>
              </w:rPr>
            </w:pPr>
          </w:p>
        </w:tc>
        <w:tc>
          <w:tcPr>
            <w:tcW w:w="819" w:type="dxa"/>
            <w:vAlign w:val="top"/>
          </w:tcPr>
          <w:p w14:paraId="6F359EFF">
            <w:pPr>
              <w:rPr>
                <w:rFonts w:ascii="Arial"/>
                <w:color w:val="auto"/>
                <w:sz w:val="21"/>
                <w:highlight w:val="none"/>
              </w:rPr>
            </w:pPr>
          </w:p>
        </w:tc>
        <w:tc>
          <w:tcPr>
            <w:tcW w:w="1032" w:type="dxa"/>
            <w:vAlign w:val="top"/>
          </w:tcPr>
          <w:p w14:paraId="51E2622C">
            <w:pPr>
              <w:rPr>
                <w:rFonts w:ascii="Arial"/>
                <w:color w:val="auto"/>
                <w:sz w:val="21"/>
                <w:highlight w:val="none"/>
              </w:rPr>
            </w:pPr>
          </w:p>
        </w:tc>
        <w:tc>
          <w:tcPr>
            <w:tcW w:w="676" w:type="dxa"/>
            <w:vAlign w:val="top"/>
          </w:tcPr>
          <w:p w14:paraId="2FFEBE9C">
            <w:pPr>
              <w:rPr>
                <w:rFonts w:ascii="Arial"/>
                <w:color w:val="auto"/>
                <w:sz w:val="21"/>
                <w:highlight w:val="none"/>
              </w:rPr>
            </w:pPr>
          </w:p>
        </w:tc>
        <w:tc>
          <w:tcPr>
            <w:tcW w:w="623" w:type="dxa"/>
            <w:vAlign w:val="top"/>
          </w:tcPr>
          <w:p w14:paraId="6D8ED39F">
            <w:pPr>
              <w:rPr>
                <w:rFonts w:ascii="Arial"/>
                <w:color w:val="auto"/>
                <w:sz w:val="21"/>
                <w:highlight w:val="none"/>
              </w:rPr>
            </w:pPr>
          </w:p>
        </w:tc>
        <w:tc>
          <w:tcPr>
            <w:tcW w:w="867" w:type="dxa"/>
            <w:vAlign w:val="top"/>
          </w:tcPr>
          <w:p w14:paraId="4915D5EA">
            <w:pPr>
              <w:rPr>
                <w:rFonts w:ascii="Arial"/>
                <w:color w:val="auto"/>
                <w:sz w:val="21"/>
                <w:highlight w:val="none"/>
              </w:rPr>
            </w:pPr>
          </w:p>
        </w:tc>
        <w:tc>
          <w:tcPr>
            <w:tcW w:w="1078" w:type="dxa"/>
            <w:vAlign w:val="top"/>
          </w:tcPr>
          <w:p w14:paraId="6DD772FD">
            <w:pPr>
              <w:rPr>
                <w:rFonts w:ascii="Arial"/>
                <w:color w:val="auto"/>
                <w:sz w:val="21"/>
                <w:highlight w:val="none"/>
              </w:rPr>
            </w:pPr>
          </w:p>
        </w:tc>
        <w:tc>
          <w:tcPr>
            <w:tcW w:w="1706" w:type="dxa"/>
            <w:tcBorders>
              <w:right w:val="single" w:color="000000" w:sz="6" w:space="0"/>
            </w:tcBorders>
            <w:vAlign w:val="top"/>
          </w:tcPr>
          <w:p w14:paraId="7890DCB6">
            <w:pPr>
              <w:rPr>
                <w:rFonts w:ascii="Arial"/>
                <w:color w:val="auto"/>
                <w:sz w:val="21"/>
                <w:highlight w:val="none"/>
              </w:rPr>
            </w:pPr>
          </w:p>
        </w:tc>
      </w:tr>
      <w:tr w14:paraId="481F1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565" w:type="dxa"/>
            <w:tcBorders>
              <w:left w:val="single" w:color="000000" w:sz="6" w:space="0"/>
            </w:tcBorders>
            <w:vAlign w:val="top"/>
          </w:tcPr>
          <w:p w14:paraId="294FDC17">
            <w:pPr>
              <w:rPr>
                <w:rFonts w:ascii="Arial"/>
                <w:color w:val="auto"/>
                <w:sz w:val="21"/>
                <w:highlight w:val="none"/>
              </w:rPr>
            </w:pPr>
          </w:p>
        </w:tc>
        <w:tc>
          <w:tcPr>
            <w:tcW w:w="1059" w:type="dxa"/>
            <w:vAlign w:val="top"/>
          </w:tcPr>
          <w:p w14:paraId="6DF49711">
            <w:pPr>
              <w:rPr>
                <w:rFonts w:ascii="Arial"/>
                <w:color w:val="auto"/>
                <w:sz w:val="21"/>
                <w:highlight w:val="none"/>
              </w:rPr>
            </w:pPr>
          </w:p>
        </w:tc>
        <w:tc>
          <w:tcPr>
            <w:tcW w:w="819" w:type="dxa"/>
            <w:vAlign w:val="top"/>
          </w:tcPr>
          <w:p w14:paraId="7001EC61">
            <w:pPr>
              <w:rPr>
                <w:rFonts w:ascii="Arial"/>
                <w:color w:val="auto"/>
                <w:sz w:val="21"/>
                <w:highlight w:val="none"/>
              </w:rPr>
            </w:pPr>
          </w:p>
        </w:tc>
        <w:tc>
          <w:tcPr>
            <w:tcW w:w="1032" w:type="dxa"/>
            <w:vAlign w:val="top"/>
          </w:tcPr>
          <w:p w14:paraId="737AB817">
            <w:pPr>
              <w:rPr>
                <w:rFonts w:ascii="Arial"/>
                <w:color w:val="auto"/>
                <w:sz w:val="21"/>
                <w:highlight w:val="none"/>
              </w:rPr>
            </w:pPr>
          </w:p>
        </w:tc>
        <w:tc>
          <w:tcPr>
            <w:tcW w:w="676" w:type="dxa"/>
            <w:vAlign w:val="top"/>
          </w:tcPr>
          <w:p w14:paraId="1F71DD47">
            <w:pPr>
              <w:rPr>
                <w:rFonts w:ascii="Arial"/>
                <w:color w:val="auto"/>
                <w:sz w:val="21"/>
                <w:highlight w:val="none"/>
              </w:rPr>
            </w:pPr>
          </w:p>
        </w:tc>
        <w:tc>
          <w:tcPr>
            <w:tcW w:w="623" w:type="dxa"/>
            <w:vAlign w:val="top"/>
          </w:tcPr>
          <w:p w14:paraId="310BC1CE">
            <w:pPr>
              <w:rPr>
                <w:rFonts w:ascii="Arial"/>
                <w:color w:val="auto"/>
                <w:sz w:val="21"/>
                <w:highlight w:val="none"/>
              </w:rPr>
            </w:pPr>
          </w:p>
        </w:tc>
        <w:tc>
          <w:tcPr>
            <w:tcW w:w="867" w:type="dxa"/>
            <w:vAlign w:val="top"/>
          </w:tcPr>
          <w:p w14:paraId="6248DC35">
            <w:pPr>
              <w:rPr>
                <w:rFonts w:ascii="Arial"/>
                <w:color w:val="auto"/>
                <w:sz w:val="21"/>
                <w:highlight w:val="none"/>
              </w:rPr>
            </w:pPr>
          </w:p>
        </w:tc>
        <w:tc>
          <w:tcPr>
            <w:tcW w:w="1078" w:type="dxa"/>
            <w:vAlign w:val="top"/>
          </w:tcPr>
          <w:p w14:paraId="3C5E91A8">
            <w:pPr>
              <w:rPr>
                <w:rFonts w:ascii="Arial"/>
                <w:color w:val="auto"/>
                <w:sz w:val="21"/>
                <w:highlight w:val="none"/>
              </w:rPr>
            </w:pPr>
          </w:p>
        </w:tc>
        <w:tc>
          <w:tcPr>
            <w:tcW w:w="1706" w:type="dxa"/>
            <w:tcBorders>
              <w:right w:val="single" w:color="000000" w:sz="6" w:space="0"/>
            </w:tcBorders>
            <w:vAlign w:val="top"/>
          </w:tcPr>
          <w:p w14:paraId="33F33CC8">
            <w:pPr>
              <w:rPr>
                <w:rFonts w:ascii="Arial"/>
                <w:color w:val="auto"/>
                <w:sz w:val="21"/>
                <w:highlight w:val="none"/>
              </w:rPr>
            </w:pPr>
          </w:p>
        </w:tc>
      </w:tr>
      <w:tr w14:paraId="05888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565" w:type="dxa"/>
            <w:tcBorders>
              <w:left w:val="single" w:color="000000" w:sz="6" w:space="0"/>
            </w:tcBorders>
            <w:vAlign w:val="top"/>
          </w:tcPr>
          <w:p w14:paraId="3896AD56">
            <w:pPr>
              <w:rPr>
                <w:rFonts w:ascii="Arial"/>
                <w:color w:val="auto"/>
                <w:sz w:val="21"/>
                <w:highlight w:val="none"/>
              </w:rPr>
            </w:pPr>
          </w:p>
        </w:tc>
        <w:tc>
          <w:tcPr>
            <w:tcW w:w="1059" w:type="dxa"/>
            <w:vAlign w:val="top"/>
          </w:tcPr>
          <w:p w14:paraId="0372E3BF">
            <w:pPr>
              <w:rPr>
                <w:rFonts w:ascii="Arial"/>
                <w:color w:val="auto"/>
                <w:sz w:val="21"/>
                <w:highlight w:val="none"/>
              </w:rPr>
            </w:pPr>
          </w:p>
        </w:tc>
        <w:tc>
          <w:tcPr>
            <w:tcW w:w="819" w:type="dxa"/>
            <w:vAlign w:val="top"/>
          </w:tcPr>
          <w:p w14:paraId="10C0DA9D">
            <w:pPr>
              <w:rPr>
                <w:rFonts w:ascii="Arial"/>
                <w:color w:val="auto"/>
                <w:sz w:val="21"/>
                <w:highlight w:val="none"/>
              </w:rPr>
            </w:pPr>
          </w:p>
        </w:tc>
        <w:tc>
          <w:tcPr>
            <w:tcW w:w="1032" w:type="dxa"/>
            <w:vAlign w:val="top"/>
          </w:tcPr>
          <w:p w14:paraId="6298F9E2">
            <w:pPr>
              <w:rPr>
                <w:rFonts w:ascii="Arial"/>
                <w:color w:val="auto"/>
                <w:sz w:val="21"/>
                <w:highlight w:val="none"/>
              </w:rPr>
            </w:pPr>
          </w:p>
        </w:tc>
        <w:tc>
          <w:tcPr>
            <w:tcW w:w="676" w:type="dxa"/>
            <w:vAlign w:val="top"/>
          </w:tcPr>
          <w:p w14:paraId="538B9FCF">
            <w:pPr>
              <w:rPr>
                <w:rFonts w:ascii="Arial"/>
                <w:color w:val="auto"/>
                <w:sz w:val="21"/>
                <w:highlight w:val="none"/>
              </w:rPr>
            </w:pPr>
          </w:p>
        </w:tc>
        <w:tc>
          <w:tcPr>
            <w:tcW w:w="623" w:type="dxa"/>
            <w:vAlign w:val="top"/>
          </w:tcPr>
          <w:p w14:paraId="59031AFB">
            <w:pPr>
              <w:rPr>
                <w:rFonts w:ascii="Arial"/>
                <w:color w:val="auto"/>
                <w:sz w:val="21"/>
                <w:highlight w:val="none"/>
              </w:rPr>
            </w:pPr>
          </w:p>
        </w:tc>
        <w:tc>
          <w:tcPr>
            <w:tcW w:w="867" w:type="dxa"/>
            <w:vAlign w:val="top"/>
          </w:tcPr>
          <w:p w14:paraId="1C7F86E6">
            <w:pPr>
              <w:rPr>
                <w:rFonts w:ascii="Arial"/>
                <w:color w:val="auto"/>
                <w:sz w:val="21"/>
                <w:highlight w:val="none"/>
              </w:rPr>
            </w:pPr>
          </w:p>
        </w:tc>
        <w:tc>
          <w:tcPr>
            <w:tcW w:w="1078" w:type="dxa"/>
            <w:vAlign w:val="top"/>
          </w:tcPr>
          <w:p w14:paraId="2C2A94CA">
            <w:pPr>
              <w:rPr>
                <w:rFonts w:ascii="Arial"/>
                <w:color w:val="auto"/>
                <w:sz w:val="21"/>
                <w:highlight w:val="none"/>
              </w:rPr>
            </w:pPr>
          </w:p>
        </w:tc>
        <w:tc>
          <w:tcPr>
            <w:tcW w:w="1706" w:type="dxa"/>
            <w:tcBorders>
              <w:right w:val="single" w:color="000000" w:sz="6" w:space="0"/>
            </w:tcBorders>
            <w:vAlign w:val="top"/>
          </w:tcPr>
          <w:p w14:paraId="490BBB49">
            <w:pPr>
              <w:rPr>
                <w:rFonts w:ascii="Arial"/>
                <w:color w:val="auto"/>
                <w:sz w:val="21"/>
                <w:highlight w:val="none"/>
              </w:rPr>
            </w:pPr>
          </w:p>
        </w:tc>
      </w:tr>
      <w:tr w14:paraId="31E0E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565" w:type="dxa"/>
            <w:tcBorders>
              <w:left w:val="single" w:color="000000" w:sz="6" w:space="0"/>
            </w:tcBorders>
            <w:vAlign w:val="top"/>
          </w:tcPr>
          <w:p w14:paraId="0FF4E36A">
            <w:pPr>
              <w:rPr>
                <w:rFonts w:ascii="Arial"/>
                <w:color w:val="auto"/>
                <w:sz w:val="21"/>
                <w:highlight w:val="none"/>
              </w:rPr>
            </w:pPr>
          </w:p>
        </w:tc>
        <w:tc>
          <w:tcPr>
            <w:tcW w:w="1059" w:type="dxa"/>
            <w:vAlign w:val="top"/>
          </w:tcPr>
          <w:p w14:paraId="3B131CE9">
            <w:pPr>
              <w:rPr>
                <w:rFonts w:ascii="Arial"/>
                <w:color w:val="auto"/>
                <w:sz w:val="21"/>
                <w:highlight w:val="none"/>
              </w:rPr>
            </w:pPr>
          </w:p>
        </w:tc>
        <w:tc>
          <w:tcPr>
            <w:tcW w:w="819" w:type="dxa"/>
            <w:vAlign w:val="top"/>
          </w:tcPr>
          <w:p w14:paraId="0626756B">
            <w:pPr>
              <w:rPr>
                <w:rFonts w:ascii="Arial"/>
                <w:color w:val="auto"/>
                <w:sz w:val="21"/>
                <w:highlight w:val="none"/>
              </w:rPr>
            </w:pPr>
          </w:p>
        </w:tc>
        <w:tc>
          <w:tcPr>
            <w:tcW w:w="1032" w:type="dxa"/>
            <w:vAlign w:val="top"/>
          </w:tcPr>
          <w:p w14:paraId="47B93A63">
            <w:pPr>
              <w:rPr>
                <w:rFonts w:ascii="Arial"/>
                <w:color w:val="auto"/>
                <w:sz w:val="21"/>
                <w:highlight w:val="none"/>
              </w:rPr>
            </w:pPr>
          </w:p>
        </w:tc>
        <w:tc>
          <w:tcPr>
            <w:tcW w:w="676" w:type="dxa"/>
            <w:vAlign w:val="top"/>
          </w:tcPr>
          <w:p w14:paraId="7E941BF6">
            <w:pPr>
              <w:rPr>
                <w:rFonts w:ascii="Arial"/>
                <w:color w:val="auto"/>
                <w:sz w:val="21"/>
                <w:highlight w:val="none"/>
              </w:rPr>
            </w:pPr>
          </w:p>
        </w:tc>
        <w:tc>
          <w:tcPr>
            <w:tcW w:w="623" w:type="dxa"/>
            <w:vAlign w:val="top"/>
          </w:tcPr>
          <w:p w14:paraId="4E438CE4">
            <w:pPr>
              <w:rPr>
                <w:rFonts w:ascii="Arial"/>
                <w:color w:val="auto"/>
                <w:sz w:val="21"/>
                <w:highlight w:val="none"/>
              </w:rPr>
            </w:pPr>
          </w:p>
        </w:tc>
        <w:tc>
          <w:tcPr>
            <w:tcW w:w="867" w:type="dxa"/>
            <w:vAlign w:val="top"/>
          </w:tcPr>
          <w:p w14:paraId="03F113AD">
            <w:pPr>
              <w:rPr>
                <w:rFonts w:ascii="Arial"/>
                <w:color w:val="auto"/>
                <w:sz w:val="21"/>
                <w:highlight w:val="none"/>
              </w:rPr>
            </w:pPr>
          </w:p>
        </w:tc>
        <w:tc>
          <w:tcPr>
            <w:tcW w:w="1078" w:type="dxa"/>
            <w:vAlign w:val="top"/>
          </w:tcPr>
          <w:p w14:paraId="72B0A622">
            <w:pPr>
              <w:rPr>
                <w:rFonts w:ascii="Arial"/>
                <w:color w:val="auto"/>
                <w:sz w:val="21"/>
                <w:highlight w:val="none"/>
              </w:rPr>
            </w:pPr>
          </w:p>
        </w:tc>
        <w:tc>
          <w:tcPr>
            <w:tcW w:w="1706" w:type="dxa"/>
            <w:tcBorders>
              <w:right w:val="single" w:color="000000" w:sz="6" w:space="0"/>
            </w:tcBorders>
            <w:vAlign w:val="top"/>
          </w:tcPr>
          <w:p w14:paraId="1E54F853">
            <w:pPr>
              <w:rPr>
                <w:rFonts w:ascii="Arial"/>
                <w:color w:val="auto"/>
                <w:sz w:val="21"/>
                <w:highlight w:val="none"/>
              </w:rPr>
            </w:pPr>
          </w:p>
        </w:tc>
      </w:tr>
      <w:tr w14:paraId="1FB42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65" w:type="dxa"/>
            <w:tcBorders>
              <w:left w:val="single" w:color="000000" w:sz="6" w:space="0"/>
            </w:tcBorders>
            <w:vAlign w:val="top"/>
          </w:tcPr>
          <w:p w14:paraId="11D93AC4">
            <w:pPr>
              <w:rPr>
                <w:rFonts w:ascii="Arial"/>
                <w:color w:val="auto"/>
                <w:sz w:val="21"/>
                <w:highlight w:val="none"/>
              </w:rPr>
            </w:pPr>
          </w:p>
        </w:tc>
        <w:tc>
          <w:tcPr>
            <w:tcW w:w="1059" w:type="dxa"/>
            <w:vAlign w:val="top"/>
          </w:tcPr>
          <w:p w14:paraId="4D090256">
            <w:pPr>
              <w:rPr>
                <w:rFonts w:ascii="Arial"/>
                <w:color w:val="auto"/>
                <w:sz w:val="21"/>
                <w:highlight w:val="none"/>
              </w:rPr>
            </w:pPr>
          </w:p>
        </w:tc>
        <w:tc>
          <w:tcPr>
            <w:tcW w:w="819" w:type="dxa"/>
            <w:vAlign w:val="top"/>
          </w:tcPr>
          <w:p w14:paraId="0C7D1BCD">
            <w:pPr>
              <w:rPr>
                <w:rFonts w:ascii="Arial"/>
                <w:color w:val="auto"/>
                <w:sz w:val="21"/>
                <w:highlight w:val="none"/>
              </w:rPr>
            </w:pPr>
          </w:p>
        </w:tc>
        <w:tc>
          <w:tcPr>
            <w:tcW w:w="1032" w:type="dxa"/>
            <w:vAlign w:val="top"/>
          </w:tcPr>
          <w:p w14:paraId="407FCF6D">
            <w:pPr>
              <w:rPr>
                <w:rFonts w:ascii="Arial"/>
                <w:color w:val="auto"/>
                <w:sz w:val="21"/>
                <w:highlight w:val="none"/>
              </w:rPr>
            </w:pPr>
          </w:p>
        </w:tc>
        <w:tc>
          <w:tcPr>
            <w:tcW w:w="676" w:type="dxa"/>
            <w:vAlign w:val="top"/>
          </w:tcPr>
          <w:p w14:paraId="395A9B9F">
            <w:pPr>
              <w:rPr>
                <w:rFonts w:ascii="Arial"/>
                <w:color w:val="auto"/>
                <w:sz w:val="21"/>
                <w:highlight w:val="none"/>
              </w:rPr>
            </w:pPr>
          </w:p>
        </w:tc>
        <w:tc>
          <w:tcPr>
            <w:tcW w:w="623" w:type="dxa"/>
            <w:vAlign w:val="top"/>
          </w:tcPr>
          <w:p w14:paraId="16CDA5E1">
            <w:pPr>
              <w:rPr>
                <w:rFonts w:ascii="Arial"/>
                <w:color w:val="auto"/>
                <w:sz w:val="21"/>
                <w:highlight w:val="none"/>
              </w:rPr>
            </w:pPr>
          </w:p>
        </w:tc>
        <w:tc>
          <w:tcPr>
            <w:tcW w:w="867" w:type="dxa"/>
            <w:vAlign w:val="top"/>
          </w:tcPr>
          <w:p w14:paraId="6C147B41">
            <w:pPr>
              <w:rPr>
                <w:rFonts w:ascii="Arial"/>
                <w:color w:val="auto"/>
                <w:sz w:val="21"/>
                <w:highlight w:val="none"/>
              </w:rPr>
            </w:pPr>
          </w:p>
        </w:tc>
        <w:tc>
          <w:tcPr>
            <w:tcW w:w="1078" w:type="dxa"/>
            <w:vAlign w:val="top"/>
          </w:tcPr>
          <w:p w14:paraId="104CCD35">
            <w:pPr>
              <w:rPr>
                <w:rFonts w:ascii="Arial"/>
                <w:color w:val="auto"/>
                <w:sz w:val="21"/>
                <w:highlight w:val="none"/>
              </w:rPr>
            </w:pPr>
          </w:p>
        </w:tc>
        <w:tc>
          <w:tcPr>
            <w:tcW w:w="1706" w:type="dxa"/>
            <w:tcBorders>
              <w:right w:val="single" w:color="000000" w:sz="6" w:space="0"/>
            </w:tcBorders>
            <w:vAlign w:val="top"/>
          </w:tcPr>
          <w:p w14:paraId="4784E672">
            <w:pPr>
              <w:rPr>
                <w:rFonts w:ascii="Arial"/>
                <w:color w:val="auto"/>
                <w:sz w:val="21"/>
                <w:highlight w:val="none"/>
              </w:rPr>
            </w:pPr>
          </w:p>
        </w:tc>
      </w:tr>
      <w:tr w14:paraId="21EA1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565" w:type="dxa"/>
            <w:tcBorders>
              <w:left w:val="single" w:color="000000" w:sz="6" w:space="0"/>
            </w:tcBorders>
            <w:vAlign w:val="top"/>
          </w:tcPr>
          <w:p w14:paraId="798A6E81">
            <w:pPr>
              <w:rPr>
                <w:rFonts w:ascii="Arial"/>
                <w:color w:val="auto"/>
                <w:sz w:val="21"/>
                <w:highlight w:val="none"/>
              </w:rPr>
            </w:pPr>
          </w:p>
        </w:tc>
        <w:tc>
          <w:tcPr>
            <w:tcW w:w="1059" w:type="dxa"/>
            <w:vAlign w:val="top"/>
          </w:tcPr>
          <w:p w14:paraId="23952A9E">
            <w:pPr>
              <w:rPr>
                <w:rFonts w:ascii="Arial"/>
                <w:color w:val="auto"/>
                <w:sz w:val="21"/>
                <w:highlight w:val="none"/>
              </w:rPr>
            </w:pPr>
          </w:p>
        </w:tc>
        <w:tc>
          <w:tcPr>
            <w:tcW w:w="819" w:type="dxa"/>
            <w:vAlign w:val="top"/>
          </w:tcPr>
          <w:p w14:paraId="6D3A0E38">
            <w:pPr>
              <w:rPr>
                <w:rFonts w:ascii="Arial"/>
                <w:color w:val="auto"/>
                <w:sz w:val="21"/>
                <w:highlight w:val="none"/>
              </w:rPr>
            </w:pPr>
          </w:p>
        </w:tc>
        <w:tc>
          <w:tcPr>
            <w:tcW w:w="1032" w:type="dxa"/>
            <w:vAlign w:val="top"/>
          </w:tcPr>
          <w:p w14:paraId="0C4F85DB">
            <w:pPr>
              <w:rPr>
                <w:rFonts w:ascii="Arial"/>
                <w:color w:val="auto"/>
                <w:sz w:val="21"/>
                <w:highlight w:val="none"/>
              </w:rPr>
            </w:pPr>
          </w:p>
        </w:tc>
        <w:tc>
          <w:tcPr>
            <w:tcW w:w="676" w:type="dxa"/>
            <w:vAlign w:val="top"/>
          </w:tcPr>
          <w:p w14:paraId="67EF6D90">
            <w:pPr>
              <w:rPr>
                <w:rFonts w:ascii="Arial"/>
                <w:color w:val="auto"/>
                <w:sz w:val="21"/>
                <w:highlight w:val="none"/>
              </w:rPr>
            </w:pPr>
          </w:p>
        </w:tc>
        <w:tc>
          <w:tcPr>
            <w:tcW w:w="623" w:type="dxa"/>
            <w:vAlign w:val="top"/>
          </w:tcPr>
          <w:p w14:paraId="0C8AC210">
            <w:pPr>
              <w:rPr>
                <w:rFonts w:ascii="Arial"/>
                <w:color w:val="auto"/>
                <w:sz w:val="21"/>
                <w:highlight w:val="none"/>
              </w:rPr>
            </w:pPr>
          </w:p>
        </w:tc>
        <w:tc>
          <w:tcPr>
            <w:tcW w:w="867" w:type="dxa"/>
            <w:vAlign w:val="top"/>
          </w:tcPr>
          <w:p w14:paraId="373C72FB">
            <w:pPr>
              <w:rPr>
                <w:rFonts w:ascii="Arial"/>
                <w:color w:val="auto"/>
                <w:sz w:val="21"/>
                <w:highlight w:val="none"/>
              </w:rPr>
            </w:pPr>
          </w:p>
        </w:tc>
        <w:tc>
          <w:tcPr>
            <w:tcW w:w="1078" w:type="dxa"/>
            <w:vAlign w:val="top"/>
          </w:tcPr>
          <w:p w14:paraId="3C63C16A">
            <w:pPr>
              <w:rPr>
                <w:rFonts w:ascii="Arial"/>
                <w:color w:val="auto"/>
                <w:sz w:val="21"/>
                <w:highlight w:val="none"/>
              </w:rPr>
            </w:pPr>
          </w:p>
        </w:tc>
        <w:tc>
          <w:tcPr>
            <w:tcW w:w="1706" w:type="dxa"/>
            <w:tcBorders>
              <w:right w:val="single" w:color="000000" w:sz="6" w:space="0"/>
            </w:tcBorders>
            <w:vAlign w:val="top"/>
          </w:tcPr>
          <w:p w14:paraId="2DA8279F">
            <w:pPr>
              <w:rPr>
                <w:rFonts w:ascii="Arial"/>
                <w:color w:val="auto"/>
                <w:sz w:val="21"/>
                <w:highlight w:val="none"/>
              </w:rPr>
            </w:pPr>
          </w:p>
        </w:tc>
      </w:tr>
      <w:tr w14:paraId="0E94B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565" w:type="dxa"/>
            <w:tcBorders>
              <w:left w:val="single" w:color="000000" w:sz="6" w:space="0"/>
            </w:tcBorders>
            <w:vAlign w:val="top"/>
          </w:tcPr>
          <w:p w14:paraId="714E8868">
            <w:pPr>
              <w:rPr>
                <w:rFonts w:ascii="Arial"/>
                <w:color w:val="auto"/>
                <w:sz w:val="21"/>
                <w:highlight w:val="none"/>
              </w:rPr>
            </w:pPr>
          </w:p>
        </w:tc>
        <w:tc>
          <w:tcPr>
            <w:tcW w:w="1059" w:type="dxa"/>
            <w:vAlign w:val="top"/>
          </w:tcPr>
          <w:p w14:paraId="2BD53762">
            <w:pPr>
              <w:rPr>
                <w:rFonts w:ascii="Arial"/>
                <w:color w:val="auto"/>
                <w:sz w:val="21"/>
                <w:highlight w:val="none"/>
              </w:rPr>
            </w:pPr>
          </w:p>
        </w:tc>
        <w:tc>
          <w:tcPr>
            <w:tcW w:w="819" w:type="dxa"/>
            <w:vAlign w:val="top"/>
          </w:tcPr>
          <w:p w14:paraId="2091BE3D">
            <w:pPr>
              <w:rPr>
                <w:rFonts w:ascii="Arial"/>
                <w:color w:val="auto"/>
                <w:sz w:val="21"/>
                <w:highlight w:val="none"/>
              </w:rPr>
            </w:pPr>
          </w:p>
        </w:tc>
        <w:tc>
          <w:tcPr>
            <w:tcW w:w="1032" w:type="dxa"/>
            <w:vAlign w:val="top"/>
          </w:tcPr>
          <w:p w14:paraId="23DD3FC1">
            <w:pPr>
              <w:rPr>
                <w:rFonts w:ascii="Arial"/>
                <w:color w:val="auto"/>
                <w:sz w:val="21"/>
                <w:highlight w:val="none"/>
              </w:rPr>
            </w:pPr>
          </w:p>
        </w:tc>
        <w:tc>
          <w:tcPr>
            <w:tcW w:w="676" w:type="dxa"/>
            <w:vAlign w:val="top"/>
          </w:tcPr>
          <w:p w14:paraId="1C2DFBAD">
            <w:pPr>
              <w:rPr>
                <w:rFonts w:ascii="Arial"/>
                <w:color w:val="auto"/>
                <w:sz w:val="21"/>
                <w:highlight w:val="none"/>
              </w:rPr>
            </w:pPr>
          </w:p>
        </w:tc>
        <w:tc>
          <w:tcPr>
            <w:tcW w:w="623" w:type="dxa"/>
            <w:vAlign w:val="top"/>
          </w:tcPr>
          <w:p w14:paraId="480B2DC7">
            <w:pPr>
              <w:rPr>
                <w:rFonts w:ascii="Arial"/>
                <w:color w:val="auto"/>
                <w:sz w:val="21"/>
                <w:highlight w:val="none"/>
              </w:rPr>
            </w:pPr>
          </w:p>
        </w:tc>
        <w:tc>
          <w:tcPr>
            <w:tcW w:w="867" w:type="dxa"/>
            <w:vAlign w:val="top"/>
          </w:tcPr>
          <w:p w14:paraId="4DD67F5B">
            <w:pPr>
              <w:rPr>
                <w:rFonts w:ascii="Arial"/>
                <w:color w:val="auto"/>
                <w:sz w:val="21"/>
                <w:highlight w:val="none"/>
              </w:rPr>
            </w:pPr>
          </w:p>
        </w:tc>
        <w:tc>
          <w:tcPr>
            <w:tcW w:w="1078" w:type="dxa"/>
            <w:vAlign w:val="top"/>
          </w:tcPr>
          <w:p w14:paraId="051A07B7">
            <w:pPr>
              <w:rPr>
                <w:rFonts w:ascii="Arial"/>
                <w:color w:val="auto"/>
                <w:sz w:val="21"/>
                <w:highlight w:val="none"/>
              </w:rPr>
            </w:pPr>
          </w:p>
        </w:tc>
        <w:tc>
          <w:tcPr>
            <w:tcW w:w="1706" w:type="dxa"/>
            <w:tcBorders>
              <w:right w:val="single" w:color="000000" w:sz="6" w:space="0"/>
            </w:tcBorders>
            <w:vAlign w:val="top"/>
          </w:tcPr>
          <w:p w14:paraId="51F9ECC4">
            <w:pPr>
              <w:rPr>
                <w:rFonts w:ascii="Arial"/>
                <w:color w:val="auto"/>
                <w:sz w:val="21"/>
                <w:highlight w:val="none"/>
              </w:rPr>
            </w:pPr>
          </w:p>
        </w:tc>
      </w:tr>
      <w:tr w14:paraId="199B4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565" w:type="dxa"/>
            <w:tcBorders>
              <w:left w:val="single" w:color="000000" w:sz="6" w:space="0"/>
            </w:tcBorders>
            <w:vAlign w:val="top"/>
          </w:tcPr>
          <w:p w14:paraId="61EE2A44">
            <w:pPr>
              <w:rPr>
                <w:rFonts w:ascii="Arial"/>
                <w:color w:val="auto"/>
                <w:sz w:val="21"/>
                <w:highlight w:val="none"/>
              </w:rPr>
            </w:pPr>
          </w:p>
        </w:tc>
        <w:tc>
          <w:tcPr>
            <w:tcW w:w="1059" w:type="dxa"/>
            <w:vAlign w:val="top"/>
          </w:tcPr>
          <w:p w14:paraId="70A80EF0">
            <w:pPr>
              <w:rPr>
                <w:rFonts w:ascii="Arial"/>
                <w:color w:val="auto"/>
                <w:sz w:val="21"/>
                <w:highlight w:val="none"/>
              </w:rPr>
            </w:pPr>
          </w:p>
        </w:tc>
        <w:tc>
          <w:tcPr>
            <w:tcW w:w="819" w:type="dxa"/>
            <w:vAlign w:val="top"/>
          </w:tcPr>
          <w:p w14:paraId="50E09A98">
            <w:pPr>
              <w:rPr>
                <w:rFonts w:ascii="Arial"/>
                <w:color w:val="auto"/>
                <w:sz w:val="21"/>
                <w:highlight w:val="none"/>
              </w:rPr>
            </w:pPr>
          </w:p>
        </w:tc>
        <w:tc>
          <w:tcPr>
            <w:tcW w:w="1032" w:type="dxa"/>
            <w:vAlign w:val="top"/>
          </w:tcPr>
          <w:p w14:paraId="7519A173">
            <w:pPr>
              <w:rPr>
                <w:rFonts w:ascii="Arial"/>
                <w:color w:val="auto"/>
                <w:sz w:val="21"/>
                <w:highlight w:val="none"/>
              </w:rPr>
            </w:pPr>
          </w:p>
        </w:tc>
        <w:tc>
          <w:tcPr>
            <w:tcW w:w="676" w:type="dxa"/>
            <w:vAlign w:val="top"/>
          </w:tcPr>
          <w:p w14:paraId="6E305856">
            <w:pPr>
              <w:rPr>
                <w:rFonts w:ascii="Arial"/>
                <w:color w:val="auto"/>
                <w:sz w:val="21"/>
                <w:highlight w:val="none"/>
              </w:rPr>
            </w:pPr>
          </w:p>
        </w:tc>
        <w:tc>
          <w:tcPr>
            <w:tcW w:w="623" w:type="dxa"/>
            <w:vAlign w:val="top"/>
          </w:tcPr>
          <w:p w14:paraId="360595CF">
            <w:pPr>
              <w:rPr>
                <w:rFonts w:ascii="Arial"/>
                <w:color w:val="auto"/>
                <w:sz w:val="21"/>
                <w:highlight w:val="none"/>
              </w:rPr>
            </w:pPr>
          </w:p>
        </w:tc>
        <w:tc>
          <w:tcPr>
            <w:tcW w:w="867" w:type="dxa"/>
            <w:vAlign w:val="top"/>
          </w:tcPr>
          <w:p w14:paraId="4FC26F71">
            <w:pPr>
              <w:rPr>
                <w:rFonts w:ascii="Arial"/>
                <w:color w:val="auto"/>
                <w:sz w:val="21"/>
                <w:highlight w:val="none"/>
              </w:rPr>
            </w:pPr>
          </w:p>
        </w:tc>
        <w:tc>
          <w:tcPr>
            <w:tcW w:w="1078" w:type="dxa"/>
            <w:vAlign w:val="top"/>
          </w:tcPr>
          <w:p w14:paraId="133FFF94">
            <w:pPr>
              <w:rPr>
                <w:rFonts w:ascii="Arial"/>
                <w:color w:val="auto"/>
                <w:sz w:val="21"/>
                <w:highlight w:val="none"/>
              </w:rPr>
            </w:pPr>
          </w:p>
        </w:tc>
        <w:tc>
          <w:tcPr>
            <w:tcW w:w="1706" w:type="dxa"/>
            <w:tcBorders>
              <w:right w:val="single" w:color="000000" w:sz="6" w:space="0"/>
            </w:tcBorders>
            <w:vAlign w:val="top"/>
          </w:tcPr>
          <w:p w14:paraId="27214FB3">
            <w:pPr>
              <w:rPr>
                <w:rFonts w:ascii="Arial"/>
                <w:color w:val="auto"/>
                <w:sz w:val="21"/>
                <w:highlight w:val="none"/>
              </w:rPr>
            </w:pPr>
          </w:p>
        </w:tc>
      </w:tr>
      <w:tr w14:paraId="6330E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2443" w:type="dxa"/>
            <w:gridSpan w:val="3"/>
            <w:tcBorders>
              <w:left w:val="single" w:color="000000" w:sz="6" w:space="0"/>
              <w:bottom w:val="single" w:color="000000" w:sz="6" w:space="0"/>
            </w:tcBorders>
            <w:vAlign w:val="top"/>
          </w:tcPr>
          <w:p w14:paraId="2BA8C56F">
            <w:pPr>
              <w:pStyle w:val="17"/>
              <w:spacing w:before="161" w:line="219" w:lineRule="auto"/>
              <w:ind w:left="61"/>
              <w:rPr>
                <w:color w:val="auto"/>
                <w:sz w:val="21"/>
                <w:szCs w:val="21"/>
                <w:highlight w:val="none"/>
              </w:rPr>
            </w:pPr>
            <w:r>
              <w:rPr>
                <w:color w:val="auto"/>
                <w:spacing w:val="-1"/>
                <w:sz w:val="21"/>
                <w:szCs w:val="21"/>
                <w:highlight w:val="none"/>
              </w:rPr>
              <w:t>招标人最高投标限价</w:t>
            </w:r>
          </w:p>
        </w:tc>
        <w:tc>
          <w:tcPr>
            <w:tcW w:w="5982" w:type="dxa"/>
            <w:gridSpan w:val="6"/>
            <w:tcBorders>
              <w:bottom w:val="single" w:color="000000" w:sz="6" w:space="0"/>
              <w:right w:val="single" w:color="000000" w:sz="6" w:space="0"/>
            </w:tcBorders>
            <w:vAlign w:val="top"/>
          </w:tcPr>
          <w:p w14:paraId="03A42676">
            <w:pPr>
              <w:rPr>
                <w:rFonts w:ascii="Arial"/>
                <w:color w:val="auto"/>
                <w:sz w:val="21"/>
                <w:highlight w:val="none"/>
              </w:rPr>
            </w:pPr>
          </w:p>
        </w:tc>
      </w:tr>
    </w:tbl>
    <w:p w14:paraId="69B796C2">
      <w:pPr>
        <w:spacing w:before="156" w:line="220" w:lineRule="auto"/>
        <w:ind w:left="2170"/>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开标结束时间：</w:t>
      </w:r>
      <w:r>
        <w:rPr>
          <w:rFonts w:ascii="宋体" w:hAnsi="宋体" w:eastAsia="宋体" w:cs="宋体"/>
          <w:color w:val="auto"/>
          <w:spacing w:val="-6"/>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color w:val="auto"/>
          <w:spacing w:val="-6"/>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6"/>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6"/>
          <w:sz w:val="24"/>
          <w:szCs w:val="24"/>
          <w:highlight w:val="none"/>
        </w:rPr>
        <w:t>日</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0"/>
          <w:sz w:val="24"/>
          <w:szCs w:val="24"/>
          <w:highlight w:val="none"/>
        </w:rPr>
        <w:t xml:space="preserve"> </w:t>
      </w:r>
      <w:r>
        <w:rPr>
          <w:rFonts w:ascii="宋体" w:hAnsi="宋体" w:eastAsia="宋体" w:cs="宋体"/>
          <w:color w:val="auto"/>
          <w:spacing w:val="-6"/>
          <w:sz w:val="24"/>
          <w:szCs w:val="24"/>
          <w:highlight w:val="none"/>
        </w:rPr>
        <w:t>时</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6"/>
          <w:sz w:val="24"/>
          <w:szCs w:val="24"/>
          <w:highlight w:val="none"/>
        </w:rPr>
        <w:t>分</w:t>
      </w:r>
    </w:p>
    <w:p w14:paraId="261A8684">
      <w:pPr>
        <w:pStyle w:val="3"/>
        <w:spacing w:line="256" w:lineRule="auto"/>
        <w:rPr>
          <w:color w:val="auto"/>
          <w:highlight w:val="none"/>
        </w:rPr>
      </w:pPr>
    </w:p>
    <w:p w14:paraId="16C2E5ED">
      <w:pPr>
        <w:pStyle w:val="3"/>
        <w:spacing w:line="257" w:lineRule="auto"/>
        <w:rPr>
          <w:color w:val="auto"/>
          <w:highlight w:val="none"/>
        </w:rPr>
      </w:pPr>
    </w:p>
    <w:p w14:paraId="3213A82E">
      <w:pPr>
        <w:spacing w:before="78" w:line="220" w:lineRule="auto"/>
        <w:ind w:left="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招标人代表：</w:t>
      </w:r>
      <w:r>
        <w:rPr>
          <w:rFonts w:ascii="宋体" w:hAnsi="宋体" w:eastAsia="宋体" w:cs="宋体"/>
          <w:color w:val="auto"/>
          <w:sz w:val="24"/>
          <w:szCs w:val="24"/>
          <w:highlight w:val="none"/>
          <w:u w:val="single" w:color="auto"/>
        </w:rPr>
        <w:t xml:space="preserve">            </w:t>
      </w:r>
    </w:p>
    <w:p w14:paraId="46CAFC61">
      <w:pPr>
        <w:spacing w:before="180" w:line="222" w:lineRule="auto"/>
        <w:ind w:left="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记录人：</w:t>
      </w:r>
      <w:r>
        <w:rPr>
          <w:rFonts w:ascii="宋体" w:hAnsi="宋体" w:eastAsia="宋体" w:cs="宋体"/>
          <w:color w:val="auto"/>
          <w:sz w:val="24"/>
          <w:szCs w:val="24"/>
          <w:highlight w:val="none"/>
          <w:u w:val="single" w:color="auto"/>
        </w:rPr>
        <w:t xml:space="preserve">                </w:t>
      </w:r>
    </w:p>
    <w:p w14:paraId="3531CF3F">
      <w:pPr>
        <w:spacing w:before="180" w:line="220" w:lineRule="auto"/>
        <w:ind w:left="1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监标人：</w:t>
      </w:r>
      <w:r>
        <w:rPr>
          <w:rFonts w:ascii="宋体" w:hAnsi="宋体" w:eastAsia="宋体" w:cs="宋体"/>
          <w:color w:val="auto"/>
          <w:sz w:val="24"/>
          <w:szCs w:val="24"/>
          <w:highlight w:val="none"/>
          <w:u w:val="single" w:color="auto"/>
        </w:rPr>
        <w:t xml:space="preserve">                </w:t>
      </w:r>
    </w:p>
    <w:p w14:paraId="6E171D86">
      <w:pPr>
        <w:pStyle w:val="3"/>
        <w:spacing w:line="256" w:lineRule="auto"/>
        <w:rPr>
          <w:color w:val="auto"/>
          <w:highlight w:val="none"/>
        </w:rPr>
      </w:pPr>
    </w:p>
    <w:p w14:paraId="03533B3A">
      <w:pPr>
        <w:pStyle w:val="3"/>
        <w:spacing w:line="256" w:lineRule="auto"/>
        <w:rPr>
          <w:color w:val="auto"/>
          <w:highlight w:val="none"/>
        </w:rPr>
      </w:pPr>
    </w:p>
    <w:p w14:paraId="232D841B">
      <w:pPr>
        <w:tabs>
          <w:tab w:val="left" w:pos="6360"/>
        </w:tabs>
        <w:spacing w:before="79" w:line="220" w:lineRule="auto"/>
        <w:ind w:left="5400"/>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26"/>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26"/>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26"/>
          <w:sz w:val="24"/>
          <w:szCs w:val="24"/>
          <w:highlight w:val="none"/>
        </w:rPr>
        <w:t>日</w:t>
      </w:r>
    </w:p>
    <w:p w14:paraId="3CC3779D">
      <w:pPr>
        <w:pStyle w:val="3"/>
        <w:spacing w:line="258" w:lineRule="auto"/>
        <w:rPr>
          <w:color w:val="auto"/>
          <w:highlight w:val="none"/>
        </w:rPr>
      </w:pPr>
    </w:p>
    <w:p w14:paraId="508D9B35">
      <w:pPr>
        <w:pStyle w:val="3"/>
        <w:spacing w:line="259" w:lineRule="auto"/>
        <w:rPr>
          <w:color w:val="auto"/>
          <w:highlight w:val="none"/>
        </w:rPr>
      </w:pPr>
    </w:p>
    <w:p w14:paraId="25334CA2">
      <w:pPr>
        <w:spacing w:before="68" w:line="220" w:lineRule="auto"/>
        <w:ind w:left="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注：可以根据招标项目的实际需要对本开标记录表进行适当修改。</w:t>
      </w:r>
    </w:p>
    <w:p w14:paraId="429366DA">
      <w:pPr>
        <w:spacing w:line="220" w:lineRule="auto"/>
        <w:rPr>
          <w:rFonts w:ascii="宋体" w:hAnsi="宋体" w:eastAsia="宋体" w:cs="宋体"/>
          <w:color w:val="auto"/>
          <w:sz w:val="21"/>
          <w:szCs w:val="21"/>
          <w:highlight w:val="none"/>
        </w:rPr>
        <w:sectPr>
          <w:footerReference r:id="rId16" w:type="default"/>
          <w:pgSz w:w="11907" w:h="16841"/>
          <w:pgMar w:top="1425" w:right="1527" w:bottom="1254" w:left="1588" w:header="0" w:footer="1093" w:gutter="0"/>
          <w:pgNumType w:fmt="decimal"/>
          <w:cols w:space="720" w:num="1"/>
        </w:sectPr>
      </w:pPr>
    </w:p>
    <w:p w14:paraId="4C710ABA">
      <w:pPr>
        <w:spacing w:before="56" w:line="219" w:lineRule="auto"/>
        <w:ind w:left="32"/>
        <w:rPr>
          <w:rFonts w:ascii="宋体" w:hAnsi="宋体" w:eastAsia="宋体" w:cs="宋体"/>
          <w:color w:val="auto"/>
          <w:sz w:val="28"/>
          <w:szCs w:val="28"/>
          <w:highlight w:val="none"/>
        </w:rPr>
      </w:pPr>
      <w:r>
        <w:rPr>
          <w:rFonts w:ascii="宋体" w:hAnsi="宋体" w:eastAsia="宋体" w:cs="宋体"/>
          <w:b/>
          <w:bCs/>
          <w:color w:val="auto"/>
          <w:spacing w:val="-11"/>
          <w:sz w:val="28"/>
          <w:szCs w:val="28"/>
          <w:highlight w:val="none"/>
        </w:rPr>
        <w:t>附件五：</w:t>
      </w:r>
    </w:p>
    <w:p w14:paraId="4C76D6B4">
      <w:pPr>
        <w:spacing w:before="212" w:line="219" w:lineRule="auto"/>
        <w:ind w:left="3728"/>
        <w:rPr>
          <w:rFonts w:ascii="宋体" w:hAnsi="宋体" w:eastAsia="宋体" w:cs="宋体"/>
          <w:color w:val="auto"/>
          <w:sz w:val="28"/>
          <w:szCs w:val="28"/>
          <w:highlight w:val="none"/>
        </w:rPr>
      </w:pPr>
      <w:r>
        <w:rPr>
          <w:rFonts w:ascii="宋体" w:hAnsi="宋体" w:eastAsia="宋体" w:cs="宋体"/>
          <w:b/>
          <w:bCs/>
          <w:color w:val="auto"/>
          <w:spacing w:val="-10"/>
          <w:sz w:val="28"/>
          <w:szCs w:val="28"/>
          <w:highlight w:val="none"/>
        </w:rPr>
        <w:t>中标通知书</w:t>
      </w:r>
    </w:p>
    <w:p w14:paraId="3A665397">
      <w:pPr>
        <w:spacing w:before="205" w:line="220" w:lineRule="auto"/>
        <w:ind w:left="3851"/>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编号：</w:t>
      </w:r>
    </w:p>
    <w:p w14:paraId="42F73133">
      <w:pPr>
        <w:pStyle w:val="3"/>
        <w:spacing w:line="255" w:lineRule="auto"/>
        <w:rPr>
          <w:color w:val="auto"/>
          <w:highlight w:val="none"/>
        </w:rPr>
      </w:pPr>
    </w:p>
    <w:p w14:paraId="59506EA6">
      <w:pPr>
        <w:pStyle w:val="3"/>
        <w:spacing w:line="255" w:lineRule="auto"/>
        <w:rPr>
          <w:color w:val="auto"/>
          <w:highlight w:val="none"/>
        </w:rPr>
      </w:pPr>
    </w:p>
    <w:p w14:paraId="14E7BFBC">
      <w:pPr>
        <w:tabs>
          <w:tab w:val="left" w:pos="2400"/>
        </w:tabs>
        <w:spacing w:before="82" w:line="213" w:lineRule="auto"/>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21"/>
          <w:sz w:val="24"/>
          <w:szCs w:val="24"/>
          <w:highlight w:val="none"/>
        </w:rPr>
        <w:t xml:space="preserve">（ </w:t>
      </w:r>
      <w:r>
        <w:rPr>
          <w:rFonts w:ascii="宋体" w:hAnsi="宋体" w:eastAsia="宋体" w:cs="宋体"/>
          <w:i/>
          <w:iCs/>
          <w:color w:val="auto"/>
          <w:spacing w:val="-21"/>
          <w:sz w:val="25"/>
          <w:szCs w:val="25"/>
          <w:highlight w:val="none"/>
        </w:rPr>
        <w:t>中标单位名称</w:t>
      </w:r>
      <w:r>
        <w:rPr>
          <w:rFonts w:ascii="宋体" w:hAnsi="宋体" w:eastAsia="宋体" w:cs="宋体"/>
          <w:color w:val="auto"/>
          <w:spacing w:val="-17"/>
          <w:sz w:val="24"/>
          <w:szCs w:val="24"/>
          <w:highlight w:val="none"/>
        </w:rPr>
        <w:t>）：</w:t>
      </w:r>
    </w:p>
    <w:p w14:paraId="5E09E971">
      <w:pPr>
        <w:spacing w:before="176" w:line="346" w:lineRule="auto"/>
        <w:ind w:left="43" w:firstLine="44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你方于</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5"/>
          <w:sz w:val="24"/>
          <w:szCs w:val="24"/>
          <w:highlight w:val="none"/>
        </w:rPr>
        <w:t>（</w:t>
      </w:r>
      <w:r>
        <w:rPr>
          <w:rFonts w:ascii="宋体" w:hAnsi="宋体" w:eastAsia="宋体" w:cs="宋体"/>
          <w:i/>
          <w:iCs/>
          <w:color w:val="auto"/>
          <w:spacing w:val="-5"/>
          <w:sz w:val="25"/>
          <w:szCs w:val="25"/>
          <w:highlight w:val="none"/>
        </w:rPr>
        <w:t>投标日期</w:t>
      </w:r>
      <w:r>
        <w:rPr>
          <w:rFonts w:ascii="宋体" w:hAnsi="宋体" w:eastAsia="宋体" w:cs="宋体"/>
          <w:color w:val="auto"/>
          <w:spacing w:val="-5"/>
          <w:sz w:val="24"/>
          <w:szCs w:val="24"/>
          <w:highlight w:val="none"/>
        </w:rPr>
        <w:t>）所递交的</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5"/>
          <w:sz w:val="24"/>
          <w:szCs w:val="24"/>
          <w:highlight w:val="none"/>
        </w:rPr>
        <w:t>（</w:t>
      </w:r>
      <w:r>
        <w:rPr>
          <w:rFonts w:ascii="宋体" w:hAnsi="宋体" w:eastAsia="宋体" w:cs="宋体"/>
          <w:i/>
          <w:iCs/>
          <w:color w:val="auto"/>
          <w:spacing w:val="-5"/>
          <w:sz w:val="25"/>
          <w:szCs w:val="25"/>
          <w:highlight w:val="none"/>
        </w:rPr>
        <w:t>项目名称</w:t>
      </w:r>
      <w:r>
        <w:rPr>
          <w:rFonts w:ascii="宋体" w:hAnsi="宋体" w:eastAsia="宋体" w:cs="宋体"/>
          <w:color w:val="auto"/>
          <w:spacing w:val="-68"/>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8"/>
          <w:sz w:val="24"/>
          <w:szCs w:val="24"/>
          <w:highlight w:val="none"/>
        </w:rPr>
        <w:t>（</w:t>
      </w:r>
      <w:r>
        <w:rPr>
          <w:rFonts w:ascii="宋体" w:hAnsi="宋体" w:eastAsia="宋体" w:cs="宋体"/>
          <w:i/>
          <w:iCs/>
          <w:color w:val="auto"/>
          <w:spacing w:val="-5"/>
          <w:sz w:val="25"/>
          <w:szCs w:val="25"/>
          <w:highlight w:val="none"/>
        </w:rPr>
        <w:t>标段名称</w:t>
      </w:r>
      <w:r>
        <w:rPr>
          <w:rFonts w:ascii="宋体" w:hAnsi="宋体" w:eastAsia="宋体" w:cs="宋体"/>
          <w:color w:val="auto"/>
          <w:spacing w:val="-5"/>
          <w:sz w:val="24"/>
          <w:szCs w:val="24"/>
          <w:highlight w:val="none"/>
        </w:rPr>
        <w:t>）投标文件已被我方接受，并被确定为中标人。</w:t>
      </w:r>
    </w:p>
    <w:p w14:paraId="33A009FA">
      <w:pPr>
        <w:spacing w:line="218" w:lineRule="auto"/>
        <w:ind w:left="511"/>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中标价：</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0"/>
          <w:sz w:val="24"/>
          <w:szCs w:val="24"/>
          <w:highlight w:val="none"/>
        </w:rPr>
        <w:t>元。</w:t>
      </w:r>
    </w:p>
    <w:p w14:paraId="0E120292">
      <w:pPr>
        <w:spacing w:before="182" w:line="220"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工期：</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
          <w:sz w:val="24"/>
          <w:szCs w:val="24"/>
          <w:highlight w:val="none"/>
        </w:rPr>
        <w:t>个月（或日历天）。</w:t>
      </w:r>
    </w:p>
    <w:p w14:paraId="75C4788F">
      <w:pPr>
        <w:spacing w:before="213" w:line="220" w:lineRule="auto"/>
        <w:ind w:left="49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工程质量：符合</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02"/>
          <w:sz w:val="24"/>
          <w:szCs w:val="24"/>
          <w:highlight w:val="none"/>
        </w:rPr>
        <w:t xml:space="preserve"> </w:t>
      </w:r>
      <w:r>
        <w:rPr>
          <w:rFonts w:ascii="宋体" w:hAnsi="宋体" w:eastAsia="宋体" w:cs="宋体"/>
          <w:color w:val="auto"/>
          <w:spacing w:val="-3"/>
          <w:sz w:val="24"/>
          <w:szCs w:val="24"/>
          <w:highlight w:val="none"/>
        </w:rPr>
        <w:t>标准。</w:t>
      </w:r>
    </w:p>
    <w:p w14:paraId="5E3DAF97">
      <w:pPr>
        <w:spacing w:before="180" w:line="212" w:lineRule="auto"/>
        <w:ind w:left="49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项目负责人</w:t>
      </w:r>
      <w:r>
        <w:rPr>
          <w:rFonts w:ascii="宋体" w:hAnsi="宋体" w:eastAsia="宋体" w:cs="宋体"/>
          <w:color w:val="auto"/>
          <w:spacing w:val="-16"/>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6"/>
          <w:sz w:val="24"/>
          <w:szCs w:val="24"/>
          <w:highlight w:val="none"/>
        </w:rPr>
        <w:t>（</w:t>
      </w:r>
      <w:r>
        <w:rPr>
          <w:rFonts w:ascii="宋体" w:hAnsi="宋体" w:eastAsia="宋体" w:cs="宋体"/>
          <w:i/>
          <w:iCs/>
          <w:color w:val="auto"/>
          <w:spacing w:val="2"/>
          <w:sz w:val="25"/>
          <w:szCs w:val="25"/>
          <w:highlight w:val="none"/>
        </w:rPr>
        <w:t>姓名</w:t>
      </w:r>
      <w:r>
        <w:rPr>
          <w:rFonts w:ascii="宋体" w:hAnsi="宋体" w:eastAsia="宋体" w:cs="宋体"/>
          <w:color w:val="auto"/>
          <w:spacing w:val="-16"/>
          <w:sz w:val="24"/>
          <w:szCs w:val="24"/>
          <w:highlight w:val="none"/>
        </w:rPr>
        <w:t>），</w:t>
      </w:r>
      <w:r>
        <w:rPr>
          <w:rFonts w:ascii="宋体" w:hAnsi="宋体" w:eastAsia="宋体" w:cs="宋体"/>
          <w:color w:val="auto"/>
          <w:spacing w:val="2"/>
          <w:sz w:val="24"/>
          <w:szCs w:val="24"/>
          <w:highlight w:val="none"/>
        </w:rPr>
        <w:t>身份证号码</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p>
    <w:p w14:paraId="6263C54D">
      <w:pPr>
        <w:spacing w:before="181" w:line="212"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技术负责人</w:t>
      </w:r>
      <w:r>
        <w:rPr>
          <w:rFonts w:ascii="宋体" w:hAnsi="宋体" w:eastAsia="宋体" w:cs="宋体"/>
          <w:color w:val="auto"/>
          <w:spacing w:val="-15"/>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5"/>
          <w:sz w:val="24"/>
          <w:szCs w:val="24"/>
          <w:highlight w:val="none"/>
        </w:rPr>
        <w:t>（</w:t>
      </w:r>
      <w:r>
        <w:rPr>
          <w:rFonts w:ascii="宋体" w:hAnsi="宋体" w:eastAsia="宋体" w:cs="宋体"/>
          <w:i/>
          <w:iCs/>
          <w:color w:val="auto"/>
          <w:spacing w:val="2"/>
          <w:sz w:val="25"/>
          <w:szCs w:val="25"/>
          <w:highlight w:val="none"/>
        </w:rPr>
        <w:t>姓名</w:t>
      </w:r>
      <w:r>
        <w:rPr>
          <w:rFonts w:ascii="宋体" w:hAnsi="宋体" w:eastAsia="宋体" w:cs="宋体"/>
          <w:color w:val="auto"/>
          <w:spacing w:val="-15"/>
          <w:sz w:val="24"/>
          <w:szCs w:val="24"/>
          <w:highlight w:val="none"/>
        </w:rPr>
        <w:t>），</w:t>
      </w:r>
      <w:r>
        <w:rPr>
          <w:rFonts w:ascii="宋体" w:hAnsi="宋体" w:eastAsia="宋体" w:cs="宋体"/>
          <w:color w:val="auto"/>
          <w:spacing w:val="2"/>
          <w:sz w:val="24"/>
          <w:szCs w:val="24"/>
          <w:highlight w:val="none"/>
        </w:rPr>
        <w:t>身份证号码</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p>
    <w:p w14:paraId="5FE2D0EB">
      <w:pPr>
        <w:spacing w:before="179" w:line="212" w:lineRule="auto"/>
        <w:ind w:left="49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副项目负责人</w:t>
      </w:r>
      <w:r>
        <w:rPr>
          <w:rFonts w:ascii="宋体" w:hAnsi="宋体" w:eastAsia="宋体" w:cs="宋体"/>
          <w:color w:val="auto"/>
          <w:spacing w:val="-16"/>
          <w:sz w:val="24"/>
          <w:szCs w:val="24"/>
          <w:highlight w:val="none"/>
        </w:rPr>
        <w:t>：</w:t>
      </w:r>
      <w:r>
        <w:rPr>
          <w:rFonts w:ascii="宋体" w:hAnsi="宋体" w:eastAsia="宋体" w:cs="宋体"/>
          <w:color w:val="auto"/>
          <w:spacing w:val="10"/>
          <w:sz w:val="24"/>
          <w:szCs w:val="24"/>
          <w:highlight w:val="none"/>
          <w:u w:val="single" w:color="auto"/>
        </w:rPr>
        <w:t xml:space="preserve">            </w:t>
      </w:r>
      <w:r>
        <w:rPr>
          <w:rFonts w:ascii="宋体" w:hAnsi="宋体" w:eastAsia="宋体" w:cs="宋体"/>
          <w:color w:val="auto"/>
          <w:spacing w:val="-16"/>
          <w:sz w:val="24"/>
          <w:szCs w:val="24"/>
          <w:highlight w:val="none"/>
        </w:rPr>
        <w:t>（</w:t>
      </w:r>
      <w:r>
        <w:rPr>
          <w:rFonts w:ascii="宋体" w:hAnsi="宋体" w:eastAsia="宋体" w:cs="宋体"/>
          <w:i/>
          <w:iCs/>
          <w:color w:val="auto"/>
          <w:spacing w:val="2"/>
          <w:sz w:val="25"/>
          <w:szCs w:val="25"/>
          <w:highlight w:val="none"/>
        </w:rPr>
        <w:t>姓名</w:t>
      </w:r>
      <w:r>
        <w:rPr>
          <w:rFonts w:ascii="宋体" w:hAnsi="宋体" w:eastAsia="宋体" w:cs="宋体"/>
          <w:color w:val="auto"/>
          <w:spacing w:val="-16"/>
          <w:sz w:val="24"/>
          <w:szCs w:val="24"/>
          <w:highlight w:val="none"/>
        </w:rPr>
        <w:t>），</w:t>
      </w:r>
      <w:r>
        <w:rPr>
          <w:rFonts w:ascii="宋体" w:hAnsi="宋体" w:eastAsia="宋体" w:cs="宋体"/>
          <w:color w:val="auto"/>
          <w:spacing w:val="2"/>
          <w:sz w:val="24"/>
          <w:szCs w:val="24"/>
          <w:highlight w:val="none"/>
        </w:rPr>
        <w:t>身份证号码</w:t>
      </w:r>
      <w:r>
        <w:rPr>
          <w:rFonts w:ascii="宋体" w:hAnsi="宋体" w:eastAsia="宋体" w:cs="宋体"/>
          <w:color w:val="auto"/>
          <w:spacing w:val="10"/>
          <w:sz w:val="24"/>
          <w:szCs w:val="24"/>
          <w:highlight w:val="none"/>
          <w:u w:val="single" w:color="auto"/>
        </w:rPr>
        <w:t xml:space="preserve">            </w:t>
      </w:r>
      <w:r>
        <w:rPr>
          <w:rFonts w:ascii="宋体" w:hAnsi="宋体" w:eastAsia="宋体" w:cs="宋体"/>
          <w:color w:val="auto"/>
          <w:spacing w:val="2"/>
          <w:sz w:val="24"/>
          <w:szCs w:val="24"/>
          <w:highlight w:val="none"/>
        </w:rPr>
        <w:t>。</w:t>
      </w:r>
    </w:p>
    <w:p w14:paraId="1DF31F99">
      <w:pPr>
        <w:spacing w:before="180" w:line="354" w:lineRule="auto"/>
        <w:ind w:left="12" w:right="27" w:firstLine="47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请你方在接到本通知书后的</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52"/>
          <w:sz w:val="24"/>
          <w:szCs w:val="24"/>
          <w:highlight w:val="none"/>
        </w:rPr>
        <w:t xml:space="preserve"> </w:t>
      </w:r>
      <w:r>
        <w:rPr>
          <w:rFonts w:ascii="宋体" w:hAnsi="宋体" w:eastAsia="宋体" w:cs="宋体"/>
          <w:color w:val="auto"/>
          <w:spacing w:val="-2"/>
          <w:sz w:val="24"/>
          <w:szCs w:val="24"/>
          <w:highlight w:val="none"/>
        </w:rPr>
        <w:t>日内到</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i/>
          <w:iCs/>
          <w:color w:val="auto"/>
          <w:spacing w:val="-2"/>
          <w:sz w:val="25"/>
          <w:szCs w:val="25"/>
          <w:highlight w:val="none"/>
        </w:rPr>
        <w:t>详细地址</w:t>
      </w:r>
      <w:r>
        <w:rPr>
          <w:rFonts w:ascii="宋体" w:hAnsi="宋体" w:eastAsia="宋体" w:cs="宋体"/>
          <w:color w:val="auto"/>
          <w:spacing w:val="-2"/>
          <w:sz w:val="24"/>
          <w:szCs w:val="24"/>
          <w:highlight w:val="none"/>
        </w:rPr>
        <w:t>）与我方签</w:t>
      </w:r>
      <w:r>
        <w:rPr>
          <w:rFonts w:ascii="宋体" w:hAnsi="宋体" w:eastAsia="宋体" w:cs="宋体"/>
          <w:color w:val="auto"/>
          <w:spacing w:val="-1"/>
          <w:sz w:val="24"/>
          <w:szCs w:val="24"/>
          <w:highlight w:val="none"/>
        </w:rPr>
        <w:t>订施工合同协议书，在此之前按招标文件第</w:t>
      </w: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章投标人须知第</w:t>
      </w:r>
      <w:r>
        <w:rPr>
          <w:rFonts w:ascii="Times New Roman" w:hAnsi="Times New Roman" w:eastAsia="Times New Roman" w:cs="Times New Roman"/>
          <w:color w:val="auto"/>
          <w:spacing w:val="-1"/>
          <w:sz w:val="24"/>
          <w:szCs w:val="24"/>
          <w:highlight w:val="none"/>
        </w:rPr>
        <w:t>7.3</w:t>
      </w:r>
      <w:r>
        <w:rPr>
          <w:rFonts w:ascii="宋体" w:hAnsi="宋体" w:eastAsia="宋体" w:cs="宋体"/>
          <w:color w:val="auto"/>
          <w:spacing w:val="-1"/>
          <w:sz w:val="24"/>
          <w:szCs w:val="24"/>
          <w:highlight w:val="none"/>
        </w:rPr>
        <w:t>条规定</w:t>
      </w:r>
      <w:r>
        <w:rPr>
          <w:rFonts w:ascii="宋体" w:hAnsi="宋体" w:eastAsia="宋体" w:cs="宋体"/>
          <w:color w:val="auto"/>
          <w:spacing w:val="-2"/>
          <w:sz w:val="24"/>
          <w:szCs w:val="24"/>
          <w:highlight w:val="none"/>
        </w:rPr>
        <w:t>向我方提交履</w:t>
      </w:r>
      <w:r>
        <w:rPr>
          <w:rFonts w:ascii="宋体" w:hAnsi="宋体" w:eastAsia="宋体" w:cs="宋体"/>
          <w:color w:val="auto"/>
          <w:spacing w:val="-9"/>
          <w:sz w:val="24"/>
          <w:szCs w:val="24"/>
          <w:highlight w:val="none"/>
        </w:rPr>
        <w:t>约担保。</w:t>
      </w:r>
    </w:p>
    <w:p w14:paraId="441A0088">
      <w:pPr>
        <w:spacing w:line="219" w:lineRule="auto"/>
        <w:ind w:left="489"/>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特此通知。</w:t>
      </w:r>
    </w:p>
    <w:p w14:paraId="3E73DB8D">
      <w:pPr>
        <w:pStyle w:val="3"/>
        <w:spacing w:line="249" w:lineRule="auto"/>
        <w:rPr>
          <w:color w:val="auto"/>
          <w:highlight w:val="none"/>
        </w:rPr>
      </w:pPr>
    </w:p>
    <w:p w14:paraId="2BC464E8">
      <w:pPr>
        <w:pStyle w:val="3"/>
        <w:spacing w:line="250" w:lineRule="auto"/>
        <w:rPr>
          <w:color w:val="auto"/>
          <w:highlight w:val="none"/>
        </w:rPr>
      </w:pPr>
    </w:p>
    <w:p w14:paraId="384A4E7B">
      <w:pPr>
        <w:pStyle w:val="3"/>
        <w:spacing w:line="250" w:lineRule="auto"/>
        <w:rPr>
          <w:color w:val="auto"/>
          <w:highlight w:val="none"/>
        </w:rPr>
      </w:pPr>
    </w:p>
    <w:p w14:paraId="41989AAE">
      <w:pPr>
        <w:pStyle w:val="3"/>
        <w:spacing w:line="250" w:lineRule="auto"/>
        <w:rPr>
          <w:color w:val="auto"/>
          <w:highlight w:val="none"/>
        </w:rPr>
      </w:pPr>
    </w:p>
    <w:p w14:paraId="7EAAEF3B">
      <w:pPr>
        <w:pStyle w:val="3"/>
        <w:spacing w:line="250" w:lineRule="auto"/>
        <w:rPr>
          <w:color w:val="auto"/>
          <w:highlight w:val="none"/>
        </w:rPr>
      </w:pPr>
    </w:p>
    <w:p w14:paraId="0B2F8E8B">
      <w:pPr>
        <w:pStyle w:val="3"/>
        <w:spacing w:line="250" w:lineRule="auto"/>
        <w:rPr>
          <w:color w:val="auto"/>
          <w:highlight w:val="none"/>
        </w:rPr>
      </w:pPr>
    </w:p>
    <w:p w14:paraId="6CD26C9E">
      <w:pPr>
        <w:pStyle w:val="3"/>
        <w:spacing w:line="250" w:lineRule="auto"/>
        <w:rPr>
          <w:color w:val="auto"/>
          <w:highlight w:val="none"/>
        </w:rPr>
      </w:pPr>
    </w:p>
    <w:p w14:paraId="3CFA8C52">
      <w:pPr>
        <w:spacing w:before="79" w:line="219" w:lineRule="auto"/>
        <w:ind w:left="361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招标人</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3"/>
          <w:sz w:val="24"/>
          <w:szCs w:val="24"/>
          <w:highlight w:val="none"/>
        </w:rPr>
        <w:t>盖单位公章）</w:t>
      </w:r>
    </w:p>
    <w:p w14:paraId="192CD935">
      <w:pPr>
        <w:tabs>
          <w:tab w:val="left" w:pos="5760"/>
        </w:tabs>
        <w:spacing w:before="181" w:line="362" w:lineRule="auto"/>
        <w:ind w:left="5039" w:right="312" w:hanging="142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签字或盖章）</w:t>
      </w:r>
      <w:r>
        <w:rPr>
          <w:rFonts w:ascii="宋体" w:hAnsi="宋体" w:eastAsia="宋体" w:cs="宋体"/>
          <w:color w:val="auto"/>
          <w:sz w:val="24"/>
          <w:szCs w:val="24"/>
          <w:highlight w:val="none"/>
          <w:u w:val="single" w:color="auto"/>
        </w:rPr>
        <w:tab/>
      </w:r>
      <w:r>
        <w:rPr>
          <w:rFonts w:ascii="宋体" w:hAnsi="宋体" w:eastAsia="宋体" w:cs="宋体"/>
          <w:color w:val="auto"/>
          <w:spacing w:val="-110"/>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53DA3E2C">
      <w:pPr>
        <w:spacing w:line="362" w:lineRule="auto"/>
        <w:rPr>
          <w:rFonts w:ascii="宋体" w:hAnsi="宋体" w:eastAsia="宋体" w:cs="宋体"/>
          <w:color w:val="auto"/>
          <w:sz w:val="24"/>
          <w:szCs w:val="24"/>
          <w:highlight w:val="none"/>
        </w:rPr>
        <w:sectPr>
          <w:footerReference r:id="rId17" w:type="default"/>
          <w:pgSz w:w="11907" w:h="16841"/>
          <w:pgMar w:top="1425" w:right="1501" w:bottom="1254" w:left="1588" w:header="0" w:footer="1093" w:gutter="0"/>
          <w:pgNumType w:fmt="decimal"/>
          <w:cols w:space="720" w:num="1"/>
        </w:sectPr>
      </w:pPr>
    </w:p>
    <w:p w14:paraId="61C0250D">
      <w:pPr>
        <w:spacing w:before="56" w:line="219" w:lineRule="auto"/>
        <w:ind w:left="32"/>
        <w:rPr>
          <w:rFonts w:ascii="宋体" w:hAnsi="宋体" w:eastAsia="宋体" w:cs="宋体"/>
          <w:color w:val="auto"/>
          <w:sz w:val="28"/>
          <w:szCs w:val="28"/>
          <w:highlight w:val="none"/>
        </w:rPr>
      </w:pPr>
      <w:r>
        <w:rPr>
          <w:rFonts w:ascii="宋体" w:hAnsi="宋体" w:eastAsia="宋体" w:cs="宋体"/>
          <w:b/>
          <w:bCs/>
          <w:color w:val="auto"/>
          <w:spacing w:val="-11"/>
          <w:sz w:val="28"/>
          <w:szCs w:val="28"/>
          <w:highlight w:val="none"/>
        </w:rPr>
        <w:t>附件六：</w:t>
      </w:r>
    </w:p>
    <w:p w14:paraId="42F7614D">
      <w:pPr>
        <w:pStyle w:val="3"/>
        <w:spacing w:line="300" w:lineRule="auto"/>
        <w:rPr>
          <w:color w:val="auto"/>
          <w:highlight w:val="none"/>
        </w:rPr>
      </w:pPr>
    </w:p>
    <w:p w14:paraId="44D0A555">
      <w:pPr>
        <w:pStyle w:val="3"/>
        <w:spacing w:line="300" w:lineRule="auto"/>
        <w:rPr>
          <w:color w:val="auto"/>
          <w:highlight w:val="none"/>
        </w:rPr>
      </w:pPr>
    </w:p>
    <w:p w14:paraId="3B673FF0">
      <w:pPr>
        <w:spacing w:before="91" w:line="219" w:lineRule="auto"/>
        <w:ind w:left="3447"/>
        <w:rPr>
          <w:rFonts w:ascii="宋体" w:hAnsi="宋体" w:eastAsia="宋体" w:cs="宋体"/>
          <w:color w:val="auto"/>
          <w:sz w:val="28"/>
          <w:szCs w:val="28"/>
          <w:highlight w:val="none"/>
        </w:rPr>
      </w:pPr>
      <w:r>
        <w:rPr>
          <w:rFonts w:ascii="宋体" w:hAnsi="宋体" w:eastAsia="宋体" w:cs="宋体"/>
          <w:b/>
          <w:bCs/>
          <w:color w:val="auto"/>
          <w:spacing w:val="-8"/>
          <w:sz w:val="28"/>
          <w:szCs w:val="28"/>
          <w:highlight w:val="none"/>
        </w:rPr>
        <w:t>中标结果通知书</w:t>
      </w:r>
    </w:p>
    <w:p w14:paraId="3D2656B4">
      <w:pPr>
        <w:spacing w:before="205" w:line="220" w:lineRule="auto"/>
        <w:ind w:left="3851"/>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编号：</w:t>
      </w:r>
    </w:p>
    <w:p w14:paraId="53677374">
      <w:pPr>
        <w:pStyle w:val="3"/>
        <w:spacing w:line="257" w:lineRule="auto"/>
        <w:rPr>
          <w:color w:val="auto"/>
          <w:highlight w:val="none"/>
        </w:rPr>
      </w:pPr>
    </w:p>
    <w:p w14:paraId="0E09832C">
      <w:pPr>
        <w:pStyle w:val="3"/>
        <w:spacing w:line="257" w:lineRule="auto"/>
        <w:rPr>
          <w:color w:val="auto"/>
          <w:highlight w:val="none"/>
        </w:rPr>
      </w:pPr>
    </w:p>
    <w:p w14:paraId="33582974">
      <w:pPr>
        <w:tabs>
          <w:tab w:val="left" w:pos="2520"/>
        </w:tabs>
        <w:spacing w:before="78" w:line="22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7"/>
          <w:sz w:val="24"/>
          <w:szCs w:val="24"/>
          <w:highlight w:val="none"/>
        </w:rPr>
        <w:t>（未中标人名称</w:t>
      </w:r>
      <w:r>
        <w:rPr>
          <w:rFonts w:ascii="宋体" w:hAnsi="宋体" w:eastAsia="宋体" w:cs="宋体"/>
          <w:color w:val="auto"/>
          <w:spacing w:val="-1"/>
          <w:sz w:val="24"/>
          <w:szCs w:val="24"/>
          <w:highlight w:val="none"/>
        </w:rPr>
        <w:t>）：</w:t>
      </w:r>
    </w:p>
    <w:p w14:paraId="659696A3">
      <w:pPr>
        <w:pStyle w:val="3"/>
        <w:spacing w:line="254" w:lineRule="auto"/>
        <w:rPr>
          <w:color w:val="auto"/>
          <w:highlight w:val="none"/>
        </w:rPr>
      </w:pPr>
    </w:p>
    <w:p w14:paraId="0C14BC55">
      <w:pPr>
        <w:pStyle w:val="3"/>
        <w:spacing w:line="255" w:lineRule="auto"/>
        <w:rPr>
          <w:color w:val="auto"/>
          <w:highlight w:val="none"/>
        </w:rPr>
      </w:pPr>
    </w:p>
    <w:p w14:paraId="020068F9">
      <w:pPr>
        <w:spacing w:before="81" w:line="347" w:lineRule="auto"/>
        <w:ind w:left="9" w:firstLine="481"/>
        <w:jc w:val="both"/>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我方已接受</w:t>
      </w:r>
      <w:r>
        <w:rPr>
          <w:rFonts w:ascii="宋体" w:hAnsi="宋体" w:eastAsia="宋体" w:cs="宋体"/>
          <w:color w:val="auto"/>
          <w:spacing w:val="-108"/>
          <w:sz w:val="24"/>
          <w:szCs w:val="24"/>
          <w:highlight w:val="none"/>
        </w:rPr>
        <w:t xml:space="preserve"> </w:t>
      </w:r>
      <w:r>
        <w:rPr>
          <w:rFonts w:ascii="宋体" w:hAnsi="宋体" w:eastAsia="宋体" w:cs="宋体"/>
          <w:color w:val="auto"/>
          <w:spacing w:val="7"/>
          <w:sz w:val="24"/>
          <w:szCs w:val="24"/>
          <w:highlight w:val="none"/>
          <w:u w:val="single" w:color="auto"/>
        </w:rPr>
        <w:t xml:space="preserve">                </w:t>
      </w:r>
      <w:r>
        <w:rPr>
          <w:rFonts w:ascii="宋体" w:hAnsi="宋体" w:eastAsia="宋体" w:cs="宋体"/>
          <w:color w:val="auto"/>
          <w:spacing w:val="-10"/>
          <w:sz w:val="24"/>
          <w:szCs w:val="24"/>
          <w:highlight w:val="none"/>
        </w:rPr>
        <w:t xml:space="preserve">（ </w:t>
      </w:r>
      <w:r>
        <w:rPr>
          <w:rFonts w:ascii="宋体" w:hAnsi="宋体" w:eastAsia="宋体" w:cs="宋体"/>
          <w:i/>
          <w:iCs/>
          <w:color w:val="auto"/>
          <w:spacing w:val="-10"/>
          <w:sz w:val="25"/>
          <w:szCs w:val="25"/>
          <w:highlight w:val="none"/>
        </w:rPr>
        <w:t>中标人名称</w:t>
      </w:r>
      <w:r>
        <w:rPr>
          <w:rFonts w:ascii="宋体" w:hAnsi="宋体" w:eastAsia="宋体" w:cs="宋体"/>
          <w:color w:val="auto"/>
          <w:spacing w:val="-10"/>
          <w:sz w:val="24"/>
          <w:szCs w:val="24"/>
          <w:highlight w:val="none"/>
        </w:rPr>
        <w:t>）于</w:t>
      </w:r>
      <w:r>
        <w:rPr>
          <w:rFonts w:ascii="宋体" w:hAnsi="宋体" w:eastAsia="宋体" w:cs="宋体"/>
          <w:color w:val="auto"/>
          <w:spacing w:val="-98"/>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
          <w:sz w:val="24"/>
          <w:szCs w:val="24"/>
          <w:highlight w:val="none"/>
        </w:rPr>
        <w:t>（</w:t>
      </w:r>
      <w:r>
        <w:rPr>
          <w:rFonts w:ascii="宋体" w:hAnsi="宋体" w:eastAsia="宋体" w:cs="宋体"/>
          <w:i/>
          <w:iCs/>
          <w:color w:val="auto"/>
          <w:spacing w:val="-10"/>
          <w:sz w:val="25"/>
          <w:szCs w:val="25"/>
          <w:highlight w:val="none"/>
        </w:rPr>
        <w:t>投标日期</w:t>
      </w:r>
      <w:r>
        <w:rPr>
          <w:rFonts w:ascii="宋体" w:hAnsi="宋体" w:eastAsia="宋体" w:cs="宋体"/>
          <w:color w:val="auto"/>
          <w:spacing w:val="-10"/>
          <w:sz w:val="24"/>
          <w:szCs w:val="24"/>
          <w:highlight w:val="none"/>
        </w:rPr>
        <w:t>）</w:t>
      </w:r>
      <w:r>
        <w:rPr>
          <w:rFonts w:ascii="宋体" w:hAnsi="宋体" w:eastAsia="宋体" w:cs="宋体"/>
          <w:color w:val="auto"/>
          <w:spacing w:val="-8"/>
          <w:sz w:val="24"/>
          <w:szCs w:val="24"/>
          <w:highlight w:val="none"/>
        </w:rPr>
        <w:t>所递交的</w:t>
      </w:r>
      <w:r>
        <w:rPr>
          <w:rFonts w:ascii="宋体" w:hAnsi="宋体" w:eastAsia="宋体" w:cs="宋体"/>
          <w:color w:val="auto"/>
          <w:spacing w:val="-117"/>
          <w:sz w:val="24"/>
          <w:szCs w:val="24"/>
          <w:highlight w:val="none"/>
        </w:rPr>
        <w:t xml:space="preserve"> </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8"/>
          <w:sz w:val="24"/>
          <w:szCs w:val="24"/>
          <w:highlight w:val="none"/>
        </w:rPr>
        <w:t>（</w:t>
      </w:r>
      <w:r>
        <w:rPr>
          <w:rFonts w:ascii="宋体" w:hAnsi="宋体" w:eastAsia="宋体" w:cs="宋体"/>
          <w:color w:val="auto"/>
          <w:spacing w:val="-25"/>
          <w:sz w:val="24"/>
          <w:szCs w:val="24"/>
          <w:highlight w:val="none"/>
        </w:rPr>
        <w:t xml:space="preserve"> </w:t>
      </w:r>
      <w:r>
        <w:rPr>
          <w:rFonts w:ascii="宋体" w:hAnsi="宋体" w:eastAsia="宋体" w:cs="宋体"/>
          <w:i/>
          <w:iCs/>
          <w:color w:val="auto"/>
          <w:spacing w:val="-8"/>
          <w:sz w:val="25"/>
          <w:szCs w:val="25"/>
          <w:highlight w:val="none"/>
        </w:rPr>
        <w:t>项目名称</w:t>
      </w:r>
      <w:r>
        <w:rPr>
          <w:rFonts w:ascii="宋体" w:hAnsi="宋体" w:eastAsia="宋体" w:cs="宋体"/>
          <w:color w:val="auto"/>
          <w:spacing w:val="-26"/>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6"/>
          <w:sz w:val="24"/>
          <w:szCs w:val="24"/>
          <w:highlight w:val="none"/>
        </w:rPr>
        <w:t>（</w:t>
      </w:r>
      <w:r>
        <w:rPr>
          <w:rFonts w:ascii="宋体" w:hAnsi="宋体" w:eastAsia="宋体" w:cs="宋体"/>
          <w:i/>
          <w:iCs/>
          <w:color w:val="auto"/>
          <w:spacing w:val="-8"/>
          <w:sz w:val="25"/>
          <w:szCs w:val="25"/>
          <w:highlight w:val="none"/>
        </w:rPr>
        <w:t>标段名称</w:t>
      </w:r>
      <w:r>
        <w:rPr>
          <w:rFonts w:ascii="宋体" w:hAnsi="宋体" w:eastAsia="宋体" w:cs="宋体"/>
          <w:color w:val="auto"/>
          <w:spacing w:val="-8"/>
          <w:sz w:val="24"/>
          <w:szCs w:val="24"/>
          <w:highlight w:val="none"/>
        </w:rPr>
        <w:t>）投标文件，</w:t>
      </w:r>
      <w:r>
        <w:rPr>
          <w:rFonts w:ascii="宋体" w:hAnsi="宋体" w:eastAsia="宋体" w:cs="宋体"/>
          <w:color w:val="auto"/>
          <w:spacing w:val="-10"/>
          <w:sz w:val="24"/>
          <w:szCs w:val="24"/>
          <w:highlight w:val="none"/>
        </w:rPr>
        <w:t>确定</w:t>
      </w:r>
      <w:r>
        <w:rPr>
          <w:rFonts w:ascii="宋体" w:hAnsi="宋体" w:eastAsia="宋体" w:cs="宋体"/>
          <w:color w:val="auto"/>
          <w:spacing w:val="-10"/>
          <w:sz w:val="24"/>
          <w:szCs w:val="24"/>
          <w:highlight w:val="none"/>
          <w:u w:val="single" w:color="auto"/>
        </w:rPr>
        <w:t xml:space="preserve">                  </w:t>
      </w:r>
      <w:r>
        <w:rPr>
          <w:rFonts w:ascii="宋体" w:hAnsi="宋体" w:eastAsia="宋体" w:cs="宋体"/>
          <w:color w:val="auto"/>
          <w:spacing w:val="-10"/>
          <w:sz w:val="24"/>
          <w:szCs w:val="24"/>
          <w:highlight w:val="none"/>
        </w:rPr>
        <w:t xml:space="preserve">（ </w:t>
      </w:r>
      <w:r>
        <w:rPr>
          <w:rFonts w:ascii="宋体" w:hAnsi="宋体" w:eastAsia="宋体" w:cs="宋体"/>
          <w:i/>
          <w:iCs/>
          <w:color w:val="auto"/>
          <w:spacing w:val="-10"/>
          <w:sz w:val="25"/>
          <w:szCs w:val="25"/>
          <w:highlight w:val="none"/>
        </w:rPr>
        <w:t>中标人名称</w:t>
      </w:r>
      <w:r>
        <w:rPr>
          <w:rFonts w:ascii="宋体" w:hAnsi="宋体" w:eastAsia="宋体" w:cs="宋体"/>
          <w:color w:val="auto"/>
          <w:spacing w:val="-10"/>
          <w:sz w:val="24"/>
          <w:szCs w:val="24"/>
          <w:highlight w:val="none"/>
        </w:rPr>
        <w:t>）为中标人。</w:t>
      </w:r>
    </w:p>
    <w:p w14:paraId="1C0801C1">
      <w:pPr>
        <w:pStyle w:val="3"/>
        <w:spacing w:line="325" w:lineRule="auto"/>
        <w:rPr>
          <w:color w:val="auto"/>
          <w:highlight w:val="none"/>
        </w:rPr>
      </w:pPr>
    </w:p>
    <w:p w14:paraId="0D03AD38">
      <w:pPr>
        <w:spacing w:before="78" w:line="220" w:lineRule="auto"/>
        <w:ind w:left="490"/>
        <w:rPr>
          <w:rFonts w:ascii="Times New Roman" w:hAnsi="Times New Roman" w:eastAsia="Times New Roman" w:cs="Times New Roman"/>
          <w:color w:val="auto"/>
          <w:sz w:val="24"/>
          <w:szCs w:val="24"/>
          <w:highlight w:val="none"/>
        </w:rPr>
      </w:pPr>
      <w:r>
        <w:rPr>
          <w:rFonts w:ascii="宋体" w:hAnsi="宋体" w:eastAsia="宋体" w:cs="宋体"/>
          <w:color w:val="auto"/>
          <w:spacing w:val="-1"/>
          <w:sz w:val="24"/>
          <w:szCs w:val="24"/>
          <w:highlight w:val="none"/>
        </w:rPr>
        <w:t>感谢你单位对我方工作的大力支持</w:t>
      </w:r>
      <w:r>
        <w:rPr>
          <w:rFonts w:ascii="Times New Roman" w:hAnsi="Times New Roman" w:eastAsia="Times New Roman" w:cs="Times New Roman"/>
          <w:color w:val="auto"/>
          <w:spacing w:val="-1"/>
          <w:sz w:val="24"/>
          <w:szCs w:val="24"/>
          <w:highlight w:val="none"/>
        </w:rPr>
        <w:t>!</w:t>
      </w:r>
    </w:p>
    <w:p w14:paraId="2394DEC7">
      <w:pPr>
        <w:pStyle w:val="3"/>
        <w:spacing w:line="267" w:lineRule="auto"/>
        <w:rPr>
          <w:color w:val="auto"/>
          <w:highlight w:val="none"/>
        </w:rPr>
      </w:pPr>
    </w:p>
    <w:p w14:paraId="61EC7EBF">
      <w:pPr>
        <w:pStyle w:val="3"/>
        <w:spacing w:line="267" w:lineRule="auto"/>
        <w:rPr>
          <w:color w:val="auto"/>
          <w:highlight w:val="none"/>
        </w:rPr>
      </w:pPr>
    </w:p>
    <w:p w14:paraId="2F5AA0E4">
      <w:pPr>
        <w:pStyle w:val="3"/>
        <w:spacing w:line="267" w:lineRule="auto"/>
        <w:rPr>
          <w:color w:val="auto"/>
          <w:highlight w:val="none"/>
        </w:rPr>
      </w:pPr>
    </w:p>
    <w:p w14:paraId="0A12888B">
      <w:pPr>
        <w:pStyle w:val="3"/>
        <w:spacing w:line="267" w:lineRule="auto"/>
        <w:rPr>
          <w:color w:val="auto"/>
          <w:highlight w:val="none"/>
        </w:rPr>
      </w:pPr>
    </w:p>
    <w:p w14:paraId="4465598B">
      <w:pPr>
        <w:pStyle w:val="3"/>
        <w:spacing w:line="268" w:lineRule="auto"/>
        <w:rPr>
          <w:color w:val="auto"/>
          <w:highlight w:val="none"/>
        </w:rPr>
      </w:pPr>
    </w:p>
    <w:p w14:paraId="3A005EBF">
      <w:pPr>
        <w:spacing w:before="79" w:line="219" w:lineRule="auto"/>
        <w:ind w:left="361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招标人</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3"/>
          <w:sz w:val="24"/>
          <w:szCs w:val="24"/>
          <w:highlight w:val="none"/>
        </w:rPr>
        <w:t>盖单位公章）</w:t>
      </w:r>
    </w:p>
    <w:p w14:paraId="59D8C705">
      <w:pPr>
        <w:tabs>
          <w:tab w:val="left" w:pos="5760"/>
        </w:tabs>
        <w:spacing w:before="184" w:line="360" w:lineRule="auto"/>
        <w:ind w:left="5039" w:right="351" w:hanging="142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签字或盖章）</w:t>
      </w:r>
      <w:r>
        <w:rPr>
          <w:rFonts w:ascii="宋体" w:hAnsi="宋体" w:eastAsia="宋体" w:cs="宋体"/>
          <w:color w:val="auto"/>
          <w:sz w:val="24"/>
          <w:szCs w:val="24"/>
          <w:highlight w:val="none"/>
          <w:u w:val="single" w:color="auto"/>
        </w:rPr>
        <w:tab/>
      </w:r>
      <w:r>
        <w:rPr>
          <w:rFonts w:ascii="宋体" w:hAnsi="宋体" w:eastAsia="宋体" w:cs="宋体"/>
          <w:color w:val="auto"/>
          <w:spacing w:val="-110"/>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7A31AFFE">
      <w:pPr>
        <w:spacing w:line="360" w:lineRule="auto"/>
        <w:rPr>
          <w:rFonts w:ascii="宋体" w:hAnsi="宋体" w:eastAsia="宋体" w:cs="宋体"/>
          <w:color w:val="auto"/>
          <w:sz w:val="24"/>
          <w:szCs w:val="24"/>
          <w:highlight w:val="none"/>
        </w:rPr>
        <w:sectPr>
          <w:footerReference r:id="rId18" w:type="default"/>
          <w:pgSz w:w="11907" w:h="16841"/>
          <w:pgMar w:top="1425" w:right="1462" w:bottom="1254" w:left="1588" w:header="0" w:footer="1093" w:gutter="0"/>
          <w:pgNumType w:fmt="decimal"/>
          <w:cols w:space="720" w:num="1"/>
        </w:sectPr>
      </w:pPr>
    </w:p>
    <w:p w14:paraId="43D37157">
      <w:pPr>
        <w:spacing w:before="72" w:line="218" w:lineRule="auto"/>
        <w:ind w:left="1420"/>
        <w:outlineLvl w:val="0"/>
        <w:rPr>
          <w:rFonts w:ascii="宋体" w:hAnsi="宋体" w:eastAsia="宋体" w:cs="宋体"/>
          <w:color w:val="auto"/>
          <w:sz w:val="36"/>
          <w:szCs w:val="36"/>
          <w:highlight w:val="none"/>
        </w:rPr>
      </w:pPr>
      <w:bookmarkStart w:id="220" w:name="bookmark129"/>
      <w:bookmarkEnd w:id="220"/>
      <w:bookmarkStart w:id="221" w:name="bookmark89"/>
      <w:bookmarkEnd w:id="221"/>
      <w:bookmarkStart w:id="222" w:name="bookmark91"/>
      <w:bookmarkEnd w:id="222"/>
      <w:bookmarkStart w:id="223" w:name="bookmark128"/>
      <w:bookmarkEnd w:id="223"/>
      <w:bookmarkStart w:id="224" w:name="bookmark90"/>
      <w:bookmarkEnd w:id="224"/>
      <w:r>
        <w:rPr>
          <w:rFonts w:ascii="宋体" w:hAnsi="宋体" w:eastAsia="宋体" w:cs="宋体"/>
          <w:b/>
          <w:bCs/>
          <w:color w:val="auto"/>
          <w:spacing w:val="-3"/>
          <w:sz w:val="36"/>
          <w:szCs w:val="36"/>
          <w:highlight w:val="none"/>
        </w:rPr>
        <w:t>第三章</w:t>
      </w:r>
      <w:r>
        <w:rPr>
          <w:rFonts w:ascii="宋体" w:hAnsi="宋体" w:eastAsia="宋体" w:cs="宋体"/>
          <w:color w:val="auto"/>
          <w:spacing w:val="-3"/>
          <w:sz w:val="36"/>
          <w:szCs w:val="36"/>
          <w:highlight w:val="none"/>
        </w:rPr>
        <w:t xml:space="preserve"> </w:t>
      </w:r>
      <w:r>
        <w:rPr>
          <w:rFonts w:ascii="宋体" w:hAnsi="宋体" w:eastAsia="宋体" w:cs="宋体"/>
          <w:b/>
          <w:bCs/>
          <w:color w:val="auto"/>
          <w:spacing w:val="-3"/>
          <w:sz w:val="36"/>
          <w:szCs w:val="36"/>
          <w:highlight w:val="none"/>
        </w:rPr>
        <w:t>评标定标办法（综合评估法）</w:t>
      </w:r>
    </w:p>
    <w:p w14:paraId="4E3EDA77">
      <w:pPr>
        <w:spacing w:before="274" w:line="225" w:lineRule="auto"/>
        <w:ind w:left="3276"/>
        <w:outlineLvl w:val="1"/>
        <w:rPr>
          <w:rFonts w:ascii="宋体" w:hAnsi="宋体" w:eastAsia="宋体" w:cs="宋体"/>
          <w:color w:val="auto"/>
          <w:sz w:val="31"/>
          <w:szCs w:val="31"/>
          <w:highlight w:val="none"/>
        </w:rPr>
      </w:pPr>
      <w:bookmarkStart w:id="225" w:name="bookmark674"/>
      <w:bookmarkEnd w:id="225"/>
      <w:r>
        <w:rPr>
          <w:rFonts w:ascii="宋体" w:hAnsi="宋体" w:eastAsia="宋体" w:cs="宋体"/>
          <w:b/>
          <w:bCs/>
          <w:color w:val="auto"/>
          <w:spacing w:val="5"/>
          <w:sz w:val="31"/>
          <w:szCs w:val="31"/>
          <w:highlight w:val="none"/>
        </w:rPr>
        <w:t>第</w:t>
      </w:r>
      <w:r>
        <w:rPr>
          <w:rFonts w:ascii="Times New Roman" w:hAnsi="Times New Roman" w:eastAsia="Times New Roman" w:cs="Times New Roman"/>
          <w:b/>
          <w:bCs/>
          <w:color w:val="auto"/>
          <w:spacing w:val="5"/>
          <w:sz w:val="31"/>
          <w:szCs w:val="31"/>
          <w:highlight w:val="none"/>
        </w:rPr>
        <w:t>1</w:t>
      </w:r>
      <w:r>
        <w:rPr>
          <w:rFonts w:ascii="宋体" w:hAnsi="宋体" w:eastAsia="宋体" w:cs="宋体"/>
          <w:b/>
          <w:bCs/>
          <w:color w:val="auto"/>
          <w:spacing w:val="5"/>
          <w:sz w:val="31"/>
          <w:szCs w:val="31"/>
          <w:highlight w:val="none"/>
        </w:rPr>
        <w:t>节</w:t>
      </w:r>
      <w:r>
        <w:rPr>
          <w:rFonts w:ascii="宋体" w:hAnsi="宋体" w:eastAsia="宋体" w:cs="宋体"/>
          <w:color w:val="auto"/>
          <w:spacing w:val="5"/>
          <w:sz w:val="31"/>
          <w:szCs w:val="31"/>
          <w:highlight w:val="none"/>
        </w:rPr>
        <w:t xml:space="preserve"> </w:t>
      </w:r>
      <w:r>
        <w:rPr>
          <w:rFonts w:ascii="宋体" w:hAnsi="宋体" w:eastAsia="宋体" w:cs="宋体"/>
          <w:b/>
          <w:bCs/>
          <w:color w:val="auto"/>
          <w:spacing w:val="5"/>
          <w:sz w:val="31"/>
          <w:szCs w:val="31"/>
          <w:highlight w:val="none"/>
        </w:rPr>
        <w:t>评标办法</w:t>
      </w:r>
    </w:p>
    <w:p w14:paraId="1B6A0D74">
      <w:pPr>
        <w:pStyle w:val="3"/>
        <w:spacing w:line="265" w:lineRule="auto"/>
        <w:rPr>
          <w:color w:val="auto"/>
          <w:highlight w:val="none"/>
        </w:rPr>
      </w:pPr>
    </w:p>
    <w:p w14:paraId="3BBBCA70">
      <w:pPr>
        <w:spacing w:before="91" w:line="219" w:lineRule="auto"/>
        <w:ind w:left="2642"/>
        <w:outlineLvl w:val="1"/>
        <w:rPr>
          <w:rFonts w:ascii="宋体" w:hAnsi="宋体" w:eastAsia="宋体" w:cs="宋体"/>
          <w:color w:val="auto"/>
          <w:sz w:val="28"/>
          <w:szCs w:val="28"/>
          <w:highlight w:val="none"/>
        </w:rPr>
      </w:pPr>
      <w:bookmarkStart w:id="226" w:name="bookmark675"/>
      <w:bookmarkEnd w:id="226"/>
      <w:r>
        <w:rPr>
          <w:rFonts w:ascii="宋体" w:hAnsi="宋体" w:eastAsia="宋体" w:cs="宋体"/>
          <w:b/>
          <w:bCs/>
          <w:color w:val="auto"/>
          <w:spacing w:val="-3"/>
          <w:sz w:val="28"/>
          <w:szCs w:val="28"/>
          <w:highlight w:val="none"/>
        </w:rPr>
        <w:t>方法一</w:t>
      </w:r>
      <w:r>
        <w:rPr>
          <w:rFonts w:ascii="宋体" w:hAnsi="宋体" w:eastAsia="宋体" w:cs="宋体"/>
          <w:color w:val="auto"/>
          <w:spacing w:val="-3"/>
          <w:sz w:val="28"/>
          <w:szCs w:val="28"/>
          <w:highlight w:val="none"/>
        </w:rPr>
        <w:t xml:space="preserve"> </w:t>
      </w:r>
      <w:r>
        <w:rPr>
          <w:rFonts w:ascii="宋体" w:hAnsi="宋体" w:eastAsia="宋体" w:cs="宋体"/>
          <w:b/>
          <w:bCs/>
          <w:color w:val="auto"/>
          <w:spacing w:val="-3"/>
          <w:sz w:val="28"/>
          <w:szCs w:val="28"/>
          <w:highlight w:val="none"/>
        </w:rPr>
        <w:t>技术通过制的综合评估法</w:t>
      </w:r>
    </w:p>
    <w:p w14:paraId="6EB89A2D">
      <w:pPr>
        <w:pStyle w:val="3"/>
        <w:spacing w:line="241" w:lineRule="auto"/>
        <w:rPr>
          <w:color w:val="auto"/>
          <w:highlight w:val="none"/>
        </w:rPr>
      </w:pPr>
    </w:p>
    <w:p w14:paraId="5CBB44D2">
      <w:pPr>
        <w:spacing w:before="91" w:line="219" w:lineRule="auto"/>
        <w:ind w:left="14"/>
        <w:outlineLvl w:val="1"/>
        <w:rPr>
          <w:rFonts w:ascii="宋体" w:hAnsi="宋体" w:eastAsia="宋体" w:cs="宋体"/>
          <w:color w:val="auto"/>
          <w:sz w:val="28"/>
          <w:szCs w:val="28"/>
          <w:highlight w:val="none"/>
        </w:rPr>
      </w:pPr>
      <w:bookmarkStart w:id="227" w:name="bookmark92"/>
      <w:bookmarkEnd w:id="227"/>
      <w:r>
        <w:rPr>
          <w:rFonts w:ascii="Times New Roman" w:hAnsi="Times New Roman" w:eastAsia="Times New Roman" w:cs="Times New Roman"/>
          <w:b/>
          <w:bCs/>
          <w:color w:val="auto"/>
          <w:spacing w:val="-10"/>
          <w:sz w:val="28"/>
          <w:szCs w:val="28"/>
          <w:highlight w:val="none"/>
        </w:rPr>
        <w:t>1</w:t>
      </w:r>
      <w:r>
        <w:rPr>
          <w:rFonts w:ascii="Times New Roman" w:hAnsi="Times New Roman" w:eastAsia="Times New Roman" w:cs="Times New Roman"/>
          <w:b/>
          <w:bCs/>
          <w:color w:val="auto"/>
          <w:spacing w:val="6"/>
          <w:sz w:val="28"/>
          <w:szCs w:val="28"/>
          <w:highlight w:val="none"/>
        </w:rPr>
        <w:t xml:space="preserve">  </w:t>
      </w:r>
      <w:r>
        <w:rPr>
          <w:rFonts w:ascii="宋体" w:hAnsi="宋体" w:eastAsia="宋体" w:cs="宋体"/>
          <w:b/>
          <w:bCs/>
          <w:color w:val="auto"/>
          <w:spacing w:val="-10"/>
          <w:sz w:val="28"/>
          <w:szCs w:val="28"/>
          <w:highlight w:val="none"/>
        </w:rPr>
        <w:t>依据</w:t>
      </w:r>
    </w:p>
    <w:p w14:paraId="42AC3894">
      <w:pPr>
        <w:pStyle w:val="3"/>
        <w:spacing w:line="245" w:lineRule="auto"/>
        <w:rPr>
          <w:color w:val="auto"/>
          <w:highlight w:val="none"/>
        </w:rPr>
      </w:pPr>
    </w:p>
    <w:p w14:paraId="4F4EBED5">
      <w:pPr>
        <w:spacing w:before="78" w:line="360" w:lineRule="auto"/>
        <w:ind w:left="11" w:right="2" w:firstLine="476"/>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为规范招标的评标工作，根据《中华人民共和国招标投标法》、《中华人民共和国招标投标法实施条例》、《评标委员会和评标办法暂行规定》（原国家发展计划委员会等七部委令第</w:t>
      </w:r>
      <w:r>
        <w:rPr>
          <w:rFonts w:ascii="Times New Roman" w:hAnsi="Times New Roman" w:eastAsia="Times New Roman" w:cs="Times New Roman"/>
          <w:color w:val="auto"/>
          <w:spacing w:val="-3"/>
          <w:sz w:val="24"/>
          <w:szCs w:val="24"/>
          <w:highlight w:val="none"/>
        </w:rPr>
        <w:t>12</w:t>
      </w:r>
      <w:r>
        <w:rPr>
          <w:rFonts w:ascii="宋体" w:hAnsi="宋体" w:eastAsia="宋体" w:cs="宋体"/>
          <w:color w:val="auto"/>
          <w:spacing w:val="-3"/>
          <w:sz w:val="24"/>
          <w:szCs w:val="24"/>
          <w:highlight w:val="none"/>
        </w:rPr>
        <w:t>号）、《工程建设项目施工招标投标办法》（原国家发展计划委</w:t>
      </w:r>
      <w:r>
        <w:rPr>
          <w:rFonts w:ascii="宋体" w:hAnsi="宋体" w:eastAsia="宋体" w:cs="宋体"/>
          <w:color w:val="auto"/>
          <w:spacing w:val="-9"/>
          <w:sz w:val="24"/>
          <w:szCs w:val="24"/>
          <w:highlight w:val="none"/>
        </w:rPr>
        <w:t>员会等七部委令第</w:t>
      </w:r>
      <w:r>
        <w:rPr>
          <w:rFonts w:ascii="Times New Roman" w:hAnsi="Times New Roman" w:eastAsia="Times New Roman" w:cs="Times New Roman"/>
          <w:color w:val="auto"/>
          <w:spacing w:val="-9"/>
          <w:sz w:val="24"/>
          <w:szCs w:val="24"/>
          <w:highlight w:val="none"/>
        </w:rPr>
        <w:t>30</w:t>
      </w:r>
      <w:r>
        <w:rPr>
          <w:rFonts w:ascii="宋体" w:hAnsi="宋体" w:eastAsia="宋体" w:cs="宋体"/>
          <w:color w:val="auto"/>
          <w:spacing w:val="-9"/>
          <w:sz w:val="24"/>
          <w:szCs w:val="24"/>
          <w:highlight w:val="none"/>
        </w:rPr>
        <w:t>号）、《关于废止和修改部分招标投标规章和规范性文件的决定》</w:t>
      </w:r>
      <w:r>
        <w:rPr>
          <w:rFonts w:ascii="宋体" w:hAnsi="宋体" w:eastAsia="宋体" w:cs="宋体"/>
          <w:color w:val="auto"/>
          <w:spacing w:val="2"/>
          <w:sz w:val="24"/>
          <w:szCs w:val="24"/>
          <w:highlight w:val="none"/>
        </w:rPr>
        <w:t xml:space="preserve"> </w:t>
      </w:r>
      <w:r>
        <w:rPr>
          <w:rFonts w:ascii="宋体" w:hAnsi="宋体" w:eastAsia="宋体" w:cs="宋体"/>
          <w:color w:val="auto"/>
          <w:spacing w:val="-2"/>
          <w:sz w:val="24"/>
          <w:szCs w:val="24"/>
          <w:highlight w:val="none"/>
        </w:rPr>
        <w:t>（九部委第</w:t>
      </w:r>
      <w:r>
        <w:rPr>
          <w:rFonts w:ascii="Times New Roman" w:hAnsi="Times New Roman" w:eastAsia="Times New Roman" w:cs="Times New Roman"/>
          <w:color w:val="auto"/>
          <w:spacing w:val="-2"/>
          <w:sz w:val="24"/>
          <w:szCs w:val="24"/>
          <w:highlight w:val="none"/>
        </w:rPr>
        <w:t>23</w:t>
      </w:r>
      <w:r>
        <w:rPr>
          <w:rFonts w:ascii="宋体" w:hAnsi="宋体" w:eastAsia="宋体" w:cs="宋体"/>
          <w:color w:val="auto"/>
          <w:spacing w:val="-2"/>
          <w:sz w:val="24"/>
          <w:szCs w:val="24"/>
          <w:highlight w:val="none"/>
        </w:rPr>
        <w:t>号令）等有关的法律、法规和规章制度规定，制定本办法。</w:t>
      </w:r>
    </w:p>
    <w:p w14:paraId="1A25328A">
      <w:pPr>
        <w:spacing w:before="119" w:line="221" w:lineRule="auto"/>
        <w:ind w:left="2"/>
        <w:outlineLvl w:val="1"/>
        <w:rPr>
          <w:rFonts w:ascii="宋体" w:hAnsi="宋体" w:eastAsia="宋体" w:cs="宋体"/>
          <w:color w:val="auto"/>
          <w:sz w:val="28"/>
          <w:szCs w:val="28"/>
          <w:highlight w:val="none"/>
        </w:rPr>
      </w:pPr>
      <w:bookmarkStart w:id="228" w:name="bookmark93"/>
      <w:bookmarkEnd w:id="228"/>
      <w:r>
        <w:rPr>
          <w:rFonts w:ascii="Times New Roman" w:hAnsi="Times New Roman" w:eastAsia="Times New Roman" w:cs="Times New Roman"/>
          <w:b/>
          <w:bCs/>
          <w:color w:val="auto"/>
          <w:spacing w:val="-2"/>
          <w:sz w:val="28"/>
          <w:szCs w:val="28"/>
          <w:highlight w:val="none"/>
        </w:rPr>
        <w:t xml:space="preserve">2  </w:t>
      </w:r>
      <w:r>
        <w:rPr>
          <w:rFonts w:ascii="宋体" w:hAnsi="宋体" w:eastAsia="宋体" w:cs="宋体"/>
          <w:b/>
          <w:bCs/>
          <w:color w:val="auto"/>
          <w:spacing w:val="-2"/>
          <w:sz w:val="28"/>
          <w:szCs w:val="28"/>
          <w:highlight w:val="none"/>
        </w:rPr>
        <w:t>评标原则</w:t>
      </w:r>
    </w:p>
    <w:p w14:paraId="08A1E4DA">
      <w:pPr>
        <w:pStyle w:val="3"/>
        <w:spacing w:line="244" w:lineRule="auto"/>
        <w:rPr>
          <w:color w:val="auto"/>
          <w:highlight w:val="none"/>
        </w:rPr>
      </w:pPr>
    </w:p>
    <w:p w14:paraId="4D7C1467">
      <w:pPr>
        <w:spacing w:before="78" w:line="219" w:lineRule="auto"/>
        <w:ind w:left="48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评标应遵循公平、公正、科学、择优的原则。</w:t>
      </w:r>
    </w:p>
    <w:p w14:paraId="6FC372C8">
      <w:pPr>
        <w:spacing w:before="309" w:line="221" w:lineRule="auto"/>
        <w:outlineLvl w:val="1"/>
        <w:rPr>
          <w:rFonts w:ascii="宋体" w:hAnsi="宋体" w:eastAsia="宋体" w:cs="宋体"/>
          <w:color w:val="auto"/>
          <w:sz w:val="28"/>
          <w:szCs w:val="28"/>
          <w:highlight w:val="none"/>
        </w:rPr>
      </w:pPr>
      <w:bookmarkStart w:id="229" w:name="bookmark94"/>
      <w:bookmarkEnd w:id="229"/>
      <w:r>
        <w:rPr>
          <w:rFonts w:ascii="Times New Roman" w:hAnsi="Times New Roman" w:eastAsia="Times New Roman" w:cs="Times New Roman"/>
          <w:b/>
          <w:bCs/>
          <w:color w:val="auto"/>
          <w:spacing w:val="-2"/>
          <w:sz w:val="28"/>
          <w:szCs w:val="28"/>
          <w:highlight w:val="none"/>
        </w:rPr>
        <w:t xml:space="preserve">3  </w:t>
      </w:r>
      <w:r>
        <w:rPr>
          <w:rFonts w:ascii="宋体" w:hAnsi="宋体" w:eastAsia="宋体" w:cs="宋体"/>
          <w:b/>
          <w:bCs/>
          <w:color w:val="auto"/>
          <w:spacing w:val="-2"/>
          <w:sz w:val="28"/>
          <w:szCs w:val="28"/>
          <w:highlight w:val="none"/>
        </w:rPr>
        <w:t>评标组织</w:t>
      </w:r>
    </w:p>
    <w:p w14:paraId="07D9080D">
      <w:pPr>
        <w:pStyle w:val="3"/>
        <w:spacing w:line="244" w:lineRule="auto"/>
        <w:rPr>
          <w:color w:val="auto"/>
          <w:highlight w:val="none"/>
        </w:rPr>
      </w:pPr>
    </w:p>
    <w:p w14:paraId="206AA8AE">
      <w:pPr>
        <w:spacing w:before="78" w:line="360" w:lineRule="auto"/>
        <w:ind w:left="6" w:right="2" w:firstLine="47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评标工作由招标人依法组建的评标委员会负责，评标委员会的组建办法详见投标</w:t>
      </w:r>
      <w:r>
        <w:rPr>
          <w:rFonts w:ascii="宋体" w:hAnsi="宋体" w:eastAsia="宋体" w:cs="宋体"/>
          <w:color w:val="auto"/>
          <w:spacing w:val="-6"/>
          <w:sz w:val="24"/>
          <w:szCs w:val="24"/>
          <w:highlight w:val="none"/>
        </w:rPr>
        <w:t>人须知前附表。</w:t>
      </w:r>
    </w:p>
    <w:p w14:paraId="57ECB412">
      <w:pPr>
        <w:spacing w:before="124" w:line="220" w:lineRule="auto"/>
        <w:ind w:left="2"/>
        <w:outlineLvl w:val="1"/>
        <w:rPr>
          <w:rFonts w:ascii="宋体" w:hAnsi="宋体" w:eastAsia="宋体" w:cs="宋体"/>
          <w:color w:val="auto"/>
          <w:sz w:val="28"/>
          <w:szCs w:val="28"/>
          <w:highlight w:val="none"/>
        </w:rPr>
      </w:pPr>
      <w:bookmarkStart w:id="230" w:name="bookmark95"/>
      <w:bookmarkEnd w:id="230"/>
      <w:bookmarkStart w:id="231" w:name="bookmark96"/>
      <w:bookmarkEnd w:id="231"/>
      <w:r>
        <w:rPr>
          <w:rFonts w:ascii="Times New Roman" w:hAnsi="Times New Roman" w:eastAsia="Times New Roman" w:cs="Times New Roman"/>
          <w:b/>
          <w:bCs/>
          <w:color w:val="auto"/>
          <w:spacing w:val="-2"/>
          <w:sz w:val="28"/>
          <w:szCs w:val="28"/>
          <w:highlight w:val="none"/>
        </w:rPr>
        <w:t xml:space="preserve">4  </w:t>
      </w:r>
      <w:r>
        <w:rPr>
          <w:rFonts w:ascii="宋体" w:hAnsi="宋体" w:eastAsia="宋体" w:cs="宋体"/>
          <w:b/>
          <w:bCs/>
          <w:color w:val="auto"/>
          <w:spacing w:val="-2"/>
          <w:sz w:val="28"/>
          <w:szCs w:val="28"/>
          <w:highlight w:val="none"/>
        </w:rPr>
        <w:t>评标程序和内容</w:t>
      </w:r>
    </w:p>
    <w:p w14:paraId="658965FD">
      <w:pPr>
        <w:pStyle w:val="3"/>
        <w:spacing w:line="246" w:lineRule="auto"/>
        <w:rPr>
          <w:color w:val="auto"/>
          <w:highlight w:val="none"/>
        </w:rPr>
      </w:pPr>
    </w:p>
    <w:p w14:paraId="6AADAA48">
      <w:pPr>
        <w:spacing w:before="78" w:line="220" w:lineRule="auto"/>
        <w:ind w:left="1"/>
        <w:outlineLvl w:val="2"/>
        <w:rPr>
          <w:rFonts w:ascii="宋体" w:hAnsi="宋体" w:eastAsia="宋体" w:cs="宋体"/>
          <w:color w:val="auto"/>
          <w:sz w:val="24"/>
          <w:szCs w:val="24"/>
          <w:highlight w:val="none"/>
        </w:rPr>
      </w:pPr>
      <w:bookmarkStart w:id="232" w:name="bookmark676"/>
      <w:bookmarkEnd w:id="232"/>
      <w:r>
        <w:rPr>
          <w:rFonts w:ascii="Times New Roman" w:hAnsi="Times New Roman" w:eastAsia="Times New Roman" w:cs="Times New Roman"/>
          <w:b/>
          <w:bCs/>
          <w:color w:val="auto"/>
          <w:spacing w:val="-2"/>
          <w:sz w:val="24"/>
          <w:szCs w:val="24"/>
          <w:highlight w:val="none"/>
        </w:rPr>
        <w:t xml:space="preserve">4.1  </w:t>
      </w:r>
      <w:r>
        <w:rPr>
          <w:rFonts w:ascii="宋体" w:hAnsi="宋体" w:eastAsia="宋体" w:cs="宋体"/>
          <w:b/>
          <w:bCs/>
          <w:color w:val="auto"/>
          <w:spacing w:val="-2"/>
          <w:sz w:val="24"/>
          <w:szCs w:val="24"/>
          <w:highlight w:val="none"/>
        </w:rPr>
        <w:t>评标的一般程序</w:t>
      </w:r>
    </w:p>
    <w:p w14:paraId="67513D74">
      <w:pPr>
        <w:spacing w:before="179" w:line="220" w:lineRule="auto"/>
        <w:ind w:left="52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）熟悉招标文件和评标办法。</w:t>
      </w:r>
    </w:p>
    <w:p w14:paraId="15EFF620">
      <w:pPr>
        <w:spacing w:before="182" w:line="220" w:lineRule="auto"/>
        <w:ind w:left="56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）投标文件的技术符合性审查。</w:t>
      </w:r>
    </w:p>
    <w:p w14:paraId="267878EA">
      <w:pPr>
        <w:spacing w:before="182" w:line="220" w:lineRule="auto"/>
        <w:ind w:left="52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）投标文件的技术评审。</w:t>
      </w:r>
    </w:p>
    <w:p w14:paraId="6C09ACFB">
      <w:pPr>
        <w:spacing w:before="180" w:line="220" w:lineRule="auto"/>
        <w:ind w:left="52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4</w:t>
      </w:r>
      <w:r>
        <w:rPr>
          <w:rFonts w:ascii="宋体" w:hAnsi="宋体" w:eastAsia="宋体" w:cs="宋体"/>
          <w:color w:val="auto"/>
          <w:spacing w:val="-4"/>
          <w:sz w:val="24"/>
          <w:szCs w:val="24"/>
          <w:highlight w:val="none"/>
        </w:rPr>
        <w:t>）投标文件的资信评审。</w:t>
      </w:r>
    </w:p>
    <w:p w14:paraId="23EF0ABB">
      <w:pPr>
        <w:spacing w:before="182" w:line="220" w:lineRule="auto"/>
        <w:ind w:left="52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5</w:t>
      </w:r>
      <w:r>
        <w:rPr>
          <w:rFonts w:ascii="宋体" w:hAnsi="宋体" w:eastAsia="宋体" w:cs="宋体"/>
          <w:color w:val="auto"/>
          <w:spacing w:val="-4"/>
          <w:sz w:val="24"/>
          <w:szCs w:val="24"/>
          <w:highlight w:val="none"/>
        </w:rPr>
        <w:t>）投标文件的商务符合性审查。</w:t>
      </w:r>
    </w:p>
    <w:p w14:paraId="5A832090">
      <w:pPr>
        <w:spacing w:before="179" w:line="220" w:lineRule="auto"/>
        <w:ind w:left="52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6</w:t>
      </w:r>
      <w:r>
        <w:rPr>
          <w:rFonts w:ascii="宋体" w:hAnsi="宋体" w:eastAsia="宋体" w:cs="宋体"/>
          <w:color w:val="auto"/>
          <w:spacing w:val="-4"/>
          <w:sz w:val="24"/>
          <w:szCs w:val="24"/>
          <w:highlight w:val="none"/>
        </w:rPr>
        <w:t>）投标文件的商务评审。</w:t>
      </w:r>
    </w:p>
    <w:p w14:paraId="3A023C36">
      <w:pPr>
        <w:spacing w:before="183" w:line="289" w:lineRule="auto"/>
        <w:ind w:left="7" w:firstLine="51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7</w:t>
      </w:r>
      <w:r>
        <w:rPr>
          <w:rFonts w:ascii="宋体" w:hAnsi="宋体" w:eastAsia="宋体" w:cs="宋体"/>
          <w:color w:val="auto"/>
          <w:spacing w:val="-1"/>
          <w:sz w:val="24"/>
          <w:szCs w:val="24"/>
          <w:highlight w:val="none"/>
        </w:rPr>
        <w:t>）必要时对投标文件中的问题进行询标，拟作出否决投标决定前，应对相关</w:t>
      </w:r>
      <w:r>
        <w:rPr>
          <w:rFonts w:ascii="宋体" w:hAnsi="宋体" w:eastAsia="宋体" w:cs="宋体"/>
          <w:color w:val="auto"/>
          <w:spacing w:val="-2"/>
          <w:sz w:val="24"/>
          <w:szCs w:val="24"/>
          <w:highlight w:val="none"/>
        </w:rPr>
        <w:t>投标人进行询问核实。</w:t>
      </w:r>
    </w:p>
    <w:p w14:paraId="15C511DF">
      <w:pPr>
        <w:spacing w:before="182" w:line="219" w:lineRule="auto"/>
        <w:ind w:left="52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8</w:t>
      </w:r>
      <w:r>
        <w:rPr>
          <w:rFonts w:ascii="宋体" w:hAnsi="宋体" w:eastAsia="宋体" w:cs="宋体"/>
          <w:color w:val="auto"/>
          <w:spacing w:val="-5"/>
          <w:sz w:val="24"/>
          <w:szCs w:val="24"/>
          <w:highlight w:val="none"/>
        </w:rPr>
        <w:t>）推荐中标候选人。</w:t>
      </w:r>
    </w:p>
    <w:p w14:paraId="627D5E13">
      <w:pPr>
        <w:spacing w:before="181" w:line="218" w:lineRule="auto"/>
        <w:ind w:left="52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9</w:t>
      </w:r>
      <w:r>
        <w:rPr>
          <w:rFonts w:ascii="宋体" w:hAnsi="宋体" w:eastAsia="宋体" w:cs="宋体"/>
          <w:color w:val="auto"/>
          <w:spacing w:val="-5"/>
          <w:sz w:val="24"/>
          <w:szCs w:val="24"/>
          <w:highlight w:val="none"/>
        </w:rPr>
        <w:t>）完成评标报告。</w:t>
      </w:r>
    </w:p>
    <w:p w14:paraId="1E3D134A">
      <w:pPr>
        <w:spacing w:line="218" w:lineRule="auto"/>
        <w:rPr>
          <w:rFonts w:ascii="宋体" w:hAnsi="宋体" w:eastAsia="宋体" w:cs="宋体"/>
          <w:color w:val="auto"/>
          <w:sz w:val="24"/>
          <w:szCs w:val="24"/>
          <w:highlight w:val="none"/>
        </w:rPr>
        <w:sectPr>
          <w:footerReference r:id="rId19" w:type="default"/>
          <w:pgSz w:w="11907" w:h="16841"/>
          <w:pgMar w:top="1423" w:right="1526" w:bottom="1254" w:left="1593" w:header="0" w:footer="1093" w:gutter="0"/>
          <w:pgNumType w:fmt="decimal"/>
          <w:cols w:space="720" w:num="1"/>
        </w:sectPr>
      </w:pPr>
    </w:p>
    <w:p w14:paraId="12BFE456">
      <w:pPr>
        <w:spacing w:before="47" w:line="220" w:lineRule="auto"/>
        <w:outlineLvl w:val="2"/>
        <w:rPr>
          <w:rFonts w:ascii="宋体" w:hAnsi="宋体" w:eastAsia="宋体" w:cs="宋体"/>
          <w:color w:val="auto"/>
          <w:sz w:val="24"/>
          <w:szCs w:val="24"/>
          <w:highlight w:val="none"/>
        </w:rPr>
      </w:pPr>
      <w:bookmarkStart w:id="233" w:name="bookmark97"/>
      <w:bookmarkEnd w:id="233"/>
      <w:r>
        <w:rPr>
          <w:rFonts w:ascii="Times New Roman" w:hAnsi="Times New Roman" w:eastAsia="Times New Roman" w:cs="Times New Roman"/>
          <w:b/>
          <w:bCs/>
          <w:color w:val="auto"/>
          <w:spacing w:val="-2"/>
          <w:sz w:val="24"/>
          <w:szCs w:val="24"/>
          <w:highlight w:val="none"/>
        </w:rPr>
        <w:t xml:space="preserve">4.2  </w:t>
      </w:r>
      <w:r>
        <w:rPr>
          <w:rFonts w:ascii="宋体" w:hAnsi="宋体" w:eastAsia="宋体" w:cs="宋体"/>
          <w:b/>
          <w:bCs/>
          <w:color w:val="auto"/>
          <w:spacing w:val="-2"/>
          <w:sz w:val="24"/>
          <w:szCs w:val="24"/>
          <w:highlight w:val="none"/>
        </w:rPr>
        <w:t>投标文件的技术符合性审查</w:t>
      </w:r>
    </w:p>
    <w:p w14:paraId="4A81CA2B">
      <w:pPr>
        <w:spacing w:before="182" w:line="289" w:lineRule="auto"/>
        <w:ind w:left="4" w:firstLine="547"/>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4.2.1  </w:t>
      </w:r>
      <w:r>
        <w:rPr>
          <w:rFonts w:ascii="宋体" w:hAnsi="宋体" w:eastAsia="宋体" w:cs="宋体"/>
          <w:color w:val="auto"/>
          <w:spacing w:val="-1"/>
          <w:sz w:val="24"/>
          <w:szCs w:val="24"/>
          <w:highlight w:val="none"/>
        </w:rPr>
        <w:t>评标委员会应依照招标文件的要求和规定，首</w:t>
      </w:r>
      <w:r>
        <w:rPr>
          <w:rFonts w:ascii="宋体" w:hAnsi="宋体" w:eastAsia="宋体" w:cs="宋体"/>
          <w:color w:val="auto"/>
          <w:spacing w:val="-2"/>
          <w:sz w:val="24"/>
          <w:szCs w:val="24"/>
          <w:highlight w:val="none"/>
        </w:rPr>
        <w:t>先对投标人的投标资格和投</w:t>
      </w:r>
      <w:r>
        <w:rPr>
          <w:rFonts w:ascii="宋体" w:hAnsi="宋体" w:eastAsia="宋体" w:cs="宋体"/>
          <w:color w:val="auto"/>
          <w:spacing w:val="-1"/>
          <w:sz w:val="24"/>
          <w:szCs w:val="24"/>
          <w:highlight w:val="none"/>
        </w:rPr>
        <w:t>标文件进行技术符合性审查。技术符合性审查未通过的投标文件不再进入后续评审。</w:t>
      </w:r>
    </w:p>
    <w:p w14:paraId="34F53FB2">
      <w:pPr>
        <w:spacing w:before="183" w:line="288" w:lineRule="auto"/>
        <w:ind w:left="23" w:right="80" w:firstLine="52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4.2.2  </w:t>
      </w:r>
      <w:r>
        <w:rPr>
          <w:rFonts w:ascii="宋体" w:hAnsi="宋体" w:eastAsia="宋体" w:cs="宋体"/>
          <w:color w:val="auto"/>
          <w:spacing w:val="-1"/>
          <w:sz w:val="24"/>
          <w:szCs w:val="24"/>
          <w:highlight w:val="none"/>
        </w:rPr>
        <w:t>投标人不得通过补充、修改或撤销投标文件中的内容使其</w:t>
      </w:r>
      <w:r>
        <w:rPr>
          <w:rFonts w:ascii="宋体" w:hAnsi="宋体" w:eastAsia="宋体" w:cs="宋体"/>
          <w:color w:val="auto"/>
          <w:spacing w:val="-2"/>
          <w:sz w:val="24"/>
          <w:szCs w:val="24"/>
          <w:highlight w:val="none"/>
        </w:rPr>
        <w:t>成为实质性响应的投标。投标人在投标截止以后不得提交任何资料作为</w:t>
      </w:r>
      <w:r>
        <w:rPr>
          <w:rFonts w:ascii="宋体" w:hAnsi="宋体" w:eastAsia="宋体" w:cs="宋体"/>
          <w:color w:val="auto"/>
          <w:spacing w:val="-3"/>
          <w:sz w:val="24"/>
          <w:szCs w:val="24"/>
          <w:highlight w:val="none"/>
        </w:rPr>
        <w:t>评标依据。</w:t>
      </w:r>
    </w:p>
    <w:p w14:paraId="46F69339">
      <w:pPr>
        <w:spacing w:before="182" w:line="313" w:lineRule="auto"/>
        <w:ind w:left="5" w:right="18" w:firstLine="53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4.2.3  </w:t>
      </w:r>
      <w:r>
        <w:rPr>
          <w:rFonts w:ascii="宋体" w:hAnsi="宋体" w:eastAsia="宋体" w:cs="宋体"/>
          <w:color w:val="auto"/>
          <w:spacing w:val="-1"/>
          <w:sz w:val="24"/>
          <w:szCs w:val="24"/>
          <w:highlight w:val="none"/>
        </w:rPr>
        <w:t>投标文件如存在以下情况之一的，由评标委员会全体成员按照少数服从多数的原则记名投票（不得弃权）认定，作为技术符合性审查未通过予以否</w:t>
      </w:r>
      <w:r>
        <w:rPr>
          <w:rFonts w:ascii="宋体" w:hAnsi="宋体" w:eastAsia="宋体" w:cs="宋体"/>
          <w:color w:val="auto"/>
          <w:spacing w:val="-2"/>
          <w:sz w:val="24"/>
          <w:szCs w:val="24"/>
          <w:highlight w:val="none"/>
        </w:rPr>
        <w:t>决其投标，</w:t>
      </w:r>
      <w:r>
        <w:rPr>
          <w:rFonts w:ascii="宋体" w:hAnsi="宋体" w:eastAsia="宋体" w:cs="宋体"/>
          <w:color w:val="auto"/>
          <w:spacing w:val="-7"/>
          <w:sz w:val="24"/>
          <w:szCs w:val="24"/>
          <w:highlight w:val="none"/>
        </w:rPr>
        <w:t>不再进行后续评审：</w:t>
      </w:r>
    </w:p>
    <w:p w14:paraId="46D53CAE">
      <w:pPr>
        <w:spacing w:before="180" w:line="289" w:lineRule="auto"/>
        <w:ind w:left="2" w:right="92" w:firstLine="55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）投标人未按招标文件要求加盖单位印章或投标人的法定代表人（或其委托</w:t>
      </w:r>
      <w:r>
        <w:rPr>
          <w:rFonts w:ascii="宋体" w:hAnsi="宋体" w:eastAsia="宋体" w:cs="宋体"/>
          <w:color w:val="auto"/>
          <w:spacing w:val="-3"/>
          <w:sz w:val="24"/>
          <w:szCs w:val="24"/>
          <w:highlight w:val="none"/>
        </w:rPr>
        <w:t>代理人）未按招标文件要求签字或盖章的。</w:t>
      </w:r>
    </w:p>
    <w:p w14:paraId="1A63E263">
      <w:pPr>
        <w:spacing w:before="182" w:line="289" w:lineRule="auto"/>
        <w:ind w:left="8" w:right="92" w:firstLine="55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）投标人法定代表人授权委托代理人签署投标文件，未提供有效的授权委托</w:t>
      </w:r>
      <w:r>
        <w:rPr>
          <w:rFonts w:ascii="宋体" w:hAnsi="宋体" w:eastAsia="宋体" w:cs="宋体"/>
          <w:color w:val="auto"/>
          <w:spacing w:val="-1"/>
          <w:sz w:val="24"/>
          <w:szCs w:val="24"/>
          <w:highlight w:val="none"/>
        </w:rPr>
        <w:t>书的或投标人法定代表人亲自签署投标文件</w:t>
      </w:r>
      <w:r>
        <w:rPr>
          <w:rFonts w:ascii="宋体" w:hAnsi="宋体" w:eastAsia="宋体" w:cs="宋体"/>
          <w:color w:val="auto"/>
          <w:spacing w:val="-2"/>
          <w:sz w:val="24"/>
          <w:szCs w:val="24"/>
          <w:highlight w:val="none"/>
        </w:rPr>
        <w:t>，未提供法定代表人身份证明的。</w:t>
      </w:r>
    </w:p>
    <w:p w14:paraId="3F19321A">
      <w:pPr>
        <w:spacing w:before="181" w:line="219" w:lineRule="auto"/>
        <w:ind w:left="55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w:t>
      </w:r>
      <w:r>
        <w:rPr>
          <w:rFonts w:ascii="Times New Roman" w:hAnsi="Times New Roman" w:eastAsia="Times New Roman" w:cs="Times New Roman"/>
          <w:strike/>
          <w:dstrike w:val="0"/>
          <w:color w:val="auto"/>
          <w:spacing w:val="-3"/>
          <w:sz w:val="24"/>
          <w:szCs w:val="24"/>
          <w:highlight w:val="none"/>
        </w:rPr>
        <w:t>3</w:t>
      </w:r>
      <w:r>
        <w:rPr>
          <w:rFonts w:ascii="宋体" w:hAnsi="宋体" w:eastAsia="宋体" w:cs="宋体"/>
          <w:strike/>
          <w:dstrike w:val="0"/>
          <w:color w:val="auto"/>
          <w:spacing w:val="-3"/>
          <w:sz w:val="24"/>
          <w:szCs w:val="24"/>
          <w:highlight w:val="none"/>
        </w:rPr>
        <w:t>）联合体投标未附有效的联合体协议书的。</w:t>
      </w:r>
    </w:p>
    <w:p w14:paraId="6A090DD9">
      <w:pPr>
        <w:spacing w:before="185" w:line="288" w:lineRule="auto"/>
        <w:ind w:left="22" w:right="95" w:firstLine="53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）投标人的投标资格不满足招标文件载明的强制性要求的（以投标人</w:t>
      </w:r>
      <w:r>
        <w:rPr>
          <w:rFonts w:ascii="宋体" w:hAnsi="宋体" w:eastAsia="宋体" w:cs="宋体"/>
          <w:color w:val="auto"/>
          <w:spacing w:val="-3"/>
          <w:sz w:val="24"/>
          <w:szCs w:val="24"/>
          <w:highlight w:val="none"/>
        </w:rPr>
        <w:t>须知前</w:t>
      </w:r>
      <w:r>
        <w:rPr>
          <w:rFonts w:ascii="宋体" w:hAnsi="宋体" w:eastAsia="宋体" w:cs="宋体"/>
          <w:color w:val="auto"/>
          <w:spacing w:val="-2"/>
          <w:sz w:val="24"/>
          <w:szCs w:val="24"/>
          <w:highlight w:val="none"/>
        </w:rPr>
        <w:t>附表第</w:t>
      </w:r>
      <w:r>
        <w:rPr>
          <w:rFonts w:ascii="Times New Roman" w:hAnsi="Times New Roman" w:eastAsia="Times New Roman" w:cs="Times New Roman"/>
          <w:color w:val="auto"/>
          <w:spacing w:val="-2"/>
          <w:sz w:val="24"/>
          <w:szCs w:val="24"/>
          <w:highlight w:val="none"/>
        </w:rPr>
        <w:t>10.3</w:t>
      </w:r>
      <w:r>
        <w:rPr>
          <w:rFonts w:ascii="宋体" w:hAnsi="宋体" w:eastAsia="宋体" w:cs="宋体"/>
          <w:color w:val="auto"/>
          <w:spacing w:val="-2"/>
          <w:sz w:val="24"/>
          <w:szCs w:val="24"/>
          <w:highlight w:val="none"/>
        </w:rPr>
        <w:t>款实质性响应招标文件资料为准</w:t>
      </w:r>
      <w:r>
        <w:rPr>
          <w:rFonts w:ascii="宋体" w:hAnsi="宋体" w:eastAsia="宋体" w:cs="宋体"/>
          <w:color w:val="auto"/>
          <w:spacing w:val="2"/>
          <w:sz w:val="24"/>
          <w:szCs w:val="24"/>
          <w:highlight w:val="none"/>
        </w:rPr>
        <w:t>），</w:t>
      </w:r>
      <w:r>
        <w:rPr>
          <w:rFonts w:ascii="宋体" w:hAnsi="宋体" w:eastAsia="宋体" w:cs="宋体"/>
          <w:color w:val="auto"/>
          <w:spacing w:val="-2"/>
          <w:sz w:val="24"/>
          <w:szCs w:val="24"/>
          <w:highlight w:val="none"/>
        </w:rPr>
        <w:t>或不满足国家有关规定的。</w:t>
      </w:r>
    </w:p>
    <w:p w14:paraId="37ECBA6F">
      <w:pPr>
        <w:spacing w:before="183" w:line="220" w:lineRule="auto"/>
        <w:ind w:left="54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5</w:t>
      </w:r>
      <w:r>
        <w:rPr>
          <w:rFonts w:ascii="宋体" w:hAnsi="宋体" w:eastAsia="宋体" w:cs="宋体"/>
          <w:color w:val="auto"/>
          <w:spacing w:val="-2"/>
          <w:sz w:val="24"/>
          <w:szCs w:val="24"/>
          <w:highlight w:val="none"/>
        </w:rPr>
        <w:t>）项目负责人、技术负责人或副项目负责人（若有）不明确的。</w:t>
      </w:r>
    </w:p>
    <w:p w14:paraId="7130CA89">
      <w:pPr>
        <w:spacing w:before="184" w:line="288" w:lineRule="auto"/>
        <w:ind w:left="4" w:right="93" w:firstLine="55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6</w:t>
      </w:r>
      <w:r>
        <w:rPr>
          <w:rFonts w:ascii="宋体" w:hAnsi="宋体" w:eastAsia="宋体" w:cs="宋体"/>
          <w:color w:val="auto"/>
          <w:spacing w:val="-2"/>
          <w:sz w:val="24"/>
          <w:szCs w:val="24"/>
          <w:highlight w:val="none"/>
        </w:rPr>
        <w:t>）拟实行分包的，其分包的工作不满足招标文件载明的强制性要求的（以投</w:t>
      </w:r>
      <w:r>
        <w:rPr>
          <w:rFonts w:ascii="宋体" w:hAnsi="宋体" w:eastAsia="宋体" w:cs="宋体"/>
          <w:color w:val="auto"/>
          <w:spacing w:val="-3"/>
          <w:sz w:val="24"/>
          <w:szCs w:val="24"/>
          <w:highlight w:val="none"/>
        </w:rPr>
        <w:t>标人须知前附表第</w:t>
      </w:r>
      <w:r>
        <w:rPr>
          <w:rFonts w:ascii="Times New Roman" w:hAnsi="Times New Roman" w:eastAsia="Times New Roman" w:cs="Times New Roman"/>
          <w:color w:val="auto"/>
          <w:spacing w:val="-3"/>
          <w:sz w:val="24"/>
          <w:szCs w:val="24"/>
          <w:highlight w:val="none"/>
        </w:rPr>
        <w:t>1.11</w:t>
      </w:r>
      <w:r>
        <w:rPr>
          <w:rFonts w:ascii="宋体" w:hAnsi="宋体" w:eastAsia="宋体" w:cs="宋体"/>
          <w:color w:val="auto"/>
          <w:spacing w:val="-3"/>
          <w:sz w:val="24"/>
          <w:szCs w:val="24"/>
          <w:highlight w:val="none"/>
        </w:rPr>
        <w:t>款为准）。</w:t>
      </w:r>
    </w:p>
    <w:p w14:paraId="47269AFF">
      <w:pPr>
        <w:spacing w:before="183" w:line="289" w:lineRule="auto"/>
        <w:ind w:left="2" w:right="96" w:firstLine="55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7</w:t>
      </w:r>
      <w:r>
        <w:rPr>
          <w:rFonts w:ascii="宋体" w:hAnsi="宋体" w:eastAsia="宋体" w:cs="宋体"/>
          <w:color w:val="auto"/>
          <w:spacing w:val="-2"/>
          <w:sz w:val="24"/>
          <w:szCs w:val="24"/>
          <w:highlight w:val="none"/>
        </w:rPr>
        <w:t>）同一投标人提交两个以上不同的投标文件且未声明哪一个有效的</w:t>
      </w:r>
      <w:r>
        <w:rPr>
          <w:rFonts w:ascii="宋体" w:hAnsi="宋体" w:eastAsia="宋体" w:cs="宋体"/>
          <w:color w:val="auto"/>
          <w:spacing w:val="-3"/>
          <w:sz w:val="24"/>
          <w:szCs w:val="24"/>
          <w:highlight w:val="none"/>
        </w:rPr>
        <w:t>（招标文件要求提交备选投标的除外）。</w:t>
      </w:r>
    </w:p>
    <w:p w14:paraId="7F990860">
      <w:pPr>
        <w:spacing w:before="183" w:line="289" w:lineRule="auto"/>
        <w:ind w:left="4" w:right="80" w:firstLine="55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8</w:t>
      </w:r>
      <w:r>
        <w:rPr>
          <w:rFonts w:ascii="宋体" w:hAnsi="宋体" w:eastAsia="宋体" w:cs="宋体"/>
          <w:color w:val="auto"/>
          <w:spacing w:val="-2"/>
          <w:sz w:val="24"/>
          <w:szCs w:val="24"/>
          <w:highlight w:val="none"/>
        </w:rPr>
        <w:t>）投标人不以自己的名义或未按招标文件要求提供投标保证金或提供的投标</w:t>
      </w:r>
      <w:r>
        <w:rPr>
          <w:rFonts w:ascii="宋体" w:hAnsi="宋体" w:eastAsia="宋体" w:cs="宋体"/>
          <w:color w:val="auto"/>
          <w:spacing w:val="-4"/>
          <w:sz w:val="24"/>
          <w:szCs w:val="24"/>
          <w:highlight w:val="none"/>
        </w:rPr>
        <w:t>保证金有缺陷而不能接受的。</w:t>
      </w:r>
    </w:p>
    <w:p w14:paraId="7B62F33F">
      <w:pPr>
        <w:spacing w:before="182" w:line="289" w:lineRule="auto"/>
        <w:ind w:left="7" w:right="80" w:firstLine="552"/>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w:t>
      </w:r>
      <w:r>
        <w:rPr>
          <w:rFonts w:ascii="Times New Roman" w:hAnsi="Times New Roman" w:eastAsia="Times New Roman" w:cs="Times New Roman"/>
          <w:color w:val="auto"/>
          <w:spacing w:val="-7"/>
          <w:sz w:val="24"/>
          <w:szCs w:val="24"/>
          <w:highlight w:val="none"/>
        </w:rPr>
        <w:t>9</w:t>
      </w:r>
      <w:r>
        <w:rPr>
          <w:rFonts w:ascii="宋体" w:hAnsi="宋体" w:eastAsia="宋体" w:cs="宋体"/>
          <w:color w:val="auto"/>
          <w:spacing w:val="-7"/>
          <w:sz w:val="24"/>
          <w:szCs w:val="24"/>
          <w:highlight w:val="none"/>
        </w:rPr>
        <w:t>）投标工期和质量不满足招标文件要求的（以投标人须知前附表第</w:t>
      </w:r>
      <w:r>
        <w:rPr>
          <w:rFonts w:ascii="Times New Roman" w:hAnsi="Times New Roman" w:eastAsia="Times New Roman" w:cs="Times New Roman"/>
          <w:color w:val="auto"/>
          <w:spacing w:val="-7"/>
          <w:sz w:val="24"/>
          <w:szCs w:val="24"/>
          <w:highlight w:val="none"/>
        </w:rPr>
        <w:t>1.3.2</w:t>
      </w:r>
      <w:r>
        <w:rPr>
          <w:rFonts w:ascii="宋体" w:hAnsi="宋体" w:eastAsia="宋体" w:cs="宋体"/>
          <w:color w:val="auto"/>
          <w:spacing w:val="-7"/>
          <w:sz w:val="24"/>
          <w:szCs w:val="24"/>
          <w:highlight w:val="none"/>
        </w:rPr>
        <w:t>、</w:t>
      </w:r>
      <w:r>
        <w:rPr>
          <w:rFonts w:ascii="Times New Roman" w:hAnsi="Times New Roman" w:eastAsia="Times New Roman" w:cs="Times New Roman"/>
          <w:color w:val="auto"/>
          <w:spacing w:val="-7"/>
          <w:sz w:val="24"/>
          <w:szCs w:val="24"/>
          <w:highlight w:val="none"/>
        </w:rPr>
        <w:t>1</w:t>
      </w:r>
      <w:r>
        <w:rPr>
          <w:rFonts w:ascii="Times New Roman" w:hAnsi="Times New Roman" w:eastAsia="Times New Roman" w:cs="Times New Roman"/>
          <w:color w:val="auto"/>
          <w:spacing w:val="-8"/>
          <w:sz w:val="24"/>
          <w:szCs w:val="24"/>
          <w:highlight w:val="none"/>
        </w:rPr>
        <w:t>.3.3</w:t>
      </w:r>
      <w:r>
        <w:rPr>
          <w:rFonts w:ascii="宋体" w:hAnsi="宋体" w:eastAsia="宋体" w:cs="宋体"/>
          <w:color w:val="auto"/>
          <w:spacing w:val="-3"/>
          <w:sz w:val="24"/>
          <w:szCs w:val="24"/>
          <w:highlight w:val="none"/>
        </w:rPr>
        <w:t>项为准）。</w:t>
      </w:r>
    </w:p>
    <w:p w14:paraId="3B0C9887">
      <w:pPr>
        <w:spacing w:before="181" w:line="289" w:lineRule="auto"/>
        <w:ind w:left="5" w:right="80" w:firstLine="554"/>
        <w:rPr>
          <w:rFonts w:hint="eastAsia" w:ascii="宋体" w:hAnsi="宋体" w:eastAsia="宋体" w:cs="宋体"/>
          <w:color w:val="auto"/>
          <w:sz w:val="24"/>
          <w:szCs w:val="24"/>
          <w:highlight w:val="none"/>
          <w:lang w:val="en-US" w:eastAsia="zh-CN"/>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10</w:t>
      </w:r>
      <w:r>
        <w:rPr>
          <w:rFonts w:ascii="宋体" w:hAnsi="宋体" w:eastAsia="宋体" w:cs="宋体"/>
          <w:color w:val="auto"/>
          <w:spacing w:val="2"/>
          <w:sz w:val="24"/>
          <w:szCs w:val="24"/>
          <w:highlight w:val="none"/>
        </w:rPr>
        <w:t>）采用的验收标准或主要技术指标达不到国家强制性标</w:t>
      </w:r>
      <w:r>
        <w:rPr>
          <w:rFonts w:ascii="宋体" w:hAnsi="宋体" w:eastAsia="宋体" w:cs="宋体"/>
          <w:color w:val="auto"/>
          <w:spacing w:val="1"/>
          <w:sz w:val="24"/>
          <w:szCs w:val="24"/>
          <w:highlight w:val="none"/>
        </w:rPr>
        <w:t>准或招标文件以下</w:t>
      </w:r>
      <w:r>
        <w:rPr>
          <w:rFonts w:ascii="宋体" w:hAnsi="宋体" w:eastAsia="宋体" w:cs="宋体"/>
          <w:color w:val="auto"/>
          <w:spacing w:val="-10"/>
          <w:sz w:val="24"/>
          <w:szCs w:val="24"/>
          <w:highlight w:val="none"/>
        </w:rPr>
        <w:t>条款规定的：</w:t>
      </w:r>
      <w:r>
        <w:rPr>
          <w:rFonts w:hint="eastAsia" w:ascii="宋体" w:hAnsi="宋体" w:eastAsia="宋体" w:cs="宋体"/>
          <w:color w:val="auto"/>
          <w:spacing w:val="-10"/>
          <w:sz w:val="24"/>
          <w:szCs w:val="24"/>
          <w:highlight w:val="none"/>
          <w:lang w:val="en-US" w:eastAsia="zh-CN"/>
        </w:rPr>
        <w:t>无</w:t>
      </w:r>
    </w:p>
    <w:p w14:paraId="26BE61E0">
      <w:pPr>
        <w:spacing w:before="179" w:line="290" w:lineRule="auto"/>
        <w:ind w:left="4" w:right="80" w:firstLine="55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11</w:t>
      </w:r>
      <w:r>
        <w:rPr>
          <w:rFonts w:ascii="宋体" w:hAnsi="宋体" w:eastAsia="宋体" w:cs="宋体"/>
          <w:color w:val="auto"/>
          <w:spacing w:val="2"/>
          <w:sz w:val="24"/>
          <w:szCs w:val="24"/>
          <w:highlight w:val="none"/>
        </w:rPr>
        <w:t>）采用的施工工艺、方法或质量安全管理措施不能满足</w:t>
      </w:r>
      <w:r>
        <w:rPr>
          <w:rFonts w:ascii="宋体" w:hAnsi="宋体" w:eastAsia="宋体" w:cs="宋体"/>
          <w:color w:val="auto"/>
          <w:spacing w:val="1"/>
          <w:sz w:val="24"/>
          <w:szCs w:val="24"/>
          <w:highlight w:val="none"/>
        </w:rPr>
        <w:t>国家强制性标准或</w:t>
      </w:r>
      <w:r>
        <w:rPr>
          <w:rFonts w:ascii="宋体" w:hAnsi="宋体" w:eastAsia="宋体" w:cs="宋体"/>
          <w:color w:val="auto"/>
          <w:spacing w:val="-9"/>
          <w:sz w:val="24"/>
          <w:szCs w:val="24"/>
          <w:highlight w:val="none"/>
        </w:rPr>
        <w:t>要求的。</w:t>
      </w:r>
    </w:p>
    <w:p w14:paraId="7E22B7B3">
      <w:pPr>
        <w:spacing w:before="177" w:line="220" w:lineRule="auto"/>
        <w:ind w:left="55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12</w:t>
      </w:r>
      <w:r>
        <w:rPr>
          <w:rFonts w:ascii="宋体" w:hAnsi="宋体" w:eastAsia="宋体" w:cs="宋体"/>
          <w:color w:val="auto"/>
          <w:spacing w:val="-2"/>
          <w:sz w:val="24"/>
          <w:szCs w:val="24"/>
          <w:highlight w:val="none"/>
        </w:rPr>
        <w:t>）投标人存在投标人须知第“</w:t>
      </w:r>
      <w:r>
        <w:rPr>
          <w:rFonts w:ascii="Times New Roman" w:hAnsi="Times New Roman" w:eastAsia="Times New Roman" w:cs="Times New Roman"/>
          <w:color w:val="auto"/>
          <w:spacing w:val="-2"/>
          <w:sz w:val="24"/>
          <w:szCs w:val="24"/>
          <w:highlight w:val="none"/>
        </w:rPr>
        <w:t xml:space="preserve">1.4.3  </w:t>
      </w:r>
      <w:r>
        <w:rPr>
          <w:rFonts w:ascii="宋体" w:hAnsi="宋体" w:eastAsia="宋体" w:cs="宋体"/>
          <w:color w:val="auto"/>
          <w:spacing w:val="-2"/>
          <w:sz w:val="24"/>
          <w:szCs w:val="24"/>
          <w:highlight w:val="none"/>
        </w:rPr>
        <w:t>投标人不得存在下列</w:t>
      </w:r>
      <w:r>
        <w:rPr>
          <w:rFonts w:ascii="宋体" w:hAnsi="宋体" w:eastAsia="宋体" w:cs="宋体"/>
          <w:color w:val="auto"/>
          <w:spacing w:val="-3"/>
          <w:sz w:val="24"/>
          <w:szCs w:val="24"/>
          <w:highlight w:val="none"/>
        </w:rPr>
        <w:t>情形之一</w:t>
      </w:r>
      <w:r>
        <w:rPr>
          <w:rFonts w:ascii="宋体" w:hAnsi="宋体" w:eastAsia="宋体" w:cs="宋体"/>
          <w:color w:val="auto"/>
          <w:spacing w:val="-88"/>
          <w:sz w:val="24"/>
          <w:szCs w:val="24"/>
          <w:highlight w:val="none"/>
        </w:rPr>
        <w:t xml:space="preserve"> </w:t>
      </w:r>
      <w:r>
        <w:rPr>
          <w:rFonts w:ascii="宋体" w:hAnsi="宋体" w:eastAsia="宋体" w:cs="宋体"/>
          <w:color w:val="auto"/>
          <w:spacing w:val="-3"/>
          <w:sz w:val="24"/>
          <w:szCs w:val="24"/>
          <w:highlight w:val="none"/>
        </w:rPr>
        <w:t>”项或投</w:t>
      </w:r>
    </w:p>
    <w:p w14:paraId="1E648C1A">
      <w:pPr>
        <w:spacing w:line="220" w:lineRule="auto"/>
        <w:rPr>
          <w:rFonts w:ascii="宋体" w:hAnsi="宋体" w:eastAsia="宋体" w:cs="宋体"/>
          <w:color w:val="auto"/>
          <w:sz w:val="24"/>
          <w:szCs w:val="24"/>
          <w:highlight w:val="none"/>
        </w:rPr>
        <w:sectPr>
          <w:footerReference r:id="rId20" w:type="default"/>
          <w:pgSz w:w="11907" w:h="16841"/>
          <w:pgMar w:top="1428" w:right="1448" w:bottom="1254" w:left="1594" w:header="0" w:footer="1093" w:gutter="0"/>
          <w:pgNumType w:fmt="decimal"/>
          <w:cols w:space="720" w:num="1"/>
        </w:sectPr>
      </w:pPr>
    </w:p>
    <w:p w14:paraId="231B491B">
      <w:pPr>
        <w:spacing w:before="47" w:line="220" w:lineRule="auto"/>
        <w:ind w:left="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标人须知“</w:t>
      </w:r>
      <w:r>
        <w:rPr>
          <w:rFonts w:ascii="Times New Roman" w:hAnsi="Times New Roman" w:eastAsia="Times New Roman" w:cs="Times New Roman"/>
          <w:color w:val="auto"/>
          <w:spacing w:val="-2"/>
          <w:sz w:val="24"/>
          <w:szCs w:val="24"/>
          <w:highlight w:val="none"/>
        </w:rPr>
        <w:t xml:space="preserve">9.2  </w:t>
      </w:r>
      <w:r>
        <w:rPr>
          <w:rFonts w:ascii="宋体" w:hAnsi="宋体" w:eastAsia="宋体" w:cs="宋体"/>
          <w:color w:val="auto"/>
          <w:spacing w:val="-2"/>
          <w:sz w:val="24"/>
          <w:szCs w:val="24"/>
          <w:highlight w:val="none"/>
        </w:rPr>
        <w:t>对投标人的纪律要求</w:t>
      </w:r>
      <w:r>
        <w:rPr>
          <w:rFonts w:ascii="宋体" w:hAnsi="宋体" w:eastAsia="宋体" w:cs="宋体"/>
          <w:color w:val="auto"/>
          <w:spacing w:val="-88"/>
          <w:sz w:val="24"/>
          <w:szCs w:val="24"/>
          <w:highlight w:val="none"/>
        </w:rPr>
        <w:t xml:space="preserve"> </w:t>
      </w:r>
      <w:r>
        <w:rPr>
          <w:rFonts w:ascii="宋体" w:hAnsi="宋体" w:eastAsia="宋体" w:cs="宋体"/>
          <w:color w:val="auto"/>
          <w:spacing w:val="-2"/>
          <w:sz w:val="24"/>
          <w:szCs w:val="24"/>
          <w:highlight w:val="none"/>
        </w:rPr>
        <w:t>”项规定情形之</w:t>
      </w:r>
      <w:r>
        <w:rPr>
          <w:rFonts w:ascii="宋体" w:hAnsi="宋体" w:eastAsia="宋体" w:cs="宋体"/>
          <w:color w:val="auto"/>
          <w:spacing w:val="-3"/>
          <w:sz w:val="24"/>
          <w:szCs w:val="24"/>
          <w:highlight w:val="none"/>
        </w:rPr>
        <w:t>一的。</w:t>
      </w:r>
    </w:p>
    <w:p w14:paraId="3E59FF28">
      <w:pPr>
        <w:spacing w:before="177" w:line="219" w:lineRule="auto"/>
        <w:ind w:left="56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hint="eastAsia" w:ascii="Times New Roman" w:hAnsi="Times New Roman" w:eastAsia="宋体" w:cs="Times New Roman"/>
          <w:color w:val="auto"/>
          <w:spacing w:val="-2"/>
          <w:sz w:val="24"/>
          <w:szCs w:val="24"/>
          <w:highlight w:val="none"/>
          <w:lang w:val="en-US" w:eastAsia="zh-CN"/>
        </w:rPr>
        <w:t>3</w:t>
      </w:r>
      <w:r>
        <w:rPr>
          <w:rFonts w:ascii="宋体" w:hAnsi="宋体" w:eastAsia="宋体" w:cs="宋体"/>
          <w:color w:val="auto"/>
          <w:spacing w:val="-2"/>
          <w:sz w:val="24"/>
          <w:szCs w:val="24"/>
          <w:highlight w:val="none"/>
        </w:rPr>
        <w:t>）存在法律、法规、规章规定的其他无效投标情况的。</w:t>
      </w:r>
    </w:p>
    <w:p w14:paraId="5E687B75">
      <w:pPr>
        <w:spacing w:before="182" w:line="220" w:lineRule="auto"/>
        <w:ind w:left="5"/>
        <w:outlineLvl w:val="2"/>
        <w:rPr>
          <w:rFonts w:ascii="宋体" w:hAnsi="宋体" w:eastAsia="宋体" w:cs="宋体"/>
          <w:color w:val="auto"/>
          <w:sz w:val="24"/>
          <w:szCs w:val="24"/>
          <w:highlight w:val="none"/>
        </w:rPr>
      </w:pPr>
      <w:bookmarkStart w:id="234" w:name="bookmark98"/>
      <w:bookmarkEnd w:id="234"/>
      <w:r>
        <w:rPr>
          <w:rFonts w:ascii="Times New Roman" w:hAnsi="Times New Roman" w:eastAsia="Times New Roman" w:cs="Times New Roman"/>
          <w:b/>
          <w:bCs/>
          <w:color w:val="auto"/>
          <w:spacing w:val="-2"/>
          <w:sz w:val="24"/>
          <w:szCs w:val="24"/>
          <w:highlight w:val="none"/>
        </w:rPr>
        <w:t xml:space="preserve">4.3  </w:t>
      </w:r>
      <w:r>
        <w:rPr>
          <w:rFonts w:ascii="宋体" w:hAnsi="宋体" w:eastAsia="宋体" w:cs="宋体"/>
          <w:b/>
          <w:bCs/>
          <w:color w:val="auto"/>
          <w:spacing w:val="-2"/>
          <w:sz w:val="24"/>
          <w:szCs w:val="24"/>
          <w:highlight w:val="none"/>
        </w:rPr>
        <w:t>投标文件的技术评审</w:t>
      </w:r>
    </w:p>
    <w:p w14:paraId="6027A0E6">
      <w:pPr>
        <w:spacing w:before="179" w:line="219" w:lineRule="auto"/>
        <w:ind w:left="55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4.3.1  </w:t>
      </w:r>
      <w:r>
        <w:rPr>
          <w:rFonts w:ascii="宋体" w:hAnsi="宋体" w:eastAsia="宋体" w:cs="宋体"/>
          <w:color w:val="auto"/>
          <w:spacing w:val="-1"/>
          <w:sz w:val="24"/>
          <w:szCs w:val="24"/>
          <w:highlight w:val="none"/>
        </w:rPr>
        <w:t>评标委员会应对通过技术符合性审查的投标文件进</w:t>
      </w:r>
      <w:r>
        <w:rPr>
          <w:rFonts w:ascii="宋体" w:hAnsi="宋体" w:eastAsia="宋体" w:cs="宋体"/>
          <w:color w:val="auto"/>
          <w:spacing w:val="-2"/>
          <w:sz w:val="24"/>
          <w:szCs w:val="24"/>
          <w:highlight w:val="none"/>
        </w:rPr>
        <w:t>行技术评审。</w:t>
      </w:r>
    </w:p>
    <w:p w14:paraId="1AF471B0">
      <w:pPr>
        <w:spacing w:before="183" w:line="289" w:lineRule="auto"/>
        <w:ind w:left="29" w:right="235" w:firstLine="52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4.3.2  </w:t>
      </w:r>
      <w:r>
        <w:rPr>
          <w:rFonts w:ascii="宋体" w:hAnsi="宋体" w:eastAsia="宋体" w:cs="宋体"/>
          <w:color w:val="auto"/>
          <w:spacing w:val="-1"/>
          <w:sz w:val="24"/>
          <w:szCs w:val="24"/>
          <w:highlight w:val="none"/>
        </w:rPr>
        <w:t>如投标文件有以下情况之一的，由评标委员会全体成员按</w:t>
      </w:r>
      <w:r>
        <w:rPr>
          <w:rFonts w:ascii="宋体" w:hAnsi="宋体" w:eastAsia="宋体" w:cs="宋体"/>
          <w:color w:val="auto"/>
          <w:spacing w:val="-2"/>
          <w:sz w:val="24"/>
          <w:szCs w:val="24"/>
          <w:highlight w:val="none"/>
        </w:rPr>
        <w:t>照少数服从多数</w:t>
      </w:r>
      <w:r>
        <w:rPr>
          <w:rFonts w:ascii="宋体" w:hAnsi="宋体" w:eastAsia="宋体" w:cs="宋体"/>
          <w:color w:val="auto"/>
          <w:spacing w:val="-3"/>
          <w:sz w:val="24"/>
          <w:szCs w:val="24"/>
          <w:highlight w:val="none"/>
        </w:rPr>
        <w:t>的原则记名投票（不得弃权）认定，作为技术评审不合格处理：</w:t>
      </w:r>
    </w:p>
    <w:p w14:paraId="3D3C64F8">
      <w:pPr>
        <w:spacing w:before="182" w:line="220" w:lineRule="auto"/>
        <w:ind w:left="55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）主要的施工技术方案或安全保障措施不可</w:t>
      </w:r>
      <w:r>
        <w:rPr>
          <w:rFonts w:ascii="宋体" w:hAnsi="宋体" w:eastAsia="宋体" w:cs="宋体"/>
          <w:color w:val="auto"/>
          <w:spacing w:val="-3"/>
          <w:sz w:val="24"/>
          <w:szCs w:val="24"/>
          <w:highlight w:val="none"/>
        </w:rPr>
        <w:t>行的。</w:t>
      </w:r>
    </w:p>
    <w:p w14:paraId="63B1194A">
      <w:pPr>
        <w:spacing w:before="180" w:line="219" w:lineRule="auto"/>
        <w:ind w:left="55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）主要施工机械设备不能满足施工需要的。</w:t>
      </w:r>
    </w:p>
    <w:p w14:paraId="46889DB5">
      <w:pPr>
        <w:spacing w:before="184" w:line="219" w:lineRule="auto"/>
        <w:ind w:left="55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）附有工程无法适用的其他技术和管理</w:t>
      </w:r>
      <w:r>
        <w:rPr>
          <w:rFonts w:ascii="宋体" w:hAnsi="宋体" w:eastAsia="宋体" w:cs="宋体"/>
          <w:color w:val="auto"/>
          <w:spacing w:val="-3"/>
          <w:sz w:val="24"/>
          <w:szCs w:val="24"/>
          <w:highlight w:val="none"/>
        </w:rPr>
        <w:t>条款的。</w:t>
      </w:r>
    </w:p>
    <w:p w14:paraId="31B4094C">
      <w:pPr>
        <w:spacing w:before="181" w:line="213" w:lineRule="auto"/>
        <w:ind w:left="565"/>
        <w:rPr>
          <w:rFonts w:ascii="宋体" w:hAnsi="宋体" w:eastAsia="宋体" w:cs="宋体"/>
          <w:strike/>
          <w:dstrike w:val="0"/>
          <w:color w:val="auto"/>
          <w:sz w:val="25"/>
          <w:szCs w:val="25"/>
          <w:highlight w:val="none"/>
        </w:rPr>
      </w:pPr>
      <w:r>
        <w:rPr>
          <w:rFonts w:ascii="宋体" w:hAnsi="宋体" w:eastAsia="宋体" w:cs="宋体"/>
          <w:strike/>
          <w:dstrike w:val="0"/>
          <w:color w:val="auto"/>
          <w:spacing w:val="-13"/>
          <w:sz w:val="24"/>
          <w:szCs w:val="24"/>
          <w:highlight w:val="none"/>
        </w:rPr>
        <w:t>（</w:t>
      </w:r>
      <w:r>
        <w:rPr>
          <w:rFonts w:ascii="Times New Roman" w:hAnsi="Times New Roman" w:eastAsia="Times New Roman" w:cs="Times New Roman"/>
          <w:strike/>
          <w:dstrike w:val="0"/>
          <w:color w:val="auto"/>
          <w:spacing w:val="-13"/>
          <w:sz w:val="24"/>
          <w:szCs w:val="24"/>
          <w:highlight w:val="none"/>
        </w:rPr>
        <w:t>4</w:t>
      </w:r>
      <w:r>
        <w:rPr>
          <w:rFonts w:ascii="宋体" w:hAnsi="宋体" w:eastAsia="宋体" w:cs="宋体"/>
          <w:strike/>
          <w:dstrike w:val="0"/>
          <w:color w:val="auto"/>
          <w:spacing w:val="-13"/>
          <w:sz w:val="24"/>
          <w:szCs w:val="24"/>
          <w:highlight w:val="none"/>
        </w:rPr>
        <w:t>）</w:t>
      </w:r>
      <w:r>
        <w:rPr>
          <w:rFonts w:ascii="宋体" w:hAnsi="宋体" w:eastAsia="宋体" w:cs="宋体"/>
          <w:strike/>
          <w:dstrike w:val="0"/>
          <w:color w:val="auto"/>
          <w:spacing w:val="-59"/>
          <w:sz w:val="24"/>
          <w:szCs w:val="24"/>
          <w:highlight w:val="none"/>
        </w:rPr>
        <w:t xml:space="preserve"> </w:t>
      </w:r>
      <w:r>
        <w:rPr>
          <w:rFonts w:ascii="宋体" w:hAnsi="宋体" w:eastAsia="宋体" w:cs="宋体"/>
          <w:i/>
          <w:iCs/>
          <w:strike/>
          <w:dstrike w:val="0"/>
          <w:color w:val="auto"/>
          <w:spacing w:val="-13"/>
          <w:sz w:val="25"/>
          <w:szCs w:val="25"/>
          <w:highlight w:val="none"/>
        </w:rPr>
        <w:t>……（由招标人自行扩充）</w:t>
      </w:r>
    </w:p>
    <w:p w14:paraId="1CE28F71">
      <w:pPr>
        <w:spacing w:before="179" w:line="220" w:lineRule="auto"/>
        <w:ind w:left="553"/>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4.3.3  </w:t>
      </w:r>
      <w:r>
        <w:rPr>
          <w:rFonts w:ascii="宋体" w:hAnsi="宋体" w:eastAsia="宋体" w:cs="宋体"/>
          <w:color w:val="auto"/>
          <w:spacing w:val="-2"/>
          <w:sz w:val="24"/>
          <w:szCs w:val="24"/>
          <w:highlight w:val="none"/>
        </w:rPr>
        <w:t>技术评审不合格的投标文件不再进入后续评审。</w:t>
      </w:r>
    </w:p>
    <w:p w14:paraId="71C38C78">
      <w:pPr>
        <w:spacing w:before="179" w:line="220" w:lineRule="auto"/>
        <w:ind w:left="5"/>
        <w:outlineLvl w:val="2"/>
        <w:rPr>
          <w:rFonts w:ascii="宋体" w:hAnsi="宋体" w:eastAsia="宋体" w:cs="宋体"/>
          <w:color w:val="auto"/>
          <w:sz w:val="24"/>
          <w:szCs w:val="24"/>
          <w:highlight w:val="none"/>
        </w:rPr>
      </w:pPr>
      <w:bookmarkStart w:id="235" w:name="bookmark99"/>
      <w:bookmarkEnd w:id="235"/>
      <w:r>
        <w:rPr>
          <w:rFonts w:ascii="Times New Roman" w:hAnsi="Times New Roman" w:eastAsia="Times New Roman" w:cs="Times New Roman"/>
          <w:b/>
          <w:bCs/>
          <w:color w:val="auto"/>
          <w:spacing w:val="-2"/>
          <w:sz w:val="24"/>
          <w:szCs w:val="24"/>
          <w:highlight w:val="none"/>
        </w:rPr>
        <w:t xml:space="preserve">4.4  </w:t>
      </w:r>
      <w:r>
        <w:rPr>
          <w:rFonts w:ascii="宋体" w:hAnsi="宋体" w:eastAsia="宋体" w:cs="宋体"/>
          <w:b/>
          <w:bCs/>
          <w:color w:val="auto"/>
          <w:spacing w:val="-2"/>
          <w:sz w:val="24"/>
          <w:szCs w:val="24"/>
          <w:highlight w:val="none"/>
        </w:rPr>
        <w:t>投标文件的资信评审</w:t>
      </w:r>
    </w:p>
    <w:p w14:paraId="187F24F4">
      <w:pPr>
        <w:spacing w:before="183" w:line="289" w:lineRule="auto"/>
        <w:ind w:left="21" w:right="235" w:firstLine="53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4.4.1  </w:t>
      </w:r>
      <w:r>
        <w:rPr>
          <w:rFonts w:ascii="宋体" w:hAnsi="宋体" w:eastAsia="宋体" w:cs="宋体"/>
          <w:color w:val="auto"/>
          <w:spacing w:val="-1"/>
          <w:sz w:val="24"/>
          <w:szCs w:val="24"/>
          <w:highlight w:val="none"/>
        </w:rPr>
        <w:t>评标委员应对通过技术评审的投标文件进行资</w:t>
      </w:r>
      <w:r>
        <w:rPr>
          <w:rFonts w:ascii="宋体" w:hAnsi="宋体" w:eastAsia="宋体" w:cs="宋体"/>
          <w:color w:val="auto"/>
          <w:spacing w:val="-2"/>
          <w:sz w:val="24"/>
          <w:szCs w:val="24"/>
          <w:highlight w:val="none"/>
        </w:rPr>
        <w:t>信符合性审查。资信符合性</w:t>
      </w:r>
      <w:r>
        <w:rPr>
          <w:rFonts w:ascii="宋体" w:hAnsi="宋体" w:eastAsia="宋体" w:cs="宋体"/>
          <w:color w:val="auto"/>
          <w:spacing w:val="-3"/>
          <w:sz w:val="24"/>
          <w:szCs w:val="24"/>
          <w:highlight w:val="none"/>
        </w:rPr>
        <w:t>审查未通过的投标文件不再进入后续评审。</w:t>
      </w:r>
    </w:p>
    <w:p w14:paraId="1D785A54">
      <w:pPr>
        <w:spacing w:before="181" w:line="313" w:lineRule="auto"/>
        <w:ind w:left="11" w:right="173" w:firstLine="541"/>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4.4.2  </w:t>
      </w:r>
      <w:r>
        <w:rPr>
          <w:rFonts w:ascii="宋体" w:hAnsi="宋体" w:eastAsia="宋体" w:cs="宋体"/>
          <w:color w:val="auto"/>
          <w:spacing w:val="-1"/>
          <w:sz w:val="24"/>
          <w:szCs w:val="24"/>
          <w:highlight w:val="none"/>
        </w:rPr>
        <w:t>投标文件如存在以下情况之一的，由评标委员会全体成员</w:t>
      </w:r>
      <w:r>
        <w:rPr>
          <w:rFonts w:ascii="宋体" w:hAnsi="宋体" w:eastAsia="宋体" w:cs="宋体"/>
          <w:color w:val="auto"/>
          <w:spacing w:val="-2"/>
          <w:sz w:val="24"/>
          <w:szCs w:val="24"/>
          <w:highlight w:val="none"/>
        </w:rPr>
        <w:t>按照少数服从多</w:t>
      </w:r>
      <w:r>
        <w:rPr>
          <w:rFonts w:ascii="宋体" w:hAnsi="宋体" w:eastAsia="宋体" w:cs="宋体"/>
          <w:color w:val="auto"/>
          <w:spacing w:val="-1"/>
          <w:sz w:val="24"/>
          <w:szCs w:val="24"/>
          <w:highlight w:val="none"/>
        </w:rPr>
        <w:t>数的原则记名投票（不得弃权）认定，作为资信符合性审查未通过予以否</w:t>
      </w:r>
      <w:r>
        <w:rPr>
          <w:rFonts w:ascii="宋体" w:hAnsi="宋体" w:eastAsia="宋体" w:cs="宋体"/>
          <w:color w:val="auto"/>
          <w:spacing w:val="-2"/>
          <w:sz w:val="24"/>
          <w:szCs w:val="24"/>
          <w:highlight w:val="none"/>
        </w:rPr>
        <w:t>决其投标，</w:t>
      </w:r>
      <w:r>
        <w:rPr>
          <w:rFonts w:ascii="宋体" w:hAnsi="宋体" w:eastAsia="宋体" w:cs="宋体"/>
          <w:color w:val="auto"/>
          <w:spacing w:val="-7"/>
          <w:sz w:val="24"/>
          <w:szCs w:val="24"/>
          <w:highlight w:val="none"/>
        </w:rPr>
        <w:t>不再进行后续评审：</w:t>
      </w:r>
    </w:p>
    <w:p w14:paraId="42F57F2A">
      <w:pPr>
        <w:spacing w:before="183" w:line="288" w:lineRule="auto"/>
        <w:ind w:left="8" w:right="246" w:firstLine="55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）投标人未按招标文件要求加盖单位印章或投标人的法定代表人（或其委托</w:t>
      </w:r>
      <w:r>
        <w:rPr>
          <w:rFonts w:ascii="宋体" w:hAnsi="宋体" w:eastAsia="宋体" w:cs="宋体"/>
          <w:color w:val="auto"/>
          <w:spacing w:val="-3"/>
          <w:sz w:val="24"/>
          <w:szCs w:val="24"/>
          <w:highlight w:val="none"/>
        </w:rPr>
        <w:t>代理人）未按招标文件要求签字或盖章的。</w:t>
      </w:r>
    </w:p>
    <w:p w14:paraId="12B2AF26">
      <w:pPr>
        <w:spacing w:before="177" w:line="219" w:lineRule="auto"/>
        <w:ind w:left="56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2</w:t>
      </w:r>
      <w:r>
        <w:rPr>
          <w:rFonts w:ascii="宋体" w:hAnsi="宋体" w:eastAsia="宋体" w:cs="宋体"/>
          <w:color w:val="auto"/>
          <w:spacing w:val="-2"/>
          <w:sz w:val="24"/>
          <w:szCs w:val="24"/>
          <w:highlight w:val="none"/>
        </w:rPr>
        <w:t>）存在法律、法规、规章规定的其他无效投标情况的。</w:t>
      </w:r>
    </w:p>
    <w:p w14:paraId="06280DD8">
      <w:pPr>
        <w:pStyle w:val="3"/>
        <w:spacing w:line="245" w:lineRule="auto"/>
        <w:rPr>
          <w:color w:val="auto"/>
          <w:highlight w:val="none"/>
        </w:rPr>
      </w:pPr>
    </w:p>
    <w:p w14:paraId="38C0A821">
      <w:pPr>
        <w:spacing w:before="78" w:line="371" w:lineRule="auto"/>
        <w:ind w:left="8" w:right="237" w:firstLine="484"/>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4.4.3  </w:t>
      </w:r>
      <w:r>
        <w:rPr>
          <w:rFonts w:ascii="宋体" w:hAnsi="宋体" w:eastAsia="宋体" w:cs="宋体"/>
          <w:color w:val="auto"/>
          <w:sz w:val="24"/>
          <w:szCs w:val="24"/>
          <w:highlight w:val="none"/>
        </w:rPr>
        <w:t>投标文件的资信评审包括企业信用等级。评标委员会全体成员查阅投标文</w:t>
      </w:r>
      <w:r>
        <w:rPr>
          <w:rFonts w:ascii="宋体" w:hAnsi="宋体" w:eastAsia="宋体" w:cs="宋体"/>
          <w:color w:val="auto"/>
          <w:spacing w:val="-2"/>
          <w:sz w:val="24"/>
          <w:szCs w:val="24"/>
          <w:highlight w:val="none"/>
        </w:rPr>
        <w:t>件及相关证明材料并进行集体讨论后统一评分。</w:t>
      </w:r>
    </w:p>
    <w:p w14:paraId="4BCC5EBD">
      <w:pPr>
        <w:spacing w:before="57"/>
        <w:rPr>
          <w:color w:val="auto"/>
          <w:highlight w:val="none"/>
        </w:rPr>
      </w:pPr>
    </w:p>
    <w:tbl>
      <w:tblPr>
        <w:tblStyle w:val="16"/>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7217"/>
        <w:gridCol w:w="965"/>
      </w:tblGrid>
      <w:tr w14:paraId="5CC00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27" w:type="dxa"/>
            <w:tcBorders>
              <w:top w:val="single" w:color="000000" w:sz="6" w:space="0"/>
              <w:left w:val="single" w:color="000000" w:sz="6" w:space="0"/>
            </w:tcBorders>
            <w:vAlign w:val="top"/>
          </w:tcPr>
          <w:p w14:paraId="58BD9EA2">
            <w:pPr>
              <w:pStyle w:val="17"/>
              <w:spacing w:before="125" w:line="222" w:lineRule="auto"/>
              <w:ind w:left="198"/>
              <w:rPr>
                <w:color w:val="auto"/>
                <w:sz w:val="24"/>
                <w:szCs w:val="24"/>
                <w:highlight w:val="none"/>
              </w:rPr>
            </w:pPr>
            <w:r>
              <w:rPr>
                <w:color w:val="auto"/>
                <w:spacing w:val="-2"/>
                <w:sz w:val="24"/>
                <w:szCs w:val="24"/>
                <w:highlight w:val="none"/>
              </w:rPr>
              <w:t>序号</w:t>
            </w:r>
          </w:p>
        </w:tc>
        <w:tc>
          <w:tcPr>
            <w:tcW w:w="7217" w:type="dxa"/>
            <w:tcBorders>
              <w:top w:val="single" w:color="000000" w:sz="6" w:space="0"/>
            </w:tcBorders>
            <w:vAlign w:val="top"/>
          </w:tcPr>
          <w:p w14:paraId="4627D429">
            <w:pPr>
              <w:pStyle w:val="17"/>
              <w:spacing w:before="124" w:line="221" w:lineRule="auto"/>
              <w:ind w:left="3216"/>
              <w:rPr>
                <w:color w:val="auto"/>
                <w:sz w:val="24"/>
                <w:szCs w:val="24"/>
                <w:highlight w:val="none"/>
              </w:rPr>
            </w:pPr>
            <w:r>
              <w:rPr>
                <w:color w:val="auto"/>
                <w:spacing w:val="-17"/>
                <w:sz w:val="24"/>
                <w:szCs w:val="24"/>
                <w:highlight w:val="none"/>
              </w:rPr>
              <w:t>内</w:t>
            </w:r>
            <w:r>
              <w:rPr>
                <w:color w:val="auto"/>
                <w:spacing w:val="2"/>
                <w:sz w:val="24"/>
                <w:szCs w:val="24"/>
                <w:highlight w:val="none"/>
              </w:rPr>
              <w:t xml:space="preserve">    </w:t>
            </w:r>
            <w:r>
              <w:rPr>
                <w:color w:val="auto"/>
                <w:spacing w:val="-17"/>
                <w:sz w:val="24"/>
                <w:szCs w:val="24"/>
                <w:highlight w:val="none"/>
              </w:rPr>
              <w:t>容</w:t>
            </w:r>
          </w:p>
        </w:tc>
        <w:tc>
          <w:tcPr>
            <w:tcW w:w="965" w:type="dxa"/>
            <w:tcBorders>
              <w:top w:val="single" w:color="000000" w:sz="6" w:space="0"/>
              <w:right w:val="single" w:color="000000" w:sz="6" w:space="0"/>
            </w:tcBorders>
            <w:vAlign w:val="top"/>
          </w:tcPr>
          <w:p w14:paraId="0AE675CF">
            <w:pPr>
              <w:pStyle w:val="17"/>
              <w:spacing w:before="124" w:line="221" w:lineRule="auto"/>
              <w:ind w:left="278"/>
              <w:rPr>
                <w:color w:val="auto"/>
                <w:sz w:val="24"/>
                <w:szCs w:val="24"/>
                <w:highlight w:val="none"/>
              </w:rPr>
            </w:pPr>
            <w:r>
              <w:rPr>
                <w:color w:val="auto"/>
                <w:spacing w:val="-2"/>
                <w:sz w:val="24"/>
                <w:szCs w:val="24"/>
                <w:highlight w:val="none"/>
              </w:rPr>
              <w:t>得分</w:t>
            </w:r>
          </w:p>
        </w:tc>
      </w:tr>
      <w:tr w14:paraId="7C98D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827" w:type="dxa"/>
            <w:tcBorders>
              <w:left w:val="single" w:color="000000" w:sz="6" w:space="0"/>
            </w:tcBorders>
            <w:vAlign w:val="top"/>
          </w:tcPr>
          <w:p w14:paraId="0B597345">
            <w:pPr>
              <w:spacing w:before="208" w:line="187" w:lineRule="auto"/>
              <w:ind w:left="374"/>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1</w:t>
            </w:r>
          </w:p>
        </w:tc>
        <w:tc>
          <w:tcPr>
            <w:tcW w:w="7217" w:type="dxa"/>
            <w:vAlign w:val="top"/>
          </w:tcPr>
          <w:p w14:paraId="2595B4D4">
            <w:pPr>
              <w:pStyle w:val="17"/>
              <w:spacing w:before="32" w:line="221" w:lineRule="auto"/>
              <w:ind w:left="107" w:right="392"/>
              <w:rPr>
                <w:color w:val="auto"/>
                <w:sz w:val="24"/>
                <w:szCs w:val="24"/>
                <w:highlight w:val="none"/>
              </w:rPr>
            </w:pPr>
            <w:r>
              <w:rPr>
                <w:color w:val="auto"/>
                <w:sz w:val="24"/>
                <w:szCs w:val="24"/>
                <w:highlight w:val="none"/>
              </w:rPr>
              <w:t>企业信用等级[浙江省水利建设市场信用评价等级</w:t>
            </w:r>
            <w:r>
              <w:rPr>
                <w:color w:val="auto"/>
                <w:spacing w:val="-1"/>
                <w:sz w:val="24"/>
                <w:szCs w:val="24"/>
                <w:highlight w:val="none"/>
              </w:rPr>
              <w:t>（施工类）本项最高得</w:t>
            </w:r>
            <w:r>
              <w:rPr>
                <w:rFonts w:ascii="Times New Roman" w:hAnsi="Times New Roman" w:eastAsia="Times New Roman" w:cs="Times New Roman"/>
                <w:color w:val="auto"/>
                <w:spacing w:val="-1"/>
                <w:sz w:val="24"/>
                <w:szCs w:val="24"/>
                <w:highlight w:val="none"/>
              </w:rPr>
              <w:t>5</w:t>
            </w:r>
            <w:r>
              <w:rPr>
                <w:color w:val="auto"/>
                <w:spacing w:val="1"/>
                <w:sz w:val="24"/>
                <w:szCs w:val="24"/>
                <w:highlight w:val="none"/>
              </w:rPr>
              <w:t>分。]</w:t>
            </w:r>
          </w:p>
        </w:tc>
        <w:tc>
          <w:tcPr>
            <w:tcW w:w="965" w:type="dxa"/>
            <w:tcBorders>
              <w:right w:val="single" w:color="000000" w:sz="6" w:space="0"/>
            </w:tcBorders>
            <w:vAlign w:val="top"/>
          </w:tcPr>
          <w:p w14:paraId="63F11730">
            <w:pPr>
              <w:spacing w:before="208" w:line="187" w:lineRule="auto"/>
              <w:ind w:left="358"/>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3"/>
                <w:sz w:val="24"/>
                <w:szCs w:val="24"/>
                <w:highlight w:val="none"/>
              </w:rPr>
              <w:t>5.0</w:t>
            </w:r>
          </w:p>
        </w:tc>
      </w:tr>
      <w:tr w14:paraId="6F646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27" w:type="dxa"/>
            <w:tcBorders>
              <w:left w:val="single" w:color="000000" w:sz="6" w:space="0"/>
            </w:tcBorders>
            <w:vAlign w:val="top"/>
          </w:tcPr>
          <w:p w14:paraId="212E2D89">
            <w:pPr>
              <w:pStyle w:val="17"/>
              <w:spacing w:before="128" w:line="233" w:lineRule="auto"/>
              <w:ind w:left="153"/>
              <w:rPr>
                <w:color w:val="auto"/>
                <w:sz w:val="24"/>
                <w:szCs w:val="24"/>
                <w:highlight w:val="none"/>
              </w:rPr>
            </w:pPr>
            <w:r>
              <w:rPr>
                <w:color w:val="auto"/>
                <w:spacing w:val="-5"/>
                <w:sz w:val="24"/>
                <w:szCs w:val="24"/>
                <w:highlight w:val="none"/>
              </w:rPr>
              <w:t>（</w:t>
            </w:r>
            <w:r>
              <w:rPr>
                <w:rFonts w:ascii="Times New Roman" w:hAnsi="Times New Roman" w:eastAsia="Times New Roman" w:cs="Times New Roman"/>
                <w:color w:val="auto"/>
                <w:spacing w:val="-5"/>
                <w:sz w:val="24"/>
                <w:szCs w:val="24"/>
                <w:highlight w:val="none"/>
              </w:rPr>
              <w:t>1</w:t>
            </w:r>
            <w:r>
              <w:rPr>
                <w:color w:val="auto"/>
                <w:spacing w:val="-5"/>
                <w:sz w:val="24"/>
                <w:szCs w:val="24"/>
                <w:highlight w:val="none"/>
              </w:rPr>
              <w:t>）</w:t>
            </w:r>
          </w:p>
        </w:tc>
        <w:tc>
          <w:tcPr>
            <w:tcW w:w="7217" w:type="dxa"/>
            <w:vAlign w:val="top"/>
          </w:tcPr>
          <w:p w14:paraId="674092E0">
            <w:pPr>
              <w:pStyle w:val="17"/>
              <w:spacing w:before="128" w:line="221" w:lineRule="auto"/>
              <w:ind w:left="105"/>
              <w:rPr>
                <w:color w:val="auto"/>
                <w:sz w:val="24"/>
                <w:szCs w:val="24"/>
                <w:highlight w:val="none"/>
              </w:rPr>
            </w:pPr>
            <w:r>
              <w:rPr>
                <w:color w:val="auto"/>
                <w:spacing w:val="-1"/>
                <w:sz w:val="24"/>
                <w:szCs w:val="24"/>
                <w:highlight w:val="none"/>
              </w:rPr>
              <w:t>标段概算投资≤</w:t>
            </w:r>
            <w:r>
              <w:rPr>
                <w:rFonts w:ascii="Times New Roman" w:hAnsi="Times New Roman" w:eastAsia="Times New Roman" w:cs="Times New Roman"/>
                <w:color w:val="auto"/>
                <w:spacing w:val="-1"/>
                <w:sz w:val="24"/>
                <w:szCs w:val="24"/>
                <w:highlight w:val="none"/>
              </w:rPr>
              <w:t>6000</w:t>
            </w:r>
            <w:r>
              <w:rPr>
                <w:color w:val="auto"/>
                <w:spacing w:val="-1"/>
                <w:sz w:val="24"/>
                <w:szCs w:val="24"/>
                <w:highlight w:val="none"/>
              </w:rPr>
              <w:t>万元</w:t>
            </w:r>
          </w:p>
        </w:tc>
        <w:tc>
          <w:tcPr>
            <w:tcW w:w="965" w:type="dxa"/>
            <w:tcBorders>
              <w:right w:val="single" w:color="000000" w:sz="6" w:space="0"/>
            </w:tcBorders>
            <w:vAlign w:val="top"/>
          </w:tcPr>
          <w:p w14:paraId="0B1BFEA5">
            <w:pPr>
              <w:rPr>
                <w:rFonts w:ascii="Arial"/>
                <w:color w:val="auto"/>
                <w:sz w:val="24"/>
                <w:szCs w:val="24"/>
                <w:highlight w:val="none"/>
              </w:rPr>
            </w:pPr>
          </w:p>
        </w:tc>
      </w:tr>
      <w:tr w14:paraId="6704A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827" w:type="dxa"/>
            <w:tcBorders>
              <w:left w:val="single" w:color="000000" w:sz="6" w:space="0"/>
              <w:bottom w:val="single" w:color="000000" w:sz="6" w:space="0"/>
            </w:tcBorders>
            <w:vAlign w:val="top"/>
          </w:tcPr>
          <w:p w14:paraId="3C0233D8">
            <w:pPr>
              <w:rPr>
                <w:rFonts w:ascii="Arial"/>
                <w:color w:val="auto"/>
                <w:sz w:val="24"/>
                <w:szCs w:val="24"/>
                <w:highlight w:val="none"/>
              </w:rPr>
            </w:pPr>
          </w:p>
        </w:tc>
        <w:tc>
          <w:tcPr>
            <w:tcW w:w="7217" w:type="dxa"/>
            <w:tcBorders>
              <w:bottom w:val="single" w:color="000000" w:sz="6" w:space="0"/>
            </w:tcBorders>
            <w:vAlign w:val="top"/>
          </w:tcPr>
          <w:p w14:paraId="6EC9C6BA">
            <w:pPr>
              <w:pStyle w:val="17"/>
              <w:spacing w:before="131" w:line="221" w:lineRule="auto"/>
              <w:ind w:left="108"/>
              <w:rPr>
                <w:rFonts w:ascii="Times New Roman" w:hAnsi="Times New Roman" w:eastAsia="Times New Roman" w:cs="Times New Roman"/>
                <w:color w:val="auto"/>
                <w:sz w:val="24"/>
                <w:szCs w:val="24"/>
                <w:highlight w:val="none"/>
              </w:rPr>
            </w:pPr>
            <w:r>
              <w:rPr>
                <w:color w:val="auto"/>
                <w:spacing w:val="-5"/>
                <w:sz w:val="24"/>
                <w:szCs w:val="24"/>
                <w:highlight w:val="none"/>
              </w:rPr>
              <w:t>省</w:t>
            </w:r>
            <w:r>
              <w:rPr>
                <w:rFonts w:ascii="Times New Roman" w:hAnsi="Times New Roman" w:eastAsia="Times New Roman" w:cs="Times New Roman"/>
                <w:color w:val="auto"/>
                <w:spacing w:val="-5"/>
                <w:sz w:val="24"/>
                <w:szCs w:val="24"/>
                <w:highlight w:val="none"/>
              </w:rPr>
              <w:t>A</w:t>
            </w:r>
          </w:p>
        </w:tc>
        <w:tc>
          <w:tcPr>
            <w:tcW w:w="965" w:type="dxa"/>
            <w:tcBorders>
              <w:bottom w:val="single" w:color="000000" w:sz="6" w:space="0"/>
              <w:right w:val="single" w:color="000000" w:sz="6" w:space="0"/>
            </w:tcBorders>
            <w:vAlign w:val="top"/>
          </w:tcPr>
          <w:p w14:paraId="7248B2B7">
            <w:pPr>
              <w:spacing w:before="170" w:line="187" w:lineRule="auto"/>
              <w:ind w:left="358"/>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3"/>
                <w:sz w:val="24"/>
                <w:szCs w:val="24"/>
                <w:highlight w:val="none"/>
              </w:rPr>
              <w:t>5.0</w:t>
            </w:r>
          </w:p>
        </w:tc>
      </w:tr>
    </w:tbl>
    <w:p w14:paraId="348BC553">
      <w:pPr>
        <w:pStyle w:val="3"/>
        <w:rPr>
          <w:color w:val="auto"/>
          <w:highlight w:val="none"/>
        </w:rPr>
      </w:pPr>
    </w:p>
    <w:p w14:paraId="1789D2FE">
      <w:pPr>
        <w:rPr>
          <w:color w:val="auto"/>
          <w:highlight w:val="none"/>
        </w:rPr>
        <w:sectPr>
          <w:footerReference r:id="rId21" w:type="default"/>
          <w:pgSz w:w="11907" w:h="16841"/>
          <w:pgMar w:top="1428" w:right="1293" w:bottom="1254" w:left="1588" w:header="0" w:footer="1093" w:gutter="0"/>
          <w:pgNumType w:fmt="decimal"/>
          <w:cols w:space="720" w:num="1"/>
        </w:sectPr>
      </w:pPr>
    </w:p>
    <w:p w14:paraId="02E71E7E">
      <w:pPr>
        <w:spacing w:line="89" w:lineRule="auto"/>
        <w:rPr>
          <w:rFonts w:ascii="Arial"/>
          <w:color w:val="auto"/>
          <w:sz w:val="2"/>
          <w:highlight w:val="none"/>
        </w:rPr>
      </w:pPr>
    </w:p>
    <w:tbl>
      <w:tblPr>
        <w:tblStyle w:val="16"/>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7217"/>
        <w:gridCol w:w="965"/>
      </w:tblGrid>
      <w:tr w14:paraId="4919C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27" w:type="dxa"/>
            <w:tcBorders>
              <w:top w:val="single" w:color="000000" w:sz="6" w:space="0"/>
              <w:left w:val="single" w:color="000000" w:sz="6" w:space="0"/>
            </w:tcBorders>
            <w:vAlign w:val="top"/>
          </w:tcPr>
          <w:p w14:paraId="676F66B2">
            <w:pPr>
              <w:rPr>
                <w:rFonts w:ascii="Arial"/>
                <w:color w:val="auto"/>
                <w:sz w:val="24"/>
                <w:szCs w:val="24"/>
                <w:highlight w:val="none"/>
              </w:rPr>
            </w:pPr>
          </w:p>
        </w:tc>
        <w:tc>
          <w:tcPr>
            <w:tcW w:w="7217" w:type="dxa"/>
            <w:tcBorders>
              <w:top w:val="single" w:color="000000" w:sz="6" w:space="0"/>
            </w:tcBorders>
            <w:vAlign w:val="top"/>
          </w:tcPr>
          <w:p w14:paraId="13803AE3">
            <w:pPr>
              <w:pStyle w:val="17"/>
              <w:spacing w:before="124" w:line="221" w:lineRule="auto"/>
              <w:ind w:left="108"/>
              <w:rPr>
                <w:rFonts w:ascii="Times New Roman" w:hAnsi="Times New Roman" w:eastAsia="Times New Roman" w:cs="Times New Roman"/>
                <w:color w:val="auto"/>
                <w:sz w:val="24"/>
                <w:szCs w:val="24"/>
                <w:highlight w:val="none"/>
              </w:rPr>
            </w:pPr>
            <w:r>
              <w:rPr>
                <w:color w:val="auto"/>
                <w:spacing w:val="-5"/>
                <w:sz w:val="24"/>
                <w:szCs w:val="24"/>
                <w:highlight w:val="none"/>
              </w:rPr>
              <w:t>省</w:t>
            </w:r>
            <w:r>
              <w:rPr>
                <w:rFonts w:ascii="Times New Roman" w:hAnsi="Times New Roman" w:eastAsia="Times New Roman" w:cs="Times New Roman"/>
                <w:color w:val="auto"/>
                <w:spacing w:val="-5"/>
                <w:sz w:val="24"/>
                <w:szCs w:val="24"/>
                <w:highlight w:val="none"/>
              </w:rPr>
              <w:t>B</w:t>
            </w:r>
          </w:p>
        </w:tc>
        <w:tc>
          <w:tcPr>
            <w:tcW w:w="965" w:type="dxa"/>
            <w:tcBorders>
              <w:top w:val="single" w:color="000000" w:sz="6" w:space="0"/>
              <w:right w:val="single" w:color="000000" w:sz="6" w:space="0"/>
            </w:tcBorders>
            <w:vAlign w:val="top"/>
          </w:tcPr>
          <w:p w14:paraId="1C01B4C3">
            <w:pPr>
              <w:spacing w:before="163" w:line="187" w:lineRule="auto"/>
              <w:ind w:left="351"/>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
                <w:sz w:val="24"/>
                <w:szCs w:val="24"/>
                <w:highlight w:val="none"/>
              </w:rPr>
              <w:t>4.0</w:t>
            </w:r>
          </w:p>
        </w:tc>
      </w:tr>
      <w:tr w14:paraId="18459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27" w:type="dxa"/>
            <w:tcBorders>
              <w:left w:val="single" w:color="000000" w:sz="6" w:space="0"/>
            </w:tcBorders>
            <w:vAlign w:val="top"/>
          </w:tcPr>
          <w:p w14:paraId="279390A1">
            <w:pPr>
              <w:rPr>
                <w:rFonts w:ascii="Arial"/>
                <w:color w:val="auto"/>
                <w:sz w:val="24"/>
                <w:szCs w:val="24"/>
                <w:highlight w:val="none"/>
              </w:rPr>
            </w:pPr>
          </w:p>
        </w:tc>
        <w:tc>
          <w:tcPr>
            <w:tcW w:w="7217" w:type="dxa"/>
            <w:vAlign w:val="top"/>
          </w:tcPr>
          <w:p w14:paraId="1043BA45">
            <w:pPr>
              <w:pStyle w:val="17"/>
              <w:spacing w:before="124" w:line="221" w:lineRule="auto"/>
              <w:ind w:left="108"/>
              <w:rPr>
                <w:rFonts w:ascii="Times New Roman" w:hAnsi="Times New Roman" w:eastAsia="Times New Roman" w:cs="Times New Roman"/>
                <w:color w:val="auto"/>
                <w:sz w:val="24"/>
                <w:szCs w:val="24"/>
                <w:highlight w:val="none"/>
              </w:rPr>
            </w:pPr>
            <w:r>
              <w:rPr>
                <w:color w:val="auto"/>
                <w:spacing w:val="-5"/>
                <w:sz w:val="24"/>
                <w:szCs w:val="24"/>
                <w:highlight w:val="none"/>
              </w:rPr>
              <w:t>省</w:t>
            </w:r>
            <w:r>
              <w:rPr>
                <w:rFonts w:ascii="Times New Roman" w:hAnsi="Times New Roman" w:eastAsia="Times New Roman" w:cs="Times New Roman"/>
                <w:color w:val="auto"/>
                <w:spacing w:val="-5"/>
                <w:sz w:val="24"/>
                <w:szCs w:val="24"/>
                <w:highlight w:val="none"/>
              </w:rPr>
              <w:t>C</w:t>
            </w:r>
          </w:p>
        </w:tc>
        <w:tc>
          <w:tcPr>
            <w:tcW w:w="965" w:type="dxa"/>
            <w:tcBorders>
              <w:right w:val="single" w:color="000000" w:sz="6" w:space="0"/>
            </w:tcBorders>
            <w:vAlign w:val="top"/>
          </w:tcPr>
          <w:p w14:paraId="0D68C2C4">
            <w:pPr>
              <w:spacing w:before="163" w:line="187" w:lineRule="auto"/>
              <w:ind w:left="373"/>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5"/>
                <w:sz w:val="24"/>
                <w:szCs w:val="24"/>
                <w:highlight w:val="none"/>
              </w:rPr>
              <w:t>1.0</w:t>
            </w:r>
          </w:p>
        </w:tc>
      </w:tr>
      <w:tr w14:paraId="7C8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27" w:type="dxa"/>
            <w:tcBorders>
              <w:left w:val="single" w:color="000000" w:sz="6" w:space="0"/>
            </w:tcBorders>
            <w:vAlign w:val="top"/>
          </w:tcPr>
          <w:p w14:paraId="52A8041D">
            <w:pPr>
              <w:rPr>
                <w:rFonts w:ascii="Arial"/>
                <w:color w:val="auto"/>
                <w:sz w:val="24"/>
                <w:szCs w:val="24"/>
                <w:highlight w:val="none"/>
              </w:rPr>
            </w:pPr>
          </w:p>
        </w:tc>
        <w:tc>
          <w:tcPr>
            <w:tcW w:w="7217" w:type="dxa"/>
            <w:vAlign w:val="top"/>
          </w:tcPr>
          <w:p w14:paraId="28A45946">
            <w:pPr>
              <w:pStyle w:val="17"/>
              <w:spacing w:before="124" w:line="219" w:lineRule="auto"/>
              <w:ind w:left="108"/>
              <w:rPr>
                <w:color w:val="auto"/>
                <w:sz w:val="24"/>
                <w:szCs w:val="24"/>
                <w:highlight w:val="none"/>
              </w:rPr>
            </w:pPr>
            <w:r>
              <w:rPr>
                <w:color w:val="auto"/>
                <w:spacing w:val="-1"/>
                <w:sz w:val="24"/>
                <w:szCs w:val="24"/>
                <w:highlight w:val="none"/>
              </w:rPr>
              <w:t>省</w:t>
            </w:r>
            <w:r>
              <w:rPr>
                <w:rFonts w:ascii="Times New Roman" w:hAnsi="Times New Roman" w:eastAsia="Times New Roman" w:cs="Times New Roman"/>
                <w:color w:val="auto"/>
                <w:spacing w:val="-1"/>
                <w:sz w:val="24"/>
                <w:szCs w:val="24"/>
                <w:highlight w:val="none"/>
              </w:rPr>
              <w:t>D</w:t>
            </w:r>
            <w:r>
              <w:rPr>
                <w:color w:val="auto"/>
                <w:spacing w:val="-1"/>
                <w:sz w:val="24"/>
                <w:szCs w:val="24"/>
                <w:highlight w:val="none"/>
              </w:rPr>
              <w:t>及以下等级或无信用评价等级</w:t>
            </w:r>
          </w:p>
        </w:tc>
        <w:tc>
          <w:tcPr>
            <w:tcW w:w="965" w:type="dxa"/>
            <w:tcBorders>
              <w:right w:val="single" w:color="000000" w:sz="6" w:space="0"/>
            </w:tcBorders>
            <w:vAlign w:val="top"/>
          </w:tcPr>
          <w:p w14:paraId="2939F23F">
            <w:pPr>
              <w:spacing w:before="162" w:line="187" w:lineRule="auto"/>
              <w:ind w:left="356"/>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3"/>
                <w:sz w:val="24"/>
                <w:szCs w:val="24"/>
                <w:highlight w:val="none"/>
              </w:rPr>
              <w:t>0.0</w:t>
            </w:r>
          </w:p>
        </w:tc>
      </w:tr>
    </w:tbl>
    <w:p w14:paraId="6BBA181E">
      <w:pPr>
        <w:pStyle w:val="3"/>
        <w:spacing w:line="370" w:lineRule="auto"/>
        <w:rPr>
          <w:color w:val="auto"/>
          <w:highlight w:val="none"/>
        </w:rPr>
      </w:pPr>
    </w:p>
    <w:p w14:paraId="777EFF60">
      <w:pPr>
        <w:spacing w:before="49" w:line="360" w:lineRule="auto"/>
        <w:ind w:left="8" w:right="60" w:firstLine="480"/>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企业信用等级证明材料指：浙江省水利建设市场信用评价等级（施工类）</w:t>
      </w:r>
      <w:r>
        <w:rPr>
          <w:rFonts w:ascii="宋体" w:hAnsi="宋体" w:eastAsia="宋体" w:cs="宋体"/>
          <w:color w:val="auto"/>
          <w:spacing w:val="-4"/>
          <w:sz w:val="24"/>
          <w:szCs w:val="24"/>
          <w:highlight w:val="none"/>
        </w:rPr>
        <w:t>的提供</w:t>
      </w:r>
      <w:r>
        <w:rPr>
          <w:rFonts w:ascii="宋体" w:hAnsi="宋体" w:eastAsia="宋体" w:cs="宋体"/>
          <w:color w:val="auto"/>
          <w:spacing w:val="1"/>
          <w:sz w:val="24"/>
          <w:szCs w:val="24"/>
          <w:highlight w:val="none"/>
        </w:rPr>
        <w:t xml:space="preserve">投标截止日前最新一期信用评价等级打印件（信用评价等级每周五下午 </w:t>
      </w:r>
      <w:r>
        <w:rPr>
          <w:rFonts w:ascii="Times New Roman" w:hAnsi="Times New Roman" w:eastAsia="Times New Roman" w:cs="Times New Roman"/>
          <w:color w:val="auto"/>
          <w:spacing w:val="1"/>
          <w:sz w:val="24"/>
          <w:szCs w:val="24"/>
          <w:highlight w:val="none"/>
        </w:rPr>
        <w:t>17:00-2</w:t>
      </w:r>
      <w:r>
        <w:rPr>
          <w:rFonts w:ascii="Times New Roman" w:hAnsi="Times New Roman" w:eastAsia="Times New Roman" w:cs="Times New Roman"/>
          <w:color w:val="auto"/>
          <w:sz w:val="24"/>
          <w:szCs w:val="24"/>
          <w:highlight w:val="none"/>
        </w:rPr>
        <w:t>4:00</w:t>
      </w:r>
      <w:r>
        <w:rPr>
          <w:rFonts w:ascii="宋体" w:hAnsi="宋体" w:eastAsia="宋体" w:cs="宋体"/>
          <w:color w:val="auto"/>
          <w:spacing w:val="-2"/>
          <w:sz w:val="24"/>
          <w:szCs w:val="24"/>
          <w:highlight w:val="none"/>
        </w:rPr>
        <w:t>更新），打印件应含有“浙江水利透明工程”水印。</w:t>
      </w:r>
    </w:p>
    <w:p w14:paraId="6FCA4A8C">
      <w:pPr>
        <w:spacing w:line="219" w:lineRule="auto"/>
        <w:ind w:left="5"/>
        <w:outlineLvl w:val="2"/>
        <w:rPr>
          <w:rFonts w:ascii="宋体" w:hAnsi="宋体" w:eastAsia="宋体" w:cs="宋体"/>
          <w:color w:val="auto"/>
          <w:sz w:val="24"/>
          <w:szCs w:val="24"/>
          <w:highlight w:val="none"/>
        </w:rPr>
      </w:pPr>
      <w:bookmarkStart w:id="236" w:name="bookmark100"/>
      <w:bookmarkEnd w:id="236"/>
      <w:r>
        <w:rPr>
          <w:rFonts w:ascii="Times New Roman" w:hAnsi="Times New Roman" w:eastAsia="Times New Roman" w:cs="Times New Roman"/>
          <w:b/>
          <w:bCs/>
          <w:color w:val="auto"/>
          <w:spacing w:val="-2"/>
          <w:sz w:val="24"/>
          <w:szCs w:val="24"/>
          <w:highlight w:val="none"/>
        </w:rPr>
        <w:t xml:space="preserve">4.5  </w:t>
      </w:r>
      <w:r>
        <w:rPr>
          <w:rFonts w:ascii="宋体" w:hAnsi="宋体" w:eastAsia="宋体" w:cs="宋体"/>
          <w:b/>
          <w:bCs/>
          <w:color w:val="auto"/>
          <w:spacing w:val="-2"/>
          <w:sz w:val="24"/>
          <w:szCs w:val="24"/>
          <w:highlight w:val="none"/>
        </w:rPr>
        <w:t>投标文件的商务符合性审查</w:t>
      </w:r>
    </w:p>
    <w:p w14:paraId="5FD4F137">
      <w:pPr>
        <w:spacing w:before="182" w:line="289" w:lineRule="auto"/>
        <w:ind w:left="11" w:right="237" w:firstLine="54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4.5.1  </w:t>
      </w:r>
      <w:r>
        <w:rPr>
          <w:rFonts w:ascii="宋体" w:hAnsi="宋体" w:eastAsia="宋体" w:cs="宋体"/>
          <w:color w:val="auto"/>
          <w:spacing w:val="-1"/>
          <w:sz w:val="24"/>
          <w:szCs w:val="24"/>
          <w:highlight w:val="none"/>
        </w:rPr>
        <w:t>评标委员会应对通过资信符合性审查的投</w:t>
      </w:r>
      <w:r>
        <w:rPr>
          <w:rFonts w:ascii="宋体" w:hAnsi="宋体" w:eastAsia="宋体" w:cs="宋体"/>
          <w:color w:val="auto"/>
          <w:spacing w:val="-2"/>
          <w:sz w:val="24"/>
          <w:szCs w:val="24"/>
          <w:highlight w:val="none"/>
        </w:rPr>
        <w:t>标文件进行商务符合性审查。商务符合性审查未通过的投标文件不再进入后续评审。</w:t>
      </w:r>
    </w:p>
    <w:p w14:paraId="7A6D8DB3">
      <w:pPr>
        <w:spacing w:before="183" w:line="288" w:lineRule="auto"/>
        <w:ind w:left="29" w:right="235" w:firstLine="52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4.5.2  </w:t>
      </w:r>
      <w:r>
        <w:rPr>
          <w:rFonts w:ascii="宋体" w:hAnsi="宋体" w:eastAsia="宋体" w:cs="宋体"/>
          <w:color w:val="auto"/>
          <w:spacing w:val="-1"/>
          <w:sz w:val="24"/>
          <w:szCs w:val="24"/>
          <w:highlight w:val="none"/>
        </w:rPr>
        <w:t>投标人不得通过补充、修改或撤销投标文件中的内容使其</w:t>
      </w:r>
      <w:r>
        <w:rPr>
          <w:rFonts w:ascii="宋体" w:hAnsi="宋体" w:eastAsia="宋体" w:cs="宋体"/>
          <w:color w:val="auto"/>
          <w:spacing w:val="-2"/>
          <w:sz w:val="24"/>
          <w:szCs w:val="24"/>
          <w:highlight w:val="none"/>
        </w:rPr>
        <w:t>成为实质性响应的投标。投标人在投标截止以后不得提交任何资料作为</w:t>
      </w:r>
      <w:r>
        <w:rPr>
          <w:rFonts w:ascii="宋体" w:hAnsi="宋体" w:eastAsia="宋体" w:cs="宋体"/>
          <w:color w:val="auto"/>
          <w:spacing w:val="-3"/>
          <w:sz w:val="24"/>
          <w:szCs w:val="24"/>
          <w:highlight w:val="none"/>
        </w:rPr>
        <w:t>评标依据。</w:t>
      </w:r>
    </w:p>
    <w:p w14:paraId="1C40DCD5">
      <w:pPr>
        <w:spacing w:before="183" w:line="313" w:lineRule="auto"/>
        <w:ind w:left="11" w:right="173" w:firstLine="53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4.5.3  </w:t>
      </w:r>
      <w:r>
        <w:rPr>
          <w:rFonts w:ascii="宋体" w:hAnsi="宋体" w:eastAsia="宋体" w:cs="宋体"/>
          <w:color w:val="auto"/>
          <w:spacing w:val="-1"/>
          <w:sz w:val="24"/>
          <w:szCs w:val="24"/>
          <w:highlight w:val="none"/>
        </w:rPr>
        <w:t>投标文件如存在以下情况之一的，由评标委员会全体成员按照少数服从多数的原则记名投票（不得弃权）认定，作为商务符合性审查未通过予以否</w:t>
      </w:r>
      <w:r>
        <w:rPr>
          <w:rFonts w:ascii="宋体" w:hAnsi="宋体" w:eastAsia="宋体" w:cs="宋体"/>
          <w:color w:val="auto"/>
          <w:spacing w:val="-2"/>
          <w:sz w:val="24"/>
          <w:szCs w:val="24"/>
          <w:highlight w:val="none"/>
        </w:rPr>
        <w:t>决其投标，</w:t>
      </w:r>
      <w:r>
        <w:rPr>
          <w:rFonts w:ascii="宋体" w:hAnsi="宋体" w:eastAsia="宋体" w:cs="宋体"/>
          <w:color w:val="auto"/>
          <w:spacing w:val="-7"/>
          <w:sz w:val="24"/>
          <w:szCs w:val="24"/>
          <w:highlight w:val="none"/>
        </w:rPr>
        <w:t>不再进行后续评审：</w:t>
      </w:r>
    </w:p>
    <w:p w14:paraId="176678DD">
      <w:pPr>
        <w:spacing w:before="183" w:line="288" w:lineRule="auto"/>
        <w:ind w:right="246" w:firstLine="472" w:firstLineChars="20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）投标人未按招标文件要求加盖单位印章或投标人的法定代表人（或其委托</w:t>
      </w:r>
      <w:r>
        <w:rPr>
          <w:rFonts w:ascii="宋体" w:hAnsi="宋体" w:eastAsia="宋体" w:cs="宋体"/>
          <w:color w:val="auto"/>
          <w:spacing w:val="-3"/>
          <w:sz w:val="24"/>
          <w:szCs w:val="24"/>
          <w:highlight w:val="none"/>
        </w:rPr>
        <w:t>代理人）未按招标文件要求签字或盖章的。</w:t>
      </w:r>
    </w:p>
    <w:p w14:paraId="6F4C76EB">
      <w:pPr>
        <w:spacing w:before="183" w:line="289" w:lineRule="auto"/>
        <w:ind w:left="11" w:right="246" w:firstLine="55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）同一投标人提交两个及以上不同的投标报价且未声明哪一个有效的（招标</w:t>
      </w:r>
      <w:r>
        <w:rPr>
          <w:rFonts w:ascii="宋体" w:hAnsi="宋体" w:eastAsia="宋体" w:cs="宋体"/>
          <w:color w:val="auto"/>
          <w:spacing w:val="-3"/>
          <w:sz w:val="24"/>
          <w:szCs w:val="24"/>
          <w:highlight w:val="none"/>
        </w:rPr>
        <w:t>文件要求提交备选投标的除外）。</w:t>
      </w:r>
    </w:p>
    <w:p w14:paraId="29414736">
      <w:pPr>
        <w:spacing w:before="182" w:line="289" w:lineRule="auto"/>
        <w:ind w:left="8" w:right="237" w:firstLine="55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）投标函载明的投标工期和质量不满足招标文件要求的（以投标人须知前附表第</w:t>
      </w:r>
      <w:r>
        <w:rPr>
          <w:rFonts w:ascii="Times New Roman" w:hAnsi="Times New Roman" w:eastAsia="Times New Roman" w:cs="Times New Roman"/>
          <w:color w:val="auto"/>
          <w:spacing w:val="-2"/>
          <w:sz w:val="24"/>
          <w:szCs w:val="24"/>
          <w:highlight w:val="none"/>
        </w:rPr>
        <w:t>1.3.2</w:t>
      </w:r>
      <w:r>
        <w:rPr>
          <w:rFonts w:ascii="Times New Roman" w:hAnsi="Times New Roman" w:eastAsia="Times New Roman" w:cs="Times New Roman"/>
          <w:color w:val="auto"/>
          <w:spacing w:val="-34"/>
          <w:sz w:val="24"/>
          <w:szCs w:val="24"/>
          <w:highlight w:val="none"/>
        </w:rPr>
        <w:t xml:space="preserve"> </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1.3.3</w:t>
      </w:r>
      <w:r>
        <w:rPr>
          <w:rFonts w:ascii="宋体" w:hAnsi="宋体" w:eastAsia="宋体" w:cs="宋体"/>
          <w:color w:val="auto"/>
          <w:spacing w:val="-2"/>
          <w:sz w:val="24"/>
          <w:szCs w:val="24"/>
          <w:highlight w:val="none"/>
        </w:rPr>
        <w:t>项为准）。</w:t>
      </w:r>
    </w:p>
    <w:p w14:paraId="2177E568">
      <w:pPr>
        <w:spacing w:before="183" w:line="218" w:lineRule="auto"/>
        <w:ind w:left="56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）投标报价高于招标文件设定的最高投标限价或分项限价的。</w:t>
      </w:r>
    </w:p>
    <w:p w14:paraId="158FA8C9">
      <w:pPr>
        <w:keepNext w:val="0"/>
        <w:keepLines w:val="0"/>
        <w:pageBreakBefore w:val="0"/>
        <w:widowControl/>
        <w:kinsoku w:val="0"/>
        <w:wordWrap/>
        <w:overflowPunct/>
        <w:topLinePunct w:val="0"/>
        <w:autoSpaceDE w:val="0"/>
        <w:autoSpaceDN w:val="0"/>
        <w:bidi w:val="0"/>
        <w:adjustRightInd w:val="0"/>
        <w:snapToGrid w:val="0"/>
        <w:spacing w:line="480" w:lineRule="exact"/>
        <w:ind w:firstLine="484" w:firstLineChars="200"/>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5</w:t>
      </w:r>
      <w:r>
        <w:rPr>
          <w:rFonts w:ascii="宋体" w:hAnsi="宋体" w:eastAsia="宋体" w:cs="宋体"/>
          <w:color w:val="auto"/>
          <w:spacing w:val="1"/>
          <w:sz w:val="24"/>
          <w:szCs w:val="24"/>
          <w:highlight w:val="none"/>
        </w:rPr>
        <w:t>）改变招标人提供的工程量清单中的项目编码、项目名称、项</w:t>
      </w:r>
      <w:r>
        <w:rPr>
          <w:rFonts w:ascii="宋体" w:hAnsi="宋体" w:eastAsia="宋体" w:cs="宋体"/>
          <w:color w:val="auto"/>
          <w:sz w:val="24"/>
          <w:szCs w:val="24"/>
          <w:highlight w:val="none"/>
        </w:rPr>
        <w:t>目主要特征、</w:t>
      </w:r>
      <w:r>
        <w:rPr>
          <w:rFonts w:ascii="宋体" w:hAnsi="宋体" w:eastAsia="宋体" w:cs="宋体"/>
          <w:color w:val="auto"/>
          <w:spacing w:val="-6"/>
          <w:sz w:val="24"/>
          <w:szCs w:val="24"/>
          <w:highlight w:val="none"/>
        </w:rPr>
        <w:t>计量单位、工程数量、主要技术条款编码、 预留金或暂估价等内容的</w:t>
      </w:r>
      <w:r>
        <w:rPr>
          <w:rFonts w:ascii="宋体" w:hAnsi="宋体" w:eastAsia="宋体" w:cs="宋体"/>
          <w:color w:val="auto"/>
          <w:spacing w:val="-7"/>
          <w:sz w:val="24"/>
          <w:szCs w:val="24"/>
          <w:highlight w:val="none"/>
        </w:rPr>
        <w:t>（但按照国家规</w:t>
      </w:r>
      <w:r>
        <w:rPr>
          <w:rFonts w:ascii="宋体" w:hAnsi="宋体" w:eastAsia="宋体" w:cs="宋体"/>
          <w:color w:val="auto"/>
          <w:spacing w:val="-3"/>
          <w:sz w:val="24"/>
          <w:szCs w:val="24"/>
          <w:highlight w:val="none"/>
        </w:rPr>
        <w:t>范所作的修改和招标文件规定的除外）。</w:t>
      </w:r>
    </w:p>
    <w:p w14:paraId="69E6671D">
      <w:pPr>
        <w:keepNext w:val="0"/>
        <w:keepLines w:val="0"/>
        <w:pageBreakBefore w:val="0"/>
        <w:widowControl/>
        <w:kinsoku w:val="0"/>
        <w:wordWrap/>
        <w:overflowPunct/>
        <w:topLinePunct w:val="0"/>
        <w:autoSpaceDE w:val="0"/>
        <w:autoSpaceDN w:val="0"/>
        <w:bidi w:val="0"/>
        <w:adjustRightInd w:val="0"/>
        <w:snapToGrid w:val="0"/>
        <w:spacing w:line="480" w:lineRule="exact"/>
        <w:ind w:left="559"/>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6</w:t>
      </w:r>
      <w:r>
        <w:rPr>
          <w:rFonts w:ascii="宋体" w:hAnsi="宋体" w:eastAsia="宋体" w:cs="宋体"/>
          <w:color w:val="auto"/>
          <w:spacing w:val="-2"/>
          <w:sz w:val="24"/>
          <w:szCs w:val="24"/>
          <w:highlight w:val="none"/>
        </w:rPr>
        <w:t>）投标人存在投标人须知“</w:t>
      </w:r>
      <w:r>
        <w:rPr>
          <w:rFonts w:ascii="Times New Roman" w:hAnsi="Times New Roman" w:eastAsia="Times New Roman" w:cs="Times New Roman"/>
          <w:color w:val="auto"/>
          <w:spacing w:val="-2"/>
          <w:sz w:val="24"/>
          <w:szCs w:val="24"/>
          <w:highlight w:val="none"/>
        </w:rPr>
        <w:t xml:space="preserve">9.2  </w:t>
      </w:r>
      <w:r>
        <w:rPr>
          <w:rFonts w:ascii="宋体" w:hAnsi="宋体" w:eastAsia="宋体" w:cs="宋体"/>
          <w:color w:val="auto"/>
          <w:spacing w:val="-2"/>
          <w:sz w:val="24"/>
          <w:szCs w:val="24"/>
          <w:highlight w:val="none"/>
        </w:rPr>
        <w:t>对投标人的纪律要求</w:t>
      </w:r>
      <w:r>
        <w:rPr>
          <w:rFonts w:ascii="宋体" w:hAnsi="宋体" w:eastAsia="宋体" w:cs="宋体"/>
          <w:color w:val="auto"/>
          <w:spacing w:val="-79"/>
          <w:sz w:val="24"/>
          <w:szCs w:val="24"/>
          <w:highlight w:val="none"/>
        </w:rPr>
        <w:t xml:space="preserve"> </w:t>
      </w:r>
      <w:r>
        <w:rPr>
          <w:rFonts w:ascii="宋体" w:hAnsi="宋体" w:eastAsia="宋体" w:cs="宋体"/>
          <w:color w:val="auto"/>
          <w:spacing w:val="-2"/>
          <w:sz w:val="24"/>
          <w:szCs w:val="24"/>
          <w:highlight w:val="none"/>
        </w:rPr>
        <w:t>”项规定情形之一的。</w:t>
      </w:r>
    </w:p>
    <w:p w14:paraId="4AEEA0F8">
      <w:pPr>
        <w:keepNext w:val="0"/>
        <w:keepLines w:val="0"/>
        <w:pageBreakBefore w:val="0"/>
        <w:widowControl/>
        <w:kinsoku w:val="0"/>
        <w:wordWrap/>
        <w:overflowPunct/>
        <w:topLinePunct w:val="0"/>
        <w:autoSpaceDE w:val="0"/>
        <w:autoSpaceDN w:val="0"/>
        <w:bidi w:val="0"/>
        <w:adjustRightInd w:val="0"/>
        <w:snapToGrid w:val="0"/>
        <w:spacing w:line="480" w:lineRule="exact"/>
        <w:ind w:left="559"/>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7</w:t>
      </w:r>
      <w:r>
        <w:rPr>
          <w:rFonts w:ascii="宋体" w:hAnsi="宋体" w:eastAsia="宋体" w:cs="宋体"/>
          <w:color w:val="auto"/>
          <w:spacing w:val="-2"/>
          <w:sz w:val="24"/>
          <w:szCs w:val="24"/>
          <w:highlight w:val="none"/>
        </w:rPr>
        <w:t>）存在法律、法规、规章规定的其他无效投标情况的。</w:t>
      </w:r>
    </w:p>
    <w:p w14:paraId="01B056EB">
      <w:pPr>
        <w:spacing w:before="182" w:line="220" w:lineRule="auto"/>
        <w:outlineLvl w:val="2"/>
        <w:rPr>
          <w:rFonts w:ascii="宋体" w:hAnsi="宋体" w:eastAsia="宋体" w:cs="宋体"/>
          <w:color w:val="auto"/>
          <w:sz w:val="24"/>
          <w:szCs w:val="24"/>
          <w:highlight w:val="none"/>
        </w:rPr>
      </w:pPr>
      <w:bookmarkStart w:id="237" w:name="bookmark101"/>
      <w:bookmarkEnd w:id="237"/>
      <w:r>
        <w:rPr>
          <w:rFonts w:ascii="Times New Roman" w:hAnsi="Times New Roman" w:eastAsia="Times New Roman" w:cs="Times New Roman"/>
          <w:b/>
          <w:bCs/>
          <w:color w:val="auto"/>
          <w:spacing w:val="-2"/>
          <w:sz w:val="24"/>
          <w:szCs w:val="24"/>
          <w:highlight w:val="none"/>
        </w:rPr>
        <w:t xml:space="preserve">4.6  </w:t>
      </w:r>
      <w:r>
        <w:rPr>
          <w:rFonts w:ascii="宋体" w:hAnsi="宋体" w:eastAsia="宋体" w:cs="宋体"/>
          <w:b/>
          <w:bCs/>
          <w:color w:val="auto"/>
          <w:spacing w:val="-2"/>
          <w:sz w:val="24"/>
          <w:szCs w:val="24"/>
          <w:highlight w:val="none"/>
        </w:rPr>
        <w:t>投标文件的商务评审</w:t>
      </w:r>
    </w:p>
    <w:p w14:paraId="21B19AD6">
      <w:pPr>
        <w:spacing w:before="180" w:line="312" w:lineRule="auto"/>
        <w:ind w:left="3" w:right="64"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4.6.1  </w:t>
      </w:r>
      <w:r>
        <w:rPr>
          <w:rFonts w:ascii="宋体" w:hAnsi="宋体" w:eastAsia="宋体" w:cs="宋体"/>
          <w:color w:val="auto"/>
          <w:spacing w:val="1"/>
          <w:sz w:val="24"/>
          <w:szCs w:val="24"/>
          <w:highlight w:val="none"/>
        </w:rPr>
        <w:t>评标委员会对通过商务符合</w:t>
      </w:r>
      <w:r>
        <w:rPr>
          <w:rFonts w:ascii="宋体" w:hAnsi="宋体" w:eastAsia="宋体" w:cs="宋体"/>
          <w:color w:val="auto"/>
          <w:sz w:val="24"/>
          <w:szCs w:val="24"/>
          <w:highlight w:val="none"/>
        </w:rPr>
        <w:t>性审查的投标文件进行商务评审。评标委员会</w:t>
      </w:r>
      <w:r>
        <w:rPr>
          <w:rFonts w:ascii="宋体" w:hAnsi="宋体" w:eastAsia="宋体" w:cs="宋体"/>
          <w:color w:val="auto"/>
          <w:spacing w:val="-3"/>
          <w:sz w:val="24"/>
          <w:szCs w:val="24"/>
          <w:highlight w:val="none"/>
        </w:rPr>
        <w:t>应对商务报价的范围、数量、单价、费用组成和总价等进行全面审阅和对比分析，找出报价差异的原因及存在的问题。</w:t>
      </w:r>
    </w:p>
    <w:p w14:paraId="48C1B1A5">
      <w:pPr>
        <w:spacing w:before="185" w:line="312" w:lineRule="auto"/>
        <w:ind w:left="5" w:right="64"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4.6.2  </w:t>
      </w:r>
      <w:r>
        <w:rPr>
          <w:rFonts w:ascii="宋体" w:hAnsi="宋体" w:eastAsia="宋体" w:cs="宋体"/>
          <w:color w:val="auto"/>
          <w:spacing w:val="1"/>
          <w:sz w:val="24"/>
          <w:szCs w:val="24"/>
          <w:highlight w:val="none"/>
        </w:rPr>
        <w:t>商务评审应以报价口径范围</w:t>
      </w:r>
      <w:r>
        <w:rPr>
          <w:rFonts w:ascii="宋体" w:hAnsi="宋体" w:eastAsia="宋体" w:cs="宋体"/>
          <w:color w:val="auto"/>
          <w:sz w:val="24"/>
          <w:szCs w:val="24"/>
          <w:highlight w:val="none"/>
        </w:rPr>
        <w:t>一致的投标评标价为依据。投标评标价应在最</w:t>
      </w:r>
      <w:r>
        <w:rPr>
          <w:rFonts w:ascii="宋体" w:hAnsi="宋体" w:eastAsia="宋体" w:cs="宋体"/>
          <w:color w:val="auto"/>
          <w:spacing w:val="-3"/>
          <w:sz w:val="24"/>
          <w:szCs w:val="24"/>
          <w:highlight w:val="none"/>
        </w:rPr>
        <w:t>终报价的基础上，按照招标文件约定的因素和方法进行计算。凡属招标文件的原因造</w:t>
      </w:r>
      <w:r>
        <w:rPr>
          <w:rFonts w:ascii="宋体" w:hAnsi="宋体" w:eastAsia="宋体" w:cs="宋体"/>
          <w:color w:val="auto"/>
          <w:spacing w:val="-2"/>
          <w:sz w:val="24"/>
          <w:szCs w:val="24"/>
          <w:highlight w:val="none"/>
        </w:rPr>
        <w:t>成报价口径范围不一致的，应调整投标报价。其中算术错误的调整原则为：</w:t>
      </w:r>
    </w:p>
    <w:p w14:paraId="1BB2A8E3">
      <w:pPr>
        <w:spacing w:before="182" w:line="220" w:lineRule="auto"/>
        <w:ind w:left="54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）用数字表示的金额与文字表示的数额不一致时，以文字数额为准。</w:t>
      </w:r>
    </w:p>
    <w:p w14:paraId="62FDE285">
      <w:pPr>
        <w:spacing w:before="184" w:line="324" w:lineRule="auto"/>
        <w:ind w:left="5" w:right="2" w:firstLine="544"/>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w:t>
      </w:r>
      <w:r>
        <w:rPr>
          <w:rFonts w:ascii="Times New Roman" w:hAnsi="Times New Roman" w:eastAsia="Times New Roman" w:cs="Times New Roman"/>
          <w:color w:val="auto"/>
          <w:spacing w:val="-7"/>
          <w:sz w:val="24"/>
          <w:szCs w:val="24"/>
          <w:highlight w:val="none"/>
        </w:rPr>
        <w:t>2</w:t>
      </w:r>
      <w:r>
        <w:rPr>
          <w:rFonts w:ascii="宋体" w:hAnsi="宋体" w:eastAsia="宋体" w:cs="宋体"/>
          <w:color w:val="auto"/>
          <w:spacing w:val="-7"/>
          <w:sz w:val="24"/>
          <w:szCs w:val="24"/>
          <w:highlight w:val="none"/>
        </w:rPr>
        <w:t>）凡属投标人自身失误造成多算、少算、漏算的，</w:t>
      </w:r>
      <w:r>
        <w:rPr>
          <w:rFonts w:ascii="宋体" w:hAnsi="宋体" w:eastAsia="宋体" w:cs="宋体"/>
          <w:color w:val="auto"/>
          <w:spacing w:val="74"/>
          <w:sz w:val="24"/>
          <w:szCs w:val="24"/>
          <w:highlight w:val="none"/>
        </w:rPr>
        <w:t xml:space="preserve"> </w:t>
      </w:r>
      <w:r>
        <w:rPr>
          <w:rFonts w:ascii="宋体" w:hAnsi="宋体" w:eastAsia="宋体" w:cs="宋体"/>
          <w:color w:val="auto"/>
          <w:spacing w:val="-7"/>
          <w:sz w:val="24"/>
          <w:szCs w:val="24"/>
          <w:highlight w:val="none"/>
        </w:rPr>
        <w:t>不调整投标报价。若有算</w:t>
      </w:r>
      <w:r>
        <w:rPr>
          <w:rFonts w:ascii="宋体" w:hAnsi="宋体" w:eastAsia="宋体" w:cs="宋体"/>
          <w:color w:val="auto"/>
          <w:spacing w:val="-3"/>
          <w:sz w:val="24"/>
          <w:szCs w:val="24"/>
          <w:highlight w:val="none"/>
        </w:rPr>
        <w:t>术性差错，均在投标报价不变的前提下按招标人要求调整单价及有关费用，调整后的</w:t>
      </w:r>
      <w:r>
        <w:rPr>
          <w:rFonts w:ascii="宋体" w:hAnsi="宋体" w:eastAsia="宋体" w:cs="宋体"/>
          <w:color w:val="auto"/>
          <w:spacing w:val="-1"/>
          <w:sz w:val="24"/>
          <w:szCs w:val="24"/>
          <w:highlight w:val="none"/>
        </w:rPr>
        <w:t>单价及有关费用对投标人起约束作用，如果投标人不接受修正后的单价及</w:t>
      </w:r>
      <w:r>
        <w:rPr>
          <w:rFonts w:ascii="宋体" w:hAnsi="宋体" w:eastAsia="宋体" w:cs="宋体"/>
          <w:color w:val="auto"/>
          <w:spacing w:val="-2"/>
          <w:sz w:val="24"/>
          <w:szCs w:val="24"/>
          <w:highlight w:val="none"/>
        </w:rPr>
        <w:t>有关费用，</w:t>
      </w:r>
      <w:r>
        <w:rPr>
          <w:rFonts w:ascii="宋体" w:hAnsi="宋体" w:eastAsia="宋体" w:cs="宋体"/>
          <w:color w:val="auto"/>
          <w:spacing w:val="-4"/>
          <w:sz w:val="24"/>
          <w:szCs w:val="24"/>
          <w:highlight w:val="none"/>
        </w:rPr>
        <w:t>则按商务评审不合格处理。</w:t>
      </w:r>
    </w:p>
    <w:p w14:paraId="6B763FD6">
      <w:pPr>
        <w:spacing w:before="181" w:line="359" w:lineRule="auto"/>
        <w:ind w:left="14" w:right="64" w:firstLine="525"/>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4.6.3  </w:t>
      </w:r>
      <w:r>
        <w:rPr>
          <w:rFonts w:ascii="宋体" w:hAnsi="宋体" w:eastAsia="宋体" w:cs="宋体"/>
          <w:color w:val="auto"/>
          <w:spacing w:val="-1"/>
          <w:sz w:val="24"/>
          <w:szCs w:val="24"/>
          <w:highlight w:val="none"/>
        </w:rPr>
        <w:t>投标报价中，如有以下情况之一的，由评标委员会全体成员按照少数服从</w:t>
      </w:r>
      <w:r>
        <w:rPr>
          <w:rFonts w:ascii="宋体" w:hAnsi="宋体" w:eastAsia="宋体" w:cs="宋体"/>
          <w:color w:val="auto"/>
          <w:spacing w:val="-3"/>
          <w:sz w:val="24"/>
          <w:szCs w:val="24"/>
          <w:highlight w:val="none"/>
        </w:rPr>
        <w:t>多数的原则记名投票（不得弃权）认定，作为商务评审不合格处理：</w:t>
      </w:r>
    </w:p>
    <w:p w14:paraId="1E4FDA17">
      <w:pPr>
        <w:spacing w:line="218" w:lineRule="auto"/>
        <w:ind w:left="54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）投标人拒绝修正不平衡报价或拒绝提供报价分析说明和证明材料的。</w:t>
      </w:r>
    </w:p>
    <w:p w14:paraId="6976D018">
      <w:pPr>
        <w:spacing w:before="185" w:line="290" w:lineRule="auto"/>
        <w:ind w:left="3" w:right="82" w:firstLine="54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）因投标人自身多算、少算、错算、漏算而造成的错误金额超过投标总价的</w:t>
      </w:r>
      <w:r>
        <w:rPr>
          <w:rFonts w:ascii="Times New Roman" w:hAnsi="Times New Roman" w:eastAsia="Times New Roman" w:cs="Times New Roman"/>
          <w:color w:val="auto"/>
          <w:spacing w:val="-7"/>
          <w:sz w:val="24"/>
          <w:szCs w:val="24"/>
          <w:highlight w:val="none"/>
        </w:rPr>
        <w:t>3%</w:t>
      </w:r>
      <w:r>
        <w:rPr>
          <w:rFonts w:ascii="宋体" w:hAnsi="宋体" w:eastAsia="宋体" w:cs="宋体"/>
          <w:color w:val="auto"/>
          <w:spacing w:val="-7"/>
          <w:sz w:val="24"/>
          <w:szCs w:val="24"/>
          <w:highlight w:val="none"/>
        </w:rPr>
        <w:t>的。</w:t>
      </w:r>
    </w:p>
    <w:p w14:paraId="245E4FA1">
      <w:pPr>
        <w:spacing w:before="178" w:line="220" w:lineRule="auto"/>
        <w:ind w:left="54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）安全生产措施费低于招标文件规定的。</w:t>
      </w:r>
    </w:p>
    <w:p w14:paraId="58F64C9D">
      <w:pPr>
        <w:spacing w:before="181" w:line="312" w:lineRule="auto"/>
        <w:ind w:left="3" w:firstLine="54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）通过技术评审的最低投标评标价低于通过技术评审的次低投标评标价</w:t>
      </w:r>
      <w:r>
        <w:rPr>
          <w:rFonts w:ascii="Times New Roman" w:hAnsi="Times New Roman" w:eastAsia="Times New Roman" w:cs="Times New Roman"/>
          <w:color w:val="auto"/>
          <w:spacing w:val="-2"/>
          <w:sz w:val="24"/>
          <w:szCs w:val="24"/>
          <w:highlight w:val="none"/>
        </w:rPr>
        <w:t>8%</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且经询标投标人对其报价不能充分说明理由，或提供的相关材料无法证明报价不低于</w:t>
      </w:r>
      <w:r>
        <w:rPr>
          <w:rFonts w:ascii="宋体" w:hAnsi="宋体" w:eastAsia="宋体" w:cs="宋体"/>
          <w:color w:val="auto"/>
          <w:spacing w:val="-7"/>
          <w:sz w:val="24"/>
          <w:szCs w:val="24"/>
          <w:highlight w:val="none"/>
        </w:rPr>
        <w:t>其成本价的。</w:t>
      </w:r>
    </w:p>
    <w:p w14:paraId="363E46C4">
      <w:pPr>
        <w:spacing w:before="184" w:line="219" w:lineRule="auto"/>
        <w:ind w:left="54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5</w:t>
      </w:r>
      <w:r>
        <w:rPr>
          <w:rFonts w:ascii="宋体" w:hAnsi="宋体" w:eastAsia="宋体" w:cs="宋体"/>
          <w:color w:val="auto"/>
          <w:spacing w:val="-2"/>
          <w:sz w:val="24"/>
          <w:szCs w:val="24"/>
          <w:highlight w:val="none"/>
        </w:rPr>
        <w:t>）评标委员会认定属投标人自身原因有重大漏项的。</w:t>
      </w:r>
    </w:p>
    <w:p w14:paraId="01A9BAD6">
      <w:pPr>
        <w:spacing w:before="181" w:line="213" w:lineRule="auto"/>
        <w:ind w:left="559"/>
        <w:rPr>
          <w:rFonts w:ascii="宋体" w:hAnsi="宋体" w:eastAsia="宋体" w:cs="宋体"/>
          <w:strike/>
          <w:dstrike w:val="0"/>
          <w:color w:val="auto"/>
          <w:sz w:val="25"/>
          <w:szCs w:val="25"/>
          <w:highlight w:val="none"/>
        </w:rPr>
      </w:pPr>
      <w:r>
        <w:rPr>
          <w:rFonts w:ascii="宋体" w:hAnsi="宋体" w:eastAsia="宋体" w:cs="宋体"/>
          <w:strike/>
          <w:dstrike w:val="0"/>
          <w:color w:val="auto"/>
          <w:spacing w:val="-13"/>
          <w:sz w:val="24"/>
          <w:szCs w:val="24"/>
          <w:highlight w:val="none"/>
        </w:rPr>
        <w:t>（</w:t>
      </w:r>
      <w:r>
        <w:rPr>
          <w:rFonts w:ascii="Times New Roman" w:hAnsi="Times New Roman" w:eastAsia="Times New Roman" w:cs="Times New Roman"/>
          <w:strike/>
          <w:dstrike w:val="0"/>
          <w:color w:val="auto"/>
          <w:spacing w:val="-13"/>
          <w:sz w:val="24"/>
          <w:szCs w:val="24"/>
          <w:highlight w:val="none"/>
        </w:rPr>
        <w:t>6</w:t>
      </w:r>
      <w:r>
        <w:rPr>
          <w:rFonts w:ascii="宋体" w:hAnsi="宋体" w:eastAsia="宋体" w:cs="宋体"/>
          <w:strike/>
          <w:dstrike w:val="0"/>
          <w:color w:val="auto"/>
          <w:spacing w:val="-13"/>
          <w:sz w:val="24"/>
          <w:szCs w:val="24"/>
          <w:highlight w:val="none"/>
        </w:rPr>
        <w:t>）</w:t>
      </w:r>
      <w:r>
        <w:rPr>
          <w:rFonts w:ascii="宋体" w:hAnsi="宋体" w:eastAsia="宋体" w:cs="宋体"/>
          <w:strike/>
          <w:dstrike w:val="0"/>
          <w:color w:val="auto"/>
          <w:spacing w:val="37"/>
          <w:sz w:val="24"/>
          <w:szCs w:val="24"/>
          <w:highlight w:val="none"/>
        </w:rPr>
        <w:t xml:space="preserve"> </w:t>
      </w:r>
      <w:r>
        <w:rPr>
          <w:rFonts w:ascii="Times New Roman" w:hAnsi="Times New Roman" w:eastAsia="Times New Roman" w:cs="Times New Roman"/>
          <w:i/>
          <w:iCs/>
          <w:strike/>
          <w:dstrike w:val="0"/>
          <w:color w:val="auto"/>
          <w:spacing w:val="-13"/>
          <w:sz w:val="24"/>
          <w:szCs w:val="24"/>
          <w:highlight w:val="none"/>
        </w:rPr>
        <w:t xml:space="preserve">…… </w:t>
      </w:r>
      <w:r>
        <w:rPr>
          <w:rFonts w:ascii="宋体" w:hAnsi="宋体" w:eastAsia="宋体" w:cs="宋体"/>
          <w:i/>
          <w:iCs/>
          <w:strike/>
          <w:dstrike w:val="0"/>
          <w:color w:val="auto"/>
          <w:spacing w:val="-13"/>
          <w:sz w:val="25"/>
          <w:szCs w:val="25"/>
          <w:highlight w:val="none"/>
        </w:rPr>
        <w:t>（由招标人自行扩充）</w:t>
      </w:r>
    </w:p>
    <w:p w14:paraId="705815B9">
      <w:pPr>
        <w:spacing w:before="179" w:line="220" w:lineRule="auto"/>
        <w:ind w:left="523"/>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4.5.4  </w:t>
      </w:r>
      <w:r>
        <w:rPr>
          <w:rFonts w:ascii="宋体" w:hAnsi="宋体" w:eastAsia="宋体" w:cs="宋体"/>
          <w:color w:val="auto"/>
          <w:spacing w:val="-2"/>
          <w:sz w:val="24"/>
          <w:szCs w:val="24"/>
          <w:highlight w:val="none"/>
        </w:rPr>
        <w:t>商务评审不合格的投标文件不再进入后续评分。</w:t>
      </w:r>
    </w:p>
    <w:p w14:paraId="7E1CCC7A">
      <w:pPr>
        <w:spacing w:before="180" w:line="220" w:lineRule="auto"/>
        <w:ind w:left="52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4.5.5  </w:t>
      </w:r>
      <w:r>
        <w:rPr>
          <w:rFonts w:ascii="宋体" w:hAnsi="宋体" w:eastAsia="宋体" w:cs="宋体"/>
          <w:color w:val="auto"/>
          <w:spacing w:val="-1"/>
          <w:sz w:val="24"/>
          <w:szCs w:val="24"/>
          <w:highlight w:val="none"/>
        </w:rPr>
        <w:t>商务评分计算办法：</w:t>
      </w:r>
    </w:p>
    <w:p w14:paraId="5B9AED00">
      <w:pPr>
        <w:spacing w:before="48" w:line="218" w:lineRule="auto"/>
        <w:ind w:left="557"/>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1</w:t>
      </w:r>
      <w:r>
        <w:rPr>
          <w:rFonts w:ascii="Times New Roman" w:hAnsi="Times New Roman" w:eastAsia="Times New Roman" w:cs="Times New Roman"/>
          <w:color w:val="auto"/>
          <w:spacing w:val="-29"/>
          <w:sz w:val="24"/>
          <w:szCs w:val="24"/>
          <w:highlight w:val="none"/>
        </w:rPr>
        <w:t xml:space="preserve"> </w:t>
      </w:r>
      <w:r>
        <w:rPr>
          <w:rFonts w:ascii="宋体" w:hAnsi="宋体" w:eastAsia="宋体" w:cs="宋体"/>
          <w:color w:val="auto"/>
          <w:spacing w:val="-6"/>
          <w:sz w:val="24"/>
          <w:szCs w:val="24"/>
          <w:highlight w:val="none"/>
        </w:rPr>
        <w:t>．评分基准价的确定</w:t>
      </w:r>
    </w:p>
    <w:p w14:paraId="630C7738">
      <w:pPr>
        <w:spacing w:before="184" w:line="359" w:lineRule="auto"/>
        <w:ind w:right="7" w:firstLine="492"/>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除计算差错外，确认后的评分基准价在本次招标期间保持不变。计算差错， 仅限</w:t>
      </w:r>
      <w:r>
        <w:rPr>
          <w:rFonts w:ascii="宋体" w:hAnsi="宋体" w:eastAsia="宋体" w:cs="宋体"/>
          <w:color w:val="auto"/>
          <w:sz w:val="24"/>
          <w:szCs w:val="24"/>
          <w:highlight w:val="none"/>
        </w:rPr>
        <w:t>于以下两种情况</w:t>
      </w:r>
      <w:r>
        <w:rPr>
          <w:rFonts w:ascii="宋体" w:hAnsi="宋体" w:eastAsia="宋体" w:cs="宋体"/>
          <w:color w:val="auto"/>
          <w:spacing w:val="-27"/>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）纯算术性四则运算差错</w:t>
      </w:r>
      <w:r>
        <w:rPr>
          <w:rFonts w:ascii="宋体" w:hAnsi="宋体" w:eastAsia="宋体" w:cs="宋体"/>
          <w:color w:val="auto"/>
          <w:spacing w:val="-27"/>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）未按约定的计算方法，多计或</w:t>
      </w:r>
      <w:r>
        <w:rPr>
          <w:rFonts w:ascii="宋体" w:hAnsi="宋体" w:eastAsia="宋体" w:cs="宋体"/>
          <w:color w:val="auto"/>
          <w:spacing w:val="-6"/>
          <w:sz w:val="24"/>
          <w:szCs w:val="24"/>
          <w:highlight w:val="none"/>
        </w:rPr>
        <w:t>者少计投标人报价的。由于评标差错导致否决投标错误， 重新评标纠正等情况，不属</w:t>
      </w:r>
      <w:r>
        <w:rPr>
          <w:rFonts w:ascii="宋体" w:hAnsi="宋体" w:eastAsia="宋体" w:cs="宋体"/>
          <w:color w:val="auto"/>
          <w:spacing w:val="-7"/>
          <w:sz w:val="24"/>
          <w:szCs w:val="24"/>
          <w:highlight w:val="none"/>
        </w:rPr>
        <w:t>于计算差错。</w:t>
      </w:r>
    </w:p>
    <w:p w14:paraId="47C380D0">
      <w:pPr>
        <w:spacing w:line="218" w:lineRule="auto"/>
        <w:ind w:left="53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平均报价值、</w:t>
      </w:r>
      <w:r>
        <w:rPr>
          <w:rFonts w:ascii="Times New Roman" w:hAnsi="Times New Roman" w:eastAsia="Times New Roman" w:cs="Times New Roman"/>
          <w:color w:val="auto"/>
          <w:spacing w:val="-2"/>
          <w:sz w:val="24"/>
          <w:szCs w:val="24"/>
          <w:highlight w:val="none"/>
        </w:rPr>
        <w:t>B</w:t>
      </w:r>
      <w:r>
        <w:rPr>
          <w:rFonts w:ascii="宋体" w:hAnsi="宋体" w:eastAsia="宋体" w:cs="宋体"/>
          <w:color w:val="auto"/>
          <w:spacing w:val="-2"/>
          <w:sz w:val="24"/>
          <w:szCs w:val="24"/>
          <w:highlight w:val="none"/>
        </w:rPr>
        <w:t>值取整数，小数点后四舍五入。</w:t>
      </w:r>
    </w:p>
    <w:p w14:paraId="6FAFE2F5">
      <w:pPr>
        <w:spacing w:before="182" w:line="221" w:lineRule="auto"/>
        <w:ind w:left="56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1</w:t>
      </w:r>
      <w:r>
        <w:rPr>
          <w:rFonts w:ascii="宋体" w:hAnsi="宋体" w:eastAsia="宋体" w:cs="宋体"/>
          <w:strike/>
          <w:dstrike w:val="0"/>
          <w:color w:val="auto"/>
          <w:spacing w:val="-7"/>
          <w:sz w:val="24"/>
          <w:szCs w:val="24"/>
          <w:highlight w:val="none"/>
        </w:rPr>
        <w:t>：</w:t>
      </w:r>
    </w:p>
    <w:p w14:paraId="090C9BBF">
      <w:pPr>
        <w:spacing w:before="180" w:line="218" w:lineRule="auto"/>
        <w:ind w:left="54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1A8A54EC">
      <w:pPr>
        <w:spacing w:before="182" w:line="290" w:lineRule="auto"/>
        <w:ind w:left="4" w:right="4" w:firstLine="55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pacing w:val="-16"/>
          <w:sz w:val="24"/>
          <w:szCs w:val="24"/>
          <w:highlight w:val="none"/>
        </w:rPr>
        <w:t>范围；</w:t>
      </w:r>
    </w:p>
    <w:p w14:paraId="7EF08700">
      <w:pPr>
        <w:spacing w:before="180" w:line="284" w:lineRule="auto"/>
        <w:ind w:right="2" w:firstLine="563"/>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15BE130E">
      <w:pPr>
        <w:spacing w:before="179" w:line="218" w:lineRule="auto"/>
        <w:ind w:left="55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091E3EE1">
      <w:pPr>
        <w:spacing w:before="188" w:line="333" w:lineRule="auto"/>
        <w:ind w:firstLine="54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2</w:t>
      </w:r>
      <w:r>
        <w:rPr>
          <w:rFonts w:ascii="宋体" w:hAnsi="宋体" w:eastAsia="宋体" w:cs="宋体"/>
          <w:strike/>
          <w:dstrike w:val="0"/>
          <w:color w:val="auto"/>
          <w:spacing w:val="-5"/>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5"/>
          <w:sz w:val="24"/>
          <w:szCs w:val="24"/>
          <w:highlight w:val="none"/>
        </w:rPr>
        <w:t>5</w:t>
      </w:r>
      <w:r>
        <w:rPr>
          <w:rFonts w:ascii="宋体" w:hAnsi="宋体" w:eastAsia="宋体" w:cs="宋体"/>
          <w:strike/>
          <w:dstrike w:val="0"/>
          <w:color w:val="auto"/>
          <w:spacing w:val="-5"/>
          <w:sz w:val="24"/>
          <w:szCs w:val="24"/>
          <w:highlight w:val="none"/>
        </w:rPr>
        <w:t>家，平</w:t>
      </w:r>
      <w:r>
        <w:rPr>
          <w:rFonts w:ascii="宋体" w:hAnsi="宋体" w:eastAsia="宋体" w:cs="宋体"/>
          <w:strike/>
          <w:dstrike w:val="0"/>
          <w:color w:val="auto"/>
          <w:spacing w:val="4"/>
          <w:sz w:val="24"/>
          <w:szCs w:val="24"/>
          <w:highlight w:val="none"/>
        </w:rPr>
        <w:t>均报价值为计入平均报价值计算范围的投标评标价中剔除投标评标价由高到低</w:t>
      </w:r>
      <w:r>
        <w:rPr>
          <w:rFonts w:ascii="宋体" w:hAnsi="宋体" w:eastAsia="宋体" w:cs="宋体"/>
          <w:strike/>
          <w:dstrike w:val="0"/>
          <w:color w:val="auto"/>
          <w:spacing w:val="3"/>
          <w:sz w:val="24"/>
          <w:szCs w:val="24"/>
          <w:highlight w:val="none"/>
        </w:rPr>
        <w:t>排序前</w:t>
      </w:r>
      <w:r>
        <w:rPr>
          <w:rFonts w:ascii="Times New Roman" w:hAnsi="Times New Roman" w:eastAsia="Times New Roman" w:cs="Times New Roman"/>
          <w:strike/>
          <w:dstrike w:val="0"/>
          <w:color w:val="auto"/>
          <w:spacing w:val="3"/>
          <w:sz w:val="24"/>
          <w:szCs w:val="24"/>
          <w:highlight w:val="none"/>
        </w:rPr>
        <w:t>A</w:t>
      </w:r>
      <w:r>
        <w:rPr>
          <w:rFonts w:ascii="宋体" w:hAnsi="宋体" w:eastAsia="宋体" w:cs="宋体"/>
          <w:strike/>
          <w:dstrike w:val="0"/>
          <w:color w:val="auto"/>
          <w:spacing w:val="3"/>
          <w:sz w:val="24"/>
          <w:szCs w:val="24"/>
          <w:highlight w:val="none"/>
        </w:rPr>
        <w:t>个投标评标价和投标评标价由低到高排序前</w:t>
      </w:r>
      <w:r>
        <w:rPr>
          <w:rFonts w:ascii="Times New Roman" w:hAnsi="Times New Roman" w:eastAsia="Times New Roman" w:cs="Times New Roman"/>
          <w:strike/>
          <w:dstrike w:val="0"/>
          <w:color w:val="auto"/>
          <w:spacing w:val="3"/>
          <w:sz w:val="24"/>
          <w:szCs w:val="24"/>
          <w:highlight w:val="none"/>
        </w:rPr>
        <w:t>A</w:t>
      </w:r>
      <w:r>
        <w:rPr>
          <w:rFonts w:ascii="宋体" w:hAnsi="宋体" w:eastAsia="宋体" w:cs="宋体"/>
          <w:strike/>
          <w:dstrike w:val="0"/>
          <w:color w:val="auto"/>
          <w:spacing w:val="3"/>
          <w:sz w:val="24"/>
          <w:szCs w:val="24"/>
          <w:highlight w:val="none"/>
        </w:rPr>
        <w:t>个</w:t>
      </w:r>
      <w:r>
        <w:rPr>
          <w:rFonts w:ascii="宋体" w:hAnsi="宋体" w:eastAsia="宋体" w:cs="宋体"/>
          <w:strike/>
          <w:dstrike w:val="0"/>
          <w:color w:val="auto"/>
          <w:spacing w:val="2"/>
          <w:sz w:val="24"/>
          <w:szCs w:val="24"/>
          <w:highlight w:val="none"/>
        </w:rPr>
        <w:t>投标评标价后的算术平均值［</w:t>
      </w:r>
      <w:r>
        <w:rPr>
          <w:rFonts w:ascii="Times New Roman" w:hAnsi="Times New Roman" w:eastAsia="Times New Roman" w:cs="Times New Roman"/>
          <w:strike/>
          <w:dstrike w:val="0"/>
          <w:color w:val="auto"/>
          <w:spacing w:val="2"/>
          <w:sz w:val="24"/>
          <w:szCs w:val="24"/>
          <w:highlight w:val="none"/>
        </w:rPr>
        <w:t>A</w:t>
      </w:r>
      <w:r>
        <w:rPr>
          <w:rFonts w:ascii="宋体" w:hAnsi="宋体" w:eastAsia="宋体" w:cs="宋体"/>
          <w:strike/>
          <w:dstrike w:val="0"/>
          <w:color w:val="auto"/>
          <w:spacing w:val="-7"/>
          <w:sz w:val="24"/>
          <w:szCs w:val="24"/>
          <w:highlight w:val="none"/>
        </w:rPr>
        <w:t>为计入平均报价值计算范围的投标人个数的</w:t>
      </w:r>
      <w:r>
        <w:rPr>
          <w:rFonts w:ascii="宋体" w:hAnsi="宋体" w:eastAsia="宋体" w:cs="宋体"/>
          <w:strike/>
          <w:dstrike w:val="0"/>
          <w:color w:val="auto"/>
          <w:spacing w:val="48"/>
          <w:sz w:val="25"/>
          <w:szCs w:val="25"/>
          <w:highlight w:val="none"/>
          <w:u w:val="single" w:color="auto"/>
        </w:rPr>
        <w:t xml:space="preserve"> </w:t>
      </w:r>
      <w:r>
        <w:rPr>
          <w:rFonts w:ascii="宋体" w:hAnsi="宋体" w:eastAsia="宋体" w:cs="宋体"/>
          <w:i/>
          <w:iCs/>
          <w:strike/>
          <w:dstrike w:val="0"/>
          <w:color w:val="auto"/>
          <w:spacing w:val="-7"/>
          <w:sz w:val="25"/>
          <w:szCs w:val="25"/>
          <w:highlight w:val="none"/>
          <w:u w:val="single" w:color="auto"/>
        </w:rPr>
        <w:t>（</w:t>
      </w:r>
      <w:r>
        <w:rPr>
          <w:rFonts w:ascii="Times New Roman" w:hAnsi="Times New Roman" w:eastAsia="Times New Roman" w:cs="Times New Roman"/>
          <w:i/>
          <w:iCs/>
          <w:strike/>
          <w:dstrike w:val="0"/>
          <w:color w:val="auto"/>
          <w:spacing w:val="-7"/>
          <w:sz w:val="24"/>
          <w:szCs w:val="24"/>
          <w:highlight w:val="none"/>
          <w:u w:val="single" w:color="auto"/>
        </w:rPr>
        <w:t>20%</w:t>
      </w:r>
      <w:r>
        <w:rPr>
          <w:rFonts w:ascii="宋体" w:hAnsi="宋体" w:eastAsia="宋体" w:cs="宋体"/>
          <w:i/>
          <w:iCs/>
          <w:strike/>
          <w:dstrike w:val="0"/>
          <w:color w:val="auto"/>
          <w:spacing w:val="-7"/>
          <w:sz w:val="25"/>
          <w:szCs w:val="25"/>
          <w:highlight w:val="none"/>
          <w:u w:val="single" w:color="auto"/>
        </w:rPr>
        <w:t>～</w:t>
      </w:r>
      <w:r>
        <w:rPr>
          <w:rFonts w:ascii="Times New Roman" w:hAnsi="Times New Roman" w:eastAsia="Times New Roman" w:cs="Times New Roman"/>
          <w:i/>
          <w:iCs/>
          <w:strike/>
          <w:dstrike w:val="0"/>
          <w:color w:val="auto"/>
          <w:spacing w:val="-7"/>
          <w:sz w:val="24"/>
          <w:szCs w:val="24"/>
          <w:highlight w:val="none"/>
          <w:u w:val="single" w:color="auto"/>
        </w:rPr>
        <w:t xml:space="preserve">30% </w:t>
      </w:r>
      <w:r>
        <w:rPr>
          <w:rFonts w:ascii="宋体" w:hAnsi="宋体" w:eastAsia="宋体" w:cs="宋体"/>
          <w:i/>
          <w:iCs/>
          <w:strike/>
          <w:dstrike w:val="0"/>
          <w:color w:val="auto"/>
          <w:spacing w:val="-7"/>
          <w:sz w:val="25"/>
          <w:szCs w:val="25"/>
          <w:highlight w:val="none"/>
          <w:u w:val="single" w:color="auto"/>
        </w:rPr>
        <w:t>，由招标人自主确定</w:t>
      </w:r>
      <w:r>
        <w:rPr>
          <w:rFonts w:ascii="宋体" w:hAnsi="宋体" w:eastAsia="宋体" w:cs="宋体"/>
          <w:i/>
          <w:iCs/>
          <w:strike/>
          <w:dstrike w:val="0"/>
          <w:color w:val="auto"/>
          <w:spacing w:val="-16"/>
          <w:sz w:val="25"/>
          <w:szCs w:val="25"/>
          <w:highlight w:val="none"/>
          <w:u w:val="single" w:color="auto"/>
        </w:rPr>
        <w:t>）</w:t>
      </w:r>
      <w:r>
        <w:rPr>
          <w:rFonts w:ascii="宋体" w:hAnsi="宋体" w:eastAsia="宋体" w:cs="宋体"/>
          <w:strike/>
          <w:dstrike w:val="0"/>
          <w:color w:val="auto"/>
          <w:spacing w:val="6"/>
          <w:sz w:val="25"/>
          <w:szCs w:val="25"/>
          <w:highlight w:val="none"/>
          <w:u w:val="single" w:color="auto"/>
        </w:rPr>
        <w:t xml:space="preserve"> </w:t>
      </w:r>
      <w:r>
        <w:rPr>
          <w:rFonts w:ascii="宋体" w:hAnsi="宋体" w:eastAsia="宋体" w:cs="宋体"/>
          <w:strike/>
          <w:dstrike w:val="0"/>
          <w:color w:val="auto"/>
          <w:spacing w:val="-96"/>
          <w:sz w:val="25"/>
          <w:szCs w:val="25"/>
          <w:highlight w:val="none"/>
        </w:rPr>
        <w:t xml:space="preserve"> </w:t>
      </w:r>
      <w:r>
        <w:rPr>
          <w:rFonts w:ascii="宋体" w:hAnsi="宋体" w:eastAsia="宋体" w:cs="宋体"/>
          <w:strike/>
          <w:dstrike w:val="0"/>
          <w:color w:val="auto"/>
          <w:spacing w:val="-16"/>
          <w:sz w:val="24"/>
          <w:szCs w:val="24"/>
          <w:highlight w:val="none"/>
        </w:rPr>
        <w:t>，</w:t>
      </w:r>
      <w:r>
        <w:rPr>
          <w:rFonts w:ascii="宋体" w:hAnsi="宋体" w:eastAsia="宋体" w:cs="宋体"/>
          <w:strike/>
          <w:dstrike w:val="0"/>
          <w:color w:val="auto"/>
          <w:sz w:val="24"/>
          <w:szCs w:val="24"/>
          <w:highlight w:val="none"/>
        </w:rPr>
        <w:t>并取整数，小数点后四舍五入</w:t>
      </w:r>
      <w:r>
        <w:rPr>
          <w:rFonts w:ascii="宋体" w:hAnsi="宋体" w:eastAsia="宋体" w:cs="宋体"/>
          <w:strike/>
          <w:dstrike w:val="0"/>
          <w:color w:val="auto"/>
          <w:spacing w:val="6"/>
          <w:sz w:val="24"/>
          <w:szCs w:val="24"/>
          <w:highlight w:val="none"/>
        </w:rPr>
        <w:t>］；</w:t>
      </w:r>
      <w:r>
        <w:rPr>
          <w:rFonts w:ascii="宋体" w:hAnsi="宋体" w:eastAsia="宋体" w:cs="宋体"/>
          <w:strike/>
          <w:dstrike w:val="0"/>
          <w:color w:val="auto"/>
          <w:sz w:val="24"/>
          <w:szCs w:val="24"/>
          <w:highlight w:val="none"/>
        </w:rPr>
        <w:t>若计入平均报价值计算范围的投标人少于</w:t>
      </w:r>
      <w:r>
        <w:rPr>
          <w:rFonts w:ascii="Times New Roman" w:hAnsi="Times New Roman" w:eastAsia="Times New Roman" w:cs="Times New Roman"/>
          <w:strike/>
          <w:dstrike w:val="0"/>
          <w:color w:val="auto"/>
          <w:sz w:val="24"/>
          <w:szCs w:val="24"/>
          <w:highlight w:val="none"/>
        </w:rPr>
        <w:t>5</w:t>
      </w:r>
      <w:r>
        <w:rPr>
          <w:rFonts w:ascii="宋体" w:hAnsi="宋体" w:eastAsia="宋体" w:cs="宋体"/>
          <w:strike/>
          <w:dstrike w:val="0"/>
          <w:color w:val="auto"/>
          <w:sz w:val="24"/>
          <w:szCs w:val="24"/>
          <w:highlight w:val="none"/>
        </w:rPr>
        <w:t>家，平</w:t>
      </w:r>
      <w:r>
        <w:rPr>
          <w:rFonts w:ascii="宋体" w:hAnsi="宋体" w:eastAsia="宋体" w:cs="宋体"/>
          <w:strike/>
          <w:dstrike w:val="0"/>
          <w:color w:val="auto"/>
          <w:spacing w:val="-2"/>
          <w:sz w:val="24"/>
          <w:szCs w:val="24"/>
          <w:highlight w:val="none"/>
        </w:rPr>
        <w:t>均报价值为所有计入平均报价值计算范围的投标评标价的算术平均值。</w:t>
      </w:r>
    </w:p>
    <w:p w14:paraId="16AC0217">
      <w:pPr>
        <w:spacing w:before="182" w:line="218" w:lineRule="auto"/>
        <w:ind w:left="48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w:t>
      </w:r>
      <w:r>
        <w:rPr>
          <w:rFonts w:ascii="Times New Roman" w:hAnsi="Times New Roman" w:eastAsia="Times New Roman" w:cs="Times New Roman"/>
          <w:strike/>
          <w:dstrike w:val="0"/>
          <w:color w:val="auto"/>
          <w:spacing w:val="-6"/>
          <w:sz w:val="24"/>
          <w:szCs w:val="24"/>
          <w:highlight w:val="none"/>
        </w:rPr>
        <w:t>3</w:t>
      </w:r>
      <w:r>
        <w:rPr>
          <w:rFonts w:ascii="宋体" w:hAnsi="宋体" w:eastAsia="宋体" w:cs="宋体"/>
          <w:strike/>
          <w:dstrike w:val="0"/>
          <w:color w:val="auto"/>
          <w:spacing w:val="-6"/>
          <w:sz w:val="24"/>
          <w:szCs w:val="24"/>
          <w:highlight w:val="none"/>
        </w:rPr>
        <w:t>）评分基准价的确定：</w:t>
      </w:r>
    </w:p>
    <w:p w14:paraId="2FB99179">
      <w:pPr>
        <w:spacing w:before="141" w:line="323" w:lineRule="exact"/>
        <w:ind w:left="478"/>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position w:val="2"/>
          <w:sz w:val="24"/>
          <w:szCs w:val="24"/>
          <w:highlight w:val="none"/>
        </w:rPr>
        <w:t>评分基准价</w:t>
      </w:r>
      <w:r>
        <w:rPr>
          <w:rFonts w:ascii="Times New Roman" w:hAnsi="Times New Roman" w:eastAsia="Times New Roman" w:cs="Times New Roman"/>
          <w:strike/>
          <w:dstrike w:val="0"/>
          <w:color w:val="auto"/>
          <w:position w:val="2"/>
          <w:sz w:val="24"/>
          <w:szCs w:val="24"/>
          <w:highlight w:val="none"/>
        </w:rPr>
        <w:t>=</w:t>
      </w:r>
      <w:r>
        <w:rPr>
          <w:rFonts w:ascii="宋体" w:hAnsi="宋体" w:eastAsia="宋体" w:cs="宋体"/>
          <w:strike/>
          <w:dstrike w:val="0"/>
          <w:color w:val="auto"/>
          <w:position w:val="2"/>
          <w:sz w:val="24"/>
          <w:szCs w:val="24"/>
          <w:highlight w:val="none"/>
        </w:rPr>
        <w:t>（</w:t>
      </w:r>
      <w:r>
        <w:rPr>
          <w:rFonts w:ascii="Times New Roman" w:hAnsi="Times New Roman" w:eastAsia="Times New Roman" w:cs="Times New Roman"/>
          <w:strike/>
          <w:dstrike w:val="0"/>
          <w:color w:val="auto"/>
          <w:position w:val="2"/>
          <w:sz w:val="24"/>
          <w:szCs w:val="24"/>
          <w:highlight w:val="none"/>
        </w:rPr>
        <w:t>Q</w:t>
      </w:r>
      <w:r>
        <w:rPr>
          <w:rFonts w:ascii="宋体" w:hAnsi="宋体" w:eastAsia="宋体" w:cs="宋体"/>
          <w:strike/>
          <w:dstrike w:val="0"/>
          <w:color w:val="auto"/>
          <w:position w:val="2"/>
          <w:sz w:val="24"/>
          <w:szCs w:val="24"/>
          <w:highlight w:val="none"/>
        </w:rPr>
        <w:t>×最高投标限价</w:t>
      </w:r>
      <w:r>
        <w:rPr>
          <w:rFonts w:ascii="Times New Roman" w:hAnsi="Times New Roman" w:eastAsia="Times New Roman" w:cs="Times New Roman"/>
          <w:strike/>
          <w:dstrike w:val="0"/>
          <w:color w:val="auto"/>
          <w:position w:val="2"/>
          <w:sz w:val="24"/>
          <w:szCs w:val="24"/>
          <w:highlight w:val="none"/>
        </w:rPr>
        <w:t>+</w:t>
      </w:r>
      <w:r>
        <w:rPr>
          <w:rFonts w:ascii="宋体" w:hAnsi="宋体" w:eastAsia="宋体" w:cs="宋体"/>
          <w:strike/>
          <w:dstrike w:val="0"/>
          <w:color w:val="auto"/>
          <w:position w:val="2"/>
          <w:sz w:val="24"/>
          <w:szCs w:val="24"/>
          <w:highlight w:val="none"/>
        </w:rPr>
        <w:t>（</w:t>
      </w:r>
      <w:r>
        <w:rPr>
          <w:rFonts w:ascii="Times New Roman" w:hAnsi="Times New Roman" w:eastAsia="Times New Roman" w:cs="Times New Roman"/>
          <w:strike/>
          <w:dstrike w:val="0"/>
          <w:color w:val="auto"/>
          <w:position w:val="2"/>
          <w:sz w:val="24"/>
          <w:szCs w:val="24"/>
          <w:highlight w:val="none"/>
        </w:rPr>
        <w:t>1-Q</w:t>
      </w:r>
      <w:r>
        <w:rPr>
          <w:rFonts w:ascii="宋体" w:hAnsi="宋体" w:eastAsia="宋体" w:cs="宋体"/>
          <w:strike/>
          <w:dstrike w:val="0"/>
          <w:color w:val="auto"/>
          <w:position w:val="2"/>
          <w:sz w:val="24"/>
          <w:szCs w:val="24"/>
          <w:highlight w:val="none"/>
        </w:rPr>
        <w:t>）</w:t>
      </w:r>
      <w:r>
        <w:rPr>
          <w:rFonts w:ascii="Times New Roman" w:hAnsi="Times New Roman" w:eastAsia="Times New Roman" w:cs="Times New Roman"/>
          <w:strike/>
          <w:dstrike w:val="0"/>
          <w:color w:val="auto"/>
          <w:position w:val="2"/>
          <w:sz w:val="24"/>
          <w:szCs w:val="24"/>
          <w:highlight w:val="none"/>
        </w:rPr>
        <w:t>×</w:t>
      </w:r>
      <w:r>
        <w:rPr>
          <w:rFonts w:ascii="宋体" w:hAnsi="宋体" w:eastAsia="宋体" w:cs="宋体"/>
          <w:strike/>
          <w:dstrike w:val="0"/>
          <w:color w:val="auto"/>
          <w:position w:val="2"/>
          <w:sz w:val="24"/>
          <w:szCs w:val="24"/>
          <w:highlight w:val="none"/>
        </w:rPr>
        <w:t>平</w:t>
      </w:r>
      <w:r>
        <w:rPr>
          <w:rFonts w:ascii="宋体" w:hAnsi="宋体" w:eastAsia="宋体" w:cs="宋体"/>
          <w:strike/>
          <w:dstrike w:val="0"/>
          <w:color w:val="auto"/>
          <w:spacing w:val="-1"/>
          <w:position w:val="2"/>
          <w:sz w:val="24"/>
          <w:szCs w:val="24"/>
          <w:highlight w:val="none"/>
        </w:rPr>
        <w:t>均报价值）×</w:t>
      </w:r>
      <w:r>
        <w:rPr>
          <w:rFonts w:ascii="Times New Roman" w:hAnsi="Times New Roman" w:eastAsia="Times New Roman" w:cs="Times New Roman"/>
          <w:strike/>
          <w:dstrike w:val="0"/>
          <w:color w:val="auto"/>
          <w:spacing w:val="-1"/>
          <w:position w:val="2"/>
          <w:sz w:val="24"/>
          <w:szCs w:val="24"/>
          <w:highlight w:val="none"/>
        </w:rPr>
        <w:t>(1-X%)</w:t>
      </w:r>
    </w:p>
    <w:p w14:paraId="3796B1DF">
      <w:pPr>
        <w:tabs>
          <w:tab w:val="left" w:pos="8777"/>
        </w:tabs>
        <w:spacing w:before="185" w:line="345" w:lineRule="auto"/>
        <w:ind w:firstLine="480"/>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最高投标限价权重</w:t>
      </w:r>
      <w:r>
        <w:rPr>
          <w:rFonts w:ascii="Times New Roman" w:hAnsi="Times New Roman" w:eastAsia="Times New Roman" w:cs="Times New Roman"/>
          <w:strike/>
          <w:dstrike w:val="0"/>
          <w:color w:val="auto"/>
          <w:spacing w:val="5"/>
          <w:sz w:val="24"/>
          <w:szCs w:val="24"/>
          <w:highlight w:val="none"/>
        </w:rPr>
        <w:t>Q</w:t>
      </w:r>
      <w:r>
        <w:rPr>
          <w:rFonts w:ascii="宋体" w:hAnsi="宋体" w:eastAsia="宋体" w:cs="宋体"/>
          <w:strike/>
          <w:dstrike w:val="0"/>
          <w:color w:val="auto"/>
          <w:spacing w:val="5"/>
          <w:sz w:val="24"/>
          <w:szCs w:val="24"/>
          <w:highlight w:val="none"/>
        </w:rPr>
        <w:t>值为□</w:t>
      </w:r>
      <w:r>
        <w:rPr>
          <w:rFonts w:ascii="宋体" w:hAnsi="宋体" w:eastAsia="宋体" w:cs="宋体"/>
          <w:strike/>
          <w:dstrike w:val="0"/>
          <w:color w:val="auto"/>
          <w:spacing w:val="-99"/>
          <w:sz w:val="24"/>
          <w:szCs w:val="24"/>
          <w:highlight w:val="none"/>
        </w:rPr>
        <w:t xml:space="preserve"> </w:t>
      </w:r>
      <w:r>
        <w:rPr>
          <w:rFonts w:ascii="宋体" w:hAnsi="宋体" w:eastAsia="宋体" w:cs="宋体"/>
          <w:strike/>
          <w:dstrike w:val="0"/>
          <w:color w:val="auto"/>
          <w:spacing w:val="5"/>
          <w:sz w:val="25"/>
          <w:szCs w:val="25"/>
          <w:highlight w:val="none"/>
          <w:u w:val="single" w:color="auto"/>
        </w:rPr>
        <w:t xml:space="preserve">    </w:t>
      </w:r>
      <w:r>
        <w:rPr>
          <w:rFonts w:ascii="宋体" w:hAnsi="宋体" w:eastAsia="宋体" w:cs="宋体"/>
          <w:i/>
          <w:iCs/>
          <w:strike/>
          <w:dstrike w:val="0"/>
          <w:color w:val="auto"/>
          <w:spacing w:val="5"/>
          <w:sz w:val="25"/>
          <w:szCs w:val="25"/>
          <w:highlight w:val="none"/>
          <w:u w:val="single" w:color="auto"/>
        </w:rPr>
        <w:t>（</w:t>
      </w:r>
      <w:r>
        <w:rPr>
          <w:rFonts w:ascii="Times New Roman" w:hAnsi="Times New Roman" w:eastAsia="Times New Roman" w:cs="Times New Roman"/>
          <w:i/>
          <w:iCs/>
          <w:strike/>
          <w:dstrike w:val="0"/>
          <w:color w:val="auto"/>
          <w:spacing w:val="5"/>
          <w:sz w:val="24"/>
          <w:szCs w:val="24"/>
          <w:highlight w:val="none"/>
          <w:u w:val="single" w:color="auto"/>
        </w:rPr>
        <w:t>0.30</w:t>
      </w:r>
      <w:r>
        <w:rPr>
          <w:rFonts w:ascii="宋体" w:hAnsi="宋体" w:eastAsia="宋体" w:cs="宋体"/>
          <w:i/>
          <w:iCs/>
          <w:strike/>
          <w:dstrike w:val="0"/>
          <w:color w:val="auto"/>
          <w:spacing w:val="5"/>
          <w:sz w:val="25"/>
          <w:szCs w:val="25"/>
          <w:highlight w:val="none"/>
          <w:u w:val="single" w:color="auto"/>
        </w:rPr>
        <w:t>或</w:t>
      </w:r>
      <w:r>
        <w:rPr>
          <w:rFonts w:ascii="Times New Roman" w:hAnsi="Times New Roman" w:eastAsia="Times New Roman" w:cs="Times New Roman"/>
          <w:i/>
          <w:iCs/>
          <w:strike/>
          <w:dstrike w:val="0"/>
          <w:color w:val="auto"/>
          <w:spacing w:val="5"/>
          <w:sz w:val="24"/>
          <w:szCs w:val="24"/>
          <w:highlight w:val="none"/>
          <w:u w:val="single" w:color="auto"/>
        </w:rPr>
        <w:t>0.3</w:t>
      </w:r>
      <w:r>
        <w:rPr>
          <w:rFonts w:ascii="Times New Roman" w:hAnsi="Times New Roman" w:eastAsia="Times New Roman" w:cs="Times New Roman"/>
          <w:i/>
          <w:iCs/>
          <w:strike/>
          <w:dstrike w:val="0"/>
          <w:color w:val="auto"/>
          <w:spacing w:val="4"/>
          <w:sz w:val="24"/>
          <w:szCs w:val="24"/>
          <w:highlight w:val="none"/>
          <w:u w:val="single" w:color="auto"/>
        </w:rPr>
        <w:t>5</w:t>
      </w:r>
      <w:r>
        <w:rPr>
          <w:rFonts w:ascii="宋体" w:hAnsi="宋体" w:eastAsia="宋体" w:cs="宋体"/>
          <w:i/>
          <w:iCs/>
          <w:strike/>
          <w:dstrike w:val="0"/>
          <w:color w:val="auto"/>
          <w:spacing w:val="4"/>
          <w:sz w:val="25"/>
          <w:szCs w:val="25"/>
          <w:highlight w:val="none"/>
          <w:u w:val="single" w:color="auto"/>
        </w:rPr>
        <w:t>或</w:t>
      </w:r>
      <w:r>
        <w:rPr>
          <w:rFonts w:ascii="Times New Roman" w:hAnsi="Times New Roman" w:eastAsia="Times New Roman" w:cs="Times New Roman"/>
          <w:i/>
          <w:iCs/>
          <w:strike/>
          <w:dstrike w:val="0"/>
          <w:color w:val="auto"/>
          <w:spacing w:val="4"/>
          <w:sz w:val="24"/>
          <w:szCs w:val="24"/>
          <w:highlight w:val="none"/>
          <w:u w:val="single" w:color="auto"/>
        </w:rPr>
        <w:t xml:space="preserve">0.40 </w:t>
      </w:r>
      <w:r>
        <w:rPr>
          <w:rFonts w:ascii="宋体" w:hAnsi="宋体" w:eastAsia="宋体" w:cs="宋体"/>
          <w:i/>
          <w:iCs/>
          <w:strike/>
          <w:dstrike w:val="0"/>
          <w:color w:val="auto"/>
          <w:spacing w:val="4"/>
          <w:sz w:val="25"/>
          <w:szCs w:val="25"/>
          <w:highlight w:val="none"/>
          <w:u w:val="single" w:color="auto"/>
        </w:rPr>
        <w:t>，</w:t>
      </w:r>
      <w:r>
        <w:rPr>
          <w:rFonts w:ascii="宋体" w:hAnsi="宋体" w:eastAsia="宋体" w:cs="宋体"/>
          <w:strike/>
          <w:dstrike w:val="0"/>
          <w:color w:val="auto"/>
          <w:spacing w:val="-26"/>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由招标人自主确定）</w:t>
      </w:r>
      <w:r>
        <w:rPr>
          <w:rFonts w:ascii="宋体" w:hAnsi="宋体" w:eastAsia="宋体" w:cs="宋体"/>
          <w:strike/>
          <w:dstrike w:val="0"/>
          <w:color w:val="auto"/>
          <w:sz w:val="25"/>
          <w:szCs w:val="25"/>
          <w:highlight w:val="none"/>
          <w:u w:val="single" w:color="auto"/>
        </w:rPr>
        <w:tab/>
      </w:r>
      <w:r>
        <w:rPr>
          <w:rFonts w:ascii="宋体" w:hAnsi="宋体" w:eastAsia="宋体" w:cs="宋体"/>
          <w:strike/>
          <w:dstrike w:val="0"/>
          <w:color w:val="auto"/>
          <w:sz w:val="25"/>
          <w:szCs w:val="25"/>
          <w:highlight w:val="none"/>
        </w:rPr>
        <w:t xml:space="preserve"> </w:t>
      </w:r>
      <w:r>
        <w:rPr>
          <w:rFonts w:ascii="宋体" w:hAnsi="宋体" w:eastAsia="宋体" w:cs="宋体"/>
          <w:strike/>
          <w:dstrike w:val="0"/>
          <w:color w:val="auto"/>
          <w:spacing w:val="-5"/>
          <w:sz w:val="24"/>
          <w:szCs w:val="24"/>
          <w:highlight w:val="none"/>
        </w:rPr>
        <w:t>□</w:t>
      </w:r>
      <w:r>
        <w:rPr>
          <w:rFonts w:ascii="宋体" w:hAnsi="宋体" w:eastAsia="宋体" w:cs="宋体"/>
          <w:i/>
          <w:iCs/>
          <w:strike/>
          <w:dstrike w:val="0"/>
          <w:color w:val="auto"/>
          <w:spacing w:val="-5"/>
          <w:sz w:val="25"/>
          <w:szCs w:val="25"/>
          <w:highlight w:val="none"/>
          <w:u w:val="single" w:color="auto"/>
        </w:rPr>
        <w:t>（</w:t>
      </w:r>
      <w:r>
        <w:rPr>
          <w:rFonts w:ascii="Times New Roman" w:hAnsi="Times New Roman" w:eastAsia="Times New Roman" w:cs="Times New Roman"/>
          <w:strike/>
          <w:dstrike w:val="0"/>
          <w:color w:val="auto"/>
          <w:spacing w:val="-5"/>
          <w:sz w:val="24"/>
          <w:szCs w:val="24"/>
          <w:highlight w:val="none"/>
          <w:u w:val="single" w:color="auto"/>
        </w:rPr>
        <w:t>0.30</w:t>
      </w:r>
      <w:r>
        <w:rPr>
          <w:rFonts w:ascii="Times New Roman" w:hAnsi="Times New Roman" w:eastAsia="Times New Roman" w:cs="Times New Roman"/>
          <w:strike/>
          <w:dstrike w:val="0"/>
          <w:color w:val="auto"/>
          <w:spacing w:val="-25"/>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w:t>
      </w:r>
      <w:r>
        <w:rPr>
          <w:rFonts w:ascii="Times New Roman" w:hAnsi="Times New Roman" w:eastAsia="Times New Roman" w:cs="Times New Roman"/>
          <w:strike/>
          <w:dstrike w:val="0"/>
          <w:color w:val="auto"/>
          <w:spacing w:val="-5"/>
          <w:sz w:val="24"/>
          <w:szCs w:val="24"/>
          <w:highlight w:val="none"/>
          <w:u w:val="single" w:color="auto"/>
        </w:rPr>
        <w:t>0.35</w:t>
      </w:r>
      <w:r>
        <w:rPr>
          <w:rFonts w:ascii="Times New Roman" w:hAnsi="Times New Roman" w:eastAsia="Times New Roman" w:cs="Times New Roman"/>
          <w:strike/>
          <w:dstrike w:val="0"/>
          <w:color w:val="auto"/>
          <w:spacing w:val="-34"/>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w:t>
      </w:r>
      <w:r>
        <w:rPr>
          <w:rFonts w:ascii="Times New Roman" w:hAnsi="Times New Roman" w:eastAsia="Times New Roman" w:cs="Times New Roman"/>
          <w:strike/>
          <w:dstrike w:val="0"/>
          <w:color w:val="auto"/>
          <w:spacing w:val="-5"/>
          <w:sz w:val="24"/>
          <w:szCs w:val="24"/>
          <w:highlight w:val="none"/>
          <w:u w:val="single" w:color="auto"/>
        </w:rPr>
        <w:t>0.40</w:t>
      </w:r>
      <w:r>
        <w:rPr>
          <w:rFonts w:ascii="Times New Roman" w:hAnsi="Times New Roman" w:eastAsia="Times New Roman" w:cs="Times New Roman"/>
          <w:strike/>
          <w:dstrike w:val="0"/>
          <w:color w:val="auto"/>
          <w:spacing w:val="-31"/>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，由招标人在开标现场随机抽取</w:t>
      </w:r>
      <w:r>
        <w:rPr>
          <w:rFonts w:ascii="宋体" w:hAnsi="宋体" w:eastAsia="宋体" w:cs="宋体"/>
          <w:i/>
          <w:iCs/>
          <w:strike/>
          <w:dstrike w:val="0"/>
          <w:color w:val="auto"/>
          <w:spacing w:val="-5"/>
          <w:sz w:val="25"/>
          <w:szCs w:val="25"/>
          <w:highlight w:val="none"/>
          <w:u w:val="single" w:color="auto"/>
        </w:rPr>
        <w:t>）</w:t>
      </w:r>
      <w:r>
        <w:rPr>
          <w:rFonts w:ascii="宋体" w:hAnsi="宋体" w:eastAsia="宋体" w:cs="宋体"/>
          <w:i/>
          <w:iCs/>
          <w:strike/>
          <w:dstrike w:val="0"/>
          <w:color w:val="auto"/>
          <w:spacing w:val="-5"/>
          <w:sz w:val="25"/>
          <w:szCs w:val="25"/>
          <w:highlight w:val="none"/>
        </w:rPr>
        <w:t>。</w:t>
      </w:r>
      <w:r>
        <w:rPr>
          <w:rFonts w:ascii="宋体" w:hAnsi="宋体" w:eastAsia="宋体" w:cs="宋体"/>
          <w:strike/>
          <w:dstrike w:val="0"/>
          <w:color w:val="auto"/>
          <w:spacing w:val="-5"/>
          <w:sz w:val="24"/>
          <w:szCs w:val="24"/>
          <w:highlight w:val="none"/>
        </w:rPr>
        <w:t>下浮值</w:t>
      </w:r>
      <w:r>
        <w:rPr>
          <w:rFonts w:ascii="Times New Roman" w:hAnsi="Times New Roman" w:eastAsia="Times New Roman" w:cs="Times New Roman"/>
          <w:strike/>
          <w:dstrike w:val="0"/>
          <w:color w:val="auto"/>
          <w:spacing w:val="-5"/>
          <w:sz w:val="24"/>
          <w:szCs w:val="24"/>
          <w:highlight w:val="none"/>
        </w:rPr>
        <w:t>X</w:t>
      </w:r>
      <w:r>
        <w:rPr>
          <w:rFonts w:ascii="宋体" w:hAnsi="宋体" w:eastAsia="宋体" w:cs="宋体"/>
          <w:strike/>
          <w:dstrike w:val="0"/>
          <w:color w:val="auto"/>
          <w:spacing w:val="-5"/>
          <w:sz w:val="24"/>
          <w:szCs w:val="24"/>
          <w:highlight w:val="none"/>
        </w:rPr>
        <w:t>值在开标时由招标人在开标现场随机抽取，下浮</w:t>
      </w:r>
      <w:r>
        <w:rPr>
          <w:rFonts w:ascii="Times New Roman" w:hAnsi="Times New Roman" w:eastAsia="Times New Roman" w:cs="Times New Roman"/>
          <w:strike/>
          <w:dstrike w:val="0"/>
          <w:color w:val="auto"/>
          <w:spacing w:val="-5"/>
          <w:sz w:val="24"/>
          <w:szCs w:val="24"/>
          <w:highlight w:val="none"/>
        </w:rPr>
        <w:t>X</w:t>
      </w:r>
      <w:r>
        <w:rPr>
          <w:rFonts w:ascii="宋体" w:hAnsi="宋体" w:eastAsia="宋体" w:cs="宋体"/>
          <w:strike/>
          <w:dstrike w:val="0"/>
          <w:color w:val="auto"/>
          <w:spacing w:val="-5"/>
          <w:sz w:val="24"/>
          <w:szCs w:val="24"/>
          <w:highlight w:val="none"/>
        </w:rPr>
        <w:t>值由招标人在</w:t>
      </w:r>
      <w:r>
        <w:rPr>
          <w:rFonts w:ascii="宋体" w:hAnsi="宋体" w:eastAsia="宋体" w:cs="宋体"/>
          <w:strike/>
          <w:dstrike w:val="0"/>
          <w:color w:val="auto"/>
          <w:spacing w:val="-5"/>
          <w:sz w:val="25"/>
          <w:szCs w:val="25"/>
          <w:highlight w:val="none"/>
          <w:u w:val="single" w:color="auto"/>
        </w:rPr>
        <w:t xml:space="preserve">  </w:t>
      </w:r>
      <w:r>
        <w:rPr>
          <w:rFonts w:ascii="宋体" w:hAnsi="宋体" w:eastAsia="宋体" w:cs="宋体"/>
          <w:i/>
          <w:iCs/>
          <w:strike/>
          <w:dstrike w:val="0"/>
          <w:color w:val="auto"/>
          <w:spacing w:val="-5"/>
          <w:sz w:val="25"/>
          <w:szCs w:val="25"/>
          <w:highlight w:val="none"/>
          <w:u w:val="single" w:color="auto"/>
        </w:rPr>
        <w:t>（由招标人在</w:t>
      </w:r>
      <w:r>
        <w:rPr>
          <w:rFonts w:ascii="Times New Roman" w:hAnsi="Times New Roman" w:eastAsia="Times New Roman" w:cs="Times New Roman"/>
          <w:i/>
          <w:iCs/>
          <w:strike/>
          <w:dstrike w:val="0"/>
          <w:color w:val="auto"/>
          <w:spacing w:val="-5"/>
          <w:sz w:val="24"/>
          <w:szCs w:val="24"/>
          <w:highlight w:val="none"/>
          <w:u w:val="single" w:color="auto"/>
        </w:rPr>
        <w:t>0</w:t>
      </w:r>
      <w:r>
        <w:rPr>
          <w:rFonts w:ascii="宋体" w:hAnsi="宋体" w:eastAsia="宋体" w:cs="宋体"/>
          <w:i/>
          <w:iCs/>
          <w:strike/>
          <w:dstrike w:val="0"/>
          <w:color w:val="auto"/>
          <w:spacing w:val="-5"/>
          <w:sz w:val="25"/>
          <w:szCs w:val="25"/>
          <w:highlight w:val="none"/>
          <w:u w:val="single" w:color="auto"/>
        </w:rPr>
        <w:t>～</w:t>
      </w:r>
      <w:r>
        <w:rPr>
          <w:rFonts w:ascii="Times New Roman" w:hAnsi="Times New Roman" w:eastAsia="Times New Roman" w:cs="Times New Roman"/>
          <w:i/>
          <w:iCs/>
          <w:strike/>
          <w:dstrike w:val="0"/>
          <w:color w:val="auto"/>
          <w:spacing w:val="-5"/>
          <w:sz w:val="24"/>
          <w:szCs w:val="24"/>
          <w:highlight w:val="none"/>
          <w:u w:val="single" w:color="auto"/>
        </w:rPr>
        <w:t>5</w:t>
      </w:r>
      <w:r>
        <w:rPr>
          <w:rFonts w:ascii="宋体" w:hAnsi="宋体" w:eastAsia="宋体" w:cs="宋体"/>
          <w:i/>
          <w:iCs/>
          <w:strike/>
          <w:dstrike w:val="0"/>
          <w:color w:val="auto"/>
          <w:spacing w:val="-5"/>
          <w:sz w:val="25"/>
          <w:szCs w:val="25"/>
          <w:highlight w:val="none"/>
          <w:u w:val="single" w:color="auto"/>
        </w:rPr>
        <w:t>之间自行确定，但</w:t>
      </w:r>
      <w:r>
        <w:rPr>
          <w:rFonts w:ascii="宋体" w:hAnsi="宋体" w:eastAsia="宋体" w:cs="宋体"/>
          <w:i/>
          <w:iCs/>
          <w:strike/>
          <w:dstrike w:val="0"/>
          <w:color w:val="auto"/>
          <w:spacing w:val="-11"/>
          <w:sz w:val="25"/>
          <w:szCs w:val="25"/>
          <w:highlight w:val="none"/>
          <w:u w:val="single" w:color="auto"/>
        </w:rPr>
        <w:t>应为</w:t>
      </w:r>
      <w:r>
        <w:rPr>
          <w:rFonts w:ascii="Times New Roman" w:hAnsi="Times New Roman" w:eastAsia="Times New Roman" w:cs="Times New Roman"/>
          <w:i/>
          <w:iCs/>
          <w:strike/>
          <w:dstrike w:val="0"/>
          <w:color w:val="auto"/>
          <w:spacing w:val="-11"/>
          <w:sz w:val="24"/>
          <w:szCs w:val="24"/>
          <w:highlight w:val="none"/>
          <w:u w:val="single" w:color="auto"/>
        </w:rPr>
        <w:t>5</w:t>
      </w:r>
      <w:r>
        <w:rPr>
          <w:rFonts w:ascii="Times New Roman" w:hAnsi="Times New Roman" w:eastAsia="Times New Roman" w:cs="Times New Roman"/>
          <w:i/>
          <w:iCs/>
          <w:strike/>
          <w:dstrike w:val="0"/>
          <w:color w:val="auto"/>
          <w:spacing w:val="64"/>
          <w:sz w:val="24"/>
          <w:szCs w:val="24"/>
          <w:highlight w:val="none"/>
          <w:u w:val="single" w:color="auto"/>
        </w:rPr>
        <w:t xml:space="preserve"> </w:t>
      </w:r>
      <w:r>
        <w:rPr>
          <w:rFonts w:ascii="宋体" w:hAnsi="宋体" w:eastAsia="宋体" w:cs="宋体"/>
          <w:i/>
          <w:iCs/>
          <w:strike/>
          <w:dstrike w:val="0"/>
          <w:color w:val="auto"/>
          <w:spacing w:val="-11"/>
          <w:sz w:val="25"/>
          <w:szCs w:val="25"/>
          <w:highlight w:val="none"/>
          <w:u w:val="single" w:color="auto"/>
        </w:rPr>
        <w:t>个数组成的等差递增数列，最小公差大于等于</w:t>
      </w:r>
      <w:r>
        <w:rPr>
          <w:rFonts w:ascii="Times New Roman" w:hAnsi="Times New Roman" w:eastAsia="Times New Roman" w:cs="Times New Roman"/>
          <w:i/>
          <w:iCs/>
          <w:strike/>
          <w:dstrike w:val="0"/>
          <w:color w:val="auto"/>
          <w:spacing w:val="-11"/>
          <w:sz w:val="24"/>
          <w:szCs w:val="24"/>
          <w:highlight w:val="none"/>
          <w:u w:val="single" w:color="auto"/>
        </w:rPr>
        <w:t>0.5</w:t>
      </w:r>
      <w:r>
        <w:rPr>
          <w:rFonts w:ascii="宋体" w:hAnsi="宋体" w:eastAsia="宋体" w:cs="宋体"/>
          <w:i/>
          <w:iCs/>
          <w:strike/>
          <w:dstrike w:val="0"/>
          <w:color w:val="auto"/>
          <w:spacing w:val="-11"/>
          <w:sz w:val="25"/>
          <w:szCs w:val="25"/>
          <w:highlight w:val="none"/>
          <w:u w:val="single" w:color="auto"/>
        </w:rPr>
        <w:t>）</w:t>
      </w:r>
      <w:r>
        <w:rPr>
          <w:rFonts w:ascii="宋体" w:hAnsi="宋体" w:eastAsia="宋体" w:cs="宋体"/>
          <w:strike/>
          <w:dstrike w:val="0"/>
          <w:color w:val="auto"/>
          <w:spacing w:val="-11"/>
          <w:sz w:val="24"/>
          <w:szCs w:val="24"/>
          <w:highlight w:val="none"/>
        </w:rPr>
        <w:t>之中随机抽取确定。</w:t>
      </w:r>
    </w:p>
    <w:p w14:paraId="637609F9">
      <w:pPr>
        <w:spacing w:before="1" w:line="220" w:lineRule="auto"/>
        <w:ind w:left="563"/>
        <w:rPr>
          <w:rFonts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lang w:eastAsia="zh-CN"/>
        </w:rPr>
        <w:t>☑</w:t>
      </w:r>
      <w:r>
        <w:rPr>
          <w:rFonts w:ascii="宋体" w:hAnsi="宋体" w:eastAsia="宋体" w:cs="宋体"/>
          <w:color w:val="auto"/>
          <w:spacing w:val="-7"/>
          <w:sz w:val="24"/>
          <w:szCs w:val="24"/>
          <w:highlight w:val="none"/>
        </w:rPr>
        <w:t>方法</w:t>
      </w:r>
      <w:r>
        <w:rPr>
          <w:rFonts w:ascii="Times New Roman" w:hAnsi="Times New Roman" w:eastAsia="Times New Roman" w:cs="Times New Roman"/>
          <w:color w:val="auto"/>
          <w:spacing w:val="-7"/>
          <w:sz w:val="24"/>
          <w:szCs w:val="24"/>
          <w:highlight w:val="none"/>
        </w:rPr>
        <w:t>2</w:t>
      </w:r>
      <w:r>
        <w:rPr>
          <w:rFonts w:ascii="宋体" w:hAnsi="宋体" w:eastAsia="宋体" w:cs="宋体"/>
          <w:color w:val="auto"/>
          <w:spacing w:val="-7"/>
          <w:sz w:val="24"/>
          <w:szCs w:val="24"/>
          <w:highlight w:val="none"/>
        </w:rPr>
        <w:t>：</w:t>
      </w:r>
    </w:p>
    <w:p w14:paraId="04161D9B">
      <w:pPr>
        <w:spacing w:before="181" w:line="218" w:lineRule="auto"/>
        <w:ind w:left="54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1</w:t>
      </w:r>
      <w:r>
        <w:rPr>
          <w:rFonts w:ascii="宋体" w:hAnsi="宋体" w:eastAsia="宋体" w:cs="宋体"/>
          <w:color w:val="auto"/>
          <w:spacing w:val="-5"/>
          <w:sz w:val="24"/>
          <w:szCs w:val="24"/>
          <w:highlight w:val="none"/>
        </w:rPr>
        <w:t>）平均报价值计算范围的确定：</w:t>
      </w:r>
    </w:p>
    <w:p w14:paraId="749B240C">
      <w:pPr>
        <w:spacing w:before="182" w:line="290" w:lineRule="auto"/>
        <w:ind w:left="4" w:right="4" w:firstLine="558"/>
        <w:rPr>
          <w:rFonts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ascii="宋体" w:hAnsi="宋体" w:eastAsia="宋体" w:cs="宋体"/>
          <w:color w:val="auto"/>
          <w:spacing w:val="-3"/>
          <w:sz w:val="24"/>
          <w:szCs w:val="24"/>
          <w:highlight w:val="none"/>
        </w:rPr>
        <w:t>企业信用等级为</w:t>
      </w:r>
      <w:r>
        <w:rPr>
          <w:rFonts w:ascii="Times New Roman" w:hAnsi="Times New Roman" w:eastAsia="Times New Roman" w:cs="Times New Roman"/>
          <w:color w:val="auto"/>
          <w:spacing w:val="-3"/>
          <w:sz w:val="24"/>
          <w:szCs w:val="24"/>
          <w:highlight w:val="none"/>
        </w:rPr>
        <w:t>D</w:t>
      </w:r>
      <w:r>
        <w:rPr>
          <w:rFonts w:ascii="宋体" w:hAnsi="宋体" w:eastAsia="宋体" w:cs="宋体"/>
          <w:color w:val="auto"/>
          <w:spacing w:val="-3"/>
          <w:sz w:val="24"/>
          <w:szCs w:val="24"/>
          <w:highlight w:val="none"/>
        </w:rPr>
        <w:t>及以下等级或无信用评价</w:t>
      </w:r>
      <w:r>
        <w:rPr>
          <w:rFonts w:ascii="宋体" w:hAnsi="宋体" w:eastAsia="宋体" w:cs="宋体"/>
          <w:color w:val="auto"/>
          <w:spacing w:val="-4"/>
          <w:sz w:val="24"/>
          <w:szCs w:val="24"/>
          <w:highlight w:val="none"/>
        </w:rPr>
        <w:t>等级的，不计入平均报价值的计算</w:t>
      </w:r>
      <w:r>
        <w:rPr>
          <w:rFonts w:ascii="宋体" w:hAnsi="宋体" w:eastAsia="宋体" w:cs="宋体"/>
          <w:color w:val="auto"/>
          <w:spacing w:val="-16"/>
          <w:sz w:val="24"/>
          <w:szCs w:val="24"/>
          <w:highlight w:val="none"/>
        </w:rPr>
        <w:t>范围；</w:t>
      </w:r>
    </w:p>
    <w:p w14:paraId="014B7D77">
      <w:pPr>
        <w:spacing w:before="180" w:line="218" w:lineRule="auto"/>
        <w:ind w:right="2"/>
        <w:jc w:val="right"/>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低于</w:t>
      </w:r>
      <w:r>
        <w:rPr>
          <w:rFonts w:ascii="Times New Roman" w:hAnsi="Times New Roman" w:eastAsia="Times New Roman" w:cs="Times New Roman"/>
          <w:color w:val="auto"/>
          <w:spacing w:val="-4"/>
          <w:sz w:val="24"/>
          <w:szCs w:val="24"/>
          <w:highlight w:val="none"/>
        </w:rPr>
        <w:t>B</w:t>
      </w:r>
      <w:r>
        <w:rPr>
          <w:rFonts w:ascii="宋体" w:hAnsi="宋体" w:eastAsia="宋体" w:cs="宋体"/>
          <w:color w:val="auto"/>
          <w:spacing w:val="-4"/>
          <w:sz w:val="24"/>
          <w:szCs w:val="24"/>
          <w:highlight w:val="none"/>
        </w:rPr>
        <w:t>值的投标评标价，不计入平均报价值</w:t>
      </w:r>
      <w:r>
        <w:rPr>
          <w:rFonts w:ascii="宋体" w:hAnsi="宋体" w:eastAsia="宋体" w:cs="宋体"/>
          <w:color w:val="auto"/>
          <w:spacing w:val="-5"/>
          <w:sz w:val="24"/>
          <w:szCs w:val="24"/>
          <w:highlight w:val="none"/>
        </w:rPr>
        <w:t>的计算范围。</w:t>
      </w:r>
      <w:r>
        <w:rPr>
          <w:rFonts w:ascii="Times New Roman" w:hAnsi="Times New Roman" w:eastAsia="Times New Roman" w:cs="Times New Roman"/>
          <w:color w:val="auto"/>
          <w:spacing w:val="-5"/>
          <w:sz w:val="24"/>
          <w:szCs w:val="24"/>
          <w:highlight w:val="none"/>
        </w:rPr>
        <w:t>B=</w:t>
      </w:r>
      <w:r>
        <w:rPr>
          <w:rFonts w:ascii="宋体" w:hAnsi="宋体" w:eastAsia="宋体" w:cs="宋体"/>
          <w:color w:val="auto"/>
          <w:spacing w:val="-5"/>
          <w:sz w:val="24"/>
          <w:szCs w:val="24"/>
          <w:highlight w:val="none"/>
        </w:rPr>
        <w:t>招标人最高投标限</w:t>
      </w:r>
    </w:p>
    <w:p w14:paraId="75BC3078">
      <w:pPr>
        <w:spacing w:line="218" w:lineRule="auto"/>
        <w:rPr>
          <w:rFonts w:ascii="宋体" w:hAnsi="宋体" w:eastAsia="宋体" w:cs="宋体"/>
          <w:color w:val="auto"/>
          <w:sz w:val="24"/>
          <w:szCs w:val="24"/>
          <w:highlight w:val="none"/>
        </w:rPr>
        <w:sectPr>
          <w:footerReference r:id="rId22" w:type="default"/>
          <w:pgSz w:w="11907" w:h="16841"/>
          <w:pgMar w:top="1428" w:right="1523" w:bottom="1254" w:left="1599" w:header="0" w:footer="1093" w:gutter="0"/>
          <w:pgNumType w:fmt="decimal"/>
          <w:cols w:space="720" w:num="1"/>
        </w:sectPr>
      </w:pPr>
    </w:p>
    <w:p w14:paraId="209349CB">
      <w:pPr>
        <w:spacing w:before="47" w:line="212" w:lineRule="auto"/>
        <w:ind w:left="10"/>
        <w:rPr>
          <w:rFonts w:ascii="Times New Roman" w:hAnsi="Times New Roman" w:eastAsia="Times New Roman" w:cs="Times New Roman"/>
          <w:color w:val="auto"/>
          <w:sz w:val="24"/>
          <w:szCs w:val="24"/>
          <w:highlight w:val="none"/>
        </w:rPr>
      </w:pPr>
      <w:r>
        <w:rPr>
          <w:rFonts w:ascii="宋体" w:hAnsi="宋体" w:eastAsia="宋体" w:cs="宋体"/>
          <w:color w:val="auto"/>
          <w:spacing w:val="-9"/>
          <w:sz w:val="24"/>
          <w:szCs w:val="24"/>
          <w:highlight w:val="none"/>
        </w:rPr>
        <w:t>价×</w:t>
      </w:r>
      <w:r>
        <w:rPr>
          <w:rFonts w:ascii="宋体" w:hAnsi="宋体" w:eastAsia="宋体" w:cs="宋体"/>
          <w:color w:val="auto"/>
          <w:spacing w:val="-9"/>
          <w:sz w:val="25"/>
          <w:szCs w:val="25"/>
          <w:highlight w:val="none"/>
          <w:u w:val="single" w:color="auto"/>
        </w:rPr>
        <w:t xml:space="preserve"> </w:t>
      </w:r>
      <w:r>
        <w:rPr>
          <w:rFonts w:hint="eastAsia" w:ascii="宋体" w:hAnsi="宋体" w:eastAsia="宋体" w:cs="宋体"/>
          <w:color w:val="auto"/>
          <w:spacing w:val="-9"/>
          <w:sz w:val="25"/>
          <w:szCs w:val="25"/>
          <w:highlight w:val="none"/>
          <w:u w:val="single" w:color="auto"/>
          <w:lang w:val="en-US" w:eastAsia="zh-CN"/>
        </w:rPr>
        <w:t>85</w:t>
      </w:r>
      <w:r>
        <w:rPr>
          <w:rFonts w:ascii="宋体" w:hAnsi="宋体" w:eastAsia="宋体" w:cs="宋体"/>
          <w:color w:val="auto"/>
          <w:spacing w:val="-9"/>
          <w:sz w:val="25"/>
          <w:szCs w:val="25"/>
          <w:highlight w:val="none"/>
          <w:u w:val="single" w:color="auto"/>
        </w:rPr>
        <w:t xml:space="preserve"> </w:t>
      </w:r>
      <w:r>
        <w:rPr>
          <w:rFonts w:ascii="宋体" w:hAnsi="宋体" w:eastAsia="宋体" w:cs="宋体"/>
          <w:color w:val="auto"/>
          <w:spacing w:val="-103"/>
          <w:sz w:val="25"/>
          <w:szCs w:val="25"/>
          <w:highlight w:val="none"/>
        </w:rPr>
        <w:t xml:space="preserve"> </w:t>
      </w:r>
      <w:r>
        <w:rPr>
          <w:rFonts w:ascii="Times New Roman" w:hAnsi="Times New Roman" w:eastAsia="Times New Roman" w:cs="Times New Roman"/>
          <w:color w:val="auto"/>
          <w:spacing w:val="-9"/>
          <w:sz w:val="24"/>
          <w:szCs w:val="24"/>
          <w:highlight w:val="none"/>
        </w:rPr>
        <w:t>%</w:t>
      </w:r>
      <w:r>
        <w:rPr>
          <w:rFonts w:ascii="宋体" w:hAnsi="宋体" w:eastAsia="宋体" w:cs="宋体"/>
          <w:i/>
          <w:iCs/>
          <w:color w:val="auto"/>
          <w:spacing w:val="-9"/>
          <w:sz w:val="25"/>
          <w:szCs w:val="25"/>
          <w:highlight w:val="none"/>
          <w:u w:val="single" w:color="auto"/>
        </w:rPr>
        <w:t>（</w:t>
      </w:r>
      <w:r>
        <w:rPr>
          <w:rFonts w:ascii="Times New Roman" w:hAnsi="Times New Roman" w:eastAsia="Times New Roman" w:cs="Times New Roman"/>
          <w:i/>
          <w:iCs/>
          <w:color w:val="auto"/>
          <w:spacing w:val="-9"/>
          <w:sz w:val="24"/>
          <w:szCs w:val="24"/>
          <w:highlight w:val="none"/>
          <w:u w:val="single" w:color="auto"/>
        </w:rPr>
        <w:t xml:space="preserve">80~90 </w:t>
      </w:r>
      <w:r>
        <w:rPr>
          <w:rFonts w:ascii="宋体" w:hAnsi="宋体" w:eastAsia="宋体" w:cs="宋体"/>
          <w:i/>
          <w:iCs/>
          <w:color w:val="auto"/>
          <w:spacing w:val="-9"/>
          <w:sz w:val="25"/>
          <w:szCs w:val="25"/>
          <w:highlight w:val="none"/>
          <w:u w:val="single" w:color="auto"/>
        </w:rPr>
        <w:t>，由招标人自主确定）</w:t>
      </w:r>
      <w:r>
        <w:rPr>
          <w:rFonts w:ascii="Times New Roman" w:hAnsi="Times New Roman" w:eastAsia="Times New Roman" w:cs="Times New Roman"/>
          <w:color w:val="auto"/>
          <w:spacing w:val="-9"/>
          <w:sz w:val="24"/>
          <w:szCs w:val="24"/>
          <w:highlight w:val="none"/>
        </w:rPr>
        <w:t>%</w:t>
      </w:r>
      <w:r>
        <w:rPr>
          <w:rFonts w:ascii="宋体" w:hAnsi="宋体" w:eastAsia="宋体" w:cs="宋体"/>
          <w:color w:val="auto"/>
          <w:spacing w:val="-9"/>
          <w:sz w:val="25"/>
          <w:szCs w:val="25"/>
          <w:highlight w:val="none"/>
          <w:u w:val="single" w:color="auto"/>
        </w:rPr>
        <w:t xml:space="preserve"> </w:t>
      </w:r>
    </w:p>
    <w:p w14:paraId="769CB825">
      <w:pPr>
        <w:spacing w:before="181" w:line="218" w:lineRule="auto"/>
        <w:ind w:left="56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除以上情形外，通过商务评审的投标评标价均计入平均报价值计算范围。</w:t>
      </w:r>
    </w:p>
    <w:p w14:paraId="39F48173">
      <w:pPr>
        <w:spacing w:before="183" w:line="331" w:lineRule="auto"/>
        <w:ind w:left="8" w:right="166"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）平均报价值的确定：若计入平均报价值计算范围的投标人大于等于</w:t>
      </w:r>
      <w:r>
        <w:rPr>
          <w:rFonts w:ascii="Times New Roman" w:hAnsi="Times New Roman" w:eastAsia="Times New Roman" w:cs="Times New Roman"/>
          <w:color w:val="auto"/>
          <w:spacing w:val="-1"/>
          <w:sz w:val="24"/>
          <w:szCs w:val="24"/>
          <w:highlight w:val="none"/>
        </w:rPr>
        <w:t>5</w:t>
      </w:r>
      <w:r>
        <w:rPr>
          <w:rFonts w:ascii="宋体" w:hAnsi="宋体" w:eastAsia="宋体" w:cs="宋体"/>
          <w:color w:val="auto"/>
          <w:spacing w:val="-1"/>
          <w:sz w:val="24"/>
          <w:szCs w:val="24"/>
          <w:highlight w:val="none"/>
        </w:rPr>
        <w:t>家，</w:t>
      </w:r>
      <w:r>
        <w:rPr>
          <w:rFonts w:ascii="宋体" w:hAnsi="宋体" w:eastAsia="宋体" w:cs="宋体"/>
          <w:color w:val="auto"/>
          <w:sz w:val="24"/>
          <w:szCs w:val="24"/>
          <w:highlight w:val="none"/>
        </w:rPr>
        <w:t>平均报价值为计入平均报价值计算范围的投标评标价中剔除</w:t>
      </w:r>
      <w:r>
        <w:rPr>
          <w:rFonts w:ascii="宋体" w:hAnsi="宋体" w:eastAsia="宋体" w:cs="宋体"/>
          <w:color w:val="auto"/>
          <w:spacing w:val="-1"/>
          <w:sz w:val="24"/>
          <w:szCs w:val="24"/>
          <w:highlight w:val="none"/>
        </w:rPr>
        <w:t>投标评标价由高到低排</w:t>
      </w:r>
      <w:r>
        <w:rPr>
          <w:rFonts w:ascii="宋体" w:hAnsi="宋体" w:eastAsia="宋体" w:cs="宋体"/>
          <w:color w:val="auto"/>
          <w:sz w:val="24"/>
          <w:szCs w:val="24"/>
          <w:highlight w:val="none"/>
        </w:rPr>
        <w:t>序前</w:t>
      </w:r>
      <w:r>
        <w:rPr>
          <w:rFonts w:ascii="Times New Roman" w:hAnsi="Times New Roman" w:eastAsia="Times New Roman" w:cs="Times New Roman"/>
          <w:color w:val="auto"/>
          <w:sz w:val="24"/>
          <w:szCs w:val="24"/>
          <w:highlight w:val="none"/>
        </w:rPr>
        <w:t>A</w:t>
      </w:r>
      <w:r>
        <w:rPr>
          <w:rFonts w:ascii="宋体" w:hAnsi="宋体" w:eastAsia="宋体" w:cs="宋体"/>
          <w:color w:val="auto"/>
          <w:sz w:val="24"/>
          <w:szCs w:val="24"/>
          <w:highlight w:val="none"/>
        </w:rPr>
        <w:t>个投标评标价和投标评标价由低到高排序前</w:t>
      </w:r>
      <w:r>
        <w:rPr>
          <w:rFonts w:ascii="Times New Roman" w:hAnsi="Times New Roman" w:eastAsia="Times New Roman" w:cs="Times New Roman"/>
          <w:color w:val="auto"/>
          <w:sz w:val="24"/>
          <w:szCs w:val="24"/>
          <w:highlight w:val="none"/>
        </w:rPr>
        <w:t>A</w:t>
      </w:r>
      <w:r>
        <w:rPr>
          <w:rFonts w:ascii="宋体" w:hAnsi="宋体" w:eastAsia="宋体" w:cs="宋体"/>
          <w:color w:val="auto"/>
          <w:sz w:val="24"/>
          <w:szCs w:val="24"/>
          <w:highlight w:val="none"/>
        </w:rPr>
        <w:t>个投</w:t>
      </w:r>
      <w:r>
        <w:rPr>
          <w:rFonts w:ascii="宋体" w:hAnsi="宋体" w:eastAsia="宋体" w:cs="宋体"/>
          <w:color w:val="auto"/>
          <w:spacing w:val="-1"/>
          <w:sz w:val="24"/>
          <w:szCs w:val="24"/>
          <w:highlight w:val="none"/>
        </w:rPr>
        <w:t>标评标价后的算术平均值</w:t>
      </w: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A</w:t>
      </w:r>
      <w:r>
        <w:rPr>
          <w:rFonts w:ascii="宋体" w:hAnsi="宋体" w:eastAsia="宋体" w:cs="宋体"/>
          <w:color w:val="auto"/>
          <w:spacing w:val="-4"/>
          <w:sz w:val="24"/>
          <w:szCs w:val="24"/>
          <w:highlight w:val="none"/>
        </w:rPr>
        <w:t>为计入平均报价值计算范围的投标人个数的</w:t>
      </w:r>
      <w:r>
        <w:rPr>
          <w:rFonts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4"/>
          <w:sz w:val="24"/>
          <w:szCs w:val="24"/>
          <w:highlight w:val="none"/>
          <w:u w:val="single" w:color="auto"/>
          <w:lang w:val="en-US" w:eastAsia="zh-CN"/>
        </w:rPr>
        <w:t>25</w:t>
      </w:r>
      <w:r>
        <w:rPr>
          <w:rFonts w:ascii="Times New Roman" w:hAnsi="Times New Roman" w:eastAsia="Times New Roman" w:cs="Times New Roman"/>
          <w:i/>
          <w:iCs/>
          <w:color w:val="auto"/>
          <w:spacing w:val="-4"/>
          <w:sz w:val="24"/>
          <w:szCs w:val="24"/>
          <w:highlight w:val="none"/>
          <w:u w:val="single" w:color="auto"/>
        </w:rPr>
        <w:t>%</w:t>
      </w:r>
      <w:r>
        <w:rPr>
          <w:rFonts w:ascii="宋体" w:hAnsi="宋体" w:eastAsia="宋体" w:cs="宋体"/>
          <w:color w:val="auto"/>
          <w:spacing w:val="-4"/>
          <w:sz w:val="24"/>
          <w:szCs w:val="24"/>
          <w:highlight w:val="none"/>
          <w:u w:val="single" w:color="auto"/>
        </w:rPr>
        <w:t>（</w:t>
      </w:r>
      <w:r>
        <w:rPr>
          <w:rFonts w:ascii="Times New Roman" w:hAnsi="Times New Roman" w:eastAsia="Times New Roman" w:cs="Times New Roman"/>
          <w:i/>
          <w:iCs/>
          <w:color w:val="auto"/>
          <w:spacing w:val="-4"/>
          <w:sz w:val="24"/>
          <w:szCs w:val="24"/>
          <w:highlight w:val="none"/>
          <w:u w:val="single" w:color="auto"/>
        </w:rPr>
        <w:t>20%</w:t>
      </w:r>
      <w:r>
        <w:rPr>
          <w:rFonts w:ascii="宋体" w:hAnsi="宋体" w:eastAsia="宋体" w:cs="宋体"/>
          <w:i/>
          <w:iCs/>
          <w:color w:val="auto"/>
          <w:spacing w:val="-4"/>
          <w:sz w:val="25"/>
          <w:szCs w:val="25"/>
          <w:highlight w:val="none"/>
          <w:u w:val="single" w:color="auto"/>
        </w:rPr>
        <w:t>～</w:t>
      </w:r>
      <w:r>
        <w:rPr>
          <w:rFonts w:ascii="Times New Roman" w:hAnsi="Times New Roman" w:eastAsia="Times New Roman" w:cs="Times New Roman"/>
          <w:i/>
          <w:iCs/>
          <w:color w:val="auto"/>
          <w:spacing w:val="-4"/>
          <w:sz w:val="24"/>
          <w:szCs w:val="24"/>
          <w:highlight w:val="none"/>
          <w:u w:val="single" w:color="auto"/>
        </w:rPr>
        <w:t xml:space="preserve">30% </w:t>
      </w:r>
      <w:r>
        <w:rPr>
          <w:rFonts w:ascii="宋体" w:hAnsi="宋体" w:eastAsia="宋体" w:cs="宋体"/>
          <w:i/>
          <w:iCs/>
          <w:color w:val="auto"/>
          <w:spacing w:val="-4"/>
          <w:sz w:val="25"/>
          <w:szCs w:val="25"/>
          <w:highlight w:val="none"/>
          <w:u w:val="single" w:color="auto"/>
        </w:rPr>
        <w:t>，由招标人自主确</w:t>
      </w:r>
      <w:r>
        <w:rPr>
          <w:rFonts w:ascii="宋体" w:hAnsi="宋体" w:eastAsia="宋体" w:cs="宋体"/>
          <w:i/>
          <w:iCs/>
          <w:color w:val="auto"/>
          <w:spacing w:val="-1"/>
          <w:sz w:val="25"/>
          <w:szCs w:val="25"/>
          <w:highlight w:val="none"/>
          <w:u w:val="single" w:color="auto"/>
        </w:rPr>
        <w:t>定</w:t>
      </w:r>
      <w:r>
        <w:rPr>
          <w:rFonts w:ascii="宋体" w:hAnsi="宋体" w:eastAsia="宋体" w:cs="宋体"/>
          <w:i/>
          <w:iCs/>
          <w:color w:val="auto"/>
          <w:spacing w:val="2"/>
          <w:sz w:val="25"/>
          <w:szCs w:val="25"/>
          <w:highlight w:val="none"/>
          <w:u w:val="single" w:color="auto"/>
        </w:rPr>
        <w:t>）</w:t>
      </w:r>
      <w:r>
        <w:rPr>
          <w:rFonts w:ascii="宋体" w:hAnsi="宋体" w:eastAsia="宋体" w:cs="宋体"/>
          <w:color w:val="auto"/>
          <w:spacing w:val="87"/>
          <w:sz w:val="25"/>
          <w:szCs w:val="25"/>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并取整数，小数点后四舍五入</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若计入平均报价值计算范围的投标人</w:t>
      </w:r>
      <w:r>
        <w:rPr>
          <w:rFonts w:ascii="宋体" w:hAnsi="宋体" w:eastAsia="宋体" w:cs="宋体"/>
          <w:color w:val="auto"/>
          <w:spacing w:val="-6"/>
          <w:sz w:val="24"/>
          <w:szCs w:val="24"/>
          <w:highlight w:val="none"/>
        </w:rPr>
        <w:t>少于</w:t>
      </w:r>
      <w:r>
        <w:rPr>
          <w:rFonts w:ascii="Times New Roman" w:hAnsi="Times New Roman" w:eastAsia="Times New Roman" w:cs="Times New Roman"/>
          <w:color w:val="auto"/>
          <w:spacing w:val="-6"/>
          <w:sz w:val="24"/>
          <w:szCs w:val="24"/>
          <w:highlight w:val="none"/>
        </w:rPr>
        <w:t>5</w:t>
      </w:r>
      <w:r>
        <w:rPr>
          <w:rFonts w:ascii="宋体" w:hAnsi="宋体" w:eastAsia="宋体" w:cs="宋体"/>
          <w:color w:val="auto"/>
          <w:spacing w:val="-6"/>
          <w:sz w:val="24"/>
          <w:szCs w:val="24"/>
          <w:highlight w:val="none"/>
        </w:rPr>
        <w:t>家，平均报价值为所有计入平均报价值计算范围的投标评标价的算术平均值。</w:t>
      </w:r>
    </w:p>
    <w:p w14:paraId="6060F478">
      <w:pPr>
        <w:spacing w:before="138" w:line="323" w:lineRule="exact"/>
        <w:ind w:left="495"/>
        <w:rPr>
          <w:rFonts w:ascii="宋体" w:hAnsi="宋体" w:eastAsia="宋体" w:cs="宋体"/>
          <w:color w:val="auto"/>
          <w:sz w:val="24"/>
          <w:szCs w:val="24"/>
          <w:highlight w:val="none"/>
        </w:rPr>
      </w:pPr>
      <w:r>
        <w:rPr>
          <w:rFonts w:ascii="宋体" w:hAnsi="宋体" w:eastAsia="宋体" w:cs="宋体"/>
          <w:color w:val="auto"/>
          <w:spacing w:val="-1"/>
          <w:position w:val="1"/>
          <w:sz w:val="24"/>
          <w:szCs w:val="24"/>
          <w:highlight w:val="none"/>
        </w:rPr>
        <w:t>（</w:t>
      </w:r>
      <w:r>
        <w:rPr>
          <w:rFonts w:ascii="Times New Roman" w:hAnsi="Times New Roman" w:eastAsia="Times New Roman" w:cs="Times New Roman"/>
          <w:color w:val="auto"/>
          <w:spacing w:val="-1"/>
          <w:position w:val="1"/>
          <w:sz w:val="24"/>
          <w:szCs w:val="24"/>
          <w:highlight w:val="none"/>
        </w:rPr>
        <w:t>3</w:t>
      </w:r>
      <w:r>
        <w:rPr>
          <w:rFonts w:ascii="宋体" w:hAnsi="宋体" w:eastAsia="宋体" w:cs="宋体"/>
          <w:color w:val="auto"/>
          <w:spacing w:val="-1"/>
          <w:position w:val="1"/>
          <w:sz w:val="24"/>
          <w:szCs w:val="24"/>
          <w:highlight w:val="none"/>
        </w:rPr>
        <w:t>）评分基准价的确定：评分基准价</w:t>
      </w:r>
      <w:r>
        <w:rPr>
          <w:rFonts w:ascii="Times New Roman" w:hAnsi="Times New Roman" w:eastAsia="Times New Roman" w:cs="Times New Roman"/>
          <w:color w:val="auto"/>
          <w:spacing w:val="-1"/>
          <w:position w:val="1"/>
          <w:sz w:val="24"/>
          <w:szCs w:val="24"/>
          <w:highlight w:val="none"/>
        </w:rPr>
        <w:t>=</w:t>
      </w:r>
      <w:r>
        <w:rPr>
          <w:rFonts w:ascii="宋体" w:hAnsi="宋体" w:eastAsia="宋体" w:cs="宋体"/>
          <w:color w:val="auto"/>
          <w:spacing w:val="-1"/>
          <w:position w:val="1"/>
          <w:sz w:val="24"/>
          <w:szCs w:val="24"/>
          <w:highlight w:val="none"/>
        </w:rPr>
        <w:t>平均报价值</w:t>
      </w:r>
      <w:r>
        <w:rPr>
          <w:rFonts w:ascii="Times New Roman" w:hAnsi="Times New Roman" w:eastAsia="Times New Roman" w:cs="Times New Roman"/>
          <w:color w:val="auto"/>
          <w:spacing w:val="-1"/>
          <w:position w:val="1"/>
          <w:sz w:val="24"/>
          <w:szCs w:val="24"/>
          <w:highlight w:val="none"/>
        </w:rPr>
        <w:t>×</w:t>
      </w:r>
      <w:r>
        <w:rPr>
          <w:rFonts w:ascii="宋体" w:hAnsi="宋体" w:eastAsia="宋体" w:cs="宋体"/>
          <w:color w:val="auto"/>
          <w:spacing w:val="-1"/>
          <w:position w:val="1"/>
          <w:sz w:val="24"/>
          <w:szCs w:val="24"/>
          <w:highlight w:val="none"/>
        </w:rPr>
        <w:t>（</w:t>
      </w:r>
      <w:r>
        <w:rPr>
          <w:rFonts w:ascii="Times New Roman" w:hAnsi="Times New Roman" w:eastAsia="Times New Roman" w:cs="Times New Roman"/>
          <w:color w:val="auto"/>
          <w:spacing w:val="-1"/>
          <w:position w:val="1"/>
          <w:sz w:val="24"/>
          <w:szCs w:val="24"/>
          <w:highlight w:val="none"/>
        </w:rPr>
        <w:t>1-X%</w:t>
      </w:r>
      <w:r>
        <w:rPr>
          <w:rFonts w:ascii="宋体" w:hAnsi="宋体" w:eastAsia="宋体" w:cs="宋体"/>
          <w:color w:val="auto"/>
          <w:spacing w:val="-1"/>
          <w:position w:val="1"/>
          <w:sz w:val="24"/>
          <w:szCs w:val="24"/>
          <w:highlight w:val="none"/>
        </w:rPr>
        <w:t>）</w:t>
      </w:r>
    </w:p>
    <w:p w14:paraId="18FC38E1">
      <w:pPr>
        <w:tabs>
          <w:tab w:val="left" w:pos="115"/>
        </w:tabs>
        <w:spacing w:before="187" w:line="345" w:lineRule="auto"/>
        <w:ind w:firstLine="541"/>
        <w:rPr>
          <w:rFonts w:ascii="宋体" w:hAnsi="宋体" w:eastAsia="宋体" w:cs="宋体"/>
          <w:color w:val="auto"/>
          <w:sz w:val="24"/>
          <w:szCs w:val="24"/>
          <w:highlight w:val="none"/>
        </w:rPr>
      </w:pPr>
      <w:r>
        <w:rPr>
          <w:rFonts w:ascii="Times New Roman" w:hAnsi="Times New Roman" w:eastAsia="Times New Roman" w:cs="Times New Roman"/>
          <w:color w:val="auto"/>
          <w:spacing w:val="-8"/>
          <w:sz w:val="24"/>
          <w:szCs w:val="24"/>
          <w:highlight w:val="none"/>
        </w:rPr>
        <w:t>X</w:t>
      </w:r>
      <w:r>
        <w:rPr>
          <w:rFonts w:ascii="宋体" w:hAnsi="宋体" w:eastAsia="宋体" w:cs="宋体"/>
          <w:color w:val="auto"/>
          <w:spacing w:val="-8"/>
          <w:sz w:val="24"/>
          <w:szCs w:val="24"/>
          <w:highlight w:val="none"/>
        </w:rPr>
        <w:t>值在开标时由招标人在</w:t>
      </w:r>
      <w:r>
        <w:rPr>
          <w:rFonts w:ascii="宋体" w:hAnsi="宋体" w:eastAsia="宋体" w:cs="宋体"/>
          <w:color w:val="auto"/>
          <w:spacing w:val="55"/>
          <w:sz w:val="25"/>
          <w:szCs w:val="25"/>
          <w:highlight w:val="none"/>
          <w:u w:val="single" w:color="auto"/>
        </w:rPr>
        <w:t xml:space="preserve"> </w:t>
      </w:r>
      <w:r>
        <w:rPr>
          <w:rFonts w:hint="eastAsia" w:ascii="Times New Roman" w:hAnsi="Times New Roman" w:eastAsia="宋体" w:cs="Times New Roman"/>
          <w:i w:val="0"/>
          <w:iCs w:val="0"/>
          <w:color w:val="auto"/>
          <w:spacing w:val="-8"/>
          <w:sz w:val="24"/>
          <w:szCs w:val="24"/>
          <w:highlight w:val="none"/>
          <w:u w:val="single" w:color="auto"/>
          <w:lang w:val="en-US" w:eastAsia="zh-CN"/>
        </w:rPr>
        <w:t>1，1.5，2，2.5，3</w:t>
      </w:r>
      <w:r>
        <w:rPr>
          <w:rFonts w:ascii="宋体" w:hAnsi="宋体" w:eastAsia="宋体" w:cs="宋体"/>
          <w:i/>
          <w:iCs/>
          <w:color w:val="auto"/>
          <w:spacing w:val="-8"/>
          <w:sz w:val="25"/>
          <w:szCs w:val="25"/>
          <w:highlight w:val="none"/>
          <w:u w:val="single" w:color="auto"/>
        </w:rPr>
        <w:t>（由招标人在</w:t>
      </w:r>
      <w:r>
        <w:rPr>
          <w:rFonts w:ascii="Times New Roman" w:hAnsi="Times New Roman" w:eastAsia="Times New Roman" w:cs="Times New Roman"/>
          <w:i/>
          <w:iCs/>
          <w:color w:val="auto"/>
          <w:spacing w:val="-8"/>
          <w:sz w:val="24"/>
          <w:szCs w:val="24"/>
          <w:highlight w:val="none"/>
          <w:u w:val="single" w:color="auto"/>
        </w:rPr>
        <w:t>0</w:t>
      </w:r>
      <w:r>
        <w:rPr>
          <w:rFonts w:ascii="宋体" w:hAnsi="宋体" w:eastAsia="宋体" w:cs="宋体"/>
          <w:i/>
          <w:iCs/>
          <w:color w:val="auto"/>
          <w:spacing w:val="-8"/>
          <w:sz w:val="25"/>
          <w:szCs w:val="25"/>
          <w:highlight w:val="none"/>
          <w:u w:val="single" w:color="auto"/>
        </w:rPr>
        <w:t>～</w:t>
      </w:r>
      <w:r>
        <w:rPr>
          <w:rFonts w:ascii="Times New Roman" w:hAnsi="Times New Roman" w:eastAsia="Times New Roman" w:cs="Times New Roman"/>
          <w:i/>
          <w:iCs/>
          <w:color w:val="auto"/>
          <w:spacing w:val="-8"/>
          <w:sz w:val="24"/>
          <w:szCs w:val="24"/>
          <w:highlight w:val="none"/>
          <w:u w:val="single" w:color="auto"/>
        </w:rPr>
        <w:t>3</w:t>
      </w:r>
      <w:r>
        <w:rPr>
          <w:rFonts w:ascii="宋体" w:hAnsi="宋体" w:eastAsia="宋体" w:cs="宋体"/>
          <w:i/>
          <w:iCs/>
          <w:color w:val="auto"/>
          <w:spacing w:val="-8"/>
          <w:sz w:val="25"/>
          <w:szCs w:val="25"/>
          <w:highlight w:val="none"/>
          <w:u w:val="single" w:color="auto"/>
        </w:rPr>
        <w:t>之间自行确定，但应为</w:t>
      </w:r>
      <w:r>
        <w:rPr>
          <w:rFonts w:ascii="Times New Roman" w:hAnsi="Times New Roman" w:eastAsia="Times New Roman" w:cs="Times New Roman"/>
          <w:i/>
          <w:iCs/>
          <w:color w:val="auto"/>
          <w:spacing w:val="-8"/>
          <w:sz w:val="24"/>
          <w:szCs w:val="24"/>
          <w:highlight w:val="none"/>
          <w:u w:val="single" w:color="auto"/>
        </w:rPr>
        <w:t>5</w:t>
      </w:r>
      <w:r>
        <w:rPr>
          <w:rFonts w:ascii="宋体" w:hAnsi="宋体" w:eastAsia="宋体" w:cs="宋体"/>
          <w:i/>
          <w:iCs/>
          <w:color w:val="auto"/>
          <w:spacing w:val="-8"/>
          <w:sz w:val="25"/>
          <w:szCs w:val="25"/>
          <w:highlight w:val="none"/>
          <w:u w:val="single" w:color="auto"/>
        </w:rPr>
        <w:t>个数组成</w:t>
      </w:r>
      <w:r>
        <w:rPr>
          <w:rFonts w:ascii="宋体" w:hAnsi="宋体" w:eastAsia="宋体" w:cs="宋体"/>
          <w:color w:val="auto"/>
          <w:sz w:val="25"/>
          <w:szCs w:val="25"/>
          <w:highlight w:val="none"/>
          <w:u w:val="single" w:color="auto"/>
        </w:rPr>
        <w:tab/>
      </w:r>
      <w:r>
        <w:rPr>
          <w:rFonts w:ascii="宋体" w:hAnsi="宋体" w:eastAsia="宋体" w:cs="宋体"/>
          <w:i/>
          <w:iCs/>
          <w:color w:val="auto"/>
          <w:spacing w:val="-11"/>
          <w:sz w:val="25"/>
          <w:szCs w:val="25"/>
          <w:highlight w:val="none"/>
          <w:u w:val="single" w:color="auto"/>
        </w:rPr>
        <w:t>的等差递增数列，最小公差大于等于</w:t>
      </w:r>
      <w:r>
        <w:rPr>
          <w:rFonts w:ascii="Times New Roman" w:hAnsi="Times New Roman" w:eastAsia="Times New Roman" w:cs="Times New Roman"/>
          <w:i/>
          <w:iCs/>
          <w:color w:val="auto"/>
          <w:spacing w:val="-11"/>
          <w:sz w:val="24"/>
          <w:szCs w:val="24"/>
          <w:highlight w:val="none"/>
          <w:u w:val="single" w:color="auto"/>
        </w:rPr>
        <w:t>0.5</w:t>
      </w:r>
      <w:r>
        <w:rPr>
          <w:rFonts w:ascii="宋体" w:hAnsi="宋体" w:eastAsia="宋体" w:cs="宋体"/>
          <w:i/>
          <w:iCs/>
          <w:color w:val="auto"/>
          <w:spacing w:val="-11"/>
          <w:sz w:val="25"/>
          <w:szCs w:val="25"/>
          <w:highlight w:val="none"/>
          <w:u w:val="single" w:color="auto"/>
        </w:rPr>
        <w:t>）</w:t>
      </w:r>
      <w:r>
        <w:rPr>
          <w:rFonts w:ascii="宋体" w:hAnsi="宋体" w:eastAsia="宋体" w:cs="宋体"/>
          <w:color w:val="auto"/>
          <w:spacing w:val="107"/>
          <w:sz w:val="25"/>
          <w:szCs w:val="25"/>
          <w:highlight w:val="none"/>
          <w:u w:val="single" w:color="auto"/>
        </w:rPr>
        <w:t xml:space="preserve"> </w:t>
      </w:r>
      <w:r>
        <w:rPr>
          <w:rFonts w:ascii="宋体" w:hAnsi="宋体" w:eastAsia="宋体" w:cs="宋体"/>
          <w:color w:val="auto"/>
          <w:spacing w:val="-114"/>
          <w:sz w:val="25"/>
          <w:szCs w:val="25"/>
          <w:highlight w:val="none"/>
        </w:rPr>
        <w:t xml:space="preserve"> </w:t>
      </w:r>
      <w:r>
        <w:rPr>
          <w:rFonts w:ascii="宋体" w:hAnsi="宋体" w:eastAsia="宋体" w:cs="宋体"/>
          <w:color w:val="auto"/>
          <w:spacing w:val="-11"/>
          <w:sz w:val="24"/>
          <w:szCs w:val="24"/>
          <w:highlight w:val="none"/>
        </w:rPr>
        <w:t>之中随机抽取确定。</w:t>
      </w:r>
    </w:p>
    <w:p w14:paraId="4522D696">
      <w:pPr>
        <w:spacing w:before="1" w:line="220" w:lineRule="auto"/>
        <w:ind w:left="504"/>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3</w:t>
      </w:r>
      <w:r>
        <w:rPr>
          <w:rFonts w:ascii="宋体" w:hAnsi="宋体" w:eastAsia="宋体" w:cs="宋体"/>
          <w:strike/>
          <w:dstrike w:val="0"/>
          <w:color w:val="auto"/>
          <w:spacing w:val="-7"/>
          <w:sz w:val="24"/>
          <w:szCs w:val="24"/>
          <w:highlight w:val="none"/>
        </w:rPr>
        <w:t>：</w:t>
      </w:r>
    </w:p>
    <w:p w14:paraId="0C1DD5D2">
      <w:pPr>
        <w:spacing w:before="179" w:line="218" w:lineRule="auto"/>
        <w:ind w:left="55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0D8A2F7F">
      <w:pPr>
        <w:spacing w:before="185" w:line="289" w:lineRule="auto"/>
        <w:ind w:left="15" w:right="17" w:firstLine="55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pacing w:val="-16"/>
          <w:sz w:val="24"/>
          <w:szCs w:val="24"/>
          <w:highlight w:val="none"/>
        </w:rPr>
        <w:t>范围；</w:t>
      </w:r>
    </w:p>
    <w:p w14:paraId="3A368DD0">
      <w:pPr>
        <w:spacing w:before="182" w:line="284" w:lineRule="auto"/>
        <w:ind w:left="10" w:right="15" w:firstLine="563"/>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1C66734C">
      <w:pPr>
        <w:spacing w:before="179" w:line="218" w:lineRule="auto"/>
        <w:ind w:left="56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31337100">
      <w:pPr>
        <w:spacing w:before="183" w:line="331" w:lineRule="auto"/>
        <w:ind w:left="8" w:right="166" w:firstLine="48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16757008">
      <w:pPr>
        <w:spacing w:before="141" w:line="305" w:lineRule="auto"/>
        <w:ind w:left="12" w:right="17" w:firstLine="48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3</w:t>
      </w:r>
      <w:r>
        <w:rPr>
          <w:rFonts w:ascii="宋体" w:hAnsi="宋体" w:eastAsia="宋体" w:cs="宋体"/>
          <w:strike/>
          <w:dstrike w:val="0"/>
          <w:color w:val="auto"/>
          <w:spacing w:val="-1"/>
          <w:sz w:val="24"/>
          <w:szCs w:val="24"/>
          <w:highlight w:val="none"/>
        </w:rPr>
        <w:t>）评分基准价的确定：评分基准价</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（平均报价值</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参与计算平均报价的次低投标评标价）</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1-X%</w:t>
      </w:r>
      <w:r>
        <w:rPr>
          <w:rFonts w:ascii="宋体" w:hAnsi="宋体" w:eastAsia="宋体" w:cs="宋体"/>
          <w:strike/>
          <w:dstrike w:val="0"/>
          <w:color w:val="auto"/>
          <w:spacing w:val="-1"/>
          <w:sz w:val="24"/>
          <w:szCs w:val="24"/>
          <w:highlight w:val="none"/>
        </w:rPr>
        <w:t>）</w:t>
      </w:r>
    </w:p>
    <w:p w14:paraId="39B953A1">
      <w:pPr>
        <w:spacing w:before="184" w:line="345" w:lineRule="auto"/>
        <w:ind w:left="78" w:firstLine="463"/>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8"/>
          <w:sz w:val="24"/>
          <w:szCs w:val="24"/>
          <w:highlight w:val="none"/>
        </w:rPr>
        <w:t>X</w:t>
      </w:r>
      <w:r>
        <w:rPr>
          <w:rFonts w:ascii="宋体" w:hAnsi="宋体" w:eastAsia="宋体" w:cs="宋体"/>
          <w:strike/>
          <w:dstrike w:val="0"/>
          <w:color w:val="auto"/>
          <w:spacing w:val="-8"/>
          <w:sz w:val="24"/>
          <w:szCs w:val="24"/>
          <w:highlight w:val="none"/>
        </w:rPr>
        <w:t>值在开标时由招标人在</w:t>
      </w:r>
      <w:r>
        <w:rPr>
          <w:rFonts w:ascii="宋体" w:hAnsi="宋体" w:eastAsia="宋体" w:cs="宋体"/>
          <w:strike/>
          <w:dstrike w:val="0"/>
          <w:color w:val="auto"/>
          <w:spacing w:val="55"/>
          <w:sz w:val="25"/>
          <w:szCs w:val="25"/>
          <w:highlight w:val="none"/>
          <w:u w:val="single" w:color="auto"/>
        </w:rPr>
        <w:t xml:space="preserve">  </w:t>
      </w:r>
      <w:r>
        <w:rPr>
          <w:rFonts w:ascii="宋体" w:hAnsi="宋体" w:eastAsia="宋体" w:cs="宋体"/>
          <w:i/>
          <w:iCs/>
          <w:strike/>
          <w:dstrike w:val="0"/>
          <w:color w:val="auto"/>
          <w:spacing w:val="-8"/>
          <w:sz w:val="25"/>
          <w:szCs w:val="25"/>
          <w:highlight w:val="none"/>
          <w:u w:val="single" w:color="auto"/>
        </w:rPr>
        <w:t>（由招标人在</w:t>
      </w:r>
      <w:r>
        <w:rPr>
          <w:rFonts w:ascii="Times New Roman" w:hAnsi="Times New Roman" w:eastAsia="Times New Roman" w:cs="Times New Roman"/>
          <w:i/>
          <w:iCs/>
          <w:strike/>
          <w:dstrike w:val="0"/>
          <w:color w:val="auto"/>
          <w:spacing w:val="-8"/>
          <w:sz w:val="24"/>
          <w:szCs w:val="24"/>
          <w:highlight w:val="none"/>
          <w:u w:val="single" w:color="auto"/>
        </w:rPr>
        <w:t>0</w:t>
      </w:r>
      <w:r>
        <w:rPr>
          <w:rFonts w:ascii="宋体" w:hAnsi="宋体" w:eastAsia="宋体" w:cs="宋体"/>
          <w:i/>
          <w:iCs/>
          <w:strike/>
          <w:dstrike w:val="0"/>
          <w:color w:val="auto"/>
          <w:spacing w:val="-8"/>
          <w:sz w:val="25"/>
          <w:szCs w:val="25"/>
          <w:highlight w:val="none"/>
          <w:u w:val="single" w:color="auto"/>
        </w:rPr>
        <w:t>～</w:t>
      </w:r>
      <w:r>
        <w:rPr>
          <w:rFonts w:ascii="Times New Roman" w:hAnsi="Times New Roman" w:eastAsia="Times New Roman" w:cs="Times New Roman"/>
          <w:i/>
          <w:iCs/>
          <w:strike/>
          <w:dstrike w:val="0"/>
          <w:color w:val="auto"/>
          <w:spacing w:val="-8"/>
          <w:sz w:val="24"/>
          <w:szCs w:val="24"/>
          <w:highlight w:val="none"/>
          <w:u w:val="single" w:color="auto"/>
        </w:rPr>
        <w:t>2</w:t>
      </w:r>
      <w:r>
        <w:rPr>
          <w:rFonts w:ascii="宋体" w:hAnsi="宋体" w:eastAsia="宋体" w:cs="宋体"/>
          <w:i/>
          <w:iCs/>
          <w:strike/>
          <w:dstrike w:val="0"/>
          <w:color w:val="auto"/>
          <w:spacing w:val="-8"/>
          <w:sz w:val="25"/>
          <w:szCs w:val="25"/>
          <w:highlight w:val="none"/>
          <w:u w:val="single" w:color="auto"/>
        </w:rPr>
        <w:t>之间自行确定，但应为</w:t>
      </w:r>
      <w:r>
        <w:rPr>
          <w:rFonts w:ascii="Times New Roman" w:hAnsi="Times New Roman" w:eastAsia="Times New Roman" w:cs="Times New Roman"/>
          <w:i/>
          <w:iCs/>
          <w:strike/>
          <w:dstrike w:val="0"/>
          <w:color w:val="auto"/>
          <w:spacing w:val="-8"/>
          <w:sz w:val="24"/>
          <w:szCs w:val="24"/>
          <w:highlight w:val="none"/>
          <w:u w:val="single" w:color="auto"/>
        </w:rPr>
        <w:t>5</w:t>
      </w:r>
      <w:r>
        <w:rPr>
          <w:rFonts w:ascii="宋体" w:hAnsi="宋体" w:eastAsia="宋体" w:cs="宋体"/>
          <w:i/>
          <w:iCs/>
          <w:strike/>
          <w:dstrike w:val="0"/>
          <w:color w:val="auto"/>
          <w:spacing w:val="-8"/>
          <w:sz w:val="25"/>
          <w:szCs w:val="25"/>
          <w:highlight w:val="none"/>
          <w:u w:val="single" w:color="auto"/>
        </w:rPr>
        <w:t>个数组成</w:t>
      </w:r>
      <w:r>
        <w:rPr>
          <w:rFonts w:ascii="宋体" w:hAnsi="宋体" w:eastAsia="宋体" w:cs="宋体"/>
          <w:i/>
          <w:iCs/>
          <w:strike/>
          <w:dstrike w:val="0"/>
          <w:color w:val="auto"/>
          <w:spacing w:val="-10"/>
          <w:sz w:val="25"/>
          <w:szCs w:val="25"/>
          <w:highlight w:val="none"/>
          <w:u w:val="single" w:color="auto"/>
        </w:rPr>
        <w:t>的等差递增数列</w:t>
      </w:r>
      <w:r>
        <w:rPr>
          <w:rFonts w:ascii="Times New Roman" w:hAnsi="Times New Roman" w:eastAsia="Times New Roman" w:cs="Times New Roman"/>
          <w:i/>
          <w:iCs/>
          <w:strike/>
          <w:dstrike w:val="0"/>
          <w:color w:val="auto"/>
          <w:spacing w:val="-10"/>
          <w:sz w:val="24"/>
          <w:szCs w:val="24"/>
          <w:highlight w:val="none"/>
          <w:u w:val="single" w:color="auto"/>
        </w:rPr>
        <w:t xml:space="preserve">,   </w:t>
      </w:r>
      <w:r>
        <w:rPr>
          <w:rFonts w:ascii="宋体" w:hAnsi="宋体" w:eastAsia="宋体" w:cs="宋体"/>
          <w:i/>
          <w:iCs/>
          <w:strike/>
          <w:dstrike w:val="0"/>
          <w:color w:val="auto"/>
          <w:spacing w:val="-10"/>
          <w:sz w:val="25"/>
          <w:szCs w:val="25"/>
          <w:highlight w:val="none"/>
          <w:u w:val="single" w:color="auto"/>
        </w:rPr>
        <w:t>最小公差大于等于</w:t>
      </w:r>
      <w:r>
        <w:rPr>
          <w:rFonts w:ascii="Times New Roman" w:hAnsi="Times New Roman" w:eastAsia="Times New Roman" w:cs="Times New Roman"/>
          <w:i/>
          <w:iCs/>
          <w:strike/>
          <w:dstrike w:val="0"/>
          <w:color w:val="auto"/>
          <w:spacing w:val="-10"/>
          <w:sz w:val="24"/>
          <w:szCs w:val="24"/>
          <w:highlight w:val="none"/>
          <w:u w:val="single" w:color="auto"/>
        </w:rPr>
        <w:t>0.5</w:t>
      </w:r>
      <w:r>
        <w:rPr>
          <w:rFonts w:ascii="宋体" w:hAnsi="宋体" w:eastAsia="宋体" w:cs="宋体"/>
          <w:i/>
          <w:iCs/>
          <w:strike/>
          <w:dstrike w:val="0"/>
          <w:color w:val="auto"/>
          <w:spacing w:val="-10"/>
          <w:sz w:val="25"/>
          <w:szCs w:val="25"/>
          <w:highlight w:val="none"/>
          <w:u w:val="single" w:color="auto"/>
        </w:rPr>
        <w:t>）</w:t>
      </w:r>
      <w:r>
        <w:rPr>
          <w:rFonts w:ascii="宋体" w:hAnsi="宋体" w:eastAsia="宋体" w:cs="宋体"/>
          <w:strike/>
          <w:dstrike w:val="0"/>
          <w:color w:val="auto"/>
          <w:spacing w:val="-11"/>
          <w:sz w:val="25"/>
          <w:szCs w:val="25"/>
          <w:highlight w:val="none"/>
          <w:u w:val="single" w:color="auto"/>
        </w:rPr>
        <w:t xml:space="preserve">  </w:t>
      </w:r>
      <w:r>
        <w:rPr>
          <w:rFonts w:ascii="宋体" w:hAnsi="宋体" w:eastAsia="宋体" w:cs="宋体"/>
          <w:strike/>
          <w:dstrike w:val="0"/>
          <w:color w:val="auto"/>
          <w:spacing w:val="-113"/>
          <w:sz w:val="25"/>
          <w:szCs w:val="25"/>
          <w:highlight w:val="none"/>
        </w:rPr>
        <w:t xml:space="preserve"> </w:t>
      </w:r>
      <w:r>
        <w:rPr>
          <w:rFonts w:ascii="宋体" w:hAnsi="宋体" w:eastAsia="宋体" w:cs="宋体"/>
          <w:strike/>
          <w:dstrike w:val="0"/>
          <w:color w:val="auto"/>
          <w:spacing w:val="-11"/>
          <w:sz w:val="24"/>
          <w:szCs w:val="24"/>
          <w:highlight w:val="none"/>
        </w:rPr>
        <w:t>之中随机抽取确定。</w:t>
      </w:r>
    </w:p>
    <w:p w14:paraId="135F82F7">
      <w:pPr>
        <w:spacing w:before="1" w:line="220" w:lineRule="auto"/>
        <w:ind w:left="51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4</w:t>
      </w:r>
      <w:r>
        <w:rPr>
          <w:rFonts w:ascii="宋体" w:hAnsi="宋体" w:eastAsia="宋体" w:cs="宋体"/>
          <w:strike/>
          <w:dstrike w:val="0"/>
          <w:color w:val="auto"/>
          <w:spacing w:val="-7"/>
          <w:sz w:val="24"/>
          <w:szCs w:val="24"/>
          <w:highlight w:val="none"/>
        </w:rPr>
        <w:t>：</w:t>
      </w:r>
    </w:p>
    <w:p w14:paraId="65F8E389">
      <w:pPr>
        <w:spacing w:before="178" w:line="218" w:lineRule="auto"/>
        <w:ind w:left="55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4DE51D7A">
      <w:pPr>
        <w:spacing w:line="218" w:lineRule="auto"/>
        <w:rPr>
          <w:rFonts w:ascii="宋体" w:hAnsi="宋体" w:eastAsia="宋体" w:cs="宋体"/>
          <w:strike/>
          <w:dstrike w:val="0"/>
          <w:color w:val="auto"/>
          <w:sz w:val="24"/>
          <w:szCs w:val="24"/>
          <w:highlight w:val="none"/>
        </w:rPr>
        <w:sectPr>
          <w:footerReference r:id="rId23" w:type="default"/>
          <w:pgSz w:w="11907" w:h="16841"/>
          <w:pgMar w:top="1428" w:right="1511" w:bottom="1254" w:left="1588" w:header="0" w:footer="1093" w:gutter="0"/>
          <w:pgNumType w:fmt="decimal"/>
          <w:cols w:space="720" w:num="1"/>
        </w:sectPr>
      </w:pPr>
    </w:p>
    <w:p w14:paraId="52FF33EE">
      <w:pPr>
        <w:spacing w:before="48" w:line="290" w:lineRule="auto"/>
        <w:ind w:left="6" w:right="2" w:firstLine="55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pacing w:val="-16"/>
          <w:sz w:val="24"/>
          <w:szCs w:val="24"/>
          <w:highlight w:val="none"/>
        </w:rPr>
        <w:t>范围；</w:t>
      </w:r>
    </w:p>
    <w:p w14:paraId="39A70780">
      <w:pPr>
        <w:spacing w:before="179" w:line="284" w:lineRule="auto"/>
        <w:ind w:left="1" w:firstLine="563"/>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1599E2D3">
      <w:pPr>
        <w:spacing w:before="179" w:line="218" w:lineRule="auto"/>
        <w:ind w:left="55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54614B31">
      <w:pPr>
        <w:spacing w:before="183" w:line="331" w:lineRule="auto"/>
        <w:ind w:right="151" w:firstLine="48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6F8E9ADD">
      <w:pPr>
        <w:spacing w:before="184" w:line="218" w:lineRule="auto"/>
        <w:ind w:left="48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6"/>
          <w:sz w:val="24"/>
          <w:szCs w:val="24"/>
          <w:highlight w:val="none"/>
        </w:rPr>
        <w:t>（</w:t>
      </w:r>
      <w:r>
        <w:rPr>
          <w:rFonts w:ascii="Times New Roman" w:hAnsi="Times New Roman" w:eastAsia="Times New Roman" w:cs="Times New Roman"/>
          <w:strike/>
          <w:dstrike w:val="0"/>
          <w:color w:val="auto"/>
          <w:spacing w:val="-6"/>
          <w:sz w:val="24"/>
          <w:szCs w:val="24"/>
          <w:highlight w:val="none"/>
        </w:rPr>
        <w:t>3</w:t>
      </w:r>
      <w:r>
        <w:rPr>
          <w:rFonts w:ascii="宋体" w:hAnsi="宋体" w:eastAsia="宋体" w:cs="宋体"/>
          <w:strike/>
          <w:dstrike w:val="0"/>
          <w:color w:val="auto"/>
          <w:spacing w:val="-6"/>
          <w:sz w:val="24"/>
          <w:szCs w:val="24"/>
          <w:highlight w:val="none"/>
        </w:rPr>
        <w:t>）评分基准价的确定：</w:t>
      </w:r>
    </w:p>
    <w:p w14:paraId="7EBD8D82">
      <w:pPr>
        <w:spacing w:before="182" w:line="212" w:lineRule="auto"/>
        <w:ind w:left="48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评分基准价</w:t>
      </w:r>
      <w:r>
        <w:rPr>
          <w:rFonts w:ascii="Times New Roman" w:hAnsi="Times New Roman" w:eastAsia="Times New Roman" w:cs="Times New Roman"/>
          <w:strike/>
          <w:dstrike w:val="0"/>
          <w:color w:val="auto"/>
          <w:spacing w:val="-1"/>
          <w:sz w:val="24"/>
          <w:szCs w:val="24"/>
          <w:highlight w:val="none"/>
        </w:rPr>
        <w:t>=Q</w:t>
      </w:r>
      <w:r>
        <w:rPr>
          <w:rFonts w:ascii="宋体" w:hAnsi="宋体" w:eastAsia="宋体" w:cs="宋体"/>
          <w:strike/>
          <w:dstrike w:val="0"/>
          <w:color w:val="auto"/>
          <w:spacing w:val="-1"/>
          <w:sz w:val="24"/>
          <w:szCs w:val="24"/>
          <w:highlight w:val="none"/>
        </w:rPr>
        <w:t>×最高投标限价</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1-Q</w:t>
      </w: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w:t>
      </w:r>
      <w:r>
        <w:rPr>
          <w:rFonts w:ascii="宋体" w:hAnsi="宋体" w:eastAsia="宋体" w:cs="宋体"/>
          <w:strike/>
          <w:dstrike w:val="0"/>
          <w:color w:val="auto"/>
          <w:spacing w:val="-1"/>
          <w:sz w:val="24"/>
          <w:szCs w:val="24"/>
          <w:highlight w:val="none"/>
        </w:rPr>
        <w:t>平均报价值</w:t>
      </w:r>
    </w:p>
    <w:p w14:paraId="676B486D">
      <w:pPr>
        <w:spacing w:before="193" w:line="339" w:lineRule="auto"/>
        <w:ind w:left="25" w:right="278" w:firstLine="458"/>
        <w:rPr>
          <w:rFonts w:ascii="宋体" w:hAnsi="宋体" w:eastAsia="宋体" w:cs="宋体"/>
          <w:strike/>
          <w:dstrike w:val="0"/>
          <w:color w:val="auto"/>
          <w:sz w:val="25"/>
          <w:szCs w:val="25"/>
          <w:highlight w:val="none"/>
        </w:rPr>
      </w:pPr>
      <w:r>
        <w:rPr>
          <w:rFonts w:ascii="宋体" w:hAnsi="宋体" w:eastAsia="宋体" w:cs="宋体"/>
          <w:strike/>
          <w:dstrike w:val="0"/>
          <w:color w:val="auto"/>
          <w:spacing w:val="-6"/>
          <w:sz w:val="24"/>
          <w:szCs w:val="24"/>
          <w:highlight w:val="none"/>
        </w:rPr>
        <w:t>最高投标限价权重</w:t>
      </w:r>
      <w:r>
        <w:rPr>
          <w:rFonts w:ascii="Times New Roman" w:hAnsi="Times New Roman" w:eastAsia="Times New Roman" w:cs="Times New Roman"/>
          <w:strike/>
          <w:dstrike w:val="0"/>
          <w:color w:val="auto"/>
          <w:spacing w:val="-6"/>
          <w:sz w:val="24"/>
          <w:szCs w:val="24"/>
          <w:highlight w:val="none"/>
        </w:rPr>
        <w:t>Q</w:t>
      </w:r>
      <w:r>
        <w:rPr>
          <w:rFonts w:ascii="宋体" w:hAnsi="宋体" w:eastAsia="宋体" w:cs="宋体"/>
          <w:strike/>
          <w:dstrike w:val="0"/>
          <w:color w:val="auto"/>
          <w:spacing w:val="-6"/>
          <w:sz w:val="24"/>
          <w:szCs w:val="24"/>
          <w:highlight w:val="none"/>
        </w:rPr>
        <w:t>值为□</w:t>
      </w:r>
      <w:r>
        <w:rPr>
          <w:rFonts w:ascii="宋体" w:hAnsi="宋体" w:eastAsia="宋体" w:cs="宋体"/>
          <w:strike/>
          <w:dstrike w:val="0"/>
          <w:color w:val="auto"/>
          <w:spacing w:val="-6"/>
          <w:sz w:val="25"/>
          <w:szCs w:val="25"/>
          <w:highlight w:val="none"/>
          <w:u w:val="single" w:color="auto"/>
        </w:rPr>
        <w:t xml:space="preserve">   </w:t>
      </w:r>
      <w:r>
        <w:rPr>
          <w:rFonts w:ascii="宋体" w:hAnsi="宋体" w:eastAsia="宋体" w:cs="宋体"/>
          <w:i/>
          <w:iCs/>
          <w:strike/>
          <w:dstrike w:val="0"/>
          <w:color w:val="auto"/>
          <w:spacing w:val="-6"/>
          <w:sz w:val="25"/>
          <w:szCs w:val="25"/>
          <w:highlight w:val="none"/>
          <w:u w:val="single" w:color="auto"/>
        </w:rPr>
        <w:t>（</w:t>
      </w:r>
      <w:r>
        <w:rPr>
          <w:rFonts w:ascii="Times New Roman" w:hAnsi="Times New Roman" w:eastAsia="Times New Roman" w:cs="Times New Roman"/>
          <w:i/>
          <w:iCs/>
          <w:strike/>
          <w:dstrike w:val="0"/>
          <w:color w:val="auto"/>
          <w:spacing w:val="-6"/>
          <w:sz w:val="24"/>
          <w:szCs w:val="24"/>
          <w:highlight w:val="none"/>
          <w:u w:val="single" w:color="auto"/>
        </w:rPr>
        <w:t>0.30</w:t>
      </w:r>
      <w:r>
        <w:rPr>
          <w:rFonts w:ascii="宋体" w:hAnsi="宋体" w:eastAsia="宋体" w:cs="宋体"/>
          <w:i/>
          <w:iCs/>
          <w:strike/>
          <w:dstrike w:val="0"/>
          <w:color w:val="auto"/>
          <w:spacing w:val="-6"/>
          <w:sz w:val="25"/>
          <w:szCs w:val="25"/>
          <w:highlight w:val="none"/>
          <w:u w:val="single" w:color="auto"/>
        </w:rPr>
        <w:t>或</w:t>
      </w:r>
      <w:r>
        <w:rPr>
          <w:rFonts w:ascii="Times New Roman" w:hAnsi="Times New Roman" w:eastAsia="Times New Roman" w:cs="Times New Roman"/>
          <w:i/>
          <w:iCs/>
          <w:strike/>
          <w:dstrike w:val="0"/>
          <w:color w:val="auto"/>
          <w:spacing w:val="-6"/>
          <w:sz w:val="24"/>
          <w:szCs w:val="24"/>
          <w:highlight w:val="none"/>
          <w:u w:val="single" w:color="auto"/>
        </w:rPr>
        <w:t>0.3</w:t>
      </w:r>
      <w:r>
        <w:rPr>
          <w:rFonts w:ascii="Times New Roman" w:hAnsi="Times New Roman" w:eastAsia="Times New Roman" w:cs="Times New Roman"/>
          <w:i/>
          <w:iCs/>
          <w:strike/>
          <w:dstrike w:val="0"/>
          <w:color w:val="auto"/>
          <w:spacing w:val="-7"/>
          <w:sz w:val="24"/>
          <w:szCs w:val="24"/>
          <w:highlight w:val="none"/>
          <w:u w:val="single" w:color="auto"/>
        </w:rPr>
        <w:t>5</w:t>
      </w:r>
      <w:r>
        <w:rPr>
          <w:rFonts w:ascii="宋体" w:hAnsi="宋体" w:eastAsia="宋体" w:cs="宋体"/>
          <w:i/>
          <w:iCs/>
          <w:strike/>
          <w:dstrike w:val="0"/>
          <w:color w:val="auto"/>
          <w:spacing w:val="-7"/>
          <w:sz w:val="25"/>
          <w:szCs w:val="25"/>
          <w:highlight w:val="none"/>
          <w:u w:val="single" w:color="auto"/>
        </w:rPr>
        <w:t>或</w:t>
      </w:r>
      <w:r>
        <w:rPr>
          <w:rFonts w:ascii="Times New Roman" w:hAnsi="Times New Roman" w:eastAsia="Times New Roman" w:cs="Times New Roman"/>
          <w:i/>
          <w:iCs/>
          <w:strike/>
          <w:dstrike w:val="0"/>
          <w:color w:val="auto"/>
          <w:spacing w:val="-7"/>
          <w:sz w:val="24"/>
          <w:szCs w:val="24"/>
          <w:highlight w:val="none"/>
          <w:u w:val="single" w:color="auto"/>
        </w:rPr>
        <w:t>0.40</w:t>
      </w:r>
      <w:r>
        <w:rPr>
          <w:rFonts w:ascii="Times New Roman" w:hAnsi="Times New Roman" w:eastAsia="Times New Roman" w:cs="Times New Roman"/>
          <w:i/>
          <w:iCs/>
          <w:strike/>
          <w:dstrike w:val="0"/>
          <w:color w:val="auto"/>
          <w:spacing w:val="-24"/>
          <w:sz w:val="24"/>
          <w:szCs w:val="24"/>
          <w:highlight w:val="none"/>
          <w:u w:val="single" w:color="auto"/>
        </w:rPr>
        <w:t xml:space="preserve"> </w:t>
      </w:r>
      <w:r>
        <w:rPr>
          <w:rFonts w:ascii="宋体" w:hAnsi="宋体" w:eastAsia="宋体" w:cs="宋体"/>
          <w:i/>
          <w:iCs/>
          <w:strike/>
          <w:dstrike w:val="0"/>
          <w:color w:val="auto"/>
          <w:spacing w:val="-7"/>
          <w:sz w:val="25"/>
          <w:szCs w:val="25"/>
          <w:highlight w:val="none"/>
          <w:u w:val="single" w:color="auto"/>
        </w:rPr>
        <w:t>，</w:t>
      </w:r>
      <w:r>
        <w:rPr>
          <w:rFonts w:ascii="宋体" w:hAnsi="宋体" w:eastAsia="宋体" w:cs="宋体"/>
          <w:strike/>
          <w:dstrike w:val="0"/>
          <w:color w:val="auto"/>
          <w:spacing w:val="-50"/>
          <w:sz w:val="25"/>
          <w:szCs w:val="25"/>
          <w:highlight w:val="none"/>
          <w:u w:val="single" w:color="auto"/>
        </w:rPr>
        <w:t xml:space="preserve"> </w:t>
      </w:r>
      <w:r>
        <w:rPr>
          <w:rFonts w:ascii="宋体" w:hAnsi="宋体" w:eastAsia="宋体" w:cs="宋体"/>
          <w:i/>
          <w:iCs/>
          <w:strike/>
          <w:dstrike w:val="0"/>
          <w:color w:val="auto"/>
          <w:spacing w:val="-7"/>
          <w:sz w:val="25"/>
          <w:szCs w:val="25"/>
          <w:highlight w:val="none"/>
          <w:u w:val="single" w:color="auto"/>
        </w:rPr>
        <w:t>由招标人自主确定）</w:t>
      </w:r>
      <w:r>
        <w:rPr>
          <w:rFonts w:ascii="宋体" w:hAnsi="宋体" w:eastAsia="宋体" w:cs="宋体"/>
          <w:strike/>
          <w:dstrike w:val="0"/>
          <w:color w:val="auto"/>
          <w:spacing w:val="30"/>
          <w:sz w:val="25"/>
          <w:szCs w:val="25"/>
          <w:highlight w:val="none"/>
          <w:u w:val="single" w:color="auto"/>
        </w:rPr>
        <w:t xml:space="preserve">   </w:t>
      </w:r>
      <w:r>
        <w:rPr>
          <w:rFonts w:ascii="宋体" w:hAnsi="宋体" w:eastAsia="宋体" w:cs="宋体"/>
          <w:strike/>
          <w:dstrike w:val="0"/>
          <w:color w:val="auto"/>
          <w:spacing w:val="-4"/>
          <w:sz w:val="24"/>
          <w:szCs w:val="24"/>
          <w:highlight w:val="none"/>
        </w:rPr>
        <w:t>□</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strike/>
          <w:dstrike w:val="0"/>
          <w:color w:val="auto"/>
          <w:spacing w:val="-4"/>
          <w:sz w:val="24"/>
          <w:szCs w:val="24"/>
          <w:highlight w:val="none"/>
          <w:u w:val="single" w:color="auto"/>
        </w:rPr>
        <w:t>0.30</w:t>
      </w:r>
      <w:r>
        <w:rPr>
          <w:rFonts w:ascii="Times New Roman" w:hAnsi="Times New Roman" w:eastAsia="Times New Roman" w:cs="Times New Roman"/>
          <w:strike/>
          <w:dstrike w:val="0"/>
          <w:color w:val="auto"/>
          <w:spacing w:val="-33"/>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w:t>
      </w:r>
      <w:r>
        <w:rPr>
          <w:rFonts w:ascii="Times New Roman" w:hAnsi="Times New Roman" w:eastAsia="Times New Roman" w:cs="Times New Roman"/>
          <w:strike/>
          <w:dstrike w:val="0"/>
          <w:color w:val="auto"/>
          <w:spacing w:val="-4"/>
          <w:sz w:val="24"/>
          <w:szCs w:val="24"/>
          <w:highlight w:val="none"/>
          <w:u w:val="single" w:color="auto"/>
        </w:rPr>
        <w:t>0.35</w:t>
      </w:r>
      <w:r>
        <w:rPr>
          <w:rFonts w:ascii="Times New Roman" w:hAnsi="Times New Roman" w:eastAsia="Times New Roman" w:cs="Times New Roman"/>
          <w:strike/>
          <w:dstrike w:val="0"/>
          <w:color w:val="auto"/>
          <w:spacing w:val="-33"/>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w:t>
      </w:r>
      <w:r>
        <w:rPr>
          <w:rFonts w:ascii="Times New Roman" w:hAnsi="Times New Roman" w:eastAsia="Times New Roman" w:cs="Times New Roman"/>
          <w:strike/>
          <w:dstrike w:val="0"/>
          <w:color w:val="auto"/>
          <w:spacing w:val="-4"/>
          <w:sz w:val="24"/>
          <w:szCs w:val="24"/>
          <w:highlight w:val="none"/>
          <w:u w:val="single" w:color="auto"/>
        </w:rPr>
        <w:t>0.40</w:t>
      </w:r>
      <w:r>
        <w:rPr>
          <w:rFonts w:ascii="Times New Roman" w:hAnsi="Times New Roman" w:eastAsia="Times New Roman" w:cs="Times New Roman"/>
          <w:strike/>
          <w:dstrike w:val="0"/>
          <w:color w:val="auto"/>
          <w:spacing w:val="-31"/>
          <w:sz w:val="24"/>
          <w:szCs w:val="24"/>
          <w:highlight w:val="none"/>
          <w:u w:val="single" w:color="auto"/>
        </w:rPr>
        <w:t xml:space="preserve"> </w:t>
      </w:r>
      <w:r>
        <w:rPr>
          <w:rFonts w:ascii="宋体" w:hAnsi="宋体" w:eastAsia="宋体" w:cs="宋体"/>
          <w:strike/>
          <w:dstrike w:val="0"/>
          <w:color w:val="auto"/>
          <w:spacing w:val="-4"/>
          <w:sz w:val="24"/>
          <w:szCs w:val="24"/>
          <w:highlight w:val="none"/>
          <w:u w:val="single" w:color="auto"/>
        </w:rPr>
        <w:t>，由招标人在开标现场随机抽取</w:t>
      </w:r>
      <w:r>
        <w:rPr>
          <w:rFonts w:ascii="宋体" w:hAnsi="宋体" w:eastAsia="宋体" w:cs="宋体"/>
          <w:i/>
          <w:iCs/>
          <w:strike/>
          <w:dstrike w:val="0"/>
          <w:color w:val="auto"/>
          <w:spacing w:val="-4"/>
          <w:sz w:val="25"/>
          <w:szCs w:val="25"/>
          <w:highlight w:val="none"/>
          <w:u w:val="single" w:color="auto"/>
        </w:rPr>
        <w:t>）</w:t>
      </w:r>
      <w:r>
        <w:rPr>
          <w:rFonts w:ascii="宋体" w:hAnsi="宋体" w:eastAsia="宋体" w:cs="宋体"/>
          <w:i/>
          <w:iCs/>
          <w:strike/>
          <w:dstrike w:val="0"/>
          <w:color w:val="auto"/>
          <w:spacing w:val="-4"/>
          <w:sz w:val="25"/>
          <w:szCs w:val="25"/>
          <w:highlight w:val="none"/>
        </w:rPr>
        <w:t>。</w:t>
      </w:r>
    </w:p>
    <w:p w14:paraId="2CBF19C0">
      <w:pPr>
        <w:spacing w:before="15" w:line="221" w:lineRule="auto"/>
        <w:ind w:left="50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5</w:t>
      </w:r>
      <w:r>
        <w:rPr>
          <w:rFonts w:ascii="宋体" w:hAnsi="宋体" w:eastAsia="宋体" w:cs="宋体"/>
          <w:strike/>
          <w:dstrike w:val="0"/>
          <w:color w:val="auto"/>
          <w:spacing w:val="-7"/>
          <w:sz w:val="24"/>
          <w:szCs w:val="24"/>
          <w:highlight w:val="none"/>
        </w:rPr>
        <w:t>：</w:t>
      </w:r>
    </w:p>
    <w:p w14:paraId="74E94569">
      <w:pPr>
        <w:spacing w:before="181" w:line="218" w:lineRule="auto"/>
        <w:ind w:left="54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0513B32D">
      <w:pPr>
        <w:spacing w:before="182" w:line="290" w:lineRule="auto"/>
        <w:ind w:left="6" w:right="2" w:firstLine="55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pacing w:val="-16"/>
          <w:sz w:val="24"/>
          <w:szCs w:val="24"/>
          <w:highlight w:val="none"/>
        </w:rPr>
        <w:t>范围；</w:t>
      </w:r>
    </w:p>
    <w:p w14:paraId="3535C542">
      <w:pPr>
        <w:spacing w:before="180" w:line="284" w:lineRule="auto"/>
        <w:ind w:left="1" w:firstLine="563"/>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4C41E85F">
      <w:pPr>
        <w:spacing w:before="179" w:line="218" w:lineRule="auto"/>
        <w:ind w:left="55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3B8250A0">
      <w:pPr>
        <w:spacing w:before="183" w:line="331" w:lineRule="auto"/>
        <w:ind w:right="151" w:firstLine="48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71CA561A">
      <w:pPr>
        <w:spacing w:before="141" w:line="324" w:lineRule="exact"/>
        <w:ind w:left="48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position w:val="1"/>
          <w:sz w:val="24"/>
          <w:szCs w:val="24"/>
          <w:highlight w:val="none"/>
        </w:rPr>
        <w:t>（</w:t>
      </w:r>
      <w:r>
        <w:rPr>
          <w:rFonts w:ascii="Times New Roman" w:hAnsi="Times New Roman" w:eastAsia="Times New Roman" w:cs="Times New Roman"/>
          <w:strike/>
          <w:dstrike w:val="0"/>
          <w:color w:val="auto"/>
          <w:spacing w:val="-1"/>
          <w:position w:val="1"/>
          <w:sz w:val="24"/>
          <w:szCs w:val="24"/>
          <w:highlight w:val="none"/>
        </w:rPr>
        <w:t>3</w:t>
      </w:r>
      <w:r>
        <w:rPr>
          <w:rFonts w:ascii="宋体" w:hAnsi="宋体" w:eastAsia="宋体" w:cs="宋体"/>
          <w:strike/>
          <w:dstrike w:val="0"/>
          <w:color w:val="auto"/>
          <w:spacing w:val="-1"/>
          <w:position w:val="1"/>
          <w:sz w:val="24"/>
          <w:szCs w:val="24"/>
          <w:highlight w:val="none"/>
        </w:rPr>
        <w:t>）评分基准价的确定：评分基准价</w:t>
      </w:r>
      <w:r>
        <w:rPr>
          <w:rFonts w:ascii="Times New Roman" w:hAnsi="Times New Roman" w:eastAsia="Times New Roman" w:cs="Times New Roman"/>
          <w:strike/>
          <w:dstrike w:val="0"/>
          <w:color w:val="auto"/>
          <w:spacing w:val="-1"/>
          <w:position w:val="1"/>
          <w:sz w:val="24"/>
          <w:szCs w:val="24"/>
          <w:highlight w:val="none"/>
        </w:rPr>
        <w:t>=</w:t>
      </w:r>
      <w:r>
        <w:rPr>
          <w:rFonts w:ascii="宋体" w:hAnsi="宋体" w:eastAsia="宋体" w:cs="宋体"/>
          <w:strike/>
          <w:dstrike w:val="0"/>
          <w:color w:val="auto"/>
          <w:spacing w:val="-1"/>
          <w:position w:val="1"/>
          <w:sz w:val="24"/>
          <w:szCs w:val="24"/>
          <w:highlight w:val="none"/>
        </w:rPr>
        <w:t>平均报价值</w:t>
      </w:r>
    </w:p>
    <w:p w14:paraId="2AFC3053">
      <w:pPr>
        <w:spacing w:before="185" w:line="221" w:lineRule="auto"/>
        <w:ind w:left="505"/>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sz w:val="24"/>
          <w:szCs w:val="24"/>
          <w:highlight w:val="none"/>
        </w:rPr>
        <w:t>□方法</w:t>
      </w:r>
      <w:r>
        <w:rPr>
          <w:rFonts w:ascii="Times New Roman" w:hAnsi="Times New Roman" w:eastAsia="Times New Roman" w:cs="Times New Roman"/>
          <w:strike/>
          <w:dstrike w:val="0"/>
          <w:color w:val="auto"/>
          <w:spacing w:val="-7"/>
          <w:sz w:val="24"/>
          <w:szCs w:val="24"/>
          <w:highlight w:val="none"/>
        </w:rPr>
        <w:t>6</w:t>
      </w:r>
      <w:r>
        <w:rPr>
          <w:rFonts w:ascii="宋体" w:hAnsi="宋体" w:eastAsia="宋体" w:cs="宋体"/>
          <w:strike/>
          <w:dstrike w:val="0"/>
          <w:color w:val="auto"/>
          <w:spacing w:val="-7"/>
          <w:sz w:val="24"/>
          <w:szCs w:val="24"/>
          <w:highlight w:val="none"/>
        </w:rPr>
        <w:t>：</w:t>
      </w:r>
    </w:p>
    <w:p w14:paraId="380D3A79">
      <w:pPr>
        <w:spacing w:line="221" w:lineRule="auto"/>
        <w:rPr>
          <w:rFonts w:ascii="宋体" w:hAnsi="宋体" w:eastAsia="宋体" w:cs="宋体"/>
          <w:strike/>
          <w:dstrike w:val="0"/>
          <w:color w:val="auto"/>
          <w:sz w:val="24"/>
          <w:szCs w:val="24"/>
          <w:highlight w:val="none"/>
        </w:rPr>
        <w:sectPr>
          <w:footerReference r:id="rId24" w:type="default"/>
          <w:pgSz w:w="11907" w:h="16841"/>
          <w:pgMar w:top="1428" w:right="1526" w:bottom="1251" w:left="1597" w:header="0" w:footer="1093" w:gutter="0"/>
          <w:pgNumType w:fmt="decimal"/>
          <w:cols w:space="720" w:num="1"/>
        </w:sectPr>
      </w:pPr>
    </w:p>
    <w:p w14:paraId="2122EBC1">
      <w:pPr>
        <w:spacing w:before="48" w:line="218" w:lineRule="auto"/>
        <w:ind w:left="549"/>
        <w:rPr>
          <w:rFonts w:ascii="宋体" w:hAnsi="宋体" w:eastAsia="宋体" w:cs="宋体"/>
          <w:strike/>
          <w:dstrike w:val="0"/>
          <w:color w:val="auto"/>
          <w:sz w:val="24"/>
          <w:szCs w:val="24"/>
          <w:highlight w:val="none"/>
        </w:rPr>
      </w:pPr>
      <w:r>
        <w:rPr>
          <w:rFonts w:ascii="宋体" w:hAnsi="宋体" w:eastAsia="宋体" w:cs="宋体"/>
          <w:strike/>
          <w:dstrike w:val="0"/>
          <w:color w:val="auto"/>
          <w:spacing w:val="-5"/>
          <w:sz w:val="24"/>
          <w:szCs w:val="24"/>
          <w:highlight w:val="none"/>
        </w:rPr>
        <w:t>（</w:t>
      </w:r>
      <w:r>
        <w:rPr>
          <w:rFonts w:ascii="Times New Roman" w:hAnsi="Times New Roman" w:eastAsia="Times New Roman" w:cs="Times New Roman"/>
          <w:strike/>
          <w:dstrike w:val="0"/>
          <w:color w:val="auto"/>
          <w:spacing w:val="-5"/>
          <w:sz w:val="24"/>
          <w:szCs w:val="24"/>
          <w:highlight w:val="none"/>
        </w:rPr>
        <w:t>1</w:t>
      </w:r>
      <w:r>
        <w:rPr>
          <w:rFonts w:ascii="宋体" w:hAnsi="宋体" w:eastAsia="宋体" w:cs="宋体"/>
          <w:strike/>
          <w:dstrike w:val="0"/>
          <w:color w:val="auto"/>
          <w:spacing w:val="-5"/>
          <w:sz w:val="24"/>
          <w:szCs w:val="24"/>
          <w:highlight w:val="none"/>
        </w:rPr>
        <w:t>）平均报价值计算范围的确定：</w:t>
      </w:r>
    </w:p>
    <w:p w14:paraId="7F183BCF">
      <w:pPr>
        <w:spacing w:before="185" w:line="289" w:lineRule="auto"/>
        <w:ind w:left="9" w:right="19" w:firstLine="55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□企业信用等级为</w:t>
      </w:r>
      <w:r>
        <w:rPr>
          <w:rFonts w:ascii="Times New Roman" w:hAnsi="Times New Roman" w:eastAsia="Times New Roman" w:cs="Times New Roman"/>
          <w:strike/>
          <w:dstrike w:val="0"/>
          <w:color w:val="auto"/>
          <w:spacing w:val="-3"/>
          <w:sz w:val="24"/>
          <w:szCs w:val="24"/>
          <w:highlight w:val="none"/>
        </w:rPr>
        <w:t>D</w:t>
      </w:r>
      <w:r>
        <w:rPr>
          <w:rFonts w:ascii="宋体" w:hAnsi="宋体" w:eastAsia="宋体" w:cs="宋体"/>
          <w:strike/>
          <w:dstrike w:val="0"/>
          <w:color w:val="auto"/>
          <w:spacing w:val="-3"/>
          <w:sz w:val="24"/>
          <w:szCs w:val="24"/>
          <w:highlight w:val="none"/>
        </w:rPr>
        <w:t>及以下等级或无信用评价</w:t>
      </w:r>
      <w:r>
        <w:rPr>
          <w:rFonts w:ascii="宋体" w:hAnsi="宋体" w:eastAsia="宋体" w:cs="宋体"/>
          <w:strike/>
          <w:dstrike w:val="0"/>
          <w:color w:val="auto"/>
          <w:spacing w:val="-4"/>
          <w:sz w:val="24"/>
          <w:szCs w:val="24"/>
          <w:highlight w:val="none"/>
        </w:rPr>
        <w:t>等级的，不计入平均报价值的计算</w:t>
      </w:r>
      <w:r>
        <w:rPr>
          <w:rFonts w:ascii="宋体" w:hAnsi="宋体" w:eastAsia="宋体" w:cs="宋体"/>
          <w:strike/>
          <w:dstrike w:val="0"/>
          <w:color w:val="auto"/>
          <w:spacing w:val="-16"/>
          <w:sz w:val="24"/>
          <w:szCs w:val="24"/>
          <w:highlight w:val="none"/>
        </w:rPr>
        <w:t>范围；</w:t>
      </w:r>
    </w:p>
    <w:p w14:paraId="576D904F">
      <w:pPr>
        <w:spacing w:before="182" w:line="283" w:lineRule="auto"/>
        <w:ind w:left="4" w:right="16" w:firstLine="563"/>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4"/>
          <w:sz w:val="24"/>
          <w:szCs w:val="24"/>
          <w:highlight w:val="none"/>
        </w:rPr>
        <w:t>□低于</w:t>
      </w:r>
      <w:r>
        <w:rPr>
          <w:rFonts w:ascii="Times New Roman" w:hAnsi="Times New Roman" w:eastAsia="Times New Roman" w:cs="Times New Roman"/>
          <w:strike/>
          <w:dstrike w:val="0"/>
          <w:color w:val="auto"/>
          <w:spacing w:val="-4"/>
          <w:sz w:val="24"/>
          <w:szCs w:val="24"/>
          <w:highlight w:val="none"/>
        </w:rPr>
        <w:t>B</w:t>
      </w:r>
      <w:r>
        <w:rPr>
          <w:rFonts w:ascii="宋体" w:hAnsi="宋体" w:eastAsia="宋体" w:cs="宋体"/>
          <w:strike/>
          <w:dstrike w:val="0"/>
          <w:color w:val="auto"/>
          <w:spacing w:val="-4"/>
          <w:sz w:val="24"/>
          <w:szCs w:val="24"/>
          <w:highlight w:val="none"/>
        </w:rPr>
        <w:t>值的投标评标价，不计入平均报价值</w:t>
      </w:r>
      <w:r>
        <w:rPr>
          <w:rFonts w:ascii="宋体" w:hAnsi="宋体" w:eastAsia="宋体" w:cs="宋体"/>
          <w:strike/>
          <w:dstrike w:val="0"/>
          <w:color w:val="auto"/>
          <w:spacing w:val="-5"/>
          <w:sz w:val="24"/>
          <w:szCs w:val="24"/>
          <w:highlight w:val="none"/>
        </w:rPr>
        <w:t>的计算范围。</w:t>
      </w:r>
      <w:r>
        <w:rPr>
          <w:rFonts w:ascii="Times New Roman" w:hAnsi="Times New Roman" w:eastAsia="Times New Roman" w:cs="Times New Roman"/>
          <w:strike/>
          <w:dstrike w:val="0"/>
          <w:color w:val="auto"/>
          <w:spacing w:val="-5"/>
          <w:sz w:val="24"/>
          <w:szCs w:val="24"/>
          <w:highlight w:val="none"/>
        </w:rPr>
        <w:t>B=</w:t>
      </w:r>
      <w:r>
        <w:rPr>
          <w:rFonts w:ascii="宋体" w:hAnsi="宋体" w:eastAsia="宋体" w:cs="宋体"/>
          <w:strike/>
          <w:dstrike w:val="0"/>
          <w:color w:val="auto"/>
          <w:spacing w:val="-5"/>
          <w:sz w:val="24"/>
          <w:szCs w:val="24"/>
          <w:highlight w:val="none"/>
        </w:rPr>
        <w:t>招标人最高投标限</w:t>
      </w:r>
      <w:r>
        <w:rPr>
          <w:rFonts w:ascii="宋体" w:hAnsi="宋体" w:eastAsia="宋体" w:cs="宋体"/>
          <w:strike/>
          <w:dstrike w:val="0"/>
          <w:color w:val="auto"/>
          <w:spacing w:val="-9"/>
          <w:sz w:val="24"/>
          <w:szCs w:val="24"/>
          <w:highlight w:val="none"/>
        </w:rPr>
        <w:t>价×</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i/>
          <w:iCs/>
          <w:strike/>
          <w:dstrike w:val="0"/>
          <w:color w:val="auto"/>
          <w:spacing w:val="-9"/>
          <w:sz w:val="25"/>
          <w:szCs w:val="25"/>
          <w:highlight w:val="none"/>
          <w:u w:val="single" w:color="auto"/>
        </w:rPr>
        <w:t>（</w:t>
      </w:r>
      <w:r>
        <w:rPr>
          <w:rFonts w:ascii="Times New Roman" w:hAnsi="Times New Roman" w:eastAsia="Times New Roman" w:cs="Times New Roman"/>
          <w:i/>
          <w:iCs/>
          <w:strike/>
          <w:dstrike w:val="0"/>
          <w:color w:val="auto"/>
          <w:spacing w:val="-9"/>
          <w:sz w:val="24"/>
          <w:szCs w:val="24"/>
          <w:highlight w:val="none"/>
          <w:u w:val="single" w:color="auto"/>
        </w:rPr>
        <w:t xml:space="preserve">80~90 </w:t>
      </w:r>
      <w:r>
        <w:rPr>
          <w:rFonts w:ascii="宋体" w:hAnsi="宋体" w:eastAsia="宋体" w:cs="宋体"/>
          <w:i/>
          <w:iCs/>
          <w:strike/>
          <w:dstrike w:val="0"/>
          <w:color w:val="auto"/>
          <w:spacing w:val="-9"/>
          <w:sz w:val="25"/>
          <w:szCs w:val="25"/>
          <w:highlight w:val="none"/>
          <w:u w:val="single" w:color="auto"/>
        </w:rPr>
        <w:t>，由招标人自主确定）</w:t>
      </w:r>
      <w:r>
        <w:rPr>
          <w:rFonts w:ascii="宋体" w:hAnsi="宋体" w:eastAsia="宋体" w:cs="宋体"/>
          <w:strike/>
          <w:dstrike w:val="0"/>
          <w:color w:val="auto"/>
          <w:spacing w:val="-9"/>
          <w:sz w:val="25"/>
          <w:szCs w:val="25"/>
          <w:highlight w:val="none"/>
          <w:u w:val="single" w:color="auto"/>
        </w:rPr>
        <w:t xml:space="preserve">  </w:t>
      </w:r>
      <w:r>
        <w:rPr>
          <w:rFonts w:ascii="宋体" w:hAnsi="宋体" w:eastAsia="宋体" w:cs="宋体"/>
          <w:strike/>
          <w:dstrike w:val="0"/>
          <w:color w:val="auto"/>
          <w:spacing w:val="-103"/>
          <w:sz w:val="25"/>
          <w:szCs w:val="25"/>
          <w:highlight w:val="none"/>
        </w:rPr>
        <w:t xml:space="preserve"> </w:t>
      </w:r>
      <w:r>
        <w:rPr>
          <w:rFonts w:ascii="Times New Roman" w:hAnsi="Times New Roman" w:eastAsia="Times New Roman" w:cs="Times New Roman"/>
          <w:strike/>
          <w:dstrike w:val="0"/>
          <w:color w:val="auto"/>
          <w:spacing w:val="-9"/>
          <w:sz w:val="24"/>
          <w:szCs w:val="24"/>
          <w:highlight w:val="none"/>
        </w:rPr>
        <w:t>%</w:t>
      </w:r>
    </w:p>
    <w:p w14:paraId="2E13501D">
      <w:pPr>
        <w:spacing w:before="181" w:line="218" w:lineRule="auto"/>
        <w:ind w:left="55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除以上情形外，通过商务评审的投标评标价均计入平均报价值计算范围。</w:t>
      </w:r>
    </w:p>
    <w:p w14:paraId="74E1B6AC">
      <w:pPr>
        <w:spacing w:before="183" w:line="331" w:lineRule="auto"/>
        <w:ind w:left="2" w:right="168" w:firstLine="487"/>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w:t>
      </w:r>
      <w:r>
        <w:rPr>
          <w:rFonts w:ascii="Times New Roman" w:hAnsi="Times New Roman" w:eastAsia="Times New Roman" w:cs="Times New Roman"/>
          <w:strike/>
          <w:dstrike w:val="0"/>
          <w:color w:val="auto"/>
          <w:spacing w:val="-1"/>
          <w:sz w:val="24"/>
          <w:szCs w:val="24"/>
          <w:highlight w:val="none"/>
        </w:rPr>
        <w:t>2</w:t>
      </w:r>
      <w:r>
        <w:rPr>
          <w:rFonts w:ascii="宋体" w:hAnsi="宋体" w:eastAsia="宋体" w:cs="宋体"/>
          <w:strike/>
          <w:dstrike w:val="0"/>
          <w:color w:val="auto"/>
          <w:spacing w:val="-1"/>
          <w:sz w:val="24"/>
          <w:szCs w:val="24"/>
          <w:highlight w:val="none"/>
        </w:rPr>
        <w:t>）平均报价值的确定：若计入平均报价值计算范围的投标人大于等于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w:t>
      </w:r>
      <w:r>
        <w:rPr>
          <w:rFonts w:ascii="宋体" w:hAnsi="宋体" w:eastAsia="宋体" w:cs="宋体"/>
          <w:strike/>
          <w:dstrike w:val="0"/>
          <w:color w:val="auto"/>
          <w:sz w:val="24"/>
          <w:szCs w:val="24"/>
          <w:highlight w:val="none"/>
        </w:rPr>
        <w:t>平均报价值为计入平均报价值计算范围的投标评标价中剔除</w:t>
      </w:r>
      <w:r>
        <w:rPr>
          <w:rFonts w:ascii="宋体" w:hAnsi="宋体" w:eastAsia="宋体" w:cs="宋体"/>
          <w:strike/>
          <w:dstrike w:val="0"/>
          <w:color w:val="auto"/>
          <w:spacing w:val="-1"/>
          <w:sz w:val="24"/>
          <w:szCs w:val="24"/>
          <w:highlight w:val="none"/>
        </w:rPr>
        <w:t>投标评标价由高到低排</w:t>
      </w:r>
      <w:r>
        <w:rPr>
          <w:rFonts w:ascii="宋体" w:hAnsi="宋体" w:eastAsia="宋体" w:cs="宋体"/>
          <w:strike/>
          <w:dstrike w:val="0"/>
          <w:color w:val="auto"/>
          <w:sz w:val="24"/>
          <w:szCs w:val="24"/>
          <w:highlight w:val="none"/>
        </w:rPr>
        <w:t>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个投标评标价和投标评标价由低到高排序前</w:t>
      </w:r>
      <w:r>
        <w:rPr>
          <w:rFonts w:ascii="Times New Roman" w:hAnsi="Times New Roman" w:eastAsia="Times New Roman" w:cs="Times New Roman"/>
          <w:strike/>
          <w:dstrike w:val="0"/>
          <w:color w:val="auto"/>
          <w:sz w:val="24"/>
          <w:szCs w:val="24"/>
          <w:highlight w:val="none"/>
        </w:rPr>
        <w:t>A</w:t>
      </w:r>
      <w:r>
        <w:rPr>
          <w:rFonts w:ascii="宋体" w:hAnsi="宋体" w:eastAsia="宋体" w:cs="宋体"/>
          <w:strike/>
          <w:dstrike w:val="0"/>
          <w:color w:val="auto"/>
          <w:sz w:val="24"/>
          <w:szCs w:val="24"/>
          <w:highlight w:val="none"/>
        </w:rPr>
        <w:t>个投</w:t>
      </w:r>
      <w:r>
        <w:rPr>
          <w:rFonts w:ascii="宋体" w:hAnsi="宋体" w:eastAsia="宋体" w:cs="宋体"/>
          <w:strike/>
          <w:dstrike w:val="0"/>
          <w:color w:val="auto"/>
          <w:spacing w:val="-1"/>
          <w:sz w:val="24"/>
          <w:szCs w:val="24"/>
          <w:highlight w:val="none"/>
        </w:rPr>
        <w:t>标评标价后的算术平均值</w:t>
      </w: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A</w:t>
      </w:r>
      <w:r>
        <w:rPr>
          <w:rFonts w:ascii="宋体" w:hAnsi="宋体" w:eastAsia="宋体" w:cs="宋体"/>
          <w:strike/>
          <w:dstrike w:val="0"/>
          <w:color w:val="auto"/>
          <w:spacing w:val="-4"/>
          <w:sz w:val="24"/>
          <w:szCs w:val="24"/>
          <w:highlight w:val="none"/>
        </w:rPr>
        <w:t>为计入平均报价值计算范围的投标人个数的</w:t>
      </w:r>
      <w:r>
        <w:rPr>
          <w:rFonts w:ascii="宋体" w:hAnsi="宋体" w:eastAsia="宋体" w:cs="宋体"/>
          <w:strike/>
          <w:dstrike w:val="0"/>
          <w:color w:val="auto"/>
          <w:spacing w:val="-4"/>
          <w:sz w:val="25"/>
          <w:szCs w:val="25"/>
          <w:highlight w:val="none"/>
          <w:u w:val="single" w:color="auto"/>
        </w:rPr>
        <w:t xml:space="preserve">  </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20%</w:t>
      </w:r>
      <w:r>
        <w:rPr>
          <w:rFonts w:ascii="宋体" w:hAnsi="宋体" w:eastAsia="宋体" w:cs="宋体"/>
          <w:i/>
          <w:iCs/>
          <w:strike/>
          <w:dstrike w:val="0"/>
          <w:color w:val="auto"/>
          <w:spacing w:val="-4"/>
          <w:sz w:val="25"/>
          <w:szCs w:val="25"/>
          <w:highlight w:val="none"/>
          <w:u w:val="single" w:color="auto"/>
        </w:rPr>
        <w:t>～</w:t>
      </w:r>
      <w:r>
        <w:rPr>
          <w:rFonts w:ascii="Times New Roman" w:hAnsi="Times New Roman" w:eastAsia="Times New Roman" w:cs="Times New Roman"/>
          <w:i/>
          <w:iCs/>
          <w:strike/>
          <w:dstrike w:val="0"/>
          <w:color w:val="auto"/>
          <w:spacing w:val="-4"/>
          <w:sz w:val="24"/>
          <w:szCs w:val="24"/>
          <w:highlight w:val="none"/>
          <w:u w:val="single" w:color="auto"/>
        </w:rPr>
        <w:t xml:space="preserve">30% </w:t>
      </w:r>
      <w:r>
        <w:rPr>
          <w:rFonts w:ascii="宋体" w:hAnsi="宋体" w:eastAsia="宋体" w:cs="宋体"/>
          <w:i/>
          <w:iCs/>
          <w:strike/>
          <w:dstrike w:val="0"/>
          <w:color w:val="auto"/>
          <w:spacing w:val="-5"/>
          <w:sz w:val="25"/>
          <w:szCs w:val="25"/>
          <w:highlight w:val="none"/>
          <w:u w:val="single" w:color="auto"/>
        </w:rPr>
        <w:t>，由招标人自主确</w:t>
      </w:r>
      <w:r>
        <w:rPr>
          <w:rFonts w:ascii="宋体" w:hAnsi="宋体" w:eastAsia="宋体" w:cs="宋体"/>
          <w:i/>
          <w:iCs/>
          <w:strike/>
          <w:dstrike w:val="0"/>
          <w:color w:val="auto"/>
          <w:spacing w:val="-1"/>
          <w:sz w:val="25"/>
          <w:szCs w:val="25"/>
          <w:highlight w:val="none"/>
          <w:u w:val="single" w:color="auto"/>
        </w:rPr>
        <w:t>定</w:t>
      </w:r>
      <w:r>
        <w:rPr>
          <w:rFonts w:ascii="宋体" w:hAnsi="宋体" w:eastAsia="宋体" w:cs="宋体"/>
          <w:i/>
          <w:iCs/>
          <w:strike/>
          <w:dstrike w:val="0"/>
          <w:color w:val="auto"/>
          <w:spacing w:val="2"/>
          <w:sz w:val="25"/>
          <w:szCs w:val="25"/>
          <w:highlight w:val="none"/>
          <w:u w:val="single" w:color="auto"/>
        </w:rPr>
        <w:t>）</w:t>
      </w:r>
      <w:r>
        <w:rPr>
          <w:rFonts w:ascii="宋体" w:hAnsi="宋体" w:eastAsia="宋体" w:cs="宋体"/>
          <w:strike/>
          <w:dstrike w:val="0"/>
          <w:color w:val="auto"/>
          <w:spacing w:val="87"/>
          <w:sz w:val="25"/>
          <w:szCs w:val="25"/>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并取整数，小数点后四舍五入</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
          <w:sz w:val="24"/>
          <w:szCs w:val="24"/>
          <w:highlight w:val="none"/>
        </w:rPr>
        <w:t>若计入平均报价值计算范围的投标人少于</w:t>
      </w:r>
      <w:r>
        <w:rPr>
          <w:rFonts w:ascii="Times New Roman" w:hAnsi="Times New Roman" w:eastAsia="Times New Roman" w:cs="Times New Roman"/>
          <w:strike/>
          <w:dstrike w:val="0"/>
          <w:color w:val="auto"/>
          <w:spacing w:val="-1"/>
          <w:sz w:val="24"/>
          <w:szCs w:val="24"/>
          <w:highlight w:val="none"/>
        </w:rPr>
        <w:t>5</w:t>
      </w:r>
      <w:r>
        <w:rPr>
          <w:rFonts w:ascii="宋体" w:hAnsi="宋体" w:eastAsia="宋体" w:cs="宋体"/>
          <w:strike/>
          <w:dstrike w:val="0"/>
          <w:color w:val="auto"/>
          <w:spacing w:val="-1"/>
          <w:sz w:val="24"/>
          <w:szCs w:val="24"/>
          <w:highlight w:val="none"/>
        </w:rPr>
        <w:t>家，平均报价值为所有计入平均报价值计算范围的投标评标</w:t>
      </w:r>
      <w:r>
        <w:rPr>
          <w:rFonts w:ascii="宋体" w:hAnsi="宋体" w:eastAsia="宋体" w:cs="宋体"/>
          <w:strike/>
          <w:dstrike w:val="0"/>
          <w:color w:val="auto"/>
          <w:spacing w:val="-2"/>
          <w:sz w:val="24"/>
          <w:szCs w:val="24"/>
          <w:highlight w:val="none"/>
        </w:rPr>
        <w:t>价的算术平均值。</w:t>
      </w:r>
    </w:p>
    <w:p w14:paraId="2F5BAE06">
      <w:pPr>
        <w:spacing w:before="138" w:line="306" w:lineRule="auto"/>
        <w:ind w:left="6" w:right="21" w:firstLine="543"/>
        <w:rPr>
          <w:rFonts w:ascii="Times New Roman" w:hAnsi="Times New Roman" w:eastAsia="Times New Roman" w:cs="Times New Roman"/>
          <w:strike/>
          <w:dstrike w:val="0"/>
          <w:color w:val="auto"/>
          <w:sz w:val="24"/>
          <w:szCs w:val="24"/>
          <w:highlight w:val="none"/>
        </w:rPr>
      </w:pPr>
      <w:r>
        <w:rPr>
          <w:rFonts w:ascii="宋体" w:hAnsi="宋体" w:eastAsia="宋体" w:cs="宋体"/>
          <w:strike/>
          <w:dstrike w:val="0"/>
          <w:color w:val="auto"/>
          <w:spacing w:val="-2"/>
          <w:sz w:val="24"/>
          <w:szCs w:val="24"/>
          <w:highlight w:val="none"/>
        </w:rPr>
        <w:t>（</w:t>
      </w:r>
      <w:r>
        <w:rPr>
          <w:rFonts w:ascii="Times New Roman" w:hAnsi="Times New Roman" w:eastAsia="Times New Roman" w:cs="Times New Roman"/>
          <w:strike/>
          <w:dstrike w:val="0"/>
          <w:color w:val="auto"/>
          <w:spacing w:val="-2"/>
          <w:sz w:val="24"/>
          <w:szCs w:val="24"/>
          <w:highlight w:val="none"/>
        </w:rPr>
        <w:t>3</w:t>
      </w:r>
      <w:r>
        <w:rPr>
          <w:rFonts w:ascii="宋体" w:hAnsi="宋体" w:eastAsia="宋体" w:cs="宋体"/>
          <w:strike/>
          <w:dstrike w:val="0"/>
          <w:color w:val="auto"/>
          <w:spacing w:val="-2"/>
          <w:sz w:val="24"/>
          <w:szCs w:val="24"/>
          <w:highlight w:val="none"/>
        </w:rPr>
        <w:t>）评分基准价的确定：评分基准价</w:t>
      </w:r>
      <w:r>
        <w:rPr>
          <w:rFonts w:ascii="Times New Roman" w:hAnsi="Times New Roman" w:eastAsia="Times New Roman" w:cs="Times New Roman"/>
          <w:strike/>
          <w:dstrike w:val="0"/>
          <w:color w:val="auto"/>
          <w:spacing w:val="-2"/>
          <w:sz w:val="24"/>
          <w:szCs w:val="24"/>
          <w:highlight w:val="none"/>
        </w:rPr>
        <w:t>=</w:t>
      </w:r>
      <w:r>
        <w:rPr>
          <w:rFonts w:ascii="宋体" w:hAnsi="宋体" w:eastAsia="宋体" w:cs="宋体"/>
          <w:strike/>
          <w:dstrike w:val="0"/>
          <w:color w:val="auto"/>
          <w:spacing w:val="-2"/>
          <w:sz w:val="24"/>
          <w:szCs w:val="24"/>
          <w:highlight w:val="none"/>
        </w:rPr>
        <w:t>（平均报价值</w:t>
      </w:r>
      <w:r>
        <w:rPr>
          <w:rFonts w:ascii="Times New Roman" w:hAnsi="Times New Roman" w:eastAsia="Times New Roman" w:cs="Times New Roman"/>
          <w:strike/>
          <w:dstrike w:val="0"/>
          <w:color w:val="auto"/>
          <w:spacing w:val="-2"/>
          <w:sz w:val="24"/>
          <w:szCs w:val="24"/>
          <w:highlight w:val="none"/>
        </w:rPr>
        <w:t>+</w:t>
      </w:r>
      <w:r>
        <w:rPr>
          <w:rFonts w:ascii="宋体" w:hAnsi="宋体" w:eastAsia="宋体" w:cs="宋体"/>
          <w:strike/>
          <w:dstrike w:val="0"/>
          <w:color w:val="auto"/>
          <w:spacing w:val="-2"/>
          <w:sz w:val="24"/>
          <w:szCs w:val="24"/>
          <w:highlight w:val="none"/>
        </w:rPr>
        <w:t>参</w:t>
      </w:r>
      <w:r>
        <w:rPr>
          <w:rFonts w:ascii="宋体" w:hAnsi="宋体" w:eastAsia="宋体" w:cs="宋体"/>
          <w:strike/>
          <w:dstrike w:val="0"/>
          <w:color w:val="auto"/>
          <w:spacing w:val="-3"/>
          <w:sz w:val="24"/>
          <w:szCs w:val="24"/>
          <w:highlight w:val="none"/>
        </w:rPr>
        <w:t>与计算平均报价的次低</w:t>
      </w:r>
      <w:r>
        <w:rPr>
          <w:rFonts w:ascii="宋体" w:hAnsi="宋体" w:eastAsia="宋体" w:cs="宋体"/>
          <w:strike/>
          <w:dstrike w:val="0"/>
          <w:color w:val="auto"/>
          <w:spacing w:val="-2"/>
          <w:sz w:val="24"/>
          <w:szCs w:val="24"/>
          <w:highlight w:val="none"/>
        </w:rPr>
        <w:t>投标评标价）</w:t>
      </w:r>
      <w:r>
        <w:rPr>
          <w:rFonts w:ascii="Times New Roman" w:hAnsi="Times New Roman" w:eastAsia="Times New Roman" w:cs="Times New Roman"/>
          <w:strike/>
          <w:dstrike w:val="0"/>
          <w:color w:val="auto"/>
          <w:spacing w:val="-2"/>
          <w:sz w:val="24"/>
          <w:szCs w:val="24"/>
          <w:highlight w:val="none"/>
        </w:rPr>
        <w:t>/2</w:t>
      </w:r>
    </w:p>
    <w:p w14:paraId="4CC1EC57">
      <w:pPr>
        <w:keepNext w:val="0"/>
        <w:keepLines w:val="0"/>
        <w:pageBreakBefore w:val="0"/>
        <w:widowControl/>
        <w:kinsoku w:val="0"/>
        <w:wordWrap/>
        <w:overflowPunct/>
        <w:topLinePunct w:val="0"/>
        <w:autoSpaceDE w:val="0"/>
        <w:autoSpaceDN w:val="0"/>
        <w:bidi w:val="0"/>
        <w:adjustRightInd w:val="0"/>
        <w:snapToGrid w:val="0"/>
        <w:spacing w:before="182" w:line="400" w:lineRule="exact"/>
        <w:ind w:left="539"/>
        <w:textAlignment w:val="baseline"/>
        <w:rPr>
          <w:rFonts w:ascii="宋体" w:hAnsi="宋体" w:eastAsia="宋体" w:cs="宋体"/>
          <w:color w:val="auto"/>
          <w:sz w:val="24"/>
          <w:szCs w:val="24"/>
          <w:highlight w:val="none"/>
        </w:rPr>
      </w:pPr>
      <w:r>
        <w:rPr>
          <w:rFonts w:ascii="Times New Roman" w:hAnsi="Times New Roman" w:eastAsia="Times New Roman" w:cs="Times New Roman"/>
          <w:color w:val="auto"/>
          <w:spacing w:val="-8"/>
          <w:sz w:val="24"/>
          <w:szCs w:val="24"/>
          <w:highlight w:val="none"/>
        </w:rPr>
        <w:t>2</w:t>
      </w:r>
      <w:r>
        <w:rPr>
          <w:rFonts w:ascii="Times New Roman" w:hAnsi="Times New Roman" w:eastAsia="Times New Roman" w:cs="Times New Roman"/>
          <w:color w:val="auto"/>
          <w:spacing w:val="-19"/>
          <w:sz w:val="24"/>
          <w:szCs w:val="24"/>
          <w:highlight w:val="none"/>
        </w:rPr>
        <w:t xml:space="preserve"> </w:t>
      </w:r>
      <w:r>
        <w:rPr>
          <w:rFonts w:ascii="宋体" w:hAnsi="宋体" w:eastAsia="宋体" w:cs="宋体"/>
          <w:color w:val="auto"/>
          <w:spacing w:val="-8"/>
          <w:sz w:val="24"/>
          <w:szCs w:val="24"/>
          <w:highlight w:val="none"/>
        </w:rPr>
        <w:t>．商务报价评分的确定：</w:t>
      </w:r>
    </w:p>
    <w:p w14:paraId="0FF5A8E3">
      <w:pPr>
        <w:keepNext w:val="0"/>
        <w:keepLines w:val="0"/>
        <w:pageBreakBefore w:val="0"/>
        <w:widowControl/>
        <w:kinsoku w:val="0"/>
        <w:wordWrap/>
        <w:overflowPunct/>
        <w:topLinePunct w:val="0"/>
        <w:autoSpaceDE w:val="0"/>
        <w:autoSpaceDN w:val="0"/>
        <w:bidi w:val="0"/>
        <w:adjustRightInd w:val="0"/>
        <w:snapToGrid w:val="0"/>
        <w:spacing w:before="142" w:line="400" w:lineRule="exact"/>
        <w:ind w:left="21" w:right="61" w:firstLine="468"/>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1"/>
          <w:sz w:val="24"/>
          <w:szCs w:val="24"/>
          <w:highlight w:val="none"/>
        </w:rPr>
        <w:t>）投标报价的偏差率</w:t>
      </w:r>
      <w:r>
        <w:rPr>
          <w:rFonts w:ascii="Times New Roman" w:hAnsi="Times New Roman" w:eastAsia="Times New Roman" w:cs="Times New Roman"/>
          <w:color w:val="auto"/>
          <w:spacing w:val="-1"/>
          <w:sz w:val="24"/>
          <w:szCs w:val="24"/>
          <w:highlight w:val="none"/>
        </w:rPr>
        <w:t>=</w:t>
      </w:r>
      <w:r>
        <w:rPr>
          <w:rFonts w:ascii="宋体" w:hAnsi="宋体" w:eastAsia="宋体" w:cs="宋体"/>
          <w:color w:val="auto"/>
          <w:spacing w:val="-1"/>
          <w:sz w:val="24"/>
          <w:szCs w:val="24"/>
          <w:highlight w:val="none"/>
        </w:rPr>
        <w:t>（投标评标价—评分</w:t>
      </w:r>
      <w:r>
        <w:rPr>
          <w:rFonts w:ascii="宋体" w:hAnsi="宋体" w:eastAsia="宋体" w:cs="宋体"/>
          <w:color w:val="auto"/>
          <w:spacing w:val="-2"/>
          <w:sz w:val="24"/>
          <w:szCs w:val="24"/>
          <w:highlight w:val="none"/>
        </w:rPr>
        <w:t>基准价）</w:t>
      </w:r>
      <w:r>
        <w:rPr>
          <w:rFonts w:ascii="Times New Roman" w:hAnsi="Times New Roman" w:eastAsia="Times New Roman" w:cs="Times New Roman"/>
          <w:color w:val="auto"/>
          <w:spacing w:val="-2"/>
          <w:sz w:val="24"/>
          <w:szCs w:val="24"/>
          <w:highlight w:val="none"/>
        </w:rPr>
        <w:t>/</w:t>
      </w:r>
      <w:r>
        <w:rPr>
          <w:rFonts w:ascii="宋体" w:hAnsi="宋体" w:eastAsia="宋体" w:cs="宋体"/>
          <w:color w:val="auto"/>
          <w:spacing w:val="-2"/>
          <w:sz w:val="24"/>
          <w:szCs w:val="24"/>
          <w:highlight w:val="none"/>
        </w:rPr>
        <w:t>评分基准价</w:t>
      </w:r>
      <w:r>
        <w:rPr>
          <w:rFonts w:ascii="Times New Roman" w:hAnsi="Times New Roman" w:eastAsia="Times New Roman" w:cs="Times New Roman"/>
          <w:color w:val="auto"/>
          <w:spacing w:val="-2"/>
          <w:sz w:val="24"/>
          <w:szCs w:val="24"/>
          <w:highlight w:val="none"/>
        </w:rPr>
        <w:t>×</w:t>
      </w:r>
      <w:r>
        <w:rPr>
          <w:rFonts w:ascii="Times New Roman" w:hAnsi="Times New Roman" w:eastAsia="Times New Roman" w:cs="Times New Roman"/>
          <w:color w:val="auto"/>
          <w:spacing w:val="27"/>
          <w:w w:val="101"/>
          <w:sz w:val="24"/>
          <w:szCs w:val="24"/>
          <w:highlight w:val="none"/>
        </w:rPr>
        <w:t xml:space="preserve"> </w:t>
      </w:r>
      <w:r>
        <w:rPr>
          <w:rFonts w:ascii="Times New Roman" w:hAnsi="Times New Roman" w:eastAsia="Times New Roman" w:cs="Times New Roman"/>
          <w:color w:val="auto"/>
          <w:spacing w:val="-2"/>
          <w:sz w:val="24"/>
          <w:szCs w:val="24"/>
          <w:highlight w:val="none"/>
        </w:rPr>
        <w:t>100%</w:t>
      </w:r>
      <w:r>
        <w:rPr>
          <w:rFonts w:ascii="宋体" w:hAnsi="宋体" w:eastAsia="宋体" w:cs="宋体"/>
          <w:color w:val="auto"/>
          <w:spacing w:val="-2"/>
          <w:sz w:val="24"/>
          <w:szCs w:val="24"/>
          <w:highlight w:val="none"/>
        </w:rPr>
        <w:t>（保</w:t>
      </w:r>
      <w:r>
        <w:rPr>
          <w:rFonts w:ascii="宋体" w:hAnsi="宋体" w:eastAsia="宋体" w:cs="宋体"/>
          <w:color w:val="auto"/>
          <w:spacing w:val="-3"/>
          <w:sz w:val="24"/>
          <w:szCs w:val="24"/>
          <w:highlight w:val="none"/>
        </w:rPr>
        <w:t>留</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位小数，第</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位四舍五入）</w:t>
      </w:r>
    </w:p>
    <w:p w14:paraId="542561EB">
      <w:pPr>
        <w:keepNext w:val="0"/>
        <w:keepLines w:val="0"/>
        <w:pageBreakBefore w:val="0"/>
        <w:widowControl/>
        <w:kinsoku w:val="0"/>
        <w:wordWrap/>
        <w:overflowPunct/>
        <w:topLinePunct w:val="0"/>
        <w:autoSpaceDE w:val="0"/>
        <w:autoSpaceDN w:val="0"/>
        <w:bidi w:val="0"/>
        <w:adjustRightInd w:val="0"/>
        <w:snapToGrid w:val="0"/>
        <w:spacing w:before="180" w:line="400" w:lineRule="exact"/>
        <w:ind w:left="489"/>
        <w:textAlignment w:val="baseline"/>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）商务报价评分（保留</w:t>
      </w: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位小数，第</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2"/>
          <w:sz w:val="24"/>
          <w:szCs w:val="24"/>
          <w:highlight w:val="none"/>
        </w:rPr>
        <w:t>位四舍五入）</w:t>
      </w:r>
    </w:p>
    <w:p w14:paraId="4BA61A7C">
      <w:pPr>
        <w:keepNext w:val="0"/>
        <w:keepLines w:val="0"/>
        <w:pageBreakBefore w:val="0"/>
        <w:widowControl/>
        <w:kinsoku w:val="0"/>
        <w:wordWrap/>
        <w:overflowPunct/>
        <w:topLinePunct w:val="0"/>
        <w:autoSpaceDE w:val="0"/>
        <w:autoSpaceDN w:val="0"/>
        <w:bidi w:val="0"/>
        <w:adjustRightInd w:val="0"/>
        <w:snapToGrid w:val="0"/>
        <w:spacing w:before="185" w:line="400" w:lineRule="exact"/>
        <w:ind w:left="37" w:right="48" w:firstLine="461"/>
        <w:textAlignment w:val="baseline"/>
        <w:rPr>
          <w:rFonts w:ascii="宋体" w:hAnsi="宋体" w:eastAsia="宋体" w:cs="宋体"/>
          <w:color w:val="auto"/>
          <w:sz w:val="12"/>
          <w:szCs w:val="12"/>
          <w:highlight w:val="none"/>
        </w:rPr>
      </w:pPr>
      <w:r>
        <w:rPr>
          <w:rFonts w:ascii="宋体" w:hAnsi="宋体" w:eastAsia="宋体" w:cs="宋体"/>
          <w:color w:val="auto"/>
          <w:spacing w:val="-3"/>
          <w:sz w:val="24"/>
          <w:szCs w:val="24"/>
          <w:highlight w:val="none"/>
        </w:rPr>
        <w:t>当投标评标价≤评分基准价，商务报价评分＝商务分值（</w:t>
      </w:r>
      <w:r>
        <w:rPr>
          <w:rFonts w:ascii="Times New Roman" w:hAnsi="Times New Roman" w:eastAsia="Times New Roman" w:cs="Times New Roman"/>
          <w:color w:val="auto"/>
          <w:spacing w:val="-3"/>
          <w:sz w:val="24"/>
          <w:szCs w:val="24"/>
          <w:highlight w:val="none"/>
        </w:rPr>
        <w:t>95</w:t>
      </w:r>
      <w:r>
        <w:rPr>
          <w:rFonts w:ascii="宋体" w:hAnsi="宋体" w:eastAsia="宋体" w:cs="宋体"/>
          <w:color w:val="auto"/>
          <w:spacing w:val="-3"/>
          <w:sz w:val="24"/>
          <w:szCs w:val="24"/>
          <w:highlight w:val="none"/>
        </w:rPr>
        <w:t>分</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偏差率×</w:t>
      </w:r>
      <w:r>
        <w:rPr>
          <w:rFonts w:ascii="宋体" w:hAnsi="宋体" w:eastAsia="宋体" w:cs="宋体"/>
          <w:color w:val="auto"/>
          <w:spacing w:val="-45"/>
          <w:sz w:val="24"/>
          <w:szCs w:val="24"/>
          <w:highlight w:val="none"/>
        </w:rPr>
        <w:t xml:space="preserve"> </w:t>
      </w:r>
      <w:r>
        <w:rPr>
          <w:rFonts w:ascii="Times New Roman" w:hAnsi="Times New Roman" w:eastAsia="Times New Roman" w:cs="Times New Roman"/>
          <w:color w:val="auto"/>
          <w:spacing w:val="-3"/>
          <w:sz w:val="24"/>
          <w:szCs w:val="24"/>
          <w:highlight w:val="none"/>
        </w:rPr>
        <w:t>100</w:t>
      </w:r>
      <w:r>
        <w:rPr>
          <w:rFonts w:ascii="Times New Roman" w:hAnsi="Times New Roman" w:eastAsia="Times New Roman" w:cs="Times New Roman"/>
          <w:color w:val="auto"/>
          <w:sz w:val="24"/>
          <w:szCs w:val="24"/>
          <w:highlight w:val="none"/>
        </w:rPr>
        <w:t xml:space="preserve"> </w:t>
      </w:r>
      <w:r>
        <w:rPr>
          <w:rFonts w:ascii="宋体" w:hAnsi="宋体" w:eastAsia="宋体" w:cs="宋体"/>
          <w:color w:val="auto"/>
          <w:spacing w:val="-12"/>
          <w:sz w:val="24"/>
          <w:szCs w:val="24"/>
          <w:highlight w:val="none"/>
        </w:rPr>
        <w:t>×</w:t>
      </w:r>
      <w:r>
        <w:rPr>
          <w:rFonts w:ascii="Times New Roman" w:hAnsi="Times New Roman" w:eastAsia="Times New Roman" w:cs="Times New Roman"/>
          <w:color w:val="auto"/>
          <w:spacing w:val="-12"/>
          <w:sz w:val="24"/>
          <w:szCs w:val="24"/>
          <w:highlight w:val="none"/>
        </w:rPr>
        <w:t>F</w:t>
      </w:r>
      <w:r>
        <w:rPr>
          <w:rFonts w:ascii="Times New Roman" w:hAnsi="Times New Roman" w:eastAsia="Times New Roman" w:cs="Times New Roman"/>
          <w:color w:val="auto"/>
          <w:spacing w:val="-12"/>
          <w:position w:val="-1"/>
          <w:sz w:val="16"/>
          <w:szCs w:val="16"/>
          <w:highlight w:val="none"/>
        </w:rPr>
        <w:t>1</w:t>
      </w:r>
      <w:r>
        <w:rPr>
          <w:rFonts w:ascii="宋体" w:hAnsi="宋体" w:eastAsia="宋体" w:cs="宋体"/>
          <w:color w:val="auto"/>
          <w:spacing w:val="-12"/>
          <w:position w:val="-1"/>
          <w:sz w:val="12"/>
          <w:szCs w:val="12"/>
          <w:highlight w:val="none"/>
        </w:rPr>
        <w:t>；</w:t>
      </w:r>
    </w:p>
    <w:p w14:paraId="0DDBB6AA">
      <w:pPr>
        <w:keepNext w:val="0"/>
        <w:keepLines w:val="0"/>
        <w:pageBreakBefore w:val="0"/>
        <w:widowControl/>
        <w:kinsoku w:val="0"/>
        <w:wordWrap/>
        <w:overflowPunct/>
        <w:topLinePunct w:val="0"/>
        <w:autoSpaceDE w:val="0"/>
        <w:autoSpaceDN w:val="0"/>
        <w:bidi w:val="0"/>
        <w:adjustRightInd w:val="0"/>
        <w:snapToGrid w:val="0"/>
        <w:spacing w:line="400" w:lineRule="exact"/>
        <w:ind w:left="37" w:right="48" w:firstLine="461"/>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当投标评标价＞评分基准价，商务报价评分＝商务分值（</w:t>
      </w:r>
      <w:r>
        <w:rPr>
          <w:rFonts w:ascii="Times New Roman" w:hAnsi="Times New Roman" w:eastAsia="Times New Roman" w:cs="Times New Roman"/>
          <w:color w:val="auto"/>
          <w:spacing w:val="-3"/>
          <w:sz w:val="24"/>
          <w:szCs w:val="24"/>
          <w:highlight w:val="none"/>
        </w:rPr>
        <w:t>95</w:t>
      </w:r>
      <w:r>
        <w:rPr>
          <w:rFonts w:ascii="宋体" w:hAnsi="宋体" w:eastAsia="宋体" w:cs="宋体"/>
          <w:color w:val="auto"/>
          <w:spacing w:val="-3"/>
          <w:sz w:val="24"/>
          <w:szCs w:val="24"/>
          <w:highlight w:val="none"/>
        </w:rPr>
        <w:t>分</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偏差率×</w:t>
      </w:r>
      <w:r>
        <w:rPr>
          <w:rFonts w:ascii="宋体" w:hAnsi="宋体" w:eastAsia="宋体" w:cs="宋体"/>
          <w:color w:val="auto"/>
          <w:spacing w:val="-45"/>
          <w:sz w:val="24"/>
          <w:szCs w:val="24"/>
          <w:highlight w:val="none"/>
        </w:rPr>
        <w:t xml:space="preserve"> </w:t>
      </w:r>
      <w:r>
        <w:rPr>
          <w:rFonts w:ascii="Times New Roman" w:hAnsi="Times New Roman" w:eastAsia="Times New Roman" w:cs="Times New Roman"/>
          <w:color w:val="auto"/>
          <w:spacing w:val="-3"/>
          <w:sz w:val="24"/>
          <w:szCs w:val="24"/>
          <w:highlight w:val="none"/>
        </w:rPr>
        <w:t>100</w:t>
      </w:r>
      <w:r>
        <w:rPr>
          <w:rFonts w:ascii="Times New Roman" w:hAnsi="Times New Roman" w:eastAsia="Times New Roman" w:cs="Times New Roman"/>
          <w:color w:val="auto"/>
          <w:sz w:val="24"/>
          <w:szCs w:val="24"/>
          <w:highlight w:val="none"/>
        </w:rPr>
        <w:t xml:space="preserve"> </w:t>
      </w:r>
      <w:r>
        <w:rPr>
          <w:rFonts w:ascii="宋体" w:hAnsi="宋体" w:eastAsia="宋体" w:cs="宋体"/>
          <w:color w:val="auto"/>
          <w:spacing w:val="-12"/>
          <w:sz w:val="24"/>
          <w:szCs w:val="24"/>
          <w:highlight w:val="none"/>
        </w:rPr>
        <w:t>×</w:t>
      </w:r>
      <w:r>
        <w:rPr>
          <w:rFonts w:ascii="Times New Roman" w:hAnsi="Times New Roman" w:eastAsia="Times New Roman" w:cs="Times New Roman"/>
          <w:color w:val="auto"/>
          <w:spacing w:val="-12"/>
          <w:sz w:val="24"/>
          <w:szCs w:val="24"/>
          <w:highlight w:val="none"/>
        </w:rPr>
        <w:t>F</w:t>
      </w:r>
      <w:r>
        <w:rPr>
          <w:rFonts w:ascii="Times New Roman" w:hAnsi="Times New Roman" w:eastAsia="Times New Roman" w:cs="Times New Roman"/>
          <w:color w:val="auto"/>
          <w:spacing w:val="-12"/>
          <w:position w:val="-1"/>
          <w:sz w:val="16"/>
          <w:szCs w:val="16"/>
          <w:highlight w:val="none"/>
        </w:rPr>
        <w:t>2</w:t>
      </w:r>
      <w:r>
        <w:rPr>
          <w:rFonts w:ascii="宋体" w:hAnsi="宋体" w:eastAsia="宋体" w:cs="宋体"/>
          <w:color w:val="auto"/>
          <w:spacing w:val="-12"/>
          <w:sz w:val="24"/>
          <w:szCs w:val="24"/>
          <w:highlight w:val="none"/>
        </w:rPr>
        <w:t>。</w:t>
      </w:r>
    </w:p>
    <w:p w14:paraId="65871A46">
      <w:pPr>
        <w:keepNext w:val="0"/>
        <w:keepLines w:val="0"/>
        <w:pageBreakBefore w:val="0"/>
        <w:widowControl/>
        <w:kinsoku w:val="0"/>
        <w:wordWrap/>
        <w:overflowPunct/>
        <w:topLinePunct w:val="0"/>
        <w:autoSpaceDE w:val="0"/>
        <w:autoSpaceDN w:val="0"/>
        <w:bidi w:val="0"/>
        <w:adjustRightInd w:val="0"/>
        <w:snapToGrid w:val="0"/>
        <w:spacing w:before="2" w:line="400" w:lineRule="exact"/>
        <w:ind w:left="51" w:right="201" w:firstLine="425"/>
        <w:textAlignment w:val="baseline"/>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F</w:t>
      </w:r>
      <w:r>
        <w:rPr>
          <w:rFonts w:ascii="Times New Roman" w:hAnsi="Times New Roman" w:eastAsia="Times New Roman" w:cs="Times New Roman"/>
          <w:color w:val="auto"/>
          <w:spacing w:val="-2"/>
          <w:position w:val="-1"/>
          <w:sz w:val="16"/>
          <w:szCs w:val="16"/>
          <w:highlight w:val="none"/>
        </w:rPr>
        <w:t>1</w:t>
      </w:r>
      <w:r>
        <w:rPr>
          <w:rFonts w:ascii="宋体" w:hAnsi="宋体" w:eastAsia="宋体" w:cs="宋体"/>
          <w:color w:val="auto"/>
          <w:spacing w:val="-2"/>
          <w:sz w:val="24"/>
          <w:szCs w:val="24"/>
          <w:highlight w:val="none"/>
        </w:rPr>
        <w:t>取</w:t>
      </w:r>
      <w:r>
        <w:rPr>
          <w:rFonts w:ascii="宋体" w:hAnsi="宋体" w:eastAsia="宋体" w:cs="宋体"/>
          <w:color w:val="auto"/>
          <w:spacing w:val="13"/>
          <w:sz w:val="25"/>
          <w:szCs w:val="25"/>
          <w:highlight w:val="none"/>
          <w:u w:val="single" w:color="auto"/>
        </w:rPr>
        <w:t xml:space="preserve"> </w:t>
      </w:r>
      <w:r>
        <w:rPr>
          <w:rFonts w:hint="eastAsia" w:ascii="宋体" w:hAnsi="宋体" w:eastAsia="宋体" w:cs="宋体"/>
          <w:color w:val="auto"/>
          <w:spacing w:val="13"/>
          <w:sz w:val="25"/>
          <w:szCs w:val="25"/>
          <w:highlight w:val="none"/>
          <w:u w:val="single" w:color="auto"/>
          <w:lang w:val="en-US" w:eastAsia="zh-CN"/>
        </w:rPr>
        <w:t>0.75</w:t>
      </w:r>
      <w:r>
        <w:rPr>
          <w:rFonts w:ascii="宋体" w:hAnsi="宋体" w:eastAsia="宋体" w:cs="宋体"/>
          <w:i/>
          <w:iCs/>
          <w:color w:val="auto"/>
          <w:spacing w:val="-6"/>
          <w:sz w:val="25"/>
          <w:szCs w:val="25"/>
          <w:highlight w:val="none"/>
          <w:u w:val="single" w:color="auto"/>
        </w:rPr>
        <w:t>（由招标人在</w:t>
      </w:r>
      <w:r>
        <w:rPr>
          <w:rFonts w:ascii="Times New Roman" w:hAnsi="Times New Roman" w:eastAsia="Times New Roman" w:cs="Times New Roman"/>
          <w:i/>
          <w:iCs/>
          <w:color w:val="auto"/>
          <w:spacing w:val="-6"/>
          <w:sz w:val="24"/>
          <w:szCs w:val="24"/>
          <w:highlight w:val="none"/>
          <w:u w:val="single" w:color="auto"/>
        </w:rPr>
        <w:t>0.25~1.25</w:t>
      </w:r>
      <w:r>
        <w:rPr>
          <w:rFonts w:ascii="宋体" w:hAnsi="宋体" w:eastAsia="宋体" w:cs="宋体"/>
          <w:i/>
          <w:iCs/>
          <w:color w:val="auto"/>
          <w:spacing w:val="-6"/>
          <w:sz w:val="25"/>
          <w:szCs w:val="25"/>
          <w:highlight w:val="none"/>
          <w:u w:val="single" w:color="auto"/>
        </w:rPr>
        <w:t>之间自行确定</w:t>
      </w:r>
      <w:r>
        <w:rPr>
          <w:rFonts w:ascii="宋体" w:hAnsi="宋体" w:eastAsia="宋体" w:cs="宋体"/>
          <w:i/>
          <w:iCs/>
          <w:color w:val="auto"/>
          <w:spacing w:val="-8"/>
          <w:sz w:val="25"/>
          <w:szCs w:val="25"/>
          <w:highlight w:val="none"/>
          <w:u w:val="single" w:color="auto"/>
        </w:rPr>
        <w:t>）</w:t>
      </w:r>
      <w:r>
        <w:rPr>
          <w:rFonts w:ascii="宋体" w:hAnsi="宋体" w:eastAsia="宋体" w:cs="宋体"/>
          <w:color w:val="auto"/>
          <w:spacing w:val="100"/>
          <w:sz w:val="25"/>
          <w:szCs w:val="25"/>
          <w:highlight w:val="none"/>
          <w:u w:val="single" w:color="auto"/>
        </w:rPr>
        <w:t xml:space="preserve"> </w:t>
      </w:r>
      <w:r>
        <w:rPr>
          <w:rFonts w:ascii="宋体" w:hAnsi="宋体" w:eastAsia="宋体" w:cs="宋体"/>
          <w:color w:val="auto"/>
          <w:spacing w:val="-96"/>
          <w:sz w:val="25"/>
          <w:szCs w:val="25"/>
          <w:highlight w:val="none"/>
        </w:rPr>
        <w:t xml:space="preserve"> </w:t>
      </w:r>
      <w:r>
        <w:rPr>
          <w:rFonts w:ascii="宋体" w:hAnsi="宋体" w:eastAsia="宋体" w:cs="宋体"/>
          <w:color w:val="auto"/>
          <w:spacing w:val="-8"/>
          <w:sz w:val="24"/>
          <w:szCs w:val="24"/>
          <w:highlight w:val="none"/>
        </w:rPr>
        <w:t>，</w:t>
      </w:r>
      <w:r>
        <w:rPr>
          <w:rFonts w:ascii="Times New Roman" w:hAnsi="Times New Roman" w:eastAsia="Times New Roman" w:cs="Times New Roman"/>
          <w:color w:val="auto"/>
          <w:spacing w:val="-6"/>
          <w:sz w:val="24"/>
          <w:szCs w:val="24"/>
          <w:highlight w:val="none"/>
        </w:rPr>
        <w:t>F</w:t>
      </w:r>
      <w:r>
        <w:rPr>
          <w:rFonts w:ascii="Times New Roman" w:hAnsi="Times New Roman" w:eastAsia="Times New Roman" w:cs="Times New Roman"/>
          <w:color w:val="auto"/>
          <w:spacing w:val="-6"/>
          <w:position w:val="-1"/>
          <w:sz w:val="16"/>
          <w:szCs w:val="16"/>
          <w:highlight w:val="none"/>
        </w:rPr>
        <w:t>2</w:t>
      </w:r>
      <w:r>
        <w:rPr>
          <w:rFonts w:ascii="宋体" w:hAnsi="宋体" w:eastAsia="宋体" w:cs="宋体"/>
          <w:color w:val="auto"/>
          <w:spacing w:val="-6"/>
          <w:sz w:val="24"/>
          <w:szCs w:val="24"/>
          <w:highlight w:val="none"/>
        </w:rPr>
        <w:t>取</w:t>
      </w:r>
      <w:r>
        <w:rPr>
          <w:rFonts w:ascii="宋体" w:hAnsi="宋体" w:eastAsia="宋体" w:cs="宋体"/>
          <w:color w:val="auto"/>
          <w:spacing w:val="-6"/>
          <w:sz w:val="25"/>
          <w:szCs w:val="25"/>
          <w:highlight w:val="none"/>
          <w:u w:val="single" w:color="auto"/>
        </w:rPr>
        <w:t xml:space="preserve">  </w:t>
      </w:r>
      <w:r>
        <w:rPr>
          <w:rFonts w:hint="eastAsia" w:ascii="宋体" w:hAnsi="宋体" w:eastAsia="宋体" w:cs="宋体"/>
          <w:color w:val="auto"/>
          <w:spacing w:val="-6"/>
          <w:sz w:val="25"/>
          <w:szCs w:val="25"/>
          <w:highlight w:val="none"/>
          <w:u w:val="single" w:color="auto"/>
          <w:lang w:val="en-US" w:eastAsia="zh-CN"/>
        </w:rPr>
        <w:t>1.5</w:t>
      </w:r>
      <w:r>
        <w:rPr>
          <w:rFonts w:ascii="宋体" w:hAnsi="宋体" w:eastAsia="宋体" w:cs="宋体"/>
          <w:i/>
          <w:iCs/>
          <w:color w:val="auto"/>
          <w:spacing w:val="-6"/>
          <w:sz w:val="25"/>
          <w:szCs w:val="25"/>
          <w:highlight w:val="none"/>
          <w:u w:val="single" w:color="auto"/>
        </w:rPr>
        <w:t>（由招标人在</w:t>
      </w:r>
      <w:r>
        <w:rPr>
          <w:rFonts w:ascii="Times New Roman" w:hAnsi="Times New Roman" w:eastAsia="Times New Roman" w:cs="Times New Roman"/>
          <w:i/>
          <w:iCs/>
          <w:color w:val="auto"/>
          <w:spacing w:val="-6"/>
          <w:sz w:val="24"/>
          <w:szCs w:val="24"/>
          <w:highlight w:val="none"/>
          <w:u w:val="single" w:color="auto"/>
        </w:rPr>
        <w:t>0.5~1.5</w:t>
      </w:r>
      <w:r>
        <w:rPr>
          <w:rFonts w:ascii="宋体" w:hAnsi="宋体" w:eastAsia="宋体" w:cs="宋体"/>
          <w:i/>
          <w:iCs/>
          <w:color w:val="auto"/>
          <w:spacing w:val="-15"/>
          <w:position w:val="1"/>
          <w:sz w:val="25"/>
          <w:szCs w:val="25"/>
          <w:highlight w:val="none"/>
          <w:u w:val="single" w:color="auto"/>
        </w:rPr>
        <w:t>之间自行确定，</w:t>
      </w:r>
      <w:r>
        <w:rPr>
          <w:rFonts w:ascii="Times New Roman" w:hAnsi="Times New Roman" w:eastAsia="Times New Roman" w:cs="Times New Roman"/>
          <w:i/>
          <w:iCs/>
          <w:color w:val="auto"/>
          <w:spacing w:val="-15"/>
          <w:position w:val="1"/>
          <w:sz w:val="24"/>
          <w:szCs w:val="24"/>
          <w:highlight w:val="none"/>
          <w:u w:val="single" w:color="auto"/>
        </w:rPr>
        <w:t>F</w:t>
      </w:r>
      <w:r>
        <w:rPr>
          <w:rFonts w:ascii="Times New Roman" w:hAnsi="Times New Roman" w:eastAsia="Times New Roman" w:cs="Times New Roman"/>
          <w:i/>
          <w:iCs/>
          <w:color w:val="auto"/>
          <w:spacing w:val="-15"/>
          <w:sz w:val="16"/>
          <w:szCs w:val="16"/>
          <w:highlight w:val="none"/>
          <w:u w:val="single" w:color="auto"/>
        </w:rPr>
        <w:t>2</w:t>
      </w:r>
      <w:r>
        <w:rPr>
          <w:rFonts w:ascii="Times New Roman" w:hAnsi="Times New Roman" w:eastAsia="Times New Roman" w:cs="Times New Roman"/>
          <w:i/>
          <w:iCs/>
          <w:color w:val="auto"/>
          <w:spacing w:val="20"/>
          <w:sz w:val="16"/>
          <w:szCs w:val="16"/>
          <w:highlight w:val="none"/>
          <w:u w:val="single" w:color="auto"/>
        </w:rPr>
        <w:t xml:space="preserve"> </w:t>
      </w:r>
      <w:r>
        <w:rPr>
          <w:rFonts w:ascii="宋体" w:hAnsi="宋体" w:eastAsia="宋体" w:cs="宋体"/>
          <w:i/>
          <w:iCs/>
          <w:color w:val="auto"/>
          <w:spacing w:val="-8"/>
          <w:position w:val="1"/>
          <w:sz w:val="25"/>
          <w:szCs w:val="25"/>
          <w:highlight w:val="none"/>
          <w:u w:val="single" w:color="auto"/>
        </w:rPr>
        <w:t>≥</w:t>
      </w:r>
      <w:r>
        <w:rPr>
          <w:rFonts w:ascii="Times New Roman" w:hAnsi="Times New Roman" w:eastAsia="Times New Roman" w:cs="Times New Roman"/>
          <w:i/>
          <w:iCs/>
          <w:color w:val="auto"/>
          <w:spacing w:val="-8"/>
          <w:position w:val="1"/>
          <w:sz w:val="24"/>
          <w:szCs w:val="24"/>
          <w:highlight w:val="none"/>
          <w:u w:val="single" w:color="auto"/>
        </w:rPr>
        <w:t>F</w:t>
      </w:r>
      <w:r>
        <w:rPr>
          <w:rFonts w:ascii="Times New Roman" w:hAnsi="Times New Roman" w:eastAsia="Times New Roman" w:cs="Times New Roman"/>
          <w:i/>
          <w:iCs/>
          <w:color w:val="auto"/>
          <w:spacing w:val="-8"/>
          <w:sz w:val="16"/>
          <w:szCs w:val="16"/>
          <w:highlight w:val="none"/>
          <w:u w:val="single" w:color="auto"/>
        </w:rPr>
        <w:t>1</w:t>
      </w:r>
      <w:r>
        <w:rPr>
          <w:rFonts w:ascii="Times New Roman" w:hAnsi="Times New Roman" w:eastAsia="Times New Roman" w:cs="Times New Roman"/>
          <w:i/>
          <w:iCs/>
          <w:color w:val="auto"/>
          <w:spacing w:val="-19"/>
          <w:sz w:val="16"/>
          <w:szCs w:val="16"/>
          <w:highlight w:val="none"/>
          <w:u w:val="single" w:color="auto"/>
        </w:rPr>
        <w:t xml:space="preserve"> </w:t>
      </w:r>
      <w:r>
        <w:rPr>
          <w:rFonts w:ascii="Times New Roman" w:hAnsi="Times New Roman" w:eastAsia="Times New Roman" w:cs="Times New Roman"/>
          <w:i/>
          <w:iCs/>
          <w:color w:val="auto"/>
          <w:spacing w:val="-8"/>
          <w:position w:val="1"/>
          <w:sz w:val="24"/>
          <w:szCs w:val="24"/>
          <w:highlight w:val="none"/>
          <w:u w:val="single" w:color="auto"/>
        </w:rPr>
        <w:t>+0.25</w:t>
      </w:r>
      <w:r>
        <w:rPr>
          <w:rFonts w:ascii="宋体" w:hAnsi="宋体" w:eastAsia="宋体" w:cs="宋体"/>
          <w:i/>
          <w:iCs/>
          <w:color w:val="auto"/>
          <w:spacing w:val="-3"/>
          <w:position w:val="1"/>
          <w:sz w:val="25"/>
          <w:szCs w:val="25"/>
          <w:highlight w:val="none"/>
          <w:u w:val="single" w:color="auto"/>
        </w:rPr>
        <w:t>），</w:t>
      </w:r>
      <w:r>
        <w:rPr>
          <w:rFonts w:ascii="宋体" w:hAnsi="宋体" w:eastAsia="宋体" w:cs="宋体"/>
          <w:i/>
          <w:iCs/>
          <w:color w:val="auto"/>
          <w:spacing w:val="-8"/>
          <w:position w:val="1"/>
          <w:sz w:val="25"/>
          <w:szCs w:val="25"/>
          <w:highlight w:val="none"/>
          <w:u w:val="single" w:color="auto"/>
        </w:rPr>
        <w:t>且</w:t>
      </w:r>
      <w:r>
        <w:rPr>
          <w:rFonts w:ascii="Times New Roman" w:hAnsi="Times New Roman" w:eastAsia="Times New Roman" w:cs="Times New Roman"/>
          <w:i/>
          <w:iCs/>
          <w:color w:val="auto"/>
          <w:spacing w:val="-8"/>
          <w:position w:val="1"/>
          <w:sz w:val="24"/>
          <w:szCs w:val="24"/>
          <w:highlight w:val="none"/>
          <w:u w:val="single" w:color="auto"/>
        </w:rPr>
        <w:t>F2</w:t>
      </w:r>
      <w:r>
        <w:rPr>
          <w:rFonts w:ascii="宋体" w:hAnsi="宋体" w:eastAsia="宋体" w:cs="宋体"/>
          <w:i/>
          <w:iCs/>
          <w:color w:val="auto"/>
          <w:spacing w:val="-8"/>
          <w:position w:val="1"/>
          <w:sz w:val="25"/>
          <w:szCs w:val="25"/>
          <w:highlight w:val="none"/>
          <w:u w:val="single" w:color="auto"/>
        </w:rPr>
        <w:t>≤</w:t>
      </w:r>
      <w:r>
        <w:rPr>
          <w:rFonts w:ascii="Times New Roman" w:hAnsi="Times New Roman" w:eastAsia="Times New Roman" w:cs="Times New Roman"/>
          <w:i/>
          <w:iCs/>
          <w:color w:val="auto"/>
          <w:spacing w:val="-8"/>
          <w:position w:val="1"/>
          <w:sz w:val="24"/>
          <w:szCs w:val="24"/>
          <w:highlight w:val="none"/>
          <w:u w:val="single" w:color="auto"/>
        </w:rPr>
        <w:t xml:space="preserve">2 </w:t>
      </w:r>
      <w:r>
        <w:rPr>
          <w:rFonts w:ascii="宋体" w:hAnsi="宋体" w:eastAsia="宋体" w:cs="宋体"/>
          <w:i/>
          <w:iCs/>
          <w:color w:val="auto"/>
          <w:spacing w:val="-19"/>
          <w:position w:val="1"/>
          <w:sz w:val="25"/>
          <w:szCs w:val="25"/>
          <w:highlight w:val="none"/>
          <w:u w:val="single" w:color="auto"/>
        </w:rPr>
        <w:t>×</w:t>
      </w:r>
      <w:r>
        <w:rPr>
          <w:rFonts w:ascii="Times New Roman" w:hAnsi="Times New Roman" w:eastAsia="Times New Roman" w:cs="Times New Roman"/>
          <w:i/>
          <w:iCs/>
          <w:color w:val="auto"/>
          <w:spacing w:val="-19"/>
          <w:position w:val="1"/>
          <w:sz w:val="24"/>
          <w:szCs w:val="24"/>
          <w:highlight w:val="none"/>
          <w:u w:val="single" w:color="auto"/>
        </w:rPr>
        <w:t>F1</w:t>
      </w:r>
      <w:r>
        <w:rPr>
          <w:rFonts w:ascii="Times New Roman" w:hAnsi="Times New Roman" w:eastAsia="Times New Roman" w:cs="Times New Roman"/>
          <w:i/>
          <w:iCs/>
          <w:color w:val="auto"/>
          <w:position w:val="1"/>
          <w:sz w:val="24"/>
          <w:szCs w:val="24"/>
          <w:highlight w:val="none"/>
          <w:u w:val="single" w:color="auto"/>
        </w:rPr>
        <w:t xml:space="preserve">    </w:t>
      </w:r>
      <w:r>
        <w:rPr>
          <w:rFonts w:ascii="宋体" w:hAnsi="宋体" w:eastAsia="宋体" w:cs="宋体"/>
          <w:color w:val="auto"/>
          <w:spacing w:val="-19"/>
          <w:position w:val="1"/>
          <w:sz w:val="24"/>
          <w:szCs w:val="24"/>
          <w:highlight w:val="none"/>
        </w:rPr>
        <w:t>。</w:t>
      </w:r>
    </w:p>
    <w:p w14:paraId="2B6F7771">
      <w:pPr>
        <w:keepNext w:val="0"/>
        <w:keepLines w:val="0"/>
        <w:pageBreakBefore w:val="0"/>
        <w:widowControl/>
        <w:kinsoku w:val="0"/>
        <w:wordWrap/>
        <w:overflowPunct/>
        <w:topLinePunct w:val="0"/>
        <w:autoSpaceDE w:val="0"/>
        <w:autoSpaceDN w:val="0"/>
        <w:bidi w:val="0"/>
        <w:adjustRightInd w:val="0"/>
        <w:snapToGrid w:val="0"/>
        <w:spacing w:line="400" w:lineRule="exact"/>
        <w:ind w:left="488"/>
        <w:textAlignment w:val="baseline"/>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商务报价评分值的最低分</w:t>
      </w:r>
      <w:r>
        <w:rPr>
          <w:rFonts w:ascii="宋体" w:hAnsi="宋体" w:eastAsia="宋体" w:cs="宋体"/>
          <w:color w:val="auto"/>
          <w:spacing w:val="-5"/>
          <w:sz w:val="25"/>
          <w:szCs w:val="25"/>
          <w:highlight w:val="none"/>
          <w:u w:val="single" w:color="auto"/>
        </w:rPr>
        <w:t xml:space="preserve"> </w:t>
      </w:r>
      <w:r>
        <w:rPr>
          <w:rFonts w:hint="eastAsia" w:ascii="宋体" w:hAnsi="宋体" w:eastAsia="宋体" w:cs="宋体"/>
          <w:color w:val="auto"/>
          <w:spacing w:val="-5"/>
          <w:sz w:val="25"/>
          <w:szCs w:val="25"/>
          <w:highlight w:val="none"/>
          <w:u w:val="single" w:color="auto"/>
          <w:lang w:val="en-US" w:eastAsia="zh-CN"/>
        </w:rPr>
        <w:t>50</w:t>
      </w:r>
      <w:r>
        <w:rPr>
          <w:rFonts w:ascii="宋体" w:hAnsi="宋体" w:eastAsia="宋体" w:cs="宋体"/>
          <w:i/>
          <w:iCs/>
          <w:color w:val="auto"/>
          <w:spacing w:val="-5"/>
          <w:sz w:val="25"/>
          <w:szCs w:val="25"/>
          <w:highlight w:val="none"/>
          <w:u w:val="single" w:color="auto"/>
        </w:rPr>
        <w:t>（不得低于</w:t>
      </w:r>
      <w:r>
        <w:rPr>
          <w:rFonts w:ascii="Times New Roman" w:hAnsi="Times New Roman" w:eastAsia="Times New Roman" w:cs="Times New Roman"/>
          <w:i/>
          <w:iCs/>
          <w:color w:val="auto"/>
          <w:spacing w:val="-5"/>
          <w:sz w:val="24"/>
          <w:szCs w:val="24"/>
          <w:highlight w:val="none"/>
          <w:u w:val="single" w:color="auto"/>
        </w:rPr>
        <w:t>50</w:t>
      </w:r>
      <w:r>
        <w:rPr>
          <w:rFonts w:ascii="宋体" w:hAnsi="宋体" w:eastAsia="宋体" w:cs="宋体"/>
          <w:i/>
          <w:iCs/>
          <w:color w:val="auto"/>
          <w:spacing w:val="-5"/>
          <w:sz w:val="25"/>
          <w:szCs w:val="25"/>
          <w:highlight w:val="none"/>
          <w:u w:val="single" w:color="auto"/>
        </w:rPr>
        <w:t>）</w:t>
      </w:r>
      <w:r>
        <w:rPr>
          <w:rFonts w:ascii="宋体" w:hAnsi="宋体" w:eastAsia="宋体" w:cs="宋体"/>
          <w:color w:val="auto"/>
          <w:spacing w:val="-5"/>
          <w:sz w:val="24"/>
          <w:szCs w:val="24"/>
          <w:highlight w:val="none"/>
        </w:rPr>
        <w:t>分。</w:t>
      </w:r>
    </w:p>
    <w:p w14:paraId="21960414">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outlineLvl w:val="2"/>
        <w:rPr>
          <w:rFonts w:ascii="宋体" w:hAnsi="宋体" w:eastAsia="宋体" w:cs="宋体"/>
          <w:color w:val="auto"/>
          <w:sz w:val="24"/>
          <w:szCs w:val="24"/>
          <w:highlight w:val="none"/>
        </w:rPr>
      </w:pPr>
      <w:bookmarkStart w:id="238" w:name="bookmark102"/>
      <w:bookmarkEnd w:id="238"/>
      <w:r>
        <w:rPr>
          <w:rFonts w:ascii="Times New Roman" w:hAnsi="Times New Roman" w:eastAsia="Times New Roman" w:cs="Times New Roman"/>
          <w:b/>
          <w:bCs/>
          <w:color w:val="auto"/>
          <w:spacing w:val="-3"/>
          <w:sz w:val="24"/>
          <w:szCs w:val="24"/>
          <w:highlight w:val="none"/>
        </w:rPr>
        <w:t>4.7</w:t>
      </w:r>
      <w:r>
        <w:rPr>
          <w:rFonts w:ascii="Times New Roman" w:hAnsi="Times New Roman" w:eastAsia="Times New Roman" w:cs="Times New Roman"/>
          <w:b/>
          <w:bCs/>
          <w:color w:val="auto"/>
          <w:spacing w:val="4"/>
          <w:sz w:val="24"/>
          <w:szCs w:val="24"/>
          <w:highlight w:val="none"/>
        </w:rPr>
        <w:t xml:space="preserve">  </w:t>
      </w:r>
      <w:r>
        <w:rPr>
          <w:rFonts w:ascii="宋体" w:hAnsi="宋体" w:eastAsia="宋体" w:cs="宋体"/>
          <w:b/>
          <w:bCs/>
          <w:color w:val="auto"/>
          <w:spacing w:val="-3"/>
          <w:sz w:val="24"/>
          <w:szCs w:val="24"/>
          <w:highlight w:val="none"/>
        </w:rPr>
        <w:t>询标</w:t>
      </w:r>
    </w:p>
    <w:p w14:paraId="291CCB27">
      <w:pPr>
        <w:keepNext w:val="0"/>
        <w:keepLines w:val="0"/>
        <w:pageBreakBefore w:val="0"/>
        <w:widowControl/>
        <w:kinsoku w:val="0"/>
        <w:wordWrap/>
        <w:overflowPunct/>
        <w:topLinePunct w:val="0"/>
        <w:autoSpaceDE w:val="0"/>
        <w:autoSpaceDN w:val="0"/>
        <w:bidi w:val="0"/>
        <w:adjustRightInd w:val="0"/>
        <w:snapToGrid w:val="0"/>
        <w:spacing w:line="400" w:lineRule="exact"/>
        <w:ind w:left="5" w:firstLine="491"/>
        <w:jc w:val="both"/>
        <w:textAlignment w:val="baseline"/>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 xml:space="preserve">1.  </w:t>
      </w:r>
      <w:r>
        <w:rPr>
          <w:rFonts w:ascii="宋体" w:hAnsi="宋体" w:eastAsia="宋体" w:cs="宋体"/>
          <w:color w:val="auto"/>
          <w:spacing w:val="-4"/>
          <w:sz w:val="24"/>
          <w:szCs w:val="24"/>
          <w:highlight w:val="none"/>
        </w:rPr>
        <w:t>凡评标委员会拟作出否决投标决定的，应先向投标人进行书面</w:t>
      </w:r>
      <w:r>
        <w:rPr>
          <w:rFonts w:ascii="宋体" w:hAnsi="宋体" w:eastAsia="宋体" w:cs="宋体"/>
          <w:color w:val="auto"/>
          <w:spacing w:val="-5"/>
          <w:sz w:val="24"/>
          <w:szCs w:val="24"/>
          <w:highlight w:val="none"/>
        </w:rPr>
        <w:t>询问核实。未进</w:t>
      </w:r>
      <w:r>
        <w:rPr>
          <w:rFonts w:ascii="宋体" w:hAnsi="宋体" w:eastAsia="宋体" w:cs="宋体"/>
          <w:color w:val="auto"/>
          <w:spacing w:val="-15"/>
          <w:sz w:val="24"/>
          <w:szCs w:val="24"/>
          <w:highlight w:val="none"/>
        </w:rPr>
        <w:t>行询问核实</w:t>
      </w:r>
      <w:r>
        <w:rPr>
          <w:rFonts w:ascii="宋体" w:hAnsi="宋体" w:eastAsia="宋体" w:cs="宋体"/>
          <w:color w:val="auto"/>
          <w:spacing w:val="-14"/>
          <w:sz w:val="24"/>
          <w:szCs w:val="24"/>
          <w:highlight w:val="none"/>
        </w:rPr>
        <w:t>程序的，不得做出否决投标决定，</w:t>
      </w:r>
      <w:r>
        <w:rPr>
          <w:rFonts w:ascii="宋体" w:hAnsi="宋体" w:eastAsia="宋体" w:cs="宋体"/>
          <w:color w:val="auto"/>
          <w:spacing w:val="-15"/>
          <w:sz w:val="24"/>
          <w:szCs w:val="24"/>
          <w:highlight w:val="none"/>
        </w:rPr>
        <w:t>投标人放弃接受询问核实机会的除外。投</w:t>
      </w:r>
      <w:r>
        <w:rPr>
          <w:rFonts w:ascii="宋体" w:hAnsi="宋体" w:eastAsia="宋体" w:cs="宋体"/>
          <w:color w:val="auto"/>
          <w:spacing w:val="-10"/>
          <w:sz w:val="24"/>
          <w:szCs w:val="24"/>
          <w:highlight w:val="none"/>
        </w:rPr>
        <w:t>标</w:t>
      </w:r>
      <w:r>
        <w:rPr>
          <w:rFonts w:ascii="宋体" w:hAnsi="宋体" w:eastAsia="宋体" w:cs="宋体"/>
          <w:color w:val="auto"/>
          <w:spacing w:val="-21"/>
          <w:sz w:val="24"/>
          <w:szCs w:val="24"/>
          <w:highlight w:val="none"/>
        </w:rPr>
        <w:t>人应自行关注系统</w:t>
      </w:r>
      <w:r>
        <w:rPr>
          <w:rFonts w:ascii="宋体" w:hAnsi="宋体" w:eastAsia="宋体" w:cs="宋体"/>
          <w:color w:val="auto"/>
          <w:spacing w:val="-20"/>
          <w:sz w:val="24"/>
          <w:szCs w:val="24"/>
          <w:highlight w:val="none"/>
        </w:rPr>
        <w:t>中评标委员会发出的澄清并及时答复，在规定的时限内投标人</w:t>
      </w:r>
      <w:r>
        <w:rPr>
          <w:rFonts w:ascii="宋体" w:hAnsi="宋体" w:eastAsia="宋体" w:cs="宋体"/>
          <w:color w:val="auto"/>
          <w:spacing w:val="-21"/>
          <w:sz w:val="24"/>
          <w:szCs w:val="24"/>
          <w:highlight w:val="none"/>
        </w:rPr>
        <w:t>不参加核</w:t>
      </w:r>
      <w:r>
        <w:rPr>
          <w:rFonts w:ascii="宋体" w:hAnsi="宋体" w:eastAsia="宋体" w:cs="宋体"/>
          <w:color w:val="auto"/>
          <w:spacing w:val="-13"/>
          <w:sz w:val="24"/>
          <w:szCs w:val="24"/>
          <w:highlight w:val="none"/>
        </w:rPr>
        <w:t>实</w:t>
      </w:r>
      <w:r>
        <w:rPr>
          <w:rFonts w:ascii="宋体" w:hAnsi="宋体" w:eastAsia="宋体" w:cs="宋体"/>
          <w:color w:val="auto"/>
          <w:spacing w:val="-22"/>
          <w:sz w:val="24"/>
          <w:szCs w:val="24"/>
          <w:highlight w:val="none"/>
        </w:rPr>
        <w:t>或不予答复的，视为放弃接受询问核实机会。</w:t>
      </w:r>
    </w:p>
    <w:p w14:paraId="113CACF9">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ascii="宋体" w:hAnsi="宋体" w:eastAsia="宋体" w:cs="宋体"/>
          <w:color w:val="auto"/>
          <w:sz w:val="24"/>
          <w:szCs w:val="24"/>
          <w:highlight w:val="none"/>
        </w:rPr>
        <w:sectPr>
          <w:footerReference r:id="rId25" w:type="default"/>
          <w:pgSz w:w="11907" w:h="16841"/>
          <w:pgMar w:top="1428" w:right="1509" w:bottom="1254" w:left="1594" w:header="0" w:footer="1093" w:gutter="0"/>
          <w:pgNumType w:fmt="decimal"/>
          <w:cols w:space="720" w:num="1"/>
        </w:sectPr>
      </w:pPr>
    </w:p>
    <w:p w14:paraId="0AA3B03B">
      <w:pPr>
        <w:keepNext w:val="0"/>
        <w:keepLines w:val="0"/>
        <w:pageBreakBefore w:val="0"/>
        <w:widowControl/>
        <w:kinsoku w:val="0"/>
        <w:wordWrap/>
        <w:overflowPunct/>
        <w:topLinePunct w:val="0"/>
        <w:autoSpaceDE w:val="0"/>
        <w:autoSpaceDN w:val="0"/>
        <w:bidi w:val="0"/>
        <w:adjustRightInd w:val="0"/>
        <w:snapToGrid w:val="0"/>
        <w:spacing w:line="440" w:lineRule="exact"/>
        <w:ind w:left="23" w:right="202" w:firstLine="424"/>
        <w:textAlignment w:val="baseline"/>
        <w:rPr>
          <w:rFonts w:ascii="宋体" w:hAnsi="宋体" w:eastAsia="宋体" w:cs="宋体"/>
          <w:color w:val="auto"/>
          <w:sz w:val="24"/>
          <w:szCs w:val="24"/>
          <w:highlight w:val="none"/>
        </w:rPr>
      </w:pPr>
      <w:r>
        <w:rPr>
          <w:rFonts w:ascii="Times New Roman" w:hAnsi="Times New Roman" w:eastAsia="Times New Roman" w:cs="Times New Roman"/>
          <w:color w:val="auto"/>
          <w:spacing w:val="-15"/>
          <w:sz w:val="24"/>
          <w:szCs w:val="24"/>
          <w:highlight w:val="none"/>
        </w:rPr>
        <w:t xml:space="preserve">2.  </w:t>
      </w:r>
      <w:r>
        <w:rPr>
          <w:rFonts w:ascii="宋体" w:hAnsi="宋体" w:eastAsia="宋体" w:cs="宋体"/>
          <w:color w:val="auto"/>
          <w:spacing w:val="-15"/>
          <w:sz w:val="24"/>
          <w:szCs w:val="24"/>
          <w:highlight w:val="none"/>
        </w:rPr>
        <w:t>除本评标办法规定的否决情形以外，招标文件中其他条款均不得作为否决</w:t>
      </w:r>
      <w:r>
        <w:rPr>
          <w:rFonts w:ascii="宋体" w:hAnsi="宋体" w:eastAsia="宋体" w:cs="宋体"/>
          <w:color w:val="auto"/>
          <w:spacing w:val="-16"/>
          <w:sz w:val="24"/>
          <w:szCs w:val="24"/>
          <w:highlight w:val="none"/>
        </w:rPr>
        <w:t>投标文件</w:t>
      </w:r>
      <w:r>
        <w:rPr>
          <w:rFonts w:ascii="宋体" w:hAnsi="宋体" w:eastAsia="宋体" w:cs="宋体"/>
          <w:color w:val="auto"/>
          <w:spacing w:val="-12"/>
          <w:sz w:val="24"/>
          <w:szCs w:val="24"/>
          <w:highlight w:val="none"/>
        </w:rPr>
        <w:t>的依据。</w:t>
      </w:r>
    </w:p>
    <w:p w14:paraId="59E6A186">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outlineLvl w:val="2"/>
        <w:rPr>
          <w:rFonts w:ascii="宋体" w:hAnsi="宋体" w:eastAsia="宋体" w:cs="宋体"/>
          <w:color w:val="auto"/>
          <w:sz w:val="24"/>
          <w:szCs w:val="24"/>
          <w:highlight w:val="none"/>
        </w:rPr>
      </w:pPr>
      <w:bookmarkStart w:id="239" w:name="bookmark103"/>
      <w:bookmarkEnd w:id="239"/>
      <w:r>
        <w:rPr>
          <w:rFonts w:ascii="Times New Roman" w:hAnsi="Times New Roman" w:eastAsia="Times New Roman" w:cs="Times New Roman"/>
          <w:b/>
          <w:bCs/>
          <w:color w:val="auto"/>
          <w:spacing w:val="-2"/>
          <w:sz w:val="24"/>
          <w:szCs w:val="24"/>
          <w:highlight w:val="none"/>
        </w:rPr>
        <w:t xml:space="preserve">4.8  </w:t>
      </w:r>
      <w:r>
        <w:rPr>
          <w:rFonts w:ascii="宋体" w:hAnsi="宋体" w:eastAsia="宋体" w:cs="宋体"/>
          <w:b/>
          <w:bCs/>
          <w:color w:val="auto"/>
          <w:spacing w:val="-2"/>
          <w:sz w:val="24"/>
          <w:szCs w:val="24"/>
          <w:highlight w:val="none"/>
        </w:rPr>
        <w:t>投标文件的综合评分</w:t>
      </w:r>
    </w:p>
    <w:p w14:paraId="5B0D683D">
      <w:pPr>
        <w:keepNext w:val="0"/>
        <w:keepLines w:val="0"/>
        <w:pageBreakBefore w:val="0"/>
        <w:widowControl/>
        <w:kinsoku w:val="0"/>
        <w:wordWrap/>
        <w:overflowPunct/>
        <w:topLinePunct w:val="0"/>
        <w:autoSpaceDE w:val="0"/>
        <w:autoSpaceDN w:val="0"/>
        <w:bidi w:val="0"/>
        <w:adjustRightInd w:val="0"/>
        <w:snapToGrid w:val="0"/>
        <w:spacing w:line="440" w:lineRule="exact"/>
        <w:ind w:left="3" w:right="407" w:firstLine="482"/>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投标文件的综合评分为投标文件的商务报价评分与投标文件的资信评分之和，</w:t>
      </w:r>
      <w:r>
        <w:rPr>
          <w:rFonts w:ascii="宋体" w:hAnsi="宋体" w:eastAsia="宋体" w:cs="宋体"/>
          <w:color w:val="auto"/>
          <w:spacing w:val="-4"/>
          <w:sz w:val="24"/>
          <w:szCs w:val="24"/>
          <w:highlight w:val="none"/>
        </w:rPr>
        <w:t>满分为</w:t>
      </w:r>
      <w:r>
        <w:rPr>
          <w:rFonts w:ascii="Times New Roman" w:hAnsi="Times New Roman" w:eastAsia="Times New Roman" w:cs="Times New Roman"/>
          <w:color w:val="auto"/>
          <w:spacing w:val="-4"/>
          <w:sz w:val="24"/>
          <w:szCs w:val="24"/>
          <w:highlight w:val="none"/>
        </w:rPr>
        <w:t>100</w:t>
      </w:r>
      <w:r>
        <w:rPr>
          <w:rFonts w:ascii="宋体" w:hAnsi="宋体" w:eastAsia="宋体" w:cs="宋体"/>
          <w:color w:val="auto"/>
          <w:spacing w:val="-4"/>
          <w:sz w:val="24"/>
          <w:szCs w:val="24"/>
          <w:highlight w:val="none"/>
        </w:rPr>
        <w:t>分。</w:t>
      </w:r>
    </w:p>
    <w:p w14:paraId="3D3ACD91">
      <w:pPr>
        <w:keepNext w:val="0"/>
        <w:keepLines w:val="0"/>
        <w:pageBreakBefore w:val="0"/>
        <w:widowControl/>
        <w:kinsoku w:val="0"/>
        <w:wordWrap/>
        <w:overflowPunct/>
        <w:topLinePunct w:val="0"/>
        <w:autoSpaceDE w:val="0"/>
        <w:autoSpaceDN w:val="0"/>
        <w:bidi w:val="0"/>
        <w:adjustRightInd w:val="0"/>
        <w:snapToGrid w:val="0"/>
        <w:spacing w:line="440" w:lineRule="exact"/>
        <w:ind w:left="27"/>
        <w:textAlignment w:val="baseline"/>
        <w:outlineLvl w:val="2"/>
        <w:rPr>
          <w:rFonts w:ascii="宋体" w:hAnsi="宋体" w:eastAsia="宋体" w:cs="宋体"/>
          <w:color w:val="auto"/>
          <w:sz w:val="24"/>
          <w:szCs w:val="24"/>
          <w:highlight w:val="none"/>
        </w:rPr>
      </w:pPr>
      <w:bookmarkStart w:id="240" w:name="bookmark104"/>
      <w:bookmarkEnd w:id="240"/>
      <w:r>
        <w:rPr>
          <w:rFonts w:hint="eastAsia" w:ascii="宋体" w:hAnsi="宋体" w:eastAsia="宋体" w:cs="宋体"/>
          <w:b/>
          <w:bCs/>
          <w:color w:val="auto"/>
          <w:spacing w:val="-4"/>
          <w:sz w:val="24"/>
          <w:szCs w:val="24"/>
          <w:highlight w:val="none"/>
          <w:lang w:eastAsia="zh-CN"/>
        </w:rPr>
        <w:t>☑</w:t>
      </w:r>
      <w:r>
        <w:rPr>
          <w:rFonts w:ascii="Times New Roman" w:hAnsi="Times New Roman" w:eastAsia="Times New Roman" w:cs="Times New Roman"/>
          <w:b/>
          <w:bCs/>
          <w:color w:val="auto"/>
          <w:spacing w:val="-4"/>
          <w:sz w:val="24"/>
          <w:szCs w:val="24"/>
          <w:highlight w:val="none"/>
        </w:rPr>
        <w:t xml:space="preserve">4.9  </w:t>
      </w:r>
      <w:r>
        <w:rPr>
          <w:rFonts w:ascii="宋体" w:hAnsi="宋体" w:eastAsia="宋体" w:cs="宋体"/>
          <w:b/>
          <w:bCs/>
          <w:color w:val="auto"/>
          <w:spacing w:val="-4"/>
          <w:sz w:val="24"/>
          <w:szCs w:val="24"/>
          <w:highlight w:val="none"/>
        </w:rPr>
        <w:t>推荐中标候选人</w:t>
      </w:r>
    </w:p>
    <w:p w14:paraId="0F042D50">
      <w:pPr>
        <w:keepNext w:val="0"/>
        <w:keepLines w:val="0"/>
        <w:pageBreakBefore w:val="0"/>
        <w:widowControl/>
        <w:kinsoku w:val="0"/>
        <w:wordWrap/>
        <w:overflowPunct/>
        <w:topLinePunct w:val="0"/>
        <w:autoSpaceDE w:val="0"/>
        <w:autoSpaceDN w:val="0"/>
        <w:bidi w:val="0"/>
        <w:adjustRightInd w:val="0"/>
        <w:snapToGrid w:val="0"/>
        <w:spacing w:line="440" w:lineRule="exact"/>
        <w:ind w:left="2" w:right="205" w:firstLine="540"/>
        <w:jc w:val="both"/>
        <w:textAlignment w:val="baseline"/>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评标委员会根据综合评分对通过商务评审的投标文件按照由高到低的顺序进行排序，推荐中标候选人。综合评分相同时，报价低者优先。综合评分、报价均相同时，以资信评分高者优先；综合评分、报价、资信评分均相同时，由评标委员会全体成员按照少数服从多数的原则记名投票（不得弃权）决定中标侯选人或确定中标候选人排序。</w:t>
      </w:r>
    </w:p>
    <w:p w14:paraId="236B7EBC">
      <w:pPr>
        <w:keepNext w:val="0"/>
        <w:keepLines w:val="0"/>
        <w:pageBreakBefore w:val="0"/>
        <w:widowControl/>
        <w:kinsoku w:val="0"/>
        <w:wordWrap/>
        <w:overflowPunct/>
        <w:topLinePunct w:val="0"/>
        <w:autoSpaceDE w:val="0"/>
        <w:autoSpaceDN w:val="0"/>
        <w:bidi w:val="0"/>
        <w:adjustRightInd w:val="0"/>
        <w:snapToGrid w:val="0"/>
        <w:spacing w:line="440" w:lineRule="exact"/>
        <w:ind w:left="484"/>
        <w:textAlignment w:val="baseline"/>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本评标办法未尽事宜由评标委员会集体讨论决定。</w:t>
      </w:r>
    </w:p>
    <w:p w14:paraId="56D25166">
      <w:pPr>
        <w:keepNext w:val="0"/>
        <w:keepLines w:val="0"/>
        <w:pageBreakBefore w:val="0"/>
        <w:widowControl/>
        <w:kinsoku w:val="0"/>
        <w:wordWrap/>
        <w:overflowPunct/>
        <w:topLinePunct w:val="0"/>
        <w:autoSpaceDE w:val="0"/>
        <w:autoSpaceDN w:val="0"/>
        <w:bidi w:val="0"/>
        <w:adjustRightInd w:val="0"/>
        <w:snapToGrid w:val="0"/>
        <w:spacing w:line="440" w:lineRule="exact"/>
        <w:ind w:left="27"/>
        <w:textAlignment w:val="baseline"/>
        <w:outlineLvl w:val="2"/>
        <w:rPr>
          <w:rFonts w:ascii="宋体" w:hAnsi="宋体" w:eastAsia="宋体" w:cs="宋体"/>
          <w:strike/>
          <w:dstrike w:val="0"/>
          <w:color w:val="auto"/>
          <w:sz w:val="24"/>
          <w:szCs w:val="24"/>
          <w:highlight w:val="none"/>
        </w:rPr>
      </w:pPr>
      <w:bookmarkStart w:id="241" w:name="bookmark105"/>
      <w:bookmarkEnd w:id="241"/>
      <w:r>
        <w:rPr>
          <w:rFonts w:hint="eastAsia" w:ascii="宋体" w:hAnsi="宋体" w:eastAsia="宋体" w:cs="宋体"/>
          <w:b/>
          <w:bCs/>
          <w:strike/>
          <w:dstrike w:val="0"/>
          <w:color w:val="auto"/>
          <w:spacing w:val="-3"/>
          <w:sz w:val="24"/>
          <w:szCs w:val="24"/>
          <w:highlight w:val="none"/>
          <w:lang w:eastAsia="zh-CN"/>
        </w:rPr>
        <w:t>□</w:t>
      </w:r>
      <w:r>
        <w:rPr>
          <w:rFonts w:ascii="Times New Roman" w:hAnsi="Times New Roman" w:eastAsia="Times New Roman" w:cs="Times New Roman"/>
          <w:b/>
          <w:bCs/>
          <w:strike/>
          <w:dstrike w:val="0"/>
          <w:color w:val="auto"/>
          <w:spacing w:val="-3"/>
          <w:sz w:val="24"/>
          <w:szCs w:val="24"/>
          <w:highlight w:val="none"/>
        </w:rPr>
        <w:t xml:space="preserve">4.9  </w:t>
      </w:r>
      <w:r>
        <w:rPr>
          <w:rFonts w:ascii="宋体" w:hAnsi="宋体" w:eastAsia="宋体" w:cs="宋体"/>
          <w:b/>
          <w:bCs/>
          <w:strike/>
          <w:dstrike w:val="0"/>
          <w:color w:val="auto"/>
          <w:spacing w:val="-3"/>
          <w:sz w:val="24"/>
          <w:szCs w:val="24"/>
          <w:highlight w:val="none"/>
        </w:rPr>
        <w:t>推荐中标候选人（适用于评定分离）</w:t>
      </w:r>
    </w:p>
    <w:p w14:paraId="71893719">
      <w:pPr>
        <w:keepNext w:val="0"/>
        <w:keepLines w:val="0"/>
        <w:pageBreakBefore w:val="0"/>
        <w:widowControl/>
        <w:kinsoku w:val="0"/>
        <w:wordWrap/>
        <w:overflowPunct/>
        <w:topLinePunct w:val="0"/>
        <w:autoSpaceDE w:val="0"/>
        <w:autoSpaceDN w:val="0"/>
        <w:bidi w:val="0"/>
        <w:adjustRightInd w:val="0"/>
        <w:snapToGrid w:val="0"/>
        <w:spacing w:line="440" w:lineRule="exact"/>
        <w:ind w:left="1" w:firstLine="480"/>
        <w:jc w:val="both"/>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评标委员会对投标人按综合评分从高到低进行排序，并按照排序推荐中标候选人。</w:t>
      </w:r>
      <w:r>
        <w:rPr>
          <w:rFonts w:ascii="宋体" w:hAnsi="宋体" w:eastAsia="宋体" w:cs="宋体"/>
          <w:strike/>
          <w:dstrike w:val="0"/>
          <w:color w:val="auto"/>
          <w:spacing w:val="-3"/>
          <w:sz w:val="24"/>
          <w:szCs w:val="24"/>
          <w:highlight w:val="none"/>
        </w:rPr>
        <w:t>进入推荐名单的中标候选人不排名次。若推荐最后一名综合得分相同，由评标委员会</w:t>
      </w:r>
      <w:r>
        <w:rPr>
          <w:rFonts w:ascii="宋体" w:hAnsi="宋体" w:eastAsia="宋体" w:cs="宋体"/>
          <w:strike/>
          <w:dstrike w:val="0"/>
          <w:color w:val="auto"/>
          <w:sz w:val="24"/>
          <w:szCs w:val="24"/>
          <w:highlight w:val="none"/>
        </w:rPr>
        <w:t>全体成员按照少数服从多数的原则记名投票</w:t>
      </w:r>
      <w:r>
        <w:rPr>
          <w:rFonts w:ascii="宋体" w:hAnsi="宋体" w:eastAsia="宋体" w:cs="宋体"/>
          <w:strike/>
          <w:dstrike w:val="0"/>
          <w:color w:val="auto"/>
          <w:spacing w:val="-1"/>
          <w:sz w:val="24"/>
          <w:szCs w:val="24"/>
          <w:highlight w:val="none"/>
        </w:rPr>
        <w:t>推荐（不得弃权）。</w:t>
      </w:r>
    </w:p>
    <w:p w14:paraId="55AF9848">
      <w:pPr>
        <w:keepNext w:val="0"/>
        <w:keepLines w:val="0"/>
        <w:pageBreakBefore w:val="0"/>
        <w:widowControl/>
        <w:kinsoku w:val="0"/>
        <w:wordWrap/>
        <w:overflowPunct/>
        <w:topLinePunct w:val="0"/>
        <w:autoSpaceDE w:val="0"/>
        <w:autoSpaceDN w:val="0"/>
        <w:bidi w:val="0"/>
        <w:adjustRightInd w:val="0"/>
        <w:snapToGrid w:val="0"/>
        <w:spacing w:line="440" w:lineRule="exact"/>
        <w:ind w:left="484"/>
        <w:textAlignment w:val="baseline"/>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本评标办法未尽事宜由评标委员会集体讨论决定。</w:t>
      </w:r>
    </w:p>
    <w:p w14:paraId="517EE280">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outlineLvl w:val="2"/>
        <w:rPr>
          <w:rFonts w:ascii="宋体" w:hAnsi="宋体" w:eastAsia="宋体" w:cs="宋体"/>
          <w:color w:val="auto"/>
          <w:sz w:val="24"/>
          <w:szCs w:val="24"/>
          <w:highlight w:val="none"/>
        </w:rPr>
      </w:pPr>
      <w:bookmarkStart w:id="242" w:name="bookmark106"/>
      <w:bookmarkEnd w:id="242"/>
      <w:r>
        <w:rPr>
          <w:rFonts w:ascii="Times New Roman" w:hAnsi="Times New Roman" w:eastAsia="Times New Roman" w:cs="Times New Roman"/>
          <w:b/>
          <w:bCs/>
          <w:color w:val="auto"/>
          <w:spacing w:val="-2"/>
          <w:sz w:val="24"/>
          <w:szCs w:val="24"/>
          <w:highlight w:val="none"/>
        </w:rPr>
        <w:t xml:space="preserve">4.10  </w:t>
      </w:r>
      <w:r>
        <w:rPr>
          <w:rFonts w:ascii="宋体" w:hAnsi="宋体" w:eastAsia="宋体" w:cs="宋体"/>
          <w:b/>
          <w:bCs/>
          <w:color w:val="auto"/>
          <w:spacing w:val="-2"/>
          <w:sz w:val="24"/>
          <w:szCs w:val="24"/>
          <w:highlight w:val="none"/>
        </w:rPr>
        <w:t>评标报告</w:t>
      </w:r>
    </w:p>
    <w:p w14:paraId="34840E44">
      <w:pPr>
        <w:keepNext w:val="0"/>
        <w:keepLines w:val="0"/>
        <w:pageBreakBefore w:val="0"/>
        <w:widowControl/>
        <w:kinsoku w:val="0"/>
        <w:wordWrap/>
        <w:overflowPunct/>
        <w:topLinePunct w:val="0"/>
        <w:autoSpaceDE w:val="0"/>
        <w:autoSpaceDN w:val="0"/>
        <w:bidi w:val="0"/>
        <w:adjustRightInd w:val="0"/>
        <w:snapToGrid w:val="0"/>
        <w:spacing w:line="440" w:lineRule="exact"/>
        <w:ind w:left="4" w:right="205" w:firstLine="470"/>
        <w:textAlignment w:val="baseline"/>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4.10.1  </w:t>
      </w:r>
      <w:r>
        <w:rPr>
          <w:rFonts w:ascii="宋体" w:hAnsi="宋体" w:eastAsia="宋体" w:cs="宋体"/>
          <w:color w:val="auto"/>
          <w:spacing w:val="-2"/>
          <w:sz w:val="24"/>
          <w:szCs w:val="24"/>
          <w:highlight w:val="none"/>
        </w:rPr>
        <w:t>评标委员会对投标文件作出的评审结论，</w:t>
      </w:r>
      <w:r>
        <w:rPr>
          <w:rFonts w:ascii="宋体" w:hAnsi="宋体" w:eastAsia="宋体" w:cs="宋体"/>
          <w:color w:val="auto"/>
          <w:spacing w:val="-3"/>
          <w:sz w:val="24"/>
          <w:szCs w:val="24"/>
          <w:highlight w:val="none"/>
        </w:rPr>
        <w:t>应当符合有关法律、法规、规章</w:t>
      </w:r>
      <w:r>
        <w:rPr>
          <w:rFonts w:ascii="宋体" w:hAnsi="宋体" w:eastAsia="宋体" w:cs="宋体"/>
          <w:color w:val="auto"/>
          <w:spacing w:val="-5"/>
          <w:sz w:val="24"/>
          <w:szCs w:val="24"/>
          <w:highlight w:val="none"/>
        </w:rPr>
        <w:t>和招标文件的规定。</w:t>
      </w:r>
    </w:p>
    <w:p w14:paraId="4359A954">
      <w:pPr>
        <w:keepNext w:val="0"/>
        <w:keepLines w:val="0"/>
        <w:pageBreakBefore w:val="0"/>
        <w:widowControl/>
        <w:kinsoku w:val="0"/>
        <w:wordWrap/>
        <w:overflowPunct/>
        <w:topLinePunct w:val="0"/>
        <w:autoSpaceDE w:val="0"/>
        <w:autoSpaceDN w:val="0"/>
        <w:bidi w:val="0"/>
        <w:adjustRightInd w:val="0"/>
        <w:snapToGrid w:val="0"/>
        <w:spacing w:line="440" w:lineRule="exact"/>
        <w:ind w:left="2" w:right="122" w:firstLine="480"/>
        <w:textAlignment w:val="baseline"/>
        <w:rPr>
          <w:rFonts w:ascii="宋体" w:hAnsi="宋体" w:eastAsia="宋体" w:cs="宋体"/>
          <w:color w:val="auto"/>
          <w:sz w:val="24"/>
          <w:szCs w:val="24"/>
          <w:highlight w:val="none"/>
        </w:rPr>
      </w:pPr>
      <w:r>
        <w:rPr>
          <w:rFonts w:ascii="Times New Roman" w:hAnsi="Times New Roman" w:eastAsia="Times New Roman" w:cs="Times New Roman"/>
          <w:b/>
          <w:bCs/>
          <w:color w:val="auto"/>
          <w:spacing w:val="-6"/>
          <w:sz w:val="24"/>
          <w:szCs w:val="24"/>
          <w:highlight w:val="none"/>
        </w:rPr>
        <w:t xml:space="preserve">4.10.2  </w:t>
      </w:r>
      <w:r>
        <w:rPr>
          <w:rFonts w:ascii="宋体" w:hAnsi="宋体" w:eastAsia="宋体" w:cs="宋体"/>
          <w:color w:val="auto"/>
          <w:spacing w:val="-6"/>
          <w:sz w:val="24"/>
          <w:szCs w:val="24"/>
          <w:highlight w:val="none"/>
        </w:rPr>
        <w:t>评标委员会应根据评标情况，推荐中标候选人，</w:t>
      </w:r>
      <w:r>
        <w:rPr>
          <w:rFonts w:ascii="宋体" w:hAnsi="宋体" w:eastAsia="宋体" w:cs="宋体"/>
          <w:color w:val="auto"/>
          <w:spacing w:val="-7"/>
          <w:sz w:val="24"/>
          <w:szCs w:val="24"/>
          <w:highlight w:val="none"/>
        </w:rPr>
        <w:t>并向招标人提交评标报告。</w:t>
      </w:r>
      <w:r>
        <w:rPr>
          <w:rFonts w:ascii="宋体" w:hAnsi="宋体" w:eastAsia="宋体" w:cs="宋体"/>
          <w:color w:val="auto"/>
          <w:spacing w:val="-3"/>
          <w:sz w:val="24"/>
          <w:szCs w:val="24"/>
          <w:highlight w:val="none"/>
        </w:rPr>
        <w:t>评标报告由评标委员会成员起草，评标委员会全体成员应在评标报告上签字确认，评标专家如有保留意见可以在评标报告中阐明。评标委员会成员拒绝在评标报告上签字</w:t>
      </w:r>
      <w:r>
        <w:rPr>
          <w:rFonts w:ascii="宋体" w:hAnsi="宋体" w:eastAsia="宋体" w:cs="宋体"/>
          <w:color w:val="auto"/>
          <w:spacing w:val="-2"/>
          <w:sz w:val="24"/>
          <w:szCs w:val="24"/>
          <w:highlight w:val="none"/>
        </w:rPr>
        <w:t>又不书面说明其不同意见和理由的，视为同意评标结果。</w:t>
      </w:r>
    </w:p>
    <w:p w14:paraId="64B7A3E2">
      <w:pPr>
        <w:keepNext w:val="0"/>
        <w:keepLines w:val="0"/>
        <w:pageBreakBefore w:val="0"/>
        <w:widowControl/>
        <w:kinsoku w:val="0"/>
        <w:wordWrap/>
        <w:overflowPunct/>
        <w:topLinePunct w:val="0"/>
        <w:autoSpaceDE w:val="0"/>
        <w:autoSpaceDN w:val="0"/>
        <w:bidi w:val="0"/>
        <w:adjustRightInd w:val="0"/>
        <w:snapToGrid w:val="0"/>
        <w:spacing w:line="440" w:lineRule="exact"/>
        <w:ind w:left="482"/>
        <w:textAlignment w:val="baseline"/>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4.10.3  </w:t>
      </w:r>
      <w:r>
        <w:rPr>
          <w:rFonts w:ascii="宋体" w:hAnsi="宋体" w:eastAsia="宋体" w:cs="宋体"/>
          <w:color w:val="auto"/>
          <w:spacing w:val="-3"/>
          <w:sz w:val="24"/>
          <w:szCs w:val="24"/>
          <w:highlight w:val="none"/>
        </w:rPr>
        <w:t>评标报告应包括以下内容：</w:t>
      </w:r>
    </w:p>
    <w:p w14:paraId="34E90BF2">
      <w:pPr>
        <w:keepNext w:val="0"/>
        <w:keepLines w:val="0"/>
        <w:pageBreakBefore w:val="0"/>
        <w:widowControl/>
        <w:kinsoku w:val="0"/>
        <w:wordWrap/>
        <w:overflowPunct/>
        <w:topLinePunct w:val="0"/>
        <w:autoSpaceDE w:val="0"/>
        <w:autoSpaceDN w:val="0"/>
        <w:bidi w:val="0"/>
        <w:adjustRightInd w:val="0"/>
        <w:snapToGrid w:val="0"/>
        <w:spacing w:line="440" w:lineRule="exact"/>
        <w:ind w:left="489"/>
        <w:textAlignment w:val="baseline"/>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1</w:t>
      </w:r>
      <w:r>
        <w:rPr>
          <w:rFonts w:ascii="宋体" w:hAnsi="宋体" w:eastAsia="宋体" w:cs="宋体"/>
          <w:color w:val="auto"/>
          <w:spacing w:val="-6"/>
          <w:sz w:val="24"/>
          <w:szCs w:val="24"/>
          <w:highlight w:val="none"/>
        </w:rPr>
        <w:t>）开标记录。</w:t>
      </w:r>
    </w:p>
    <w:p w14:paraId="35470CB3">
      <w:pPr>
        <w:keepNext w:val="0"/>
        <w:keepLines w:val="0"/>
        <w:pageBreakBefore w:val="0"/>
        <w:widowControl/>
        <w:kinsoku w:val="0"/>
        <w:wordWrap/>
        <w:overflowPunct/>
        <w:topLinePunct w:val="0"/>
        <w:autoSpaceDE w:val="0"/>
        <w:autoSpaceDN w:val="0"/>
        <w:bidi w:val="0"/>
        <w:adjustRightInd w:val="0"/>
        <w:snapToGrid w:val="0"/>
        <w:spacing w:line="440" w:lineRule="exact"/>
        <w:ind w:left="489"/>
        <w:textAlignment w:val="baseline"/>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）评标内容、过程和结果。</w:t>
      </w:r>
    </w:p>
    <w:p w14:paraId="6152AF01">
      <w:pPr>
        <w:keepNext w:val="0"/>
        <w:keepLines w:val="0"/>
        <w:pageBreakBefore w:val="0"/>
        <w:widowControl/>
        <w:kinsoku w:val="0"/>
        <w:wordWrap/>
        <w:overflowPunct/>
        <w:topLinePunct w:val="0"/>
        <w:autoSpaceDE w:val="0"/>
        <w:autoSpaceDN w:val="0"/>
        <w:bidi w:val="0"/>
        <w:adjustRightInd w:val="0"/>
        <w:snapToGrid w:val="0"/>
        <w:spacing w:line="440" w:lineRule="exact"/>
        <w:ind w:left="489"/>
        <w:textAlignment w:val="baseline"/>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）被否决情况说明及依据。</w:t>
      </w:r>
    </w:p>
    <w:p w14:paraId="4BD6DD19">
      <w:pPr>
        <w:keepNext w:val="0"/>
        <w:keepLines w:val="0"/>
        <w:pageBreakBefore w:val="0"/>
        <w:widowControl/>
        <w:kinsoku w:val="0"/>
        <w:wordWrap/>
        <w:overflowPunct/>
        <w:topLinePunct w:val="0"/>
        <w:autoSpaceDE w:val="0"/>
        <w:autoSpaceDN w:val="0"/>
        <w:bidi w:val="0"/>
        <w:adjustRightInd w:val="0"/>
        <w:snapToGrid w:val="0"/>
        <w:spacing w:line="440" w:lineRule="exact"/>
        <w:ind w:left="489"/>
        <w:textAlignment w:val="baseline"/>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4</w:t>
      </w:r>
      <w:r>
        <w:rPr>
          <w:rFonts w:ascii="宋体" w:hAnsi="宋体" w:eastAsia="宋体" w:cs="宋体"/>
          <w:color w:val="auto"/>
          <w:spacing w:val="-5"/>
          <w:sz w:val="24"/>
          <w:szCs w:val="24"/>
          <w:highlight w:val="none"/>
        </w:rPr>
        <w:t>）询标澄清纪要。</w:t>
      </w:r>
    </w:p>
    <w:p w14:paraId="2EF63EC9">
      <w:pPr>
        <w:keepNext w:val="0"/>
        <w:keepLines w:val="0"/>
        <w:pageBreakBefore w:val="0"/>
        <w:widowControl/>
        <w:kinsoku w:val="0"/>
        <w:wordWrap/>
        <w:overflowPunct/>
        <w:topLinePunct w:val="0"/>
        <w:autoSpaceDE w:val="0"/>
        <w:autoSpaceDN w:val="0"/>
        <w:bidi w:val="0"/>
        <w:adjustRightInd w:val="0"/>
        <w:snapToGrid w:val="0"/>
        <w:spacing w:line="440" w:lineRule="exact"/>
        <w:ind w:left="489"/>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5</w:t>
      </w:r>
      <w:r>
        <w:rPr>
          <w:rFonts w:ascii="宋体" w:hAnsi="宋体" w:eastAsia="宋体" w:cs="宋体"/>
          <w:color w:val="auto"/>
          <w:spacing w:val="-3"/>
          <w:sz w:val="24"/>
          <w:szCs w:val="24"/>
          <w:highlight w:val="none"/>
        </w:rPr>
        <w:t>）中标候选人的优劣对比和存在问题。</w:t>
      </w:r>
    </w:p>
    <w:p w14:paraId="1ADE5DE7">
      <w:pPr>
        <w:keepNext w:val="0"/>
        <w:keepLines w:val="0"/>
        <w:pageBreakBefore w:val="0"/>
        <w:widowControl/>
        <w:kinsoku w:val="0"/>
        <w:wordWrap/>
        <w:overflowPunct/>
        <w:topLinePunct w:val="0"/>
        <w:autoSpaceDE w:val="0"/>
        <w:autoSpaceDN w:val="0"/>
        <w:bidi w:val="0"/>
        <w:adjustRightInd w:val="0"/>
        <w:snapToGrid w:val="0"/>
        <w:spacing w:line="440" w:lineRule="exact"/>
        <w:ind w:left="298"/>
        <w:textAlignment w:val="baseline"/>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6</w:t>
      </w:r>
      <w:r>
        <w:rPr>
          <w:rFonts w:ascii="宋体" w:hAnsi="宋体" w:eastAsia="宋体" w:cs="宋体"/>
          <w:color w:val="auto"/>
          <w:spacing w:val="-4"/>
          <w:sz w:val="24"/>
          <w:szCs w:val="24"/>
          <w:highlight w:val="none"/>
        </w:rPr>
        <w:t>）中标候选人投标业绩。</w:t>
      </w:r>
    </w:p>
    <w:p w14:paraId="4CAE53A6">
      <w:pPr>
        <w:keepNext w:val="0"/>
        <w:keepLines w:val="0"/>
        <w:pageBreakBefore w:val="0"/>
        <w:widowControl/>
        <w:kinsoku w:val="0"/>
        <w:wordWrap/>
        <w:overflowPunct/>
        <w:topLinePunct w:val="0"/>
        <w:autoSpaceDE w:val="0"/>
        <w:autoSpaceDN w:val="0"/>
        <w:bidi w:val="0"/>
        <w:adjustRightInd w:val="0"/>
        <w:snapToGrid w:val="0"/>
        <w:spacing w:line="440" w:lineRule="exact"/>
        <w:ind w:left="298"/>
        <w:textAlignment w:val="baseline"/>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7</w:t>
      </w:r>
      <w:r>
        <w:rPr>
          <w:rFonts w:ascii="宋体" w:hAnsi="宋体" w:eastAsia="宋体" w:cs="宋体"/>
          <w:color w:val="auto"/>
          <w:spacing w:val="-6"/>
          <w:sz w:val="24"/>
          <w:szCs w:val="24"/>
          <w:highlight w:val="none"/>
        </w:rPr>
        <w:t>）其他建议。</w:t>
      </w:r>
    </w:p>
    <w:p w14:paraId="6A041AD7">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ascii="宋体" w:hAnsi="宋体" w:eastAsia="宋体" w:cs="宋体"/>
          <w:color w:val="auto"/>
          <w:sz w:val="24"/>
          <w:szCs w:val="24"/>
          <w:highlight w:val="none"/>
        </w:rPr>
        <w:sectPr>
          <w:footerReference r:id="rId26" w:type="default"/>
          <w:pgSz w:w="11907" w:h="16841"/>
          <w:pgMar w:top="1428" w:right="1527" w:bottom="1254" w:left="1785" w:header="0" w:footer="1093" w:gutter="0"/>
          <w:pgNumType w:fmt="decimal"/>
          <w:cols w:space="720" w:num="1"/>
        </w:sectPr>
      </w:pPr>
    </w:p>
    <w:p w14:paraId="341F22C4">
      <w:pPr>
        <w:spacing w:before="56" w:line="219" w:lineRule="auto"/>
        <w:ind w:left="512"/>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附件一：投标文件澄清通知</w:t>
      </w:r>
    </w:p>
    <w:p w14:paraId="27B6933C">
      <w:pPr>
        <w:pStyle w:val="3"/>
        <w:spacing w:line="268" w:lineRule="auto"/>
        <w:rPr>
          <w:color w:val="auto"/>
          <w:highlight w:val="none"/>
        </w:rPr>
      </w:pPr>
    </w:p>
    <w:p w14:paraId="381CA8EA">
      <w:pPr>
        <w:pStyle w:val="3"/>
        <w:spacing w:line="269" w:lineRule="auto"/>
        <w:rPr>
          <w:color w:val="auto"/>
          <w:highlight w:val="none"/>
        </w:rPr>
      </w:pPr>
    </w:p>
    <w:p w14:paraId="4094E9E3">
      <w:pPr>
        <w:spacing w:before="78" w:line="220" w:lineRule="auto"/>
        <w:ind w:left="344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投标文件澄清通知</w:t>
      </w:r>
    </w:p>
    <w:p w14:paraId="58633AFF">
      <w:pPr>
        <w:spacing w:before="182" w:line="220" w:lineRule="auto"/>
        <w:ind w:left="4045"/>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编号：</w:t>
      </w:r>
    </w:p>
    <w:p w14:paraId="0D74E6D7">
      <w:pPr>
        <w:pStyle w:val="3"/>
        <w:spacing w:line="255" w:lineRule="auto"/>
        <w:rPr>
          <w:color w:val="auto"/>
          <w:highlight w:val="none"/>
        </w:rPr>
      </w:pPr>
    </w:p>
    <w:p w14:paraId="285AEA4E">
      <w:pPr>
        <w:pStyle w:val="3"/>
        <w:spacing w:line="255" w:lineRule="auto"/>
        <w:rPr>
          <w:color w:val="auto"/>
          <w:highlight w:val="none"/>
        </w:rPr>
      </w:pPr>
    </w:p>
    <w:p w14:paraId="68C7391D">
      <w:pPr>
        <w:tabs>
          <w:tab w:val="left" w:pos="1800"/>
        </w:tabs>
        <w:spacing w:before="82" w:line="213" w:lineRule="auto"/>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21"/>
          <w:sz w:val="24"/>
          <w:szCs w:val="24"/>
          <w:highlight w:val="none"/>
        </w:rPr>
        <w:t>（</w:t>
      </w:r>
      <w:r>
        <w:rPr>
          <w:rFonts w:ascii="宋体" w:hAnsi="宋体" w:eastAsia="宋体" w:cs="宋体"/>
          <w:color w:val="auto"/>
          <w:spacing w:val="-31"/>
          <w:sz w:val="24"/>
          <w:szCs w:val="24"/>
          <w:highlight w:val="none"/>
        </w:rPr>
        <w:t xml:space="preserve"> </w:t>
      </w:r>
      <w:r>
        <w:rPr>
          <w:rFonts w:ascii="宋体" w:hAnsi="宋体" w:eastAsia="宋体" w:cs="宋体"/>
          <w:i/>
          <w:iCs/>
          <w:color w:val="auto"/>
          <w:spacing w:val="-21"/>
          <w:sz w:val="25"/>
          <w:szCs w:val="25"/>
          <w:highlight w:val="none"/>
        </w:rPr>
        <w:t>投标人名称</w:t>
      </w:r>
      <w:r>
        <w:rPr>
          <w:rFonts w:ascii="宋体" w:hAnsi="宋体" w:eastAsia="宋体" w:cs="宋体"/>
          <w:color w:val="auto"/>
          <w:spacing w:val="-17"/>
          <w:sz w:val="24"/>
          <w:szCs w:val="24"/>
          <w:highlight w:val="none"/>
        </w:rPr>
        <w:t>）：</w:t>
      </w:r>
    </w:p>
    <w:p w14:paraId="7234794E">
      <w:pPr>
        <w:pStyle w:val="3"/>
        <w:spacing w:line="254" w:lineRule="auto"/>
        <w:rPr>
          <w:color w:val="auto"/>
          <w:highlight w:val="none"/>
        </w:rPr>
      </w:pPr>
    </w:p>
    <w:p w14:paraId="49F909F8">
      <w:pPr>
        <w:pStyle w:val="3"/>
        <w:spacing w:line="255" w:lineRule="auto"/>
        <w:rPr>
          <w:color w:val="auto"/>
          <w:highlight w:val="none"/>
        </w:rPr>
      </w:pPr>
    </w:p>
    <w:p w14:paraId="7B2A8D95">
      <w:pPr>
        <w:tabs>
          <w:tab w:val="left" w:pos="2520"/>
        </w:tabs>
        <w:spacing w:before="81" w:line="354" w:lineRule="auto"/>
        <w:ind w:left="10" w:right="11" w:firstLine="469"/>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4"/>
          <w:sz w:val="24"/>
          <w:szCs w:val="24"/>
          <w:highlight w:val="none"/>
        </w:rPr>
        <w:t>（</w:t>
      </w:r>
      <w:r>
        <w:rPr>
          <w:rFonts w:ascii="宋体" w:hAnsi="宋体" w:eastAsia="宋体" w:cs="宋体"/>
          <w:i/>
          <w:iCs/>
          <w:color w:val="auto"/>
          <w:spacing w:val="-4"/>
          <w:sz w:val="25"/>
          <w:szCs w:val="25"/>
          <w:highlight w:val="none"/>
        </w:rPr>
        <w:t>项目名称</w:t>
      </w:r>
      <w:r>
        <w:rPr>
          <w:rFonts w:ascii="宋体" w:hAnsi="宋体" w:eastAsia="宋体" w:cs="宋体"/>
          <w:color w:val="auto"/>
          <w:spacing w:val="-5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52"/>
          <w:sz w:val="24"/>
          <w:szCs w:val="24"/>
          <w:highlight w:val="none"/>
        </w:rPr>
        <w:t>（</w:t>
      </w:r>
      <w:r>
        <w:rPr>
          <w:rFonts w:ascii="宋体" w:hAnsi="宋体" w:eastAsia="宋体" w:cs="宋体"/>
          <w:i/>
          <w:iCs/>
          <w:color w:val="auto"/>
          <w:spacing w:val="-4"/>
          <w:sz w:val="25"/>
          <w:szCs w:val="25"/>
          <w:highlight w:val="none"/>
        </w:rPr>
        <w:t>标段名称</w:t>
      </w:r>
      <w:r>
        <w:rPr>
          <w:rFonts w:ascii="宋体" w:hAnsi="宋体" w:eastAsia="宋体" w:cs="宋体"/>
          <w:color w:val="auto"/>
          <w:spacing w:val="-4"/>
          <w:sz w:val="24"/>
          <w:szCs w:val="24"/>
          <w:highlight w:val="none"/>
        </w:rPr>
        <w:t>）评标委员会对你方的投</w:t>
      </w:r>
      <w:r>
        <w:rPr>
          <w:rFonts w:ascii="宋体" w:hAnsi="宋体" w:eastAsia="宋体" w:cs="宋体"/>
          <w:color w:val="auto"/>
          <w:spacing w:val="-2"/>
          <w:sz w:val="24"/>
          <w:szCs w:val="24"/>
          <w:highlight w:val="none"/>
        </w:rPr>
        <w:t>标文件进行了仔细的审查，现需你方对下列问题以书面形式予以</w:t>
      </w:r>
      <w:r>
        <w:rPr>
          <w:rFonts w:ascii="宋体" w:hAnsi="宋体" w:eastAsia="宋体" w:cs="宋体"/>
          <w:color w:val="auto"/>
          <w:spacing w:val="-3"/>
          <w:sz w:val="24"/>
          <w:szCs w:val="24"/>
          <w:highlight w:val="none"/>
        </w:rPr>
        <w:t>澄清：</w:t>
      </w:r>
    </w:p>
    <w:p w14:paraId="34E4FFC6">
      <w:pPr>
        <w:spacing w:before="37" w:line="178" w:lineRule="auto"/>
        <w:ind w:left="508"/>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9"/>
          <w:sz w:val="24"/>
          <w:szCs w:val="24"/>
          <w:highlight w:val="none"/>
        </w:rPr>
        <w:t>1</w:t>
      </w:r>
      <w:r>
        <w:rPr>
          <w:rFonts w:ascii="Times New Roman" w:hAnsi="Times New Roman" w:eastAsia="Times New Roman" w:cs="Times New Roman"/>
          <w:color w:val="auto"/>
          <w:spacing w:val="-27"/>
          <w:sz w:val="24"/>
          <w:szCs w:val="24"/>
          <w:highlight w:val="none"/>
        </w:rPr>
        <w:t xml:space="preserve"> </w:t>
      </w:r>
      <w:r>
        <w:rPr>
          <w:rFonts w:ascii="宋体" w:hAnsi="宋体" w:eastAsia="宋体" w:cs="宋体"/>
          <w:color w:val="auto"/>
          <w:spacing w:val="-19"/>
          <w:sz w:val="24"/>
          <w:szCs w:val="24"/>
          <w:highlight w:val="none"/>
        </w:rPr>
        <w:t>．</w:t>
      </w:r>
      <w:r>
        <w:rPr>
          <w:rFonts w:ascii="宋体" w:hAnsi="宋体" w:eastAsia="宋体" w:cs="宋体"/>
          <w:color w:val="auto"/>
          <w:spacing w:val="-93"/>
          <w:sz w:val="24"/>
          <w:szCs w:val="24"/>
          <w:highlight w:val="none"/>
        </w:rPr>
        <w:t xml:space="preserve"> </w:t>
      </w:r>
      <w:r>
        <w:rPr>
          <w:rFonts w:ascii="Times New Roman" w:hAnsi="Times New Roman" w:eastAsia="Times New Roman" w:cs="Times New Roman"/>
          <w:color w:val="auto"/>
          <w:spacing w:val="-19"/>
          <w:sz w:val="24"/>
          <w:szCs w:val="24"/>
          <w:highlight w:val="none"/>
        </w:rPr>
        <w:t>……</w:t>
      </w:r>
    </w:p>
    <w:p w14:paraId="1DD9FA3C">
      <w:pPr>
        <w:spacing w:before="236" w:line="178" w:lineRule="auto"/>
        <w:ind w:left="485"/>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3"/>
          <w:sz w:val="24"/>
          <w:szCs w:val="24"/>
          <w:highlight w:val="none"/>
        </w:rPr>
        <w:t>2</w:t>
      </w:r>
      <w:r>
        <w:rPr>
          <w:rFonts w:ascii="Times New Roman" w:hAnsi="Times New Roman" w:eastAsia="Times New Roman" w:cs="Times New Roman"/>
          <w:color w:val="auto"/>
          <w:spacing w:val="-28"/>
          <w:sz w:val="24"/>
          <w:szCs w:val="24"/>
          <w:highlight w:val="none"/>
        </w:rPr>
        <w:t xml:space="preserve"> </w:t>
      </w:r>
      <w:r>
        <w:rPr>
          <w:rFonts w:ascii="宋体" w:hAnsi="宋体" w:eastAsia="宋体" w:cs="宋体"/>
          <w:color w:val="auto"/>
          <w:spacing w:val="-13"/>
          <w:sz w:val="24"/>
          <w:szCs w:val="24"/>
          <w:highlight w:val="none"/>
        </w:rPr>
        <w:t>．</w:t>
      </w:r>
      <w:r>
        <w:rPr>
          <w:rFonts w:ascii="宋体" w:hAnsi="宋体" w:eastAsia="宋体" w:cs="宋体"/>
          <w:color w:val="auto"/>
          <w:spacing w:val="-93"/>
          <w:sz w:val="24"/>
          <w:szCs w:val="24"/>
          <w:highlight w:val="none"/>
        </w:rPr>
        <w:t xml:space="preserve"> </w:t>
      </w:r>
      <w:r>
        <w:rPr>
          <w:rFonts w:ascii="Times New Roman" w:hAnsi="Times New Roman" w:eastAsia="Times New Roman" w:cs="Times New Roman"/>
          <w:color w:val="auto"/>
          <w:spacing w:val="-13"/>
          <w:sz w:val="24"/>
          <w:szCs w:val="24"/>
          <w:highlight w:val="none"/>
        </w:rPr>
        <w:t>……</w:t>
      </w:r>
    </w:p>
    <w:p w14:paraId="1149D209">
      <w:pPr>
        <w:pStyle w:val="3"/>
        <w:spacing w:line="283" w:lineRule="auto"/>
        <w:rPr>
          <w:color w:val="auto"/>
          <w:highlight w:val="none"/>
        </w:rPr>
      </w:pPr>
    </w:p>
    <w:p w14:paraId="07EF4782">
      <w:pPr>
        <w:spacing w:before="69" w:line="75" w:lineRule="exact"/>
        <w:ind w:left="506"/>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p w14:paraId="012F18E1">
      <w:pPr>
        <w:pStyle w:val="3"/>
        <w:spacing w:line="256" w:lineRule="auto"/>
        <w:rPr>
          <w:color w:val="auto"/>
          <w:highlight w:val="none"/>
        </w:rPr>
      </w:pPr>
    </w:p>
    <w:p w14:paraId="29D28656">
      <w:pPr>
        <w:pStyle w:val="3"/>
        <w:spacing w:line="256" w:lineRule="auto"/>
        <w:rPr>
          <w:color w:val="auto"/>
          <w:highlight w:val="none"/>
        </w:rPr>
      </w:pPr>
    </w:p>
    <w:p w14:paraId="2B92FA96">
      <w:pPr>
        <w:pStyle w:val="3"/>
        <w:spacing w:line="256" w:lineRule="auto"/>
        <w:rPr>
          <w:color w:val="auto"/>
          <w:highlight w:val="none"/>
        </w:rPr>
      </w:pPr>
    </w:p>
    <w:p w14:paraId="211E9DF3">
      <w:pPr>
        <w:pStyle w:val="3"/>
        <w:spacing w:line="256" w:lineRule="auto"/>
        <w:rPr>
          <w:color w:val="auto"/>
          <w:highlight w:val="none"/>
        </w:rPr>
      </w:pPr>
    </w:p>
    <w:p w14:paraId="38F119CC">
      <w:pPr>
        <w:pStyle w:val="3"/>
        <w:spacing w:line="257" w:lineRule="auto"/>
        <w:rPr>
          <w:color w:val="auto"/>
          <w:highlight w:val="none"/>
        </w:rPr>
      </w:pPr>
    </w:p>
    <w:p w14:paraId="2B453644">
      <w:pPr>
        <w:pStyle w:val="3"/>
        <w:spacing w:line="257" w:lineRule="auto"/>
        <w:rPr>
          <w:color w:val="auto"/>
          <w:highlight w:val="none"/>
        </w:rPr>
      </w:pPr>
    </w:p>
    <w:p w14:paraId="0CB75178">
      <w:pPr>
        <w:pStyle w:val="3"/>
        <w:spacing w:line="257" w:lineRule="auto"/>
        <w:rPr>
          <w:color w:val="auto"/>
          <w:highlight w:val="none"/>
        </w:rPr>
      </w:pPr>
    </w:p>
    <w:p w14:paraId="2426F2F5">
      <w:pPr>
        <w:pStyle w:val="3"/>
        <w:spacing w:line="257" w:lineRule="auto"/>
        <w:rPr>
          <w:color w:val="auto"/>
          <w:highlight w:val="none"/>
        </w:rPr>
      </w:pPr>
    </w:p>
    <w:p w14:paraId="0366C2F3">
      <w:pPr>
        <w:pStyle w:val="3"/>
        <w:spacing w:line="257" w:lineRule="auto"/>
        <w:rPr>
          <w:color w:val="auto"/>
          <w:highlight w:val="none"/>
        </w:rPr>
      </w:pPr>
    </w:p>
    <w:p w14:paraId="439B2880">
      <w:pPr>
        <w:pStyle w:val="3"/>
        <w:spacing w:line="257" w:lineRule="auto"/>
        <w:rPr>
          <w:color w:val="auto"/>
          <w:highlight w:val="none"/>
        </w:rPr>
      </w:pPr>
    </w:p>
    <w:p w14:paraId="1FD68DB8">
      <w:pPr>
        <w:spacing w:before="78" w:line="219" w:lineRule="auto"/>
        <w:ind w:left="300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评标委员会负责人</w:t>
      </w:r>
      <w:r>
        <w:rPr>
          <w:rFonts w:ascii="宋体" w:hAnsi="宋体" w:eastAsia="宋体" w:cs="宋体"/>
          <w:color w:val="auto"/>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w:t>
      </w:r>
      <w:r>
        <w:rPr>
          <w:rFonts w:ascii="宋体" w:hAnsi="宋体" w:eastAsia="宋体" w:cs="宋体"/>
          <w:color w:val="auto"/>
          <w:spacing w:val="-2"/>
          <w:sz w:val="24"/>
          <w:szCs w:val="24"/>
          <w:highlight w:val="none"/>
        </w:rPr>
        <w:t>签字）</w:t>
      </w:r>
    </w:p>
    <w:p w14:paraId="6F3F2BC8">
      <w:pPr>
        <w:pStyle w:val="3"/>
        <w:spacing w:line="257" w:lineRule="auto"/>
        <w:rPr>
          <w:color w:val="auto"/>
          <w:highlight w:val="none"/>
        </w:rPr>
      </w:pPr>
    </w:p>
    <w:p w14:paraId="20E73B5C">
      <w:pPr>
        <w:pStyle w:val="3"/>
        <w:spacing w:line="257" w:lineRule="auto"/>
        <w:rPr>
          <w:color w:val="auto"/>
          <w:highlight w:val="none"/>
        </w:rPr>
      </w:pPr>
    </w:p>
    <w:p w14:paraId="7B86578B">
      <w:pPr>
        <w:tabs>
          <w:tab w:val="left" w:pos="5160"/>
        </w:tabs>
        <w:spacing w:before="79" w:line="220" w:lineRule="auto"/>
        <w:ind w:left="4560"/>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10"/>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66E79D25">
      <w:pPr>
        <w:spacing w:line="220" w:lineRule="auto"/>
        <w:rPr>
          <w:rFonts w:ascii="宋体" w:hAnsi="宋体" w:eastAsia="宋体" w:cs="宋体"/>
          <w:color w:val="auto"/>
          <w:sz w:val="24"/>
          <w:szCs w:val="24"/>
          <w:highlight w:val="none"/>
        </w:rPr>
        <w:sectPr>
          <w:footerReference r:id="rId27" w:type="default"/>
          <w:pgSz w:w="11907" w:h="16841"/>
          <w:pgMar w:top="1425" w:right="1527" w:bottom="1254" w:left="1588" w:header="0" w:footer="1093" w:gutter="0"/>
          <w:pgNumType w:fmt="decimal"/>
          <w:cols w:space="720" w:num="1"/>
        </w:sectPr>
      </w:pPr>
    </w:p>
    <w:p w14:paraId="70376409">
      <w:pPr>
        <w:spacing w:before="56" w:line="219" w:lineRule="auto"/>
        <w:ind w:left="32"/>
        <w:outlineLvl w:val="1"/>
        <w:rPr>
          <w:rFonts w:ascii="宋体" w:hAnsi="宋体" w:eastAsia="宋体" w:cs="宋体"/>
          <w:color w:val="auto"/>
          <w:sz w:val="28"/>
          <w:szCs w:val="28"/>
          <w:highlight w:val="none"/>
        </w:rPr>
      </w:pPr>
      <w:bookmarkStart w:id="243" w:name="bookmark140"/>
      <w:bookmarkEnd w:id="243"/>
      <w:bookmarkStart w:id="244" w:name="_Toc6355"/>
      <w:bookmarkStart w:id="245" w:name="_Toc22229"/>
      <w:r>
        <w:rPr>
          <w:rFonts w:ascii="宋体" w:hAnsi="宋体" w:eastAsia="宋体" w:cs="宋体"/>
          <w:b/>
          <w:bCs/>
          <w:color w:val="auto"/>
          <w:spacing w:val="-8"/>
          <w:sz w:val="28"/>
          <w:szCs w:val="28"/>
          <w:highlight w:val="none"/>
        </w:rPr>
        <w:t>附件二：投标文件澄清函</w:t>
      </w:r>
      <w:bookmarkEnd w:id="244"/>
      <w:bookmarkEnd w:id="245"/>
    </w:p>
    <w:p w14:paraId="4AC6BF7A">
      <w:pPr>
        <w:pStyle w:val="3"/>
        <w:spacing w:line="328" w:lineRule="auto"/>
        <w:rPr>
          <w:color w:val="auto"/>
          <w:highlight w:val="none"/>
        </w:rPr>
      </w:pPr>
    </w:p>
    <w:p w14:paraId="13272F8B">
      <w:pPr>
        <w:pStyle w:val="3"/>
        <w:spacing w:line="328" w:lineRule="auto"/>
        <w:rPr>
          <w:color w:val="auto"/>
          <w:highlight w:val="none"/>
        </w:rPr>
      </w:pPr>
    </w:p>
    <w:p w14:paraId="4FF15452">
      <w:pPr>
        <w:spacing w:before="78" w:line="220" w:lineRule="auto"/>
        <w:ind w:left="356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投标文件澄清函</w:t>
      </w:r>
    </w:p>
    <w:p w14:paraId="345488F1">
      <w:pPr>
        <w:spacing w:before="182" w:line="220" w:lineRule="auto"/>
        <w:ind w:left="4045"/>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编号：</w:t>
      </w:r>
    </w:p>
    <w:p w14:paraId="70909830">
      <w:pPr>
        <w:pStyle w:val="3"/>
        <w:spacing w:line="255" w:lineRule="auto"/>
        <w:rPr>
          <w:color w:val="auto"/>
          <w:highlight w:val="none"/>
        </w:rPr>
      </w:pPr>
    </w:p>
    <w:p w14:paraId="69762F92">
      <w:pPr>
        <w:pStyle w:val="3"/>
        <w:spacing w:line="256" w:lineRule="auto"/>
        <w:rPr>
          <w:color w:val="auto"/>
          <w:highlight w:val="none"/>
        </w:rPr>
      </w:pPr>
    </w:p>
    <w:p w14:paraId="13A1F2B8">
      <w:pPr>
        <w:tabs>
          <w:tab w:val="left" w:pos="2160"/>
        </w:tabs>
        <w:spacing w:before="81" w:line="212" w:lineRule="auto"/>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5"/>
          <w:sz w:val="24"/>
          <w:szCs w:val="24"/>
          <w:highlight w:val="none"/>
        </w:rPr>
        <w:t>（</w:t>
      </w:r>
      <w:r>
        <w:rPr>
          <w:rFonts w:ascii="宋体" w:hAnsi="宋体" w:eastAsia="宋体" w:cs="宋体"/>
          <w:i/>
          <w:iCs/>
          <w:color w:val="auto"/>
          <w:spacing w:val="-5"/>
          <w:sz w:val="25"/>
          <w:szCs w:val="25"/>
          <w:highlight w:val="none"/>
        </w:rPr>
        <w:t>项目名称</w:t>
      </w:r>
      <w:r>
        <w:rPr>
          <w:rFonts w:ascii="宋体" w:hAnsi="宋体" w:eastAsia="宋体" w:cs="宋体"/>
          <w:color w:val="auto"/>
          <w:spacing w:val="-23"/>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3"/>
          <w:sz w:val="24"/>
          <w:szCs w:val="24"/>
          <w:highlight w:val="none"/>
        </w:rPr>
        <w:t>（</w:t>
      </w:r>
      <w:r>
        <w:rPr>
          <w:rFonts w:ascii="宋体" w:hAnsi="宋体" w:eastAsia="宋体" w:cs="宋体"/>
          <w:i/>
          <w:iCs/>
          <w:color w:val="auto"/>
          <w:spacing w:val="-5"/>
          <w:sz w:val="25"/>
          <w:szCs w:val="25"/>
          <w:highlight w:val="none"/>
        </w:rPr>
        <w:t>标段名称</w:t>
      </w:r>
      <w:r>
        <w:rPr>
          <w:rFonts w:ascii="宋体" w:hAnsi="宋体" w:eastAsia="宋体" w:cs="宋体"/>
          <w:color w:val="auto"/>
          <w:spacing w:val="-5"/>
          <w:sz w:val="24"/>
          <w:szCs w:val="24"/>
          <w:highlight w:val="none"/>
        </w:rPr>
        <w:t>）评标委员会：</w:t>
      </w:r>
    </w:p>
    <w:p w14:paraId="482D09AA">
      <w:pPr>
        <w:pStyle w:val="3"/>
        <w:spacing w:line="255" w:lineRule="auto"/>
        <w:rPr>
          <w:color w:val="auto"/>
          <w:highlight w:val="none"/>
        </w:rPr>
      </w:pPr>
    </w:p>
    <w:p w14:paraId="2E96AF14">
      <w:pPr>
        <w:pStyle w:val="3"/>
        <w:spacing w:line="256" w:lineRule="auto"/>
        <w:rPr>
          <w:color w:val="auto"/>
          <w:highlight w:val="none"/>
        </w:rPr>
      </w:pPr>
    </w:p>
    <w:p w14:paraId="72A91582">
      <w:pPr>
        <w:spacing w:before="78" w:line="220"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投标文件澄清通知（编号</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）已收悉，现就有关问题澄清如下：</w:t>
      </w:r>
    </w:p>
    <w:p w14:paraId="254A2C68">
      <w:pPr>
        <w:spacing w:before="227" w:line="178" w:lineRule="auto"/>
        <w:ind w:left="508"/>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9"/>
          <w:sz w:val="24"/>
          <w:szCs w:val="24"/>
          <w:highlight w:val="none"/>
        </w:rPr>
        <w:t>1</w:t>
      </w:r>
      <w:r>
        <w:rPr>
          <w:rFonts w:ascii="Times New Roman" w:hAnsi="Times New Roman" w:eastAsia="Times New Roman" w:cs="Times New Roman"/>
          <w:color w:val="auto"/>
          <w:spacing w:val="-27"/>
          <w:sz w:val="24"/>
          <w:szCs w:val="24"/>
          <w:highlight w:val="none"/>
        </w:rPr>
        <w:t xml:space="preserve"> </w:t>
      </w:r>
      <w:r>
        <w:rPr>
          <w:rFonts w:ascii="宋体" w:hAnsi="宋体" w:eastAsia="宋体" w:cs="宋体"/>
          <w:color w:val="auto"/>
          <w:spacing w:val="-19"/>
          <w:sz w:val="24"/>
          <w:szCs w:val="24"/>
          <w:highlight w:val="none"/>
        </w:rPr>
        <w:t>．</w:t>
      </w:r>
      <w:r>
        <w:rPr>
          <w:rFonts w:ascii="宋体" w:hAnsi="宋体" w:eastAsia="宋体" w:cs="宋体"/>
          <w:color w:val="auto"/>
          <w:spacing w:val="-93"/>
          <w:sz w:val="24"/>
          <w:szCs w:val="24"/>
          <w:highlight w:val="none"/>
        </w:rPr>
        <w:t xml:space="preserve"> </w:t>
      </w:r>
      <w:r>
        <w:rPr>
          <w:rFonts w:ascii="Times New Roman" w:hAnsi="Times New Roman" w:eastAsia="Times New Roman" w:cs="Times New Roman"/>
          <w:color w:val="auto"/>
          <w:spacing w:val="-19"/>
          <w:sz w:val="24"/>
          <w:szCs w:val="24"/>
          <w:highlight w:val="none"/>
        </w:rPr>
        <w:t>……</w:t>
      </w:r>
    </w:p>
    <w:p w14:paraId="17510FDD">
      <w:pPr>
        <w:spacing w:before="234" w:line="178" w:lineRule="auto"/>
        <w:ind w:left="485"/>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3"/>
          <w:sz w:val="24"/>
          <w:szCs w:val="24"/>
          <w:highlight w:val="none"/>
        </w:rPr>
        <w:t>2</w:t>
      </w:r>
      <w:r>
        <w:rPr>
          <w:rFonts w:ascii="Times New Roman" w:hAnsi="Times New Roman" w:eastAsia="Times New Roman" w:cs="Times New Roman"/>
          <w:color w:val="auto"/>
          <w:spacing w:val="-28"/>
          <w:sz w:val="24"/>
          <w:szCs w:val="24"/>
          <w:highlight w:val="none"/>
        </w:rPr>
        <w:t xml:space="preserve"> </w:t>
      </w:r>
      <w:r>
        <w:rPr>
          <w:rFonts w:ascii="宋体" w:hAnsi="宋体" w:eastAsia="宋体" w:cs="宋体"/>
          <w:color w:val="auto"/>
          <w:spacing w:val="-13"/>
          <w:sz w:val="24"/>
          <w:szCs w:val="24"/>
          <w:highlight w:val="none"/>
        </w:rPr>
        <w:t>．</w:t>
      </w:r>
      <w:r>
        <w:rPr>
          <w:rFonts w:ascii="宋体" w:hAnsi="宋体" w:eastAsia="宋体" w:cs="宋体"/>
          <w:color w:val="auto"/>
          <w:spacing w:val="-93"/>
          <w:sz w:val="24"/>
          <w:szCs w:val="24"/>
          <w:highlight w:val="none"/>
        </w:rPr>
        <w:t xml:space="preserve"> </w:t>
      </w:r>
      <w:r>
        <w:rPr>
          <w:rFonts w:ascii="Times New Roman" w:hAnsi="Times New Roman" w:eastAsia="Times New Roman" w:cs="Times New Roman"/>
          <w:color w:val="auto"/>
          <w:spacing w:val="-13"/>
          <w:sz w:val="24"/>
          <w:szCs w:val="24"/>
          <w:highlight w:val="none"/>
        </w:rPr>
        <w:t>……</w:t>
      </w:r>
    </w:p>
    <w:p w14:paraId="058EAAF6">
      <w:pPr>
        <w:pStyle w:val="3"/>
        <w:spacing w:line="285" w:lineRule="auto"/>
        <w:rPr>
          <w:color w:val="auto"/>
          <w:highlight w:val="none"/>
        </w:rPr>
      </w:pPr>
    </w:p>
    <w:p w14:paraId="213AF6E7">
      <w:pPr>
        <w:spacing w:before="70" w:line="74" w:lineRule="exact"/>
        <w:ind w:left="506"/>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p w14:paraId="3CB74DD2">
      <w:pPr>
        <w:pStyle w:val="3"/>
        <w:spacing w:line="247" w:lineRule="auto"/>
        <w:rPr>
          <w:color w:val="auto"/>
          <w:highlight w:val="none"/>
        </w:rPr>
      </w:pPr>
    </w:p>
    <w:p w14:paraId="4DA7B3AD">
      <w:pPr>
        <w:pStyle w:val="3"/>
        <w:spacing w:line="247" w:lineRule="auto"/>
        <w:rPr>
          <w:color w:val="auto"/>
          <w:highlight w:val="none"/>
        </w:rPr>
      </w:pPr>
    </w:p>
    <w:p w14:paraId="12B0C6A9">
      <w:pPr>
        <w:pStyle w:val="3"/>
        <w:spacing w:line="248" w:lineRule="auto"/>
        <w:rPr>
          <w:color w:val="auto"/>
          <w:highlight w:val="none"/>
        </w:rPr>
      </w:pPr>
    </w:p>
    <w:p w14:paraId="2174F669">
      <w:pPr>
        <w:pStyle w:val="3"/>
        <w:spacing w:line="248" w:lineRule="auto"/>
        <w:rPr>
          <w:color w:val="auto"/>
          <w:highlight w:val="none"/>
        </w:rPr>
      </w:pPr>
    </w:p>
    <w:p w14:paraId="073F00E0">
      <w:pPr>
        <w:pStyle w:val="3"/>
        <w:spacing w:line="248" w:lineRule="auto"/>
        <w:rPr>
          <w:color w:val="auto"/>
          <w:highlight w:val="none"/>
        </w:rPr>
      </w:pPr>
    </w:p>
    <w:p w14:paraId="50FD9F60">
      <w:pPr>
        <w:pStyle w:val="3"/>
        <w:spacing w:line="248" w:lineRule="auto"/>
        <w:rPr>
          <w:color w:val="auto"/>
          <w:highlight w:val="none"/>
        </w:rPr>
      </w:pPr>
    </w:p>
    <w:p w14:paraId="26657D30">
      <w:pPr>
        <w:pStyle w:val="3"/>
        <w:spacing w:line="248" w:lineRule="auto"/>
        <w:rPr>
          <w:color w:val="auto"/>
          <w:highlight w:val="none"/>
        </w:rPr>
      </w:pPr>
    </w:p>
    <w:p w14:paraId="54B76F30">
      <w:pPr>
        <w:pStyle w:val="3"/>
        <w:spacing w:line="248" w:lineRule="auto"/>
        <w:rPr>
          <w:color w:val="auto"/>
          <w:highlight w:val="none"/>
        </w:rPr>
      </w:pPr>
    </w:p>
    <w:p w14:paraId="0D7F870B">
      <w:pPr>
        <w:pStyle w:val="3"/>
        <w:spacing w:line="248" w:lineRule="auto"/>
        <w:rPr>
          <w:color w:val="auto"/>
          <w:highlight w:val="none"/>
        </w:rPr>
      </w:pPr>
    </w:p>
    <w:p w14:paraId="65606822">
      <w:pPr>
        <w:pStyle w:val="3"/>
        <w:spacing w:line="248" w:lineRule="auto"/>
        <w:rPr>
          <w:color w:val="auto"/>
          <w:highlight w:val="none"/>
        </w:rPr>
      </w:pPr>
    </w:p>
    <w:p w14:paraId="7954CA4D">
      <w:pPr>
        <w:pStyle w:val="3"/>
        <w:spacing w:line="248" w:lineRule="auto"/>
        <w:rPr>
          <w:color w:val="auto"/>
          <w:highlight w:val="none"/>
        </w:rPr>
      </w:pPr>
    </w:p>
    <w:p w14:paraId="51CD6B3D">
      <w:pPr>
        <w:pStyle w:val="3"/>
        <w:spacing w:line="248" w:lineRule="auto"/>
        <w:rPr>
          <w:color w:val="auto"/>
          <w:highlight w:val="none"/>
        </w:rPr>
      </w:pPr>
    </w:p>
    <w:p w14:paraId="2BEB7BE2">
      <w:pPr>
        <w:spacing w:before="79" w:line="219" w:lineRule="auto"/>
        <w:ind w:left="301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盖单位章）</w:t>
      </w:r>
    </w:p>
    <w:p w14:paraId="4A5FC185">
      <w:pPr>
        <w:pStyle w:val="3"/>
        <w:spacing w:line="257" w:lineRule="auto"/>
        <w:rPr>
          <w:color w:val="auto"/>
          <w:highlight w:val="none"/>
        </w:rPr>
      </w:pPr>
    </w:p>
    <w:p w14:paraId="698FBE19">
      <w:pPr>
        <w:pStyle w:val="3"/>
        <w:spacing w:line="257" w:lineRule="auto"/>
        <w:rPr>
          <w:color w:val="auto"/>
          <w:highlight w:val="none"/>
        </w:rPr>
      </w:pPr>
    </w:p>
    <w:p w14:paraId="1D443BA1">
      <w:pPr>
        <w:spacing w:before="78" w:line="220" w:lineRule="auto"/>
        <w:ind w:left="30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法定代表人或委托代理人</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2"/>
          <w:sz w:val="24"/>
          <w:szCs w:val="24"/>
          <w:highlight w:val="none"/>
        </w:rPr>
        <w:t>签字）</w:t>
      </w:r>
    </w:p>
    <w:p w14:paraId="141B14B9">
      <w:pPr>
        <w:pStyle w:val="3"/>
        <w:spacing w:line="308" w:lineRule="auto"/>
        <w:rPr>
          <w:color w:val="auto"/>
          <w:highlight w:val="none"/>
        </w:rPr>
      </w:pPr>
    </w:p>
    <w:p w14:paraId="6D2AE666">
      <w:pPr>
        <w:pStyle w:val="3"/>
        <w:spacing w:line="309" w:lineRule="auto"/>
        <w:rPr>
          <w:color w:val="auto"/>
          <w:highlight w:val="none"/>
        </w:rPr>
      </w:pPr>
    </w:p>
    <w:p w14:paraId="436BC319">
      <w:pPr>
        <w:pStyle w:val="3"/>
        <w:spacing w:line="309" w:lineRule="auto"/>
        <w:rPr>
          <w:color w:val="auto"/>
          <w:highlight w:val="none"/>
        </w:rPr>
      </w:pPr>
    </w:p>
    <w:p w14:paraId="5251E2E0">
      <w:pPr>
        <w:tabs>
          <w:tab w:val="left" w:pos="5760"/>
        </w:tabs>
        <w:spacing w:before="78" w:line="220" w:lineRule="auto"/>
        <w:ind w:left="5160"/>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10"/>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2555736D">
      <w:pPr>
        <w:spacing w:line="220" w:lineRule="auto"/>
        <w:rPr>
          <w:rFonts w:ascii="宋体" w:hAnsi="宋体" w:eastAsia="宋体" w:cs="宋体"/>
          <w:color w:val="auto"/>
          <w:sz w:val="24"/>
          <w:szCs w:val="24"/>
          <w:highlight w:val="none"/>
        </w:rPr>
        <w:sectPr>
          <w:footerReference r:id="rId28" w:type="default"/>
          <w:pgSz w:w="11907" w:h="16841"/>
          <w:pgMar w:top="1425" w:right="1527" w:bottom="1254" w:left="1588" w:header="0" w:footer="1093" w:gutter="0"/>
          <w:pgNumType w:fmt="decimal"/>
          <w:cols w:space="720" w:num="1"/>
        </w:sectPr>
      </w:pPr>
    </w:p>
    <w:p w14:paraId="67C292AA">
      <w:pPr>
        <w:spacing w:before="71" w:line="219" w:lineRule="auto"/>
        <w:ind w:left="2410"/>
        <w:outlineLvl w:val="0"/>
        <w:rPr>
          <w:rFonts w:ascii="宋体" w:hAnsi="宋体" w:eastAsia="宋体" w:cs="宋体"/>
          <w:color w:val="auto"/>
          <w:sz w:val="36"/>
          <w:szCs w:val="36"/>
          <w:highlight w:val="none"/>
        </w:rPr>
      </w:pPr>
      <w:bookmarkStart w:id="246" w:name="bookmark141"/>
      <w:bookmarkEnd w:id="246"/>
      <w:bookmarkStart w:id="247" w:name="bookmark143"/>
      <w:bookmarkEnd w:id="247"/>
      <w:bookmarkStart w:id="248" w:name="bookmark144"/>
      <w:bookmarkEnd w:id="248"/>
      <w:bookmarkStart w:id="249" w:name="bookmark142"/>
      <w:bookmarkEnd w:id="249"/>
      <w:bookmarkStart w:id="250" w:name="_Toc15567"/>
      <w:bookmarkStart w:id="251" w:name="_Toc31467"/>
      <w:r>
        <w:rPr>
          <w:rFonts w:ascii="宋体" w:hAnsi="宋体" w:eastAsia="宋体" w:cs="宋体"/>
          <w:b/>
          <w:bCs/>
          <w:color w:val="auto"/>
          <w:spacing w:val="-3"/>
          <w:sz w:val="36"/>
          <w:szCs w:val="36"/>
          <w:highlight w:val="none"/>
        </w:rPr>
        <w:t>第四章</w:t>
      </w:r>
      <w:r>
        <w:rPr>
          <w:rFonts w:ascii="宋体" w:hAnsi="宋体" w:eastAsia="宋体" w:cs="宋体"/>
          <w:color w:val="auto"/>
          <w:spacing w:val="-3"/>
          <w:sz w:val="36"/>
          <w:szCs w:val="36"/>
          <w:highlight w:val="none"/>
        </w:rPr>
        <w:t xml:space="preserve">  </w:t>
      </w:r>
      <w:r>
        <w:rPr>
          <w:rFonts w:ascii="宋体" w:hAnsi="宋体" w:eastAsia="宋体" w:cs="宋体"/>
          <w:b/>
          <w:bCs/>
          <w:color w:val="auto"/>
          <w:spacing w:val="-3"/>
          <w:sz w:val="36"/>
          <w:szCs w:val="36"/>
          <w:highlight w:val="none"/>
        </w:rPr>
        <w:t>合同条款及格式</w:t>
      </w:r>
      <w:bookmarkEnd w:id="250"/>
      <w:bookmarkEnd w:id="251"/>
    </w:p>
    <w:p w14:paraId="4B28E12E">
      <w:pPr>
        <w:spacing w:before="273" w:line="225" w:lineRule="auto"/>
        <w:ind w:left="2790"/>
        <w:outlineLvl w:val="1"/>
        <w:rPr>
          <w:rFonts w:ascii="宋体" w:hAnsi="宋体" w:eastAsia="宋体" w:cs="宋体"/>
          <w:color w:val="auto"/>
          <w:sz w:val="31"/>
          <w:szCs w:val="31"/>
          <w:highlight w:val="none"/>
        </w:rPr>
      </w:pPr>
      <w:bookmarkStart w:id="252" w:name="bookmark684"/>
      <w:bookmarkEnd w:id="252"/>
      <w:bookmarkStart w:id="253" w:name="_Toc22425"/>
      <w:bookmarkStart w:id="254" w:name="_Toc1847"/>
      <w:r>
        <w:rPr>
          <w:rFonts w:ascii="宋体" w:hAnsi="宋体" w:eastAsia="宋体" w:cs="宋体"/>
          <w:b/>
          <w:bCs/>
          <w:color w:val="auto"/>
          <w:spacing w:val="6"/>
          <w:sz w:val="31"/>
          <w:szCs w:val="31"/>
          <w:highlight w:val="none"/>
        </w:rPr>
        <w:t>第一节</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通用合同条款</w:t>
      </w:r>
      <w:bookmarkEnd w:id="253"/>
      <w:bookmarkEnd w:id="254"/>
    </w:p>
    <w:p w14:paraId="1E3A6307">
      <w:pPr>
        <w:pStyle w:val="3"/>
        <w:spacing w:line="265" w:lineRule="auto"/>
        <w:rPr>
          <w:color w:val="auto"/>
          <w:highlight w:val="none"/>
        </w:rPr>
      </w:pPr>
    </w:p>
    <w:p w14:paraId="3308F462">
      <w:pPr>
        <w:spacing w:before="91" w:line="221" w:lineRule="auto"/>
        <w:ind w:left="10"/>
        <w:outlineLvl w:val="1"/>
        <w:rPr>
          <w:rFonts w:ascii="宋体" w:hAnsi="宋体" w:eastAsia="宋体" w:cs="宋体"/>
          <w:color w:val="auto"/>
          <w:sz w:val="28"/>
          <w:szCs w:val="28"/>
          <w:highlight w:val="none"/>
        </w:rPr>
      </w:pPr>
      <w:bookmarkStart w:id="255" w:name="bookmark685"/>
      <w:bookmarkEnd w:id="255"/>
      <w:bookmarkStart w:id="256" w:name="_Toc29353"/>
      <w:bookmarkStart w:id="257" w:name="_Toc23900"/>
      <w:r>
        <w:rPr>
          <w:rFonts w:ascii="Times New Roman" w:hAnsi="Times New Roman" w:eastAsia="Times New Roman" w:cs="Times New Roman"/>
          <w:b/>
          <w:bCs/>
          <w:color w:val="auto"/>
          <w:spacing w:val="-9"/>
          <w:sz w:val="28"/>
          <w:szCs w:val="28"/>
          <w:highlight w:val="none"/>
        </w:rPr>
        <w:t>1</w:t>
      </w:r>
      <w:r>
        <w:rPr>
          <w:rFonts w:hint="eastAsia" w:ascii="Times New Roman" w:hAnsi="Times New Roman" w:eastAsia="宋体" w:cs="Times New Roman"/>
          <w:b/>
          <w:bCs/>
          <w:color w:val="auto"/>
          <w:spacing w:val="-9"/>
          <w:sz w:val="28"/>
          <w:szCs w:val="28"/>
          <w:highlight w:val="none"/>
          <w:lang w:eastAsia="zh-CN"/>
        </w:rPr>
        <w:t>、</w:t>
      </w:r>
      <w:r>
        <w:rPr>
          <w:rFonts w:ascii="Times New Roman" w:hAnsi="Times New Roman" w:eastAsia="Times New Roman" w:cs="Times New Roman"/>
          <w:b/>
          <w:bCs/>
          <w:color w:val="auto"/>
          <w:spacing w:val="8"/>
          <w:sz w:val="28"/>
          <w:szCs w:val="28"/>
          <w:highlight w:val="none"/>
        </w:rPr>
        <w:t xml:space="preserve">  </w:t>
      </w:r>
      <w:r>
        <w:rPr>
          <w:rFonts w:ascii="宋体" w:hAnsi="宋体" w:eastAsia="宋体" w:cs="宋体"/>
          <w:b/>
          <w:bCs/>
          <w:color w:val="auto"/>
          <w:spacing w:val="-9"/>
          <w:sz w:val="28"/>
          <w:szCs w:val="28"/>
          <w:highlight w:val="none"/>
        </w:rPr>
        <w:t>一般约定</w:t>
      </w:r>
      <w:bookmarkEnd w:id="256"/>
      <w:bookmarkEnd w:id="257"/>
    </w:p>
    <w:p w14:paraId="5B3D4C60">
      <w:pPr>
        <w:pStyle w:val="3"/>
        <w:spacing w:line="245" w:lineRule="auto"/>
        <w:rPr>
          <w:color w:val="auto"/>
          <w:highlight w:val="none"/>
        </w:rPr>
      </w:pPr>
    </w:p>
    <w:p w14:paraId="5709C577">
      <w:pPr>
        <w:spacing w:before="78" w:line="220" w:lineRule="auto"/>
        <w:ind w:left="7"/>
        <w:outlineLvl w:val="2"/>
        <w:rPr>
          <w:rFonts w:ascii="宋体" w:hAnsi="宋体" w:eastAsia="宋体" w:cs="宋体"/>
          <w:color w:val="auto"/>
          <w:sz w:val="24"/>
          <w:szCs w:val="24"/>
          <w:highlight w:val="none"/>
        </w:rPr>
      </w:pPr>
      <w:bookmarkStart w:id="258" w:name="bookmark686"/>
      <w:bookmarkEnd w:id="258"/>
      <w:bookmarkStart w:id="259" w:name="_Toc29057"/>
      <w:bookmarkStart w:id="260" w:name="_Toc10847"/>
      <w:r>
        <w:rPr>
          <w:rFonts w:ascii="Times New Roman" w:hAnsi="Times New Roman" w:eastAsia="Times New Roman" w:cs="Times New Roman"/>
          <w:b/>
          <w:bCs/>
          <w:color w:val="auto"/>
          <w:spacing w:val="-5"/>
          <w:sz w:val="24"/>
          <w:szCs w:val="24"/>
          <w:highlight w:val="none"/>
        </w:rPr>
        <w:t>1.1</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5"/>
          <w:sz w:val="24"/>
          <w:szCs w:val="24"/>
          <w:highlight w:val="none"/>
        </w:rPr>
        <w:t>词语定义</w:t>
      </w:r>
      <w:bookmarkEnd w:id="259"/>
      <w:bookmarkEnd w:id="260"/>
    </w:p>
    <w:p w14:paraId="0E3DF511">
      <w:pPr>
        <w:spacing w:before="179" w:line="219" w:lineRule="auto"/>
        <w:ind w:left="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通用合同条款、专用合同条款中的下列词语应具有本款所赋予的含义。</w:t>
      </w:r>
    </w:p>
    <w:p w14:paraId="1D0D9F61">
      <w:pPr>
        <w:spacing w:before="183" w:line="222"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1.1.1</w:t>
      </w:r>
      <w:r>
        <w:rPr>
          <w:rFonts w:ascii="Times New Roman" w:hAnsi="Times New Roman" w:eastAsia="Times New Roman" w:cs="Times New Roman"/>
          <w:b/>
          <w:bCs/>
          <w:color w:val="auto"/>
          <w:spacing w:val="8"/>
          <w:sz w:val="24"/>
          <w:szCs w:val="24"/>
          <w:highlight w:val="none"/>
        </w:rPr>
        <w:t xml:space="preserve">  </w:t>
      </w:r>
      <w:r>
        <w:rPr>
          <w:rFonts w:ascii="宋体" w:hAnsi="宋体" w:eastAsia="宋体" w:cs="宋体"/>
          <w:color w:val="auto"/>
          <w:spacing w:val="-4"/>
          <w:sz w:val="24"/>
          <w:szCs w:val="24"/>
          <w:highlight w:val="none"/>
        </w:rPr>
        <w:t>合同</w:t>
      </w:r>
    </w:p>
    <w:p w14:paraId="761CFD06">
      <w:pPr>
        <w:spacing w:before="178" w:line="313" w:lineRule="auto"/>
        <w:ind w:right="1" w:firstLine="499"/>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 xml:space="preserve">1.1.1.1  </w:t>
      </w:r>
      <w:r>
        <w:rPr>
          <w:rFonts w:ascii="宋体" w:hAnsi="宋体" w:eastAsia="宋体" w:cs="宋体"/>
          <w:color w:val="auto"/>
          <w:spacing w:val="-3"/>
          <w:sz w:val="24"/>
          <w:szCs w:val="24"/>
          <w:highlight w:val="none"/>
        </w:rPr>
        <w:t>合同文件（或称合同</w:t>
      </w:r>
      <w:r>
        <w:rPr>
          <w:rFonts w:ascii="宋体" w:hAnsi="宋体" w:eastAsia="宋体" w:cs="宋体"/>
          <w:color w:val="auto"/>
          <w:spacing w:val="-28"/>
          <w:sz w:val="24"/>
          <w:szCs w:val="24"/>
          <w:highlight w:val="none"/>
        </w:rPr>
        <w:t>）：</w:t>
      </w:r>
      <w:r>
        <w:rPr>
          <w:rFonts w:ascii="宋体" w:hAnsi="宋体" w:eastAsia="宋体" w:cs="宋体"/>
          <w:color w:val="auto"/>
          <w:spacing w:val="-3"/>
          <w:sz w:val="24"/>
          <w:szCs w:val="24"/>
          <w:highlight w:val="none"/>
        </w:rPr>
        <w:t>指合同协议书、中标通知书</w:t>
      </w:r>
      <w:r>
        <w:rPr>
          <w:rFonts w:ascii="宋体" w:hAnsi="宋体" w:eastAsia="宋体" w:cs="宋体"/>
          <w:color w:val="auto"/>
          <w:spacing w:val="-4"/>
          <w:sz w:val="24"/>
          <w:szCs w:val="24"/>
          <w:highlight w:val="none"/>
        </w:rPr>
        <w:t>、投标函及投标函附</w:t>
      </w:r>
      <w:r>
        <w:rPr>
          <w:rFonts w:ascii="宋体" w:hAnsi="宋体" w:eastAsia="宋体" w:cs="宋体"/>
          <w:color w:val="auto"/>
          <w:spacing w:val="-3"/>
          <w:sz w:val="24"/>
          <w:szCs w:val="24"/>
          <w:highlight w:val="none"/>
        </w:rPr>
        <w:t>录、专用合同条款、通用合同条款、技术标准和要求、图纸、已标价工程量清单，以</w:t>
      </w:r>
      <w:r>
        <w:rPr>
          <w:rFonts w:ascii="宋体" w:hAnsi="宋体" w:eastAsia="宋体" w:cs="宋体"/>
          <w:color w:val="auto"/>
          <w:spacing w:val="-5"/>
          <w:sz w:val="24"/>
          <w:szCs w:val="24"/>
          <w:highlight w:val="none"/>
        </w:rPr>
        <w:t>及其他合同文件。</w:t>
      </w:r>
    </w:p>
    <w:p w14:paraId="47A5E2FE">
      <w:pPr>
        <w:spacing w:before="179" w:line="219"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1.1.1.2  </w:t>
      </w:r>
      <w:r>
        <w:rPr>
          <w:rFonts w:ascii="宋体" w:hAnsi="宋体" w:eastAsia="宋体" w:cs="宋体"/>
          <w:color w:val="auto"/>
          <w:spacing w:val="-2"/>
          <w:sz w:val="24"/>
          <w:szCs w:val="24"/>
          <w:highlight w:val="none"/>
        </w:rPr>
        <w:t>合同协议书：指第</w:t>
      </w:r>
      <w:r>
        <w:rPr>
          <w:rFonts w:ascii="Times New Roman" w:hAnsi="Times New Roman" w:eastAsia="Times New Roman" w:cs="Times New Roman"/>
          <w:color w:val="auto"/>
          <w:spacing w:val="-2"/>
          <w:sz w:val="24"/>
          <w:szCs w:val="24"/>
          <w:highlight w:val="none"/>
        </w:rPr>
        <w:t>1.5</w:t>
      </w:r>
      <w:r>
        <w:rPr>
          <w:rFonts w:ascii="宋体" w:hAnsi="宋体" w:eastAsia="宋体" w:cs="宋体"/>
          <w:color w:val="auto"/>
          <w:spacing w:val="-2"/>
          <w:sz w:val="24"/>
          <w:szCs w:val="24"/>
          <w:highlight w:val="none"/>
        </w:rPr>
        <w:t>款所指的合同协议书。</w:t>
      </w:r>
    </w:p>
    <w:p w14:paraId="59C8D50A">
      <w:pPr>
        <w:spacing w:before="183" w:line="219"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1.1.1.3</w:t>
      </w:r>
      <w:r>
        <w:rPr>
          <w:rFonts w:ascii="Times New Roman" w:hAnsi="Times New Roman" w:eastAsia="Times New Roman" w:cs="Times New Roman"/>
          <w:color w:val="auto"/>
          <w:spacing w:val="16"/>
          <w:sz w:val="24"/>
          <w:szCs w:val="24"/>
          <w:highlight w:val="none"/>
        </w:rPr>
        <w:t xml:space="preserve">  </w:t>
      </w:r>
      <w:r>
        <w:rPr>
          <w:rFonts w:ascii="宋体" w:hAnsi="宋体" w:eastAsia="宋体" w:cs="宋体"/>
          <w:color w:val="auto"/>
          <w:spacing w:val="-3"/>
          <w:sz w:val="24"/>
          <w:szCs w:val="24"/>
          <w:highlight w:val="none"/>
        </w:rPr>
        <w:t>中标通知书：指发包人通知</w:t>
      </w:r>
      <w:r>
        <w:rPr>
          <w:rFonts w:ascii="宋体" w:hAnsi="宋体" w:eastAsia="宋体" w:cs="宋体"/>
          <w:color w:val="auto"/>
          <w:spacing w:val="-4"/>
          <w:sz w:val="24"/>
          <w:szCs w:val="24"/>
          <w:highlight w:val="none"/>
        </w:rPr>
        <w:t>承包人中标的函件。</w:t>
      </w:r>
    </w:p>
    <w:p w14:paraId="1174395C">
      <w:pPr>
        <w:spacing w:before="181" w:line="220"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1.1.1.4  </w:t>
      </w:r>
      <w:r>
        <w:rPr>
          <w:rFonts w:ascii="宋体" w:hAnsi="宋体" w:eastAsia="宋体" w:cs="宋体"/>
          <w:color w:val="auto"/>
          <w:spacing w:val="-2"/>
          <w:sz w:val="24"/>
          <w:szCs w:val="24"/>
          <w:highlight w:val="none"/>
        </w:rPr>
        <w:t>投标函：指构成合同文件组成部分的由承包人填写并签署的投标函。</w:t>
      </w:r>
    </w:p>
    <w:p w14:paraId="0CD5B7B0">
      <w:pPr>
        <w:spacing w:before="182" w:line="219"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1.1.1.5  </w:t>
      </w:r>
      <w:r>
        <w:rPr>
          <w:rFonts w:ascii="宋体" w:hAnsi="宋体" w:eastAsia="宋体" w:cs="宋体"/>
          <w:color w:val="auto"/>
          <w:spacing w:val="-2"/>
          <w:sz w:val="24"/>
          <w:szCs w:val="24"/>
          <w:highlight w:val="none"/>
        </w:rPr>
        <w:t>投标函附录：指附在投标函后构成合同文件的投标函附录。</w:t>
      </w:r>
    </w:p>
    <w:p w14:paraId="7CAB5047">
      <w:pPr>
        <w:spacing w:before="181" w:line="290" w:lineRule="auto"/>
        <w:ind w:left="1" w:right="25" w:firstLine="497"/>
        <w:rPr>
          <w:rFonts w:ascii="宋体" w:hAnsi="宋体" w:eastAsia="宋体" w:cs="宋体"/>
          <w:color w:val="auto"/>
          <w:sz w:val="24"/>
          <w:szCs w:val="24"/>
          <w:highlight w:val="none"/>
        </w:rPr>
      </w:pPr>
      <w:r>
        <w:rPr>
          <w:rFonts w:ascii="Times New Roman" w:hAnsi="Times New Roman" w:eastAsia="Times New Roman" w:cs="Times New Roman"/>
          <w:color w:val="auto"/>
          <w:spacing w:val="-5"/>
          <w:sz w:val="24"/>
          <w:szCs w:val="24"/>
          <w:highlight w:val="none"/>
        </w:rPr>
        <w:t xml:space="preserve">1.1.1.6  </w:t>
      </w:r>
      <w:r>
        <w:rPr>
          <w:rFonts w:ascii="宋体" w:hAnsi="宋体" w:eastAsia="宋体" w:cs="宋体"/>
          <w:color w:val="auto"/>
          <w:spacing w:val="-5"/>
          <w:sz w:val="24"/>
          <w:szCs w:val="24"/>
          <w:highlight w:val="none"/>
        </w:rPr>
        <w:t>技术标准和要求：指构成合同文件组成部分的名为技术标准和要求（合同</w:t>
      </w:r>
      <w:r>
        <w:rPr>
          <w:rFonts w:ascii="宋体" w:hAnsi="宋体" w:eastAsia="宋体" w:cs="宋体"/>
          <w:color w:val="auto"/>
          <w:spacing w:val="-2"/>
          <w:sz w:val="24"/>
          <w:szCs w:val="24"/>
          <w:highlight w:val="none"/>
        </w:rPr>
        <w:t>技术条款）的文件，包括合同双方当事人约定对其所作的修改或补充。</w:t>
      </w:r>
    </w:p>
    <w:p w14:paraId="7A47FA77">
      <w:pPr>
        <w:spacing w:before="182" w:line="336" w:lineRule="auto"/>
        <w:ind w:right="1" w:firstLine="498"/>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1.1.1.7</w:t>
      </w:r>
      <w:r>
        <w:rPr>
          <w:rFonts w:ascii="Times New Roman" w:hAnsi="Times New Roman" w:eastAsia="Times New Roman" w:cs="Times New Roman"/>
          <w:color w:val="auto"/>
          <w:spacing w:val="25"/>
          <w:w w:val="101"/>
          <w:sz w:val="24"/>
          <w:szCs w:val="24"/>
          <w:highlight w:val="none"/>
        </w:rPr>
        <w:t xml:space="preserve">  </w:t>
      </w:r>
      <w:r>
        <w:rPr>
          <w:rFonts w:ascii="宋体" w:hAnsi="宋体" w:eastAsia="宋体" w:cs="宋体"/>
          <w:color w:val="auto"/>
          <w:spacing w:val="-6"/>
          <w:sz w:val="24"/>
          <w:szCs w:val="24"/>
          <w:highlight w:val="none"/>
        </w:rPr>
        <w:t>图纸：指列入合同的招标图纸、投标图纸和发包人按合同约定向承包人提</w:t>
      </w:r>
      <w:r>
        <w:rPr>
          <w:rFonts w:ascii="宋体" w:hAnsi="宋体" w:eastAsia="宋体" w:cs="宋体"/>
          <w:color w:val="auto"/>
          <w:spacing w:val="-3"/>
          <w:sz w:val="24"/>
          <w:szCs w:val="24"/>
          <w:highlight w:val="none"/>
        </w:rPr>
        <w:t>供的施工图纸和其他图纸（包括配套说明和有关资料）。列入合同的招标图纸已成为合同文件的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w:t>
      </w:r>
      <w:r>
        <w:rPr>
          <w:rFonts w:ascii="宋体" w:hAnsi="宋体" w:eastAsia="宋体" w:cs="宋体"/>
          <w:color w:val="auto"/>
          <w:spacing w:val="-8"/>
          <w:sz w:val="24"/>
          <w:szCs w:val="24"/>
          <w:highlight w:val="none"/>
        </w:rPr>
        <w:t>用于施工。</w:t>
      </w:r>
    </w:p>
    <w:p w14:paraId="4A42F2D5">
      <w:pPr>
        <w:spacing w:before="178" w:line="289" w:lineRule="auto"/>
        <w:ind w:left="5" w:right="6" w:firstLine="493"/>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1.1.1.8</w:t>
      </w:r>
      <w:r>
        <w:rPr>
          <w:rFonts w:ascii="Times New Roman" w:hAnsi="Times New Roman" w:eastAsia="Times New Roman" w:cs="Times New Roman"/>
          <w:color w:val="auto"/>
          <w:spacing w:val="17"/>
          <w:w w:val="101"/>
          <w:sz w:val="24"/>
          <w:szCs w:val="24"/>
          <w:highlight w:val="none"/>
        </w:rPr>
        <w:t xml:space="preserve">  </w:t>
      </w:r>
      <w:r>
        <w:rPr>
          <w:rFonts w:ascii="宋体" w:hAnsi="宋体" w:eastAsia="宋体" w:cs="宋体"/>
          <w:color w:val="auto"/>
          <w:spacing w:val="1"/>
          <w:sz w:val="24"/>
          <w:szCs w:val="24"/>
          <w:highlight w:val="none"/>
        </w:rPr>
        <w:t>已标价工程量清单：指构成</w:t>
      </w:r>
      <w:r>
        <w:rPr>
          <w:rFonts w:ascii="宋体" w:hAnsi="宋体" w:eastAsia="宋体" w:cs="宋体"/>
          <w:color w:val="auto"/>
          <w:sz w:val="24"/>
          <w:szCs w:val="24"/>
          <w:highlight w:val="none"/>
        </w:rPr>
        <w:t>合同文件组成部分的由承包人按照规定的格</w:t>
      </w:r>
      <w:r>
        <w:rPr>
          <w:rFonts w:ascii="宋体" w:hAnsi="宋体" w:eastAsia="宋体" w:cs="宋体"/>
          <w:color w:val="auto"/>
          <w:spacing w:val="-3"/>
          <w:sz w:val="24"/>
          <w:szCs w:val="24"/>
          <w:highlight w:val="none"/>
        </w:rPr>
        <w:t>式和要求填写并标明价格的工程量清单。</w:t>
      </w:r>
    </w:p>
    <w:p w14:paraId="0D88A83A">
      <w:pPr>
        <w:spacing w:before="181" w:line="220"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1.1.1.9  </w:t>
      </w:r>
      <w:r>
        <w:rPr>
          <w:rFonts w:ascii="宋体" w:hAnsi="宋体" w:eastAsia="宋体" w:cs="宋体"/>
          <w:color w:val="auto"/>
          <w:spacing w:val="-2"/>
          <w:sz w:val="24"/>
          <w:szCs w:val="24"/>
          <w:highlight w:val="none"/>
        </w:rPr>
        <w:t>其他合同文件：指经合同双方当事人确认构成合同文件的其他文件。</w:t>
      </w:r>
    </w:p>
    <w:p w14:paraId="1873954E">
      <w:pPr>
        <w:spacing w:before="183"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1.1.2  </w:t>
      </w:r>
      <w:r>
        <w:rPr>
          <w:rFonts w:ascii="宋体" w:hAnsi="宋体" w:eastAsia="宋体" w:cs="宋体"/>
          <w:color w:val="auto"/>
          <w:spacing w:val="-1"/>
          <w:sz w:val="24"/>
          <w:szCs w:val="24"/>
          <w:highlight w:val="none"/>
        </w:rPr>
        <w:t>合同当事人和人员</w:t>
      </w:r>
    </w:p>
    <w:p w14:paraId="5DE41E3F">
      <w:pPr>
        <w:spacing w:before="181" w:line="220"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1.1.2.1  </w:t>
      </w:r>
      <w:r>
        <w:rPr>
          <w:rFonts w:ascii="宋体" w:hAnsi="宋体" w:eastAsia="宋体" w:cs="宋体"/>
          <w:color w:val="auto"/>
          <w:spacing w:val="-2"/>
          <w:sz w:val="24"/>
          <w:szCs w:val="24"/>
          <w:highlight w:val="none"/>
        </w:rPr>
        <w:t>合同当事人：指发包人</w:t>
      </w:r>
      <w:r>
        <w:rPr>
          <w:rFonts w:ascii="宋体" w:hAnsi="宋体" w:eastAsia="宋体" w:cs="宋体"/>
          <w:color w:val="auto"/>
          <w:spacing w:val="-3"/>
          <w:sz w:val="24"/>
          <w:szCs w:val="24"/>
          <w:highlight w:val="none"/>
        </w:rPr>
        <w:t>和（或）承包人。</w:t>
      </w:r>
    </w:p>
    <w:p w14:paraId="157171AE">
      <w:pPr>
        <w:spacing w:before="181" w:line="291" w:lineRule="auto"/>
        <w:ind w:left="2" w:right="6" w:firstLine="496"/>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1.1.2.2  </w:t>
      </w:r>
      <w:r>
        <w:rPr>
          <w:rFonts w:ascii="宋体" w:hAnsi="宋体" w:eastAsia="宋体" w:cs="宋体"/>
          <w:color w:val="auto"/>
          <w:spacing w:val="1"/>
          <w:sz w:val="24"/>
          <w:szCs w:val="24"/>
          <w:highlight w:val="none"/>
        </w:rPr>
        <w:t>发包人：指专用合同条款中指明并与承包人在合同协议书中签字的当事</w:t>
      </w:r>
      <w:r>
        <w:rPr>
          <w:rFonts w:ascii="宋体" w:hAnsi="宋体" w:eastAsia="宋体" w:cs="宋体"/>
          <w:color w:val="auto"/>
          <w:spacing w:val="-12"/>
          <w:sz w:val="24"/>
          <w:szCs w:val="24"/>
          <w:highlight w:val="none"/>
        </w:rPr>
        <w:t>人。</w:t>
      </w:r>
    </w:p>
    <w:p w14:paraId="539B9C5A">
      <w:pPr>
        <w:spacing w:line="291" w:lineRule="auto"/>
        <w:rPr>
          <w:rFonts w:ascii="宋体" w:hAnsi="宋体" w:eastAsia="宋体" w:cs="宋体"/>
          <w:color w:val="auto"/>
          <w:sz w:val="24"/>
          <w:szCs w:val="24"/>
          <w:highlight w:val="none"/>
        </w:rPr>
        <w:sectPr>
          <w:footerReference r:id="rId29" w:type="default"/>
          <w:pgSz w:w="11907" w:h="16841"/>
          <w:pgMar w:top="1423" w:right="1527" w:bottom="1254" w:left="1597" w:header="0" w:footer="1093" w:gutter="0"/>
          <w:pgNumType w:fmt="decimal"/>
          <w:cols w:space="720" w:num="1"/>
        </w:sectPr>
      </w:pPr>
    </w:p>
    <w:p w14:paraId="402F5C95">
      <w:pPr>
        <w:spacing w:before="48" w:line="291" w:lineRule="auto"/>
        <w:ind w:left="2" w:right="68" w:firstLine="496"/>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1.1.2.3  </w:t>
      </w:r>
      <w:r>
        <w:rPr>
          <w:rFonts w:ascii="宋体" w:hAnsi="宋体" w:eastAsia="宋体" w:cs="宋体"/>
          <w:color w:val="auto"/>
          <w:spacing w:val="1"/>
          <w:sz w:val="24"/>
          <w:szCs w:val="24"/>
          <w:highlight w:val="none"/>
        </w:rPr>
        <w:t>承包人：指专用合同条款中指明并与发包人在合同协议书中签字的当事</w:t>
      </w:r>
      <w:r>
        <w:rPr>
          <w:rFonts w:ascii="宋体" w:hAnsi="宋体" w:eastAsia="宋体" w:cs="宋体"/>
          <w:color w:val="auto"/>
          <w:spacing w:val="-12"/>
          <w:sz w:val="24"/>
          <w:szCs w:val="24"/>
          <w:highlight w:val="none"/>
        </w:rPr>
        <w:t>人。</w:t>
      </w:r>
    </w:p>
    <w:p w14:paraId="4BFED6B3">
      <w:pPr>
        <w:spacing w:before="175" w:line="220"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1.1.2.4  </w:t>
      </w:r>
      <w:r>
        <w:rPr>
          <w:rFonts w:ascii="宋体" w:hAnsi="宋体" w:eastAsia="宋体" w:cs="宋体"/>
          <w:color w:val="auto"/>
          <w:spacing w:val="-2"/>
          <w:sz w:val="24"/>
          <w:szCs w:val="24"/>
          <w:highlight w:val="none"/>
        </w:rPr>
        <w:t>承包人项目负责人：指承包人派驻施工场地的全权负责人。</w:t>
      </w:r>
    </w:p>
    <w:p w14:paraId="5F236B3E">
      <w:pPr>
        <w:spacing w:before="182" w:line="289" w:lineRule="auto"/>
        <w:ind w:left="6" w:firstLine="492"/>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1.1.2.5</w:t>
      </w:r>
      <w:r>
        <w:rPr>
          <w:rFonts w:ascii="宋体" w:hAnsi="宋体" w:eastAsia="宋体" w:cs="宋体"/>
          <w:color w:val="auto"/>
          <w:spacing w:val="-6"/>
          <w:sz w:val="24"/>
          <w:szCs w:val="24"/>
          <w:highlight w:val="none"/>
        </w:rPr>
        <w:t>分包人：指专用合同条款中指明的，从承包人处分包合同中某一部分工程，</w:t>
      </w:r>
      <w:r>
        <w:rPr>
          <w:rFonts w:ascii="宋体" w:hAnsi="宋体" w:eastAsia="宋体" w:cs="宋体"/>
          <w:color w:val="auto"/>
          <w:spacing w:val="-4"/>
          <w:sz w:val="24"/>
          <w:szCs w:val="24"/>
          <w:highlight w:val="none"/>
        </w:rPr>
        <w:t>并与其签订分包合同的分包人。</w:t>
      </w:r>
    </w:p>
    <w:p w14:paraId="3FE7B3AB">
      <w:pPr>
        <w:spacing w:before="183" w:line="289" w:lineRule="auto"/>
        <w:ind w:left="20" w:right="66" w:firstLine="479"/>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 xml:space="preserve">1.1.2.6  </w:t>
      </w:r>
      <w:r>
        <w:rPr>
          <w:rFonts w:ascii="宋体" w:hAnsi="宋体" w:eastAsia="宋体" w:cs="宋体"/>
          <w:color w:val="auto"/>
          <w:spacing w:val="-4"/>
          <w:sz w:val="24"/>
          <w:szCs w:val="24"/>
          <w:highlight w:val="none"/>
        </w:rPr>
        <w:t>监理人：指在专用合同条款中</w:t>
      </w:r>
      <w:r>
        <w:rPr>
          <w:rFonts w:ascii="宋体" w:hAnsi="宋体" w:eastAsia="宋体" w:cs="宋体"/>
          <w:color w:val="auto"/>
          <w:spacing w:val="-5"/>
          <w:sz w:val="24"/>
          <w:szCs w:val="24"/>
          <w:highlight w:val="none"/>
        </w:rPr>
        <w:t>指明的，受发包人委托对合同履行实施管理</w:t>
      </w:r>
      <w:r>
        <w:rPr>
          <w:rFonts w:ascii="宋体" w:hAnsi="宋体" w:eastAsia="宋体" w:cs="宋体"/>
          <w:color w:val="auto"/>
          <w:spacing w:val="-7"/>
          <w:sz w:val="24"/>
          <w:szCs w:val="24"/>
          <w:highlight w:val="none"/>
        </w:rPr>
        <w:t>的法人或其他组织。</w:t>
      </w:r>
    </w:p>
    <w:p w14:paraId="1D42F8EE">
      <w:pPr>
        <w:spacing w:before="181" w:line="289" w:lineRule="auto"/>
        <w:ind w:left="3" w:right="64" w:firstLine="495"/>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1.1.2.7  </w:t>
      </w:r>
      <w:r>
        <w:rPr>
          <w:rFonts w:ascii="宋体" w:hAnsi="宋体" w:eastAsia="宋体" w:cs="宋体"/>
          <w:color w:val="auto"/>
          <w:spacing w:val="-2"/>
          <w:sz w:val="24"/>
          <w:szCs w:val="24"/>
          <w:highlight w:val="none"/>
        </w:rPr>
        <w:t>总监理工程师（总监</w:t>
      </w:r>
      <w:r>
        <w:rPr>
          <w:rFonts w:ascii="宋体" w:hAnsi="宋体" w:eastAsia="宋体" w:cs="宋体"/>
          <w:color w:val="auto"/>
          <w:spacing w:val="-43"/>
          <w:sz w:val="24"/>
          <w:szCs w:val="24"/>
          <w:highlight w:val="none"/>
        </w:rPr>
        <w:t>）：</w:t>
      </w:r>
      <w:r>
        <w:rPr>
          <w:rFonts w:ascii="宋体" w:hAnsi="宋体" w:eastAsia="宋体" w:cs="宋体"/>
          <w:color w:val="auto"/>
          <w:spacing w:val="-2"/>
          <w:sz w:val="24"/>
          <w:szCs w:val="24"/>
          <w:highlight w:val="none"/>
        </w:rPr>
        <w:t>指由监理</w:t>
      </w:r>
      <w:r>
        <w:rPr>
          <w:rFonts w:ascii="宋体" w:hAnsi="宋体" w:eastAsia="宋体" w:cs="宋体"/>
          <w:color w:val="auto"/>
          <w:spacing w:val="-3"/>
          <w:sz w:val="24"/>
          <w:szCs w:val="24"/>
          <w:highlight w:val="none"/>
        </w:rPr>
        <w:t>人委派常驻施工场地对合同履行实施管</w:t>
      </w:r>
      <w:r>
        <w:rPr>
          <w:rFonts w:ascii="宋体" w:hAnsi="宋体" w:eastAsia="宋体" w:cs="宋体"/>
          <w:color w:val="auto"/>
          <w:spacing w:val="-6"/>
          <w:sz w:val="24"/>
          <w:szCs w:val="24"/>
          <w:highlight w:val="none"/>
        </w:rPr>
        <w:t>理的全权负责人。</w:t>
      </w:r>
    </w:p>
    <w:p w14:paraId="106BD5FD">
      <w:pPr>
        <w:spacing w:before="182"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1.1.3  </w:t>
      </w:r>
      <w:r>
        <w:rPr>
          <w:rFonts w:ascii="宋体" w:hAnsi="宋体" w:eastAsia="宋体" w:cs="宋体"/>
          <w:color w:val="auto"/>
          <w:spacing w:val="-2"/>
          <w:sz w:val="24"/>
          <w:szCs w:val="24"/>
          <w:highlight w:val="none"/>
        </w:rPr>
        <w:t>工程和设备</w:t>
      </w:r>
    </w:p>
    <w:p w14:paraId="5F707E98">
      <w:pPr>
        <w:spacing w:before="179" w:line="220"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 xml:space="preserve">1.1.3.1  </w:t>
      </w:r>
      <w:r>
        <w:rPr>
          <w:rFonts w:ascii="宋体" w:hAnsi="宋体" w:eastAsia="宋体" w:cs="宋体"/>
          <w:color w:val="auto"/>
          <w:spacing w:val="-3"/>
          <w:sz w:val="24"/>
          <w:szCs w:val="24"/>
          <w:highlight w:val="none"/>
        </w:rPr>
        <w:t>工程：指永久工程和（或）临时工程。</w:t>
      </w:r>
    </w:p>
    <w:p w14:paraId="1104091C">
      <w:pPr>
        <w:spacing w:before="182" w:line="220"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1.1.3.2  </w:t>
      </w:r>
      <w:r>
        <w:rPr>
          <w:rFonts w:ascii="宋体" w:hAnsi="宋体" w:eastAsia="宋体" w:cs="宋体"/>
          <w:color w:val="auto"/>
          <w:spacing w:val="-2"/>
          <w:sz w:val="24"/>
          <w:szCs w:val="24"/>
          <w:highlight w:val="none"/>
        </w:rPr>
        <w:t>永久工程：指按合同约定建造并移交给发包人的工程，包括工程设备。</w:t>
      </w:r>
    </w:p>
    <w:p w14:paraId="5221377F">
      <w:pPr>
        <w:spacing w:before="182" w:line="290" w:lineRule="auto"/>
        <w:ind w:right="66" w:firstLine="498"/>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 xml:space="preserve">1.1.3.3  </w:t>
      </w:r>
      <w:r>
        <w:rPr>
          <w:rFonts w:ascii="宋体" w:hAnsi="宋体" w:eastAsia="宋体" w:cs="宋体"/>
          <w:color w:val="auto"/>
          <w:spacing w:val="-4"/>
          <w:sz w:val="24"/>
          <w:szCs w:val="24"/>
          <w:highlight w:val="none"/>
        </w:rPr>
        <w:t>临时工程：指为完成合同约定</w:t>
      </w:r>
      <w:r>
        <w:rPr>
          <w:rFonts w:ascii="宋体" w:hAnsi="宋体" w:eastAsia="宋体" w:cs="宋体"/>
          <w:color w:val="auto"/>
          <w:spacing w:val="-5"/>
          <w:sz w:val="24"/>
          <w:szCs w:val="24"/>
          <w:highlight w:val="none"/>
        </w:rPr>
        <w:t>的永久工程所修建的各类临时性工程，不包</w:t>
      </w:r>
      <w:r>
        <w:rPr>
          <w:rFonts w:ascii="宋体" w:hAnsi="宋体" w:eastAsia="宋体" w:cs="宋体"/>
          <w:color w:val="auto"/>
          <w:spacing w:val="-7"/>
          <w:sz w:val="24"/>
          <w:szCs w:val="24"/>
          <w:highlight w:val="none"/>
        </w:rPr>
        <w:t>括施工设备。</w:t>
      </w:r>
    </w:p>
    <w:p w14:paraId="1F563829">
      <w:pPr>
        <w:spacing w:before="177" w:line="290" w:lineRule="auto"/>
        <w:ind w:right="68" w:firstLine="498"/>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1.1.3.4  </w:t>
      </w:r>
      <w:r>
        <w:rPr>
          <w:rFonts w:ascii="宋体" w:hAnsi="宋体" w:eastAsia="宋体" w:cs="宋体"/>
          <w:color w:val="auto"/>
          <w:spacing w:val="1"/>
          <w:sz w:val="24"/>
          <w:szCs w:val="24"/>
          <w:highlight w:val="none"/>
        </w:rPr>
        <w:t>单位工程：指经工程质量监督机构确认的工程项目划分表中确定的具有</w:t>
      </w:r>
      <w:r>
        <w:rPr>
          <w:rFonts w:ascii="宋体" w:hAnsi="宋体" w:eastAsia="宋体" w:cs="宋体"/>
          <w:color w:val="auto"/>
          <w:spacing w:val="-3"/>
          <w:sz w:val="24"/>
          <w:szCs w:val="24"/>
          <w:highlight w:val="none"/>
        </w:rPr>
        <w:t>独立发挥作用或独立施工条件的永久建筑物。</w:t>
      </w:r>
    </w:p>
    <w:p w14:paraId="66B1DF5E">
      <w:pPr>
        <w:spacing w:before="182" w:line="289" w:lineRule="auto"/>
        <w:ind w:left="3" w:right="68" w:firstLine="495"/>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1.1.3.5  </w:t>
      </w:r>
      <w:r>
        <w:rPr>
          <w:rFonts w:ascii="宋体" w:hAnsi="宋体" w:eastAsia="宋体" w:cs="宋体"/>
          <w:color w:val="auto"/>
          <w:spacing w:val="1"/>
          <w:sz w:val="24"/>
          <w:szCs w:val="24"/>
          <w:highlight w:val="none"/>
        </w:rPr>
        <w:t>工程设备：指构成或计划构成永久工程一部分的机电设备、金属结构设</w:t>
      </w:r>
      <w:r>
        <w:rPr>
          <w:rFonts w:ascii="宋体" w:hAnsi="宋体" w:eastAsia="宋体" w:cs="宋体"/>
          <w:color w:val="auto"/>
          <w:spacing w:val="-3"/>
          <w:sz w:val="24"/>
          <w:szCs w:val="24"/>
          <w:highlight w:val="none"/>
        </w:rPr>
        <w:t>备、仪器装置及其他类似的设备和装置。</w:t>
      </w:r>
    </w:p>
    <w:p w14:paraId="586B41AC">
      <w:pPr>
        <w:spacing w:before="184" w:line="288" w:lineRule="auto"/>
        <w:ind w:left="4" w:right="120" w:firstLine="494"/>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 xml:space="preserve">1.1.3.6  </w:t>
      </w:r>
      <w:r>
        <w:rPr>
          <w:rFonts w:ascii="宋体" w:hAnsi="宋体" w:eastAsia="宋体" w:cs="宋体"/>
          <w:color w:val="auto"/>
          <w:spacing w:val="-6"/>
          <w:sz w:val="24"/>
          <w:szCs w:val="24"/>
          <w:highlight w:val="none"/>
        </w:rPr>
        <w:t>施工设备：指为完成合同约定的各项工作所需的设备、器具和其他物品，</w:t>
      </w:r>
      <w:r>
        <w:rPr>
          <w:rFonts w:ascii="宋体" w:hAnsi="宋体" w:eastAsia="宋体" w:cs="宋体"/>
          <w:color w:val="auto"/>
          <w:spacing w:val="-4"/>
          <w:sz w:val="24"/>
          <w:szCs w:val="24"/>
          <w:highlight w:val="none"/>
        </w:rPr>
        <w:t>不包括临时工程和材料。</w:t>
      </w:r>
    </w:p>
    <w:p w14:paraId="396C329E">
      <w:pPr>
        <w:spacing w:before="185" w:line="290" w:lineRule="auto"/>
        <w:ind w:right="68" w:firstLine="499"/>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1.1.3.7  </w:t>
      </w:r>
      <w:r>
        <w:rPr>
          <w:rFonts w:ascii="宋体" w:hAnsi="宋体" w:eastAsia="宋体" w:cs="宋体"/>
          <w:color w:val="auto"/>
          <w:spacing w:val="1"/>
          <w:sz w:val="24"/>
          <w:szCs w:val="24"/>
          <w:highlight w:val="none"/>
        </w:rPr>
        <w:t>临时设施：指为完成合同约定的各项工作所服务的临时性生产和生活设</w:t>
      </w:r>
      <w:r>
        <w:rPr>
          <w:rFonts w:ascii="宋体" w:hAnsi="宋体" w:eastAsia="宋体" w:cs="宋体"/>
          <w:color w:val="auto"/>
          <w:spacing w:val="-11"/>
          <w:sz w:val="24"/>
          <w:szCs w:val="24"/>
          <w:highlight w:val="none"/>
        </w:rPr>
        <w:t>施。</w:t>
      </w:r>
    </w:p>
    <w:p w14:paraId="061654C3">
      <w:pPr>
        <w:spacing w:before="178" w:line="220"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1.1.3.8  </w:t>
      </w:r>
      <w:r>
        <w:rPr>
          <w:rFonts w:ascii="宋体" w:hAnsi="宋体" w:eastAsia="宋体" w:cs="宋体"/>
          <w:color w:val="auto"/>
          <w:spacing w:val="-2"/>
          <w:sz w:val="24"/>
          <w:szCs w:val="24"/>
          <w:highlight w:val="none"/>
        </w:rPr>
        <w:t>承包人设备：指承包人</w:t>
      </w:r>
      <w:r>
        <w:rPr>
          <w:rFonts w:ascii="宋体" w:hAnsi="宋体" w:eastAsia="宋体" w:cs="宋体"/>
          <w:color w:val="auto"/>
          <w:spacing w:val="-3"/>
          <w:sz w:val="24"/>
          <w:szCs w:val="24"/>
          <w:highlight w:val="none"/>
        </w:rPr>
        <w:t>自带的施工设备。</w:t>
      </w:r>
    </w:p>
    <w:p w14:paraId="49774995">
      <w:pPr>
        <w:spacing w:before="179" w:line="290" w:lineRule="auto"/>
        <w:ind w:left="23" w:right="66" w:firstLine="476"/>
        <w:rPr>
          <w:rFonts w:ascii="宋体" w:hAnsi="宋体" w:eastAsia="宋体" w:cs="宋体"/>
          <w:color w:val="auto"/>
          <w:sz w:val="24"/>
          <w:szCs w:val="24"/>
          <w:highlight w:val="none"/>
        </w:rPr>
      </w:pPr>
      <w:r>
        <w:rPr>
          <w:rFonts w:ascii="Times New Roman" w:hAnsi="Times New Roman" w:eastAsia="Times New Roman" w:cs="Times New Roman"/>
          <w:color w:val="auto"/>
          <w:spacing w:val="-7"/>
          <w:sz w:val="24"/>
          <w:szCs w:val="24"/>
          <w:highlight w:val="none"/>
        </w:rPr>
        <w:t xml:space="preserve">1.1.3.9  </w:t>
      </w:r>
      <w:r>
        <w:rPr>
          <w:rFonts w:ascii="宋体" w:hAnsi="宋体" w:eastAsia="宋体" w:cs="宋体"/>
          <w:color w:val="auto"/>
          <w:spacing w:val="-7"/>
          <w:sz w:val="24"/>
          <w:szCs w:val="24"/>
          <w:highlight w:val="none"/>
        </w:rPr>
        <w:t>施工场地（或称工地、现场</w:t>
      </w:r>
      <w:r>
        <w:rPr>
          <w:rFonts w:ascii="宋体" w:hAnsi="宋体" w:eastAsia="宋体" w:cs="宋体"/>
          <w:color w:val="auto"/>
          <w:spacing w:val="-8"/>
          <w:sz w:val="24"/>
          <w:szCs w:val="24"/>
          <w:highlight w:val="none"/>
        </w:rPr>
        <w:t>）</w:t>
      </w:r>
      <w:r>
        <w:rPr>
          <w:rFonts w:ascii="宋体" w:hAnsi="宋体" w:eastAsia="宋体" w:cs="宋体"/>
          <w:color w:val="auto"/>
          <w:spacing w:val="-14"/>
          <w:sz w:val="24"/>
          <w:szCs w:val="24"/>
          <w:highlight w:val="none"/>
        </w:rPr>
        <w:t xml:space="preserve"> </w:t>
      </w:r>
      <w:r>
        <w:rPr>
          <w:rFonts w:ascii="宋体" w:hAnsi="宋体" w:eastAsia="宋体" w:cs="宋体"/>
          <w:color w:val="auto"/>
          <w:spacing w:val="-8"/>
          <w:sz w:val="24"/>
          <w:szCs w:val="24"/>
          <w:highlight w:val="none"/>
        </w:rPr>
        <w:t>：</w:t>
      </w:r>
      <w:r>
        <w:rPr>
          <w:rFonts w:ascii="宋体" w:hAnsi="宋体" w:eastAsia="宋体" w:cs="宋体"/>
          <w:color w:val="auto"/>
          <w:spacing w:val="-7"/>
          <w:sz w:val="24"/>
          <w:szCs w:val="24"/>
          <w:highlight w:val="none"/>
        </w:rPr>
        <w:t>指用于合同工程施工的场所，以及在合同</w:t>
      </w:r>
      <w:r>
        <w:rPr>
          <w:rFonts w:ascii="宋体" w:hAnsi="宋体" w:eastAsia="宋体" w:cs="宋体"/>
          <w:color w:val="auto"/>
          <w:spacing w:val="-2"/>
          <w:sz w:val="24"/>
          <w:szCs w:val="24"/>
          <w:highlight w:val="none"/>
        </w:rPr>
        <w:t>中指定作为施工场地组成部分的其他场所，包括永久征地和临时占地。</w:t>
      </w:r>
    </w:p>
    <w:p w14:paraId="039F4F7B">
      <w:pPr>
        <w:spacing w:before="180" w:line="219" w:lineRule="auto"/>
        <w:ind w:left="499"/>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"1.1.3.10" </w:instrText>
      </w:r>
      <w:r>
        <w:rPr>
          <w:color w:val="auto"/>
          <w:highlight w:val="none"/>
        </w:rPr>
        <w:fldChar w:fldCharType="separate"/>
      </w:r>
      <w:r>
        <w:rPr>
          <w:rFonts w:ascii="Times New Roman" w:hAnsi="Times New Roman" w:eastAsia="Times New Roman" w:cs="Times New Roman"/>
          <w:color w:val="auto"/>
          <w:spacing w:val="-2"/>
          <w:sz w:val="24"/>
          <w:szCs w:val="24"/>
          <w:highlight w:val="none"/>
        </w:rPr>
        <w:t>1.1.3.10</w:t>
      </w:r>
      <w:r>
        <w:rPr>
          <w:rFonts w:ascii="Times New Roman" w:hAnsi="Times New Roman" w:eastAsia="Times New Roman" w:cs="Times New Roman"/>
          <w:color w:val="auto"/>
          <w:spacing w:val="-2"/>
          <w:sz w:val="24"/>
          <w:szCs w:val="24"/>
          <w:highlight w:val="none"/>
        </w:rPr>
        <w:fldChar w:fldCharType="end"/>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2"/>
          <w:sz w:val="24"/>
          <w:szCs w:val="24"/>
          <w:highlight w:val="none"/>
        </w:rPr>
        <w:t>永久征地：指发包人为建设本合同工程永久征用的场地。</w:t>
      </w:r>
    </w:p>
    <w:p w14:paraId="0816CE60">
      <w:pPr>
        <w:spacing w:before="185" w:line="289" w:lineRule="auto"/>
        <w:ind w:left="1" w:right="66" w:firstLine="497"/>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"1.1.3.11" </w:instrText>
      </w:r>
      <w:r>
        <w:rPr>
          <w:color w:val="auto"/>
          <w:highlight w:val="none"/>
        </w:rPr>
        <w:fldChar w:fldCharType="separate"/>
      </w:r>
      <w:r>
        <w:rPr>
          <w:rFonts w:ascii="Times New Roman" w:hAnsi="Times New Roman" w:eastAsia="Times New Roman" w:cs="Times New Roman"/>
          <w:color w:val="auto"/>
          <w:spacing w:val="-1"/>
          <w:sz w:val="24"/>
          <w:szCs w:val="24"/>
          <w:highlight w:val="none"/>
        </w:rPr>
        <w:t>1.1.3.11</w:t>
      </w:r>
      <w:r>
        <w:rPr>
          <w:rFonts w:ascii="Times New Roman" w:hAnsi="Times New Roman" w:eastAsia="Times New Roman" w:cs="Times New Roman"/>
          <w:color w:val="auto"/>
          <w:spacing w:val="-1"/>
          <w:sz w:val="24"/>
          <w:szCs w:val="24"/>
          <w:highlight w:val="none"/>
        </w:rPr>
        <w:fldChar w:fldCharType="end"/>
      </w:r>
      <w:r>
        <w:rPr>
          <w:rFonts w:ascii="Times New Roman" w:hAnsi="Times New Roman" w:eastAsia="Times New Roman" w:cs="Times New Roman"/>
          <w:color w:val="auto"/>
          <w:spacing w:val="-1"/>
          <w:sz w:val="24"/>
          <w:szCs w:val="24"/>
          <w:highlight w:val="none"/>
        </w:rPr>
        <w:t xml:space="preserve">  </w:t>
      </w:r>
      <w:r>
        <w:rPr>
          <w:rFonts w:ascii="宋体" w:hAnsi="宋体" w:eastAsia="宋体" w:cs="宋体"/>
          <w:color w:val="auto"/>
          <w:spacing w:val="-1"/>
          <w:sz w:val="24"/>
          <w:szCs w:val="24"/>
          <w:highlight w:val="none"/>
        </w:rPr>
        <w:t>临时占地：指发包人</w:t>
      </w:r>
      <w:r>
        <w:rPr>
          <w:rFonts w:ascii="宋体" w:hAnsi="宋体" w:eastAsia="宋体" w:cs="宋体"/>
          <w:color w:val="auto"/>
          <w:spacing w:val="-2"/>
          <w:sz w:val="24"/>
          <w:szCs w:val="24"/>
          <w:highlight w:val="none"/>
        </w:rPr>
        <w:t>为建设本合同工程临时征用，承包人在完工后须按</w:t>
      </w:r>
      <w:r>
        <w:rPr>
          <w:rFonts w:ascii="宋体" w:hAnsi="宋体" w:eastAsia="宋体" w:cs="宋体"/>
          <w:color w:val="auto"/>
          <w:spacing w:val="-5"/>
          <w:sz w:val="24"/>
          <w:szCs w:val="24"/>
          <w:highlight w:val="none"/>
        </w:rPr>
        <w:t>合同要求退还的场地。</w:t>
      </w:r>
    </w:p>
    <w:p w14:paraId="291376A4">
      <w:pPr>
        <w:spacing w:before="182"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6"/>
          <w:sz w:val="24"/>
          <w:szCs w:val="24"/>
          <w:highlight w:val="none"/>
        </w:rPr>
        <w:t>1.1.4</w:t>
      </w:r>
      <w:r>
        <w:rPr>
          <w:rFonts w:ascii="Times New Roman" w:hAnsi="Times New Roman" w:eastAsia="Times New Roman" w:cs="Times New Roman"/>
          <w:b/>
          <w:bCs/>
          <w:color w:val="auto"/>
          <w:spacing w:val="25"/>
          <w:sz w:val="24"/>
          <w:szCs w:val="24"/>
          <w:highlight w:val="none"/>
        </w:rPr>
        <w:t xml:space="preserve">  </w:t>
      </w:r>
      <w:r>
        <w:rPr>
          <w:rFonts w:ascii="宋体" w:hAnsi="宋体" w:eastAsia="宋体" w:cs="宋体"/>
          <w:color w:val="auto"/>
          <w:spacing w:val="-6"/>
          <w:sz w:val="24"/>
          <w:szCs w:val="24"/>
          <w:highlight w:val="none"/>
        </w:rPr>
        <w:t>日期</w:t>
      </w:r>
    </w:p>
    <w:p w14:paraId="5AB8111B">
      <w:pPr>
        <w:spacing w:before="178" w:line="220"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1.1.4.1  </w:t>
      </w:r>
      <w:r>
        <w:rPr>
          <w:rFonts w:ascii="宋体" w:hAnsi="宋体" w:eastAsia="宋体" w:cs="宋体"/>
          <w:color w:val="auto"/>
          <w:spacing w:val="-2"/>
          <w:sz w:val="24"/>
          <w:szCs w:val="24"/>
          <w:highlight w:val="none"/>
        </w:rPr>
        <w:t>开工通知：指监理人按第</w:t>
      </w:r>
      <w:r>
        <w:rPr>
          <w:rFonts w:ascii="Times New Roman" w:hAnsi="Times New Roman" w:eastAsia="Times New Roman" w:cs="Times New Roman"/>
          <w:color w:val="auto"/>
          <w:spacing w:val="-2"/>
          <w:sz w:val="24"/>
          <w:szCs w:val="24"/>
          <w:highlight w:val="none"/>
        </w:rPr>
        <w:t>11.1</w:t>
      </w:r>
      <w:r>
        <w:rPr>
          <w:rFonts w:ascii="宋体" w:hAnsi="宋体" w:eastAsia="宋体" w:cs="宋体"/>
          <w:color w:val="auto"/>
          <w:spacing w:val="-2"/>
          <w:sz w:val="24"/>
          <w:szCs w:val="24"/>
          <w:highlight w:val="none"/>
        </w:rPr>
        <w:t>款通知承包人开工的函件。</w:t>
      </w:r>
    </w:p>
    <w:p w14:paraId="7399D03C">
      <w:pPr>
        <w:spacing w:line="220" w:lineRule="auto"/>
        <w:rPr>
          <w:rFonts w:ascii="宋体" w:hAnsi="宋体" w:eastAsia="宋体" w:cs="宋体"/>
          <w:color w:val="auto"/>
          <w:sz w:val="24"/>
          <w:szCs w:val="24"/>
          <w:highlight w:val="none"/>
        </w:rPr>
        <w:sectPr>
          <w:footerReference r:id="rId30" w:type="default"/>
          <w:pgSz w:w="11907" w:h="16841"/>
          <w:pgMar w:top="1428" w:right="1464" w:bottom="1254" w:left="1597" w:header="0" w:footer="1093" w:gutter="0"/>
          <w:pgNumType w:fmt="decimal"/>
          <w:cols w:space="720" w:num="1"/>
        </w:sectPr>
      </w:pPr>
    </w:p>
    <w:p w14:paraId="2DF8CEEC">
      <w:pPr>
        <w:spacing w:before="47" w:line="220"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1.1.4.2  </w:t>
      </w:r>
      <w:r>
        <w:rPr>
          <w:rFonts w:ascii="宋体" w:hAnsi="宋体" w:eastAsia="宋体" w:cs="宋体"/>
          <w:color w:val="auto"/>
          <w:spacing w:val="-1"/>
          <w:sz w:val="24"/>
          <w:szCs w:val="24"/>
          <w:highlight w:val="none"/>
        </w:rPr>
        <w:t>开工日期：指监理人按第</w:t>
      </w:r>
      <w:r>
        <w:rPr>
          <w:rFonts w:ascii="Times New Roman" w:hAnsi="Times New Roman" w:eastAsia="Times New Roman" w:cs="Times New Roman"/>
          <w:color w:val="auto"/>
          <w:spacing w:val="-2"/>
          <w:sz w:val="24"/>
          <w:szCs w:val="24"/>
          <w:highlight w:val="none"/>
        </w:rPr>
        <w:t>11.1</w:t>
      </w:r>
      <w:r>
        <w:rPr>
          <w:rFonts w:ascii="宋体" w:hAnsi="宋体" w:eastAsia="宋体" w:cs="宋体"/>
          <w:color w:val="auto"/>
          <w:spacing w:val="-2"/>
          <w:sz w:val="24"/>
          <w:szCs w:val="24"/>
          <w:highlight w:val="none"/>
        </w:rPr>
        <w:t>款发出的开工通知中写明的开工日期。</w:t>
      </w:r>
    </w:p>
    <w:p w14:paraId="0382ACA0">
      <w:pPr>
        <w:spacing w:before="182" w:line="289" w:lineRule="auto"/>
        <w:ind w:left="19" w:right="87" w:firstLine="480"/>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1.1.4.3  </w:t>
      </w:r>
      <w:r>
        <w:rPr>
          <w:rFonts w:ascii="宋体" w:hAnsi="宋体" w:eastAsia="宋体" w:cs="宋体"/>
          <w:color w:val="auto"/>
          <w:spacing w:val="1"/>
          <w:sz w:val="24"/>
          <w:szCs w:val="24"/>
          <w:highlight w:val="none"/>
        </w:rPr>
        <w:t>工期：指承包人在投标函中承诺的完成合同工程所需的期限，包括按第</w:t>
      </w:r>
      <w:r>
        <w:rPr>
          <w:rFonts w:ascii="Times New Roman" w:hAnsi="Times New Roman" w:eastAsia="Times New Roman" w:cs="Times New Roman"/>
          <w:color w:val="auto"/>
          <w:spacing w:val="-2"/>
          <w:sz w:val="24"/>
          <w:szCs w:val="24"/>
          <w:highlight w:val="none"/>
        </w:rPr>
        <w:t>11.3</w:t>
      </w:r>
      <w:r>
        <w:rPr>
          <w:rFonts w:ascii="宋体" w:hAnsi="宋体" w:eastAsia="宋体" w:cs="宋体"/>
          <w:color w:val="auto"/>
          <w:spacing w:val="-2"/>
          <w:sz w:val="24"/>
          <w:szCs w:val="24"/>
          <w:highlight w:val="none"/>
        </w:rPr>
        <w:t>款、第</w:t>
      </w:r>
      <w:r>
        <w:rPr>
          <w:rFonts w:ascii="Times New Roman" w:hAnsi="Times New Roman" w:eastAsia="Times New Roman" w:cs="Times New Roman"/>
          <w:color w:val="auto"/>
          <w:spacing w:val="-2"/>
          <w:sz w:val="24"/>
          <w:szCs w:val="24"/>
          <w:highlight w:val="none"/>
        </w:rPr>
        <w:t>11.4</w:t>
      </w:r>
      <w:r>
        <w:rPr>
          <w:rFonts w:ascii="宋体" w:hAnsi="宋体" w:eastAsia="宋体" w:cs="宋体"/>
          <w:color w:val="auto"/>
          <w:spacing w:val="-2"/>
          <w:sz w:val="24"/>
          <w:szCs w:val="24"/>
          <w:highlight w:val="none"/>
        </w:rPr>
        <w:t>款和第</w:t>
      </w:r>
      <w:r>
        <w:rPr>
          <w:rFonts w:ascii="Times New Roman" w:hAnsi="Times New Roman" w:eastAsia="Times New Roman" w:cs="Times New Roman"/>
          <w:color w:val="auto"/>
          <w:spacing w:val="-2"/>
          <w:sz w:val="24"/>
          <w:szCs w:val="24"/>
          <w:highlight w:val="none"/>
        </w:rPr>
        <w:t>11.6</w:t>
      </w:r>
      <w:r>
        <w:rPr>
          <w:rFonts w:ascii="宋体" w:hAnsi="宋体" w:eastAsia="宋体" w:cs="宋体"/>
          <w:color w:val="auto"/>
          <w:spacing w:val="-2"/>
          <w:sz w:val="24"/>
          <w:szCs w:val="24"/>
          <w:highlight w:val="none"/>
        </w:rPr>
        <w:t>款约</w:t>
      </w:r>
      <w:r>
        <w:rPr>
          <w:rFonts w:ascii="宋体" w:hAnsi="宋体" w:eastAsia="宋体" w:cs="宋体"/>
          <w:color w:val="auto"/>
          <w:spacing w:val="-3"/>
          <w:sz w:val="24"/>
          <w:szCs w:val="24"/>
          <w:highlight w:val="none"/>
        </w:rPr>
        <w:t>定所作的变更。</w:t>
      </w:r>
    </w:p>
    <w:p w14:paraId="07FFD979">
      <w:pPr>
        <w:spacing w:before="183" w:line="288" w:lineRule="auto"/>
        <w:ind w:right="66" w:firstLine="499"/>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 xml:space="preserve">1.1.4.4  </w:t>
      </w:r>
      <w:r>
        <w:rPr>
          <w:rFonts w:ascii="宋体" w:hAnsi="宋体" w:eastAsia="宋体" w:cs="宋体"/>
          <w:color w:val="auto"/>
          <w:spacing w:val="-4"/>
          <w:sz w:val="24"/>
          <w:szCs w:val="24"/>
          <w:highlight w:val="none"/>
        </w:rPr>
        <w:t>完工日期：指第</w:t>
      </w:r>
      <w:r>
        <w:rPr>
          <w:color w:val="auto"/>
          <w:highlight w:val="none"/>
        </w:rPr>
        <w:fldChar w:fldCharType="begin"/>
      </w:r>
      <w:r>
        <w:rPr>
          <w:color w:val="auto"/>
          <w:highlight w:val="none"/>
        </w:rPr>
        <w:instrText xml:space="preserve"> HYPERLINK "1.1.4.3" </w:instrText>
      </w:r>
      <w:r>
        <w:rPr>
          <w:color w:val="auto"/>
          <w:highlight w:val="none"/>
        </w:rPr>
        <w:fldChar w:fldCharType="separate"/>
      </w:r>
      <w:r>
        <w:rPr>
          <w:rFonts w:ascii="Times New Roman" w:hAnsi="Times New Roman" w:eastAsia="Times New Roman" w:cs="Times New Roman"/>
          <w:color w:val="auto"/>
          <w:spacing w:val="-4"/>
          <w:sz w:val="24"/>
          <w:szCs w:val="24"/>
          <w:highlight w:val="none"/>
        </w:rPr>
        <w:t>1.1.4.3</w:t>
      </w:r>
      <w:r>
        <w:rPr>
          <w:rFonts w:ascii="Times New Roman" w:hAnsi="Times New Roman" w:eastAsia="Times New Roman" w:cs="Times New Roman"/>
          <w:color w:val="auto"/>
          <w:spacing w:val="-4"/>
          <w:sz w:val="24"/>
          <w:szCs w:val="24"/>
          <w:highlight w:val="none"/>
        </w:rPr>
        <w:fldChar w:fldCharType="end"/>
      </w:r>
      <w:r>
        <w:rPr>
          <w:rFonts w:ascii="Times New Roman" w:hAnsi="Times New Roman" w:eastAsia="Times New Roman" w:cs="Times New Roman"/>
          <w:color w:val="auto"/>
          <w:spacing w:val="-4"/>
          <w:sz w:val="24"/>
          <w:szCs w:val="24"/>
          <w:highlight w:val="none"/>
        </w:rPr>
        <w:t xml:space="preserve"> </w:t>
      </w:r>
      <w:r>
        <w:rPr>
          <w:rFonts w:ascii="宋体" w:hAnsi="宋体" w:eastAsia="宋体" w:cs="宋体"/>
          <w:color w:val="auto"/>
          <w:spacing w:val="-4"/>
          <w:sz w:val="24"/>
          <w:szCs w:val="24"/>
          <w:highlight w:val="none"/>
        </w:rPr>
        <w:t>目约定工期届满时的日期。实际完工日期以合同工</w:t>
      </w:r>
      <w:r>
        <w:rPr>
          <w:rFonts w:ascii="宋体" w:hAnsi="宋体" w:eastAsia="宋体" w:cs="宋体"/>
          <w:color w:val="auto"/>
          <w:spacing w:val="-3"/>
          <w:sz w:val="24"/>
          <w:szCs w:val="24"/>
          <w:highlight w:val="none"/>
        </w:rPr>
        <w:t>程完工证书中写明的日期为准。</w:t>
      </w:r>
    </w:p>
    <w:p w14:paraId="0CBAA82C">
      <w:pPr>
        <w:spacing w:before="183" w:line="289" w:lineRule="auto"/>
        <w:ind w:firstLine="498"/>
        <w:rPr>
          <w:rFonts w:ascii="宋体" w:hAnsi="宋体" w:eastAsia="宋体" w:cs="宋体"/>
          <w:color w:val="auto"/>
          <w:sz w:val="24"/>
          <w:szCs w:val="24"/>
          <w:highlight w:val="none"/>
        </w:rPr>
      </w:pPr>
      <w:r>
        <w:rPr>
          <w:rFonts w:ascii="Times New Roman" w:hAnsi="Times New Roman" w:eastAsia="Times New Roman" w:cs="Times New Roman"/>
          <w:color w:val="auto"/>
          <w:spacing w:val="-7"/>
          <w:sz w:val="24"/>
          <w:szCs w:val="24"/>
          <w:highlight w:val="none"/>
        </w:rPr>
        <w:t xml:space="preserve">1.1.4.5  </w:t>
      </w:r>
      <w:r>
        <w:rPr>
          <w:rFonts w:ascii="宋体" w:hAnsi="宋体" w:eastAsia="宋体" w:cs="宋体"/>
          <w:color w:val="auto"/>
          <w:spacing w:val="-7"/>
          <w:sz w:val="24"/>
          <w:szCs w:val="24"/>
          <w:highlight w:val="none"/>
        </w:rPr>
        <w:t>缺陷责任期：即工程质量保修期，指履行第</w:t>
      </w:r>
      <w:r>
        <w:rPr>
          <w:rFonts w:ascii="Times New Roman" w:hAnsi="Times New Roman" w:eastAsia="Times New Roman" w:cs="Times New Roman"/>
          <w:color w:val="auto"/>
          <w:spacing w:val="-7"/>
          <w:sz w:val="24"/>
          <w:szCs w:val="24"/>
          <w:highlight w:val="none"/>
        </w:rPr>
        <w:t>19.2</w:t>
      </w:r>
      <w:r>
        <w:rPr>
          <w:rFonts w:ascii="宋体" w:hAnsi="宋体" w:eastAsia="宋体" w:cs="宋体"/>
          <w:color w:val="auto"/>
          <w:spacing w:val="-7"/>
          <w:sz w:val="24"/>
          <w:szCs w:val="24"/>
          <w:highlight w:val="none"/>
        </w:rPr>
        <w:t>款约定的缺陷责任的期限，</w:t>
      </w:r>
      <w:r>
        <w:rPr>
          <w:rFonts w:ascii="宋体" w:hAnsi="宋体" w:eastAsia="宋体" w:cs="宋体"/>
          <w:color w:val="auto"/>
          <w:spacing w:val="-1"/>
          <w:sz w:val="24"/>
          <w:szCs w:val="24"/>
          <w:highlight w:val="none"/>
        </w:rPr>
        <w:t>包括根据第</w:t>
      </w:r>
      <w:r>
        <w:rPr>
          <w:rFonts w:ascii="Times New Roman" w:hAnsi="Times New Roman" w:eastAsia="Times New Roman" w:cs="Times New Roman"/>
          <w:color w:val="auto"/>
          <w:spacing w:val="-1"/>
          <w:sz w:val="24"/>
          <w:szCs w:val="24"/>
          <w:highlight w:val="none"/>
        </w:rPr>
        <w:t>19.3</w:t>
      </w:r>
      <w:r>
        <w:rPr>
          <w:rFonts w:ascii="宋体" w:hAnsi="宋体" w:eastAsia="宋体" w:cs="宋体"/>
          <w:color w:val="auto"/>
          <w:spacing w:val="-1"/>
          <w:sz w:val="24"/>
          <w:szCs w:val="24"/>
          <w:highlight w:val="none"/>
        </w:rPr>
        <w:t>款约定所作的延长，具体</w:t>
      </w:r>
      <w:r>
        <w:rPr>
          <w:rFonts w:ascii="宋体" w:hAnsi="宋体" w:eastAsia="宋体" w:cs="宋体"/>
          <w:color w:val="auto"/>
          <w:spacing w:val="-2"/>
          <w:sz w:val="24"/>
          <w:szCs w:val="24"/>
          <w:highlight w:val="none"/>
        </w:rPr>
        <w:t>期限由专用合同条款约定。</w:t>
      </w:r>
    </w:p>
    <w:p w14:paraId="2BF57987">
      <w:pPr>
        <w:spacing w:before="182" w:line="220"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1.1.4.6  </w:t>
      </w:r>
      <w:r>
        <w:rPr>
          <w:rFonts w:ascii="宋体" w:hAnsi="宋体" w:eastAsia="宋体" w:cs="宋体"/>
          <w:color w:val="auto"/>
          <w:spacing w:val="-2"/>
          <w:sz w:val="24"/>
          <w:szCs w:val="24"/>
          <w:highlight w:val="none"/>
        </w:rPr>
        <w:t>基准日期：指投标截止时间前</w:t>
      </w:r>
      <w:r>
        <w:rPr>
          <w:rFonts w:ascii="Times New Roman" w:hAnsi="Times New Roman" w:eastAsia="Times New Roman" w:cs="Times New Roman"/>
          <w:color w:val="auto"/>
          <w:spacing w:val="-2"/>
          <w:sz w:val="24"/>
          <w:szCs w:val="24"/>
          <w:highlight w:val="none"/>
        </w:rPr>
        <w:t>28</w:t>
      </w:r>
      <w:r>
        <w:rPr>
          <w:rFonts w:ascii="宋体" w:hAnsi="宋体" w:eastAsia="宋体" w:cs="宋体"/>
          <w:color w:val="auto"/>
          <w:spacing w:val="-2"/>
          <w:sz w:val="24"/>
          <w:szCs w:val="24"/>
          <w:highlight w:val="none"/>
        </w:rPr>
        <w:t>天的日期。</w:t>
      </w:r>
    </w:p>
    <w:p w14:paraId="7749DEB6">
      <w:pPr>
        <w:spacing w:before="179" w:line="290" w:lineRule="auto"/>
        <w:ind w:left="3" w:right="122" w:firstLine="495"/>
        <w:rPr>
          <w:rFonts w:ascii="宋体" w:hAnsi="宋体" w:eastAsia="宋体" w:cs="宋体"/>
          <w:color w:val="auto"/>
          <w:sz w:val="24"/>
          <w:szCs w:val="24"/>
          <w:highlight w:val="none"/>
        </w:rPr>
      </w:pPr>
      <w:r>
        <w:rPr>
          <w:rFonts w:ascii="Times New Roman" w:hAnsi="Times New Roman" w:eastAsia="Times New Roman" w:cs="Times New Roman"/>
          <w:color w:val="auto"/>
          <w:spacing w:val="-11"/>
          <w:sz w:val="24"/>
          <w:szCs w:val="24"/>
          <w:highlight w:val="none"/>
        </w:rPr>
        <w:t xml:space="preserve">1.1.4.7  </w:t>
      </w:r>
      <w:r>
        <w:rPr>
          <w:rFonts w:ascii="宋体" w:hAnsi="宋体" w:eastAsia="宋体" w:cs="宋体"/>
          <w:color w:val="auto"/>
          <w:spacing w:val="-11"/>
          <w:sz w:val="24"/>
          <w:szCs w:val="24"/>
          <w:highlight w:val="none"/>
        </w:rPr>
        <w:t>天：除特别指明外，指日历天。合同中按</w:t>
      </w:r>
      <w:r>
        <w:rPr>
          <w:rFonts w:ascii="宋体" w:hAnsi="宋体" w:eastAsia="宋体" w:cs="宋体"/>
          <w:color w:val="auto"/>
          <w:spacing w:val="-12"/>
          <w:sz w:val="24"/>
          <w:szCs w:val="24"/>
          <w:highlight w:val="none"/>
        </w:rPr>
        <w:t>天计算时间的，开始当天不计入，</w:t>
      </w:r>
      <w:r>
        <w:rPr>
          <w:rFonts w:ascii="宋体" w:hAnsi="宋体" w:eastAsia="宋体" w:cs="宋体"/>
          <w:color w:val="auto"/>
          <w:spacing w:val="-1"/>
          <w:sz w:val="24"/>
          <w:szCs w:val="24"/>
          <w:highlight w:val="none"/>
        </w:rPr>
        <w:t>从次日开始计算。期限最后一天的截止时间为当天</w:t>
      </w:r>
      <w:r>
        <w:rPr>
          <w:rFonts w:ascii="Times New Roman" w:hAnsi="Times New Roman" w:eastAsia="Times New Roman" w:cs="Times New Roman"/>
          <w:color w:val="auto"/>
          <w:spacing w:val="-1"/>
          <w:sz w:val="24"/>
          <w:szCs w:val="24"/>
          <w:highlight w:val="none"/>
        </w:rPr>
        <w:t>24:00</w:t>
      </w:r>
      <w:r>
        <w:rPr>
          <w:rFonts w:ascii="宋体" w:hAnsi="宋体" w:eastAsia="宋体" w:cs="宋体"/>
          <w:color w:val="auto"/>
          <w:spacing w:val="-1"/>
          <w:sz w:val="24"/>
          <w:szCs w:val="24"/>
          <w:highlight w:val="none"/>
        </w:rPr>
        <w:t>。</w:t>
      </w:r>
    </w:p>
    <w:p w14:paraId="0074C366">
      <w:pPr>
        <w:spacing w:before="180" w:line="218"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1.1.5  </w:t>
      </w:r>
      <w:r>
        <w:rPr>
          <w:rFonts w:ascii="宋体" w:hAnsi="宋体" w:eastAsia="宋体" w:cs="宋体"/>
          <w:color w:val="auto"/>
          <w:spacing w:val="-2"/>
          <w:sz w:val="24"/>
          <w:szCs w:val="24"/>
          <w:highlight w:val="none"/>
        </w:rPr>
        <w:t>合同价格和费用</w:t>
      </w:r>
    </w:p>
    <w:p w14:paraId="7A77564D">
      <w:pPr>
        <w:spacing w:before="185" w:line="288" w:lineRule="auto"/>
        <w:ind w:left="1" w:right="66" w:firstLine="497"/>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 xml:space="preserve">1.1.5.1  </w:t>
      </w:r>
      <w:r>
        <w:rPr>
          <w:rFonts w:ascii="宋体" w:hAnsi="宋体" w:eastAsia="宋体" w:cs="宋体"/>
          <w:color w:val="auto"/>
          <w:spacing w:val="-4"/>
          <w:sz w:val="24"/>
          <w:szCs w:val="24"/>
          <w:highlight w:val="none"/>
        </w:rPr>
        <w:t>签约合同价：指签定合同时合同协</w:t>
      </w:r>
      <w:r>
        <w:rPr>
          <w:rFonts w:ascii="宋体" w:hAnsi="宋体" w:eastAsia="宋体" w:cs="宋体"/>
          <w:color w:val="auto"/>
          <w:spacing w:val="-5"/>
          <w:sz w:val="24"/>
          <w:szCs w:val="24"/>
          <w:highlight w:val="none"/>
        </w:rPr>
        <w:t>议书中写明的，包括了预留金额、暂估价的合同总金额。</w:t>
      </w:r>
    </w:p>
    <w:p w14:paraId="142750F5">
      <w:pPr>
        <w:spacing w:before="185" w:line="313" w:lineRule="auto"/>
        <w:ind w:left="1" w:right="66" w:firstLine="497"/>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1.1.5.2  </w:t>
      </w:r>
      <w:r>
        <w:rPr>
          <w:rFonts w:ascii="宋体" w:hAnsi="宋体" w:eastAsia="宋体" w:cs="宋体"/>
          <w:color w:val="auto"/>
          <w:spacing w:val="1"/>
          <w:sz w:val="24"/>
          <w:szCs w:val="24"/>
          <w:highlight w:val="none"/>
        </w:rPr>
        <w:t>合同价格：指承包人按合同约定完成了包括缺陷责任期内的全部承包工</w:t>
      </w:r>
      <w:r>
        <w:rPr>
          <w:rFonts w:ascii="宋体" w:hAnsi="宋体" w:eastAsia="宋体" w:cs="宋体"/>
          <w:color w:val="auto"/>
          <w:spacing w:val="-3"/>
          <w:sz w:val="24"/>
          <w:szCs w:val="24"/>
          <w:highlight w:val="none"/>
        </w:rPr>
        <w:t>作后，发包人应付给承包人的金额，包括在履行合同过程中按合同约定进行的变更和</w:t>
      </w:r>
      <w:r>
        <w:rPr>
          <w:rFonts w:ascii="宋体" w:hAnsi="宋体" w:eastAsia="宋体" w:cs="宋体"/>
          <w:color w:val="auto"/>
          <w:spacing w:val="-11"/>
          <w:sz w:val="24"/>
          <w:szCs w:val="24"/>
          <w:highlight w:val="none"/>
        </w:rPr>
        <w:t>调整。</w:t>
      </w:r>
    </w:p>
    <w:p w14:paraId="7CE6B0C1">
      <w:pPr>
        <w:spacing w:before="180" w:line="289" w:lineRule="auto"/>
        <w:ind w:right="68" w:firstLine="498"/>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 xml:space="preserve">1.1.5.3  </w:t>
      </w:r>
      <w:r>
        <w:rPr>
          <w:rFonts w:ascii="宋体" w:hAnsi="宋体" w:eastAsia="宋体" w:cs="宋体"/>
          <w:color w:val="auto"/>
          <w:spacing w:val="-4"/>
          <w:sz w:val="24"/>
          <w:szCs w:val="24"/>
          <w:highlight w:val="none"/>
        </w:rPr>
        <w:t>费用：指为履行合同所发生的</w:t>
      </w:r>
      <w:r>
        <w:rPr>
          <w:rFonts w:ascii="宋体" w:hAnsi="宋体" w:eastAsia="宋体" w:cs="宋体"/>
          <w:color w:val="auto"/>
          <w:spacing w:val="-5"/>
          <w:sz w:val="24"/>
          <w:szCs w:val="24"/>
          <w:highlight w:val="none"/>
        </w:rPr>
        <w:t>或将要发生的所有合理开支，包括管理费和</w:t>
      </w:r>
      <w:r>
        <w:rPr>
          <w:rFonts w:ascii="宋体" w:hAnsi="宋体" w:eastAsia="宋体" w:cs="宋体"/>
          <w:color w:val="auto"/>
          <w:spacing w:val="-3"/>
          <w:sz w:val="24"/>
          <w:szCs w:val="24"/>
          <w:highlight w:val="none"/>
        </w:rPr>
        <w:t>应分摊的其他费用，但不包括利润。</w:t>
      </w:r>
    </w:p>
    <w:p w14:paraId="38547919">
      <w:pPr>
        <w:spacing w:before="181" w:line="313" w:lineRule="auto"/>
        <w:ind w:right="66" w:firstLine="498"/>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 xml:space="preserve">1.1.5.4  </w:t>
      </w:r>
      <w:r>
        <w:rPr>
          <w:rFonts w:ascii="宋体" w:hAnsi="宋体" w:eastAsia="宋体" w:cs="宋体"/>
          <w:color w:val="auto"/>
          <w:spacing w:val="-4"/>
          <w:sz w:val="24"/>
          <w:szCs w:val="24"/>
          <w:highlight w:val="none"/>
        </w:rPr>
        <w:t>预留金：指已标价工程量清单</w:t>
      </w:r>
      <w:r>
        <w:rPr>
          <w:rFonts w:ascii="宋体" w:hAnsi="宋体" w:eastAsia="宋体" w:cs="宋体"/>
          <w:color w:val="auto"/>
          <w:spacing w:val="-5"/>
          <w:sz w:val="24"/>
          <w:szCs w:val="24"/>
          <w:highlight w:val="none"/>
        </w:rPr>
        <w:t>中所列的预留金，为施工中可能发生的合同变更、合同约定调整因素出现时的合同价款调整等预留的金额，</w:t>
      </w:r>
      <w:r>
        <w:rPr>
          <w:rFonts w:ascii="宋体" w:hAnsi="宋体" w:eastAsia="宋体" w:cs="宋体"/>
          <w:color w:val="auto"/>
          <w:spacing w:val="-37"/>
          <w:sz w:val="24"/>
          <w:szCs w:val="24"/>
          <w:highlight w:val="none"/>
        </w:rPr>
        <w:t xml:space="preserve"> </w:t>
      </w:r>
      <w:r>
        <w:rPr>
          <w:rFonts w:ascii="宋体" w:hAnsi="宋体" w:eastAsia="宋体" w:cs="宋体"/>
          <w:color w:val="auto"/>
          <w:spacing w:val="-5"/>
          <w:sz w:val="24"/>
          <w:szCs w:val="24"/>
          <w:highlight w:val="none"/>
        </w:rPr>
        <w:t>包括以计日工方式支</w:t>
      </w:r>
      <w:r>
        <w:rPr>
          <w:rFonts w:ascii="宋体" w:hAnsi="宋体" w:eastAsia="宋体" w:cs="宋体"/>
          <w:color w:val="auto"/>
          <w:spacing w:val="-8"/>
          <w:sz w:val="24"/>
          <w:szCs w:val="24"/>
          <w:highlight w:val="none"/>
        </w:rPr>
        <w:t>付的金额。</w:t>
      </w:r>
    </w:p>
    <w:p w14:paraId="74213A87">
      <w:pPr>
        <w:spacing w:before="180" w:line="289" w:lineRule="auto"/>
        <w:ind w:right="71" w:firstLine="498"/>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1.1.5.5  </w:t>
      </w:r>
      <w:r>
        <w:rPr>
          <w:rFonts w:ascii="宋体" w:hAnsi="宋体" w:eastAsia="宋体" w:cs="宋体"/>
          <w:color w:val="auto"/>
          <w:spacing w:val="1"/>
          <w:sz w:val="24"/>
          <w:szCs w:val="24"/>
          <w:highlight w:val="none"/>
        </w:rPr>
        <w:t>暂估价：指发包人在工程量清单中给定的用于支付必然发生但暂时不能</w:t>
      </w:r>
      <w:r>
        <w:rPr>
          <w:rFonts w:ascii="宋体" w:hAnsi="宋体" w:eastAsia="宋体" w:cs="宋体"/>
          <w:color w:val="auto"/>
          <w:spacing w:val="-3"/>
          <w:sz w:val="24"/>
          <w:szCs w:val="24"/>
          <w:highlight w:val="none"/>
        </w:rPr>
        <w:t>确定价格的材料、设备以及专业工程的金额。</w:t>
      </w:r>
    </w:p>
    <w:p w14:paraId="62F8BB0D">
      <w:pPr>
        <w:spacing w:before="182" w:line="289" w:lineRule="auto"/>
        <w:ind w:left="2" w:right="68" w:firstLine="496"/>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 xml:space="preserve">1.1.5.6  </w:t>
      </w:r>
      <w:r>
        <w:rPr>
          <w:rFonts w:ascii="宋体" w:hAnsi="宋体" w:eastAsia="宋体" w:cs="宋体"/>
          <w:color w:val="auto"/>
          <w:spacing w:val="-4"/>
          <w:sz w:val="24"/>
          <w:szCs w:val="24"/>
          <w:highlight w:val="none"/>
        </w:rPr>
        <w:t>计日工：指对零星工作采取的</w:t>
      </w:r>
      <w:r>
        <w:rPr>
          <w:rFonts w:ascii="宋体" w:hAnsi="宋体" w:eastAsia="宋体" w:cs="宋体"/>
          <w:color w:val="auto"/>
          <w:spacing w:val="-5"/>
          <w:sz w:val="24"/>
          <w:szCs w:val="24"/>
          <w:highlight w:val="none"/>
        </w:rPr>
        <w:t>一种计价方式，按合同中的计日工子目及其</w:t>
      </w:r>
      <w:r>
        <w:rPr>
          <w:rFonts w:ascii="宋体" w:hAnsi="宋体" w:eastAsia="宋体" w:cs="宋体"/>
          <w:color w:val="auto"/>
          <w:spacing w:val="-6"/>
          <w:sz w:val="24"/>
          <w:szCs w:val="24"/>
          <w:highlight w:val="none"/>
        </w:rPr>
        <w:t>单价计价付款。</w:t>
      </w:r>
    </w:p>
    <w:p w14:paraId="18F18F0C">
      <w:pPr>
        <w:spacing w:before="182" w:line="290" w:lineRule="auto"/>
        <w:ind w:left="29" w:right="66" w:firstLine="469"/>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1.1.5.7  </w:t>
      </w:r>
      <w:r>
        <w:rPr>
          <w:rFonts w:ascii="宋体" w:hAnsi="宋体" w:eastAsia="宋体" w:cs="宋体"/>
          <w:color w:val="auto"/>
          <w:spacing w:val="-1"/>
          <w:sz w:val="24"/>
          <w:szCs w:val="24"/>
          <w:highlight w:val="none"/>
        </w:rPr>
        <w:t>质量保证金（或称保留金</w:t>
      </w:r>
      <w:r>
        <w:rPr>
          <w:rFonts w:ascii="宋体" w:hAnsi="宋体" w:eastAsia="宋体" w:cs="宋体"/>
          <w:color w:val="auto"/>
          <w:spacing w:val="-5"/>
          <w:sz w:val="24"/>
          <w:szCs w:val="24"/>
          <w:highlight w:val="none"/>
        </w:rPr>
        <w:t>）：</w:t>
      </w:r>
      <w:r>
        <w:rPr>
          <w:rFonts w:ascii="宋体" w:hAnsi="宋体" w:eastAsia="宋体" w:cs="宋体"/>
          <w:color w:val="auto"/>
          <w:spacing w:val="-1"/>
          <w:sz w:val="24"/>
          <w:szCs w:val="24"/>
          <w:highlight w:val="none"/>
        </w:rPr>
        <w:t>指按第</w:t>
      </w:r>
      <w:r>
        <w:rPr>
          <w:rFonts w:ascii="Times New Roman" w:hAnsi="Times New Roman" w:eastAsia="Times New Roman" w:cs="Times New Roman"/>
          <w:color w:val="auto"/>
          <w:spacing w:val="-1"/>
          <w:sz w:val="24"/>
          <w:szCs w:val="24"/>
          <w:highlight w:val="none"/>
        </w:rPr>
        <w:t>17.4.1</w:t>
      </w:r>
      <w:r>
        <w:rPr>
          <w:rFonts w:ascii="宋体" w:hAnsi="宋体" w:eastAsia="宋体" w:cs="宋体"/>
          <w:color w:val="auto"/>
          <w:spacing w:val="-1"/>
          <w:sz w:val="24"/>
          <w:szCs w:val="24"/>
          <w:highlight w:val="none"/>
        </w:rPr>
        <w:t>项约定</w:t>
      </w:r>
      <w:r>
        <w:rPr>
          <w:rFonts w:ascii="宋体" w:hAnsi="宋体" w:eastAsia="宋体" w:cs="宋体"/>
          <w:color w:val="auto"/>
          <w:spacing w:val="-2"/>
          <w:sz w:val="24"/>
          <w:szCs w:val="24"/>
          <w:highlight w:val="none"/>
        </w:rPr>
        <w:t>用于保证在缺陷责任期</w:t>
      </w:r>
      <w:r>
        <w:rPr>
          <w:rFonts w:ascii="宋体" w:hAnsi="宋体" w:eastAsia="宋体" w:cs="宋体"/>
          <w:color w:val="auto"/>
          <w:spacing w:val="-6"/>
          <w:sz w:val="24"/>
          <w:szCs w:val="24"/>
          <w:highlight w:val="none"/>
        </w:rPr>
        <w:t>内履行缺陷修复义务的金额。</w:t>
      </w:r>
    </w:p>
    <w:p w14:paraId="10071BB0">
      <w:pPr>
        <w:spacing w:before="180"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1.1.6</w:t>
      </w:r>
      <w:r>
        <w:rPr>
          <w:rFonts w:ascii="Times New Roman" w:hAnsi="Times New Roman" w:eastAsia="Times New Roman" w:cs="Times New Roman"/>
          <w:b/>
          <w:bCs/>
          <w:color w:val="auto"/>
          <w:spacing w:val="8"/>
          <w:sz w:val="24"/>
          <w:szCs w:val="24"/>
          <w:highlight w:val="none"/>
        </w:rPr>
        <w:t xml:space="preserve">  </w:t>
      </w:r>
      <w:r>
        <w:rPr>
          <w:rFonts w:ascii="宋体" w:hAnsi="宋体" w:eastAsia="宋体" w:cs="宋体"/>
          <w:color w:val="auto"/>
          <w:spacing w:val="-4"/>
          <w:sz w:val="24"/>
          <w:szCs w:val="24"/>
          <w:highlight w:val="none"/>
        </w:rPr>
        <w:t>其他</w:t>
      </w:r>
    </w:p>
    <w:p w14:paraId="656B093E">
      <w:pPr>
        <w:spacing w:before="182" w:line="361" w:lineRule="auto"/>
        <w:ind w:left="3" w:right="66" w:firstLine="495"/>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 xml:space="preserve">1.1.6.1  </w:t>
      </w:r>
      <w:r>
        <w:rPr>
          <w:rFonts w:ascii="宋体" w:hAnsi="宋体" w:eastAsia="宋体" w:cs="宋体"/>
          <w:color w:val="auto"/>
          <w:spacing w:val="-4"/>
          <w:sz w:val="24"/>
          <w:szCs w:val="24"/>
          <w:highlight w:val="none"/>
        </w:rPr>
        <w:t>书面形式：指合同文件、信函、电</w:t>
      </w:r>
      <w:r>
        <w:rPr>
          <w:rFonts w:ascii="宋体" w:hAnsi="宋体" w:eastAsia="宋体" w:cs="宋体"/>
          <w:color w:val="auto"/>
          <w:spacing w:val="-5"/>
          <w:sz w:val="24"/>
          <w:szCs w:val="24"/>
          <w:highlight w:val="none"/>
        </w:rPr>
        <w:t>报、传真等可以有形地表现所载内容的</w:t>
      </w:r>
      <w:r>
        <w:rPr>
          <w:rFonts w:ascii="宋体" w:hAnsi="宋体" w:eastAsia="宋体" w:cs="宋体"/>
          <w:color w:val="auto"/>
          <w:spacing w:val="-11"/>
          <w:sz w:val="24"/>
          <w:szCs w:val="24"/>
          <w:highlight w:val="none"/>
        </w:rPr>
        <w:t>形式。</w:t>
      </w:r>
    </w:p>
    <w:p w14:paraId="7134A0DB">
      <w:pPr>
        <w:spacing w:line="361" w:lineRule="auto"/>
        <w:rPr>
          <w:rFonts w:ascii="宋体" w:hAnsi="宋体" w:eastAsia="宋体" w:cs="宋体"/>
          <w:color w:val="auto"/>
          <w:sz w:val="24"/>
          <w:szCs w:val="24"/>
          <w:highlight w:val="none"/>
        </w:rPr>
        <w:sectPr>
          <w:footerReference r:id="rId31" w:type="default"/>
          <w:pgSz w:w="11907" w:h="16841"/>
          <w:pgMar w:top="1428" w:right="1462" w:bottom="1254" w:left="1597" w:header="0" w:footer="1093" w:gutter="0"/>
          <w:pgNumType w:fmt="decimal"/>
          <w:cols w:space="720" w:num="1"/>
        </w:sectPr>
      </w:pPr>
    </w:p>
    <w:p w14:paraId="5F0197A7">
      <w:pPr>
        <w:spacing w:before="47" w:line="220" w:lineRule="auto"/>
        <w:ind w:left="7"/>
        <w:outlineLvl w:val="2"/>
        <w:rPr>
          <w:rFonts w:ascii="宋体" w:hAnsi="宋体" w:eastAsia="宋体" w:cs="宋体"/>
          <w:color w:val="auto"/>
          <w:sz w:val="24"/>
          <w:szCs w:val="24"/>
          <w:highlight w:val="none"/>
        </w:rPr>
      </w:pPr>
      <w:bookmarkStart w:id="261" w:name="bookmark146"/>
      <w:bookmarkEnd w:id="261"/>
      <w:bookmarkStart w:id="262" w:name="bookmark145"/>
      <w:bookmarkEnd w:id="262"/>
      <w:bookmarkStart w:id="263" w:name="_Toc3392"/>
      <w:bookmarkStart w:id="264" w:name="_Toc21504"/>
      <w:r>
        <w:rPr>
          <w:rFonts w:ascii="Times New Roman" w:hAnsi="Times New Roman" w:eastAsia="Times New Roman" w:cs="Times New Roman"/>
          <w:b/>
          <w:bCs/>
          <w:color w:val="auto"/>
          <w:spacing w:val="-3"/>
          <w:sz w:val="24"/>
          <w:szCs w:val="24"/>
          <w:highlight w:val="none"/>
        </w:rPr>
        <w:t xml:space="preserve">1.2  </w:t>
      </w:r>
      <w:r>
        <w:rPr>
          <w:rFonts w:ascii="宋体" w:hAnsi="宋体" w:eastAsia="宋体" w:cs="宋体"/>
          <w:b/>
          <w:bCs/>
          <w:color w:val="auto"/>
          <w:spacing w:val="-3"/>
          <w:sz w:val="24"/>
          <w:szCs w:val="24"/>
          <w:highlight w:val="none"/>
        </w:rPr>
        <w:t>语言文字</w:t>
      </w:r>
      <w:bookmarkEnd w:id="263"/>
      <w:bookmarkEnd w:id="264"/>
    </w:p>
    <w:p w14:paraId="4156932C">
      <w:pPr>
        <w:spacing w:before="182" w:line="219" w:lineRule="auto"/>
        <w:jc w:val="right"/>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除专用术语外，合同使用的语言文字为中文。必要时专用术语应附有中文注释。</w:t>
      </w:r>
    </w:p>
    <w:p w14:paraId="711A85C2">
      <w:pPr>
        <w:spacing w:before="180" w:line="220" w:lineRule="auto"/>
        <w:ind w:left="7"/>
        <w:outlineLvl w:val="2"/>
        <w:rPr>
          <w:rFonts w:ascii="宋体" w:hAnsi="宋体" w:eastAsia="宋体" w:cs="宋体"/>
          <w:color w:val="auto"/>
          <w:sz w:val="24"/>
          <w:szCs w:val="24"/>
          <w:highlight w:val="none"/>
        </w:rPr>
      </w:pPr>
      <w:bookmarkStart w:id="265" w:name="bookmark687"/>
      <w:bookmarkEnd w:id="265"/>
      <w:bookmarkStart w:id="266" w:name="_Toc7595"/>
      <w:bookmarkStart w:id="267" w:name="_Toc25217"/>
      <w:r>
        <w:rPr>
          <w:rFonts w:ascii="Times New Roman" w:hAnsi="Times New Roman" w:eastAsia="Times New Roman" w:cs="Times New Roman"/>
          <w:b/>
          <w:bCs/>
          <w:color w:val="auto"/>
          <w:spacing w:val="-5"/>
          <w:sz w:val="24"/>
          <w:szCs w:val="24"/>
          <w:highlight w:val="none"/>
        </w:rPr>
        <w:t>1.3</w:t>
      </w:r>
      <w:r>
        <w:rPr>
          <w:rFonts w:ascii="Times New Roman" w:hAnsi="Times New Roman" w:eastAsia="Times New Roman" w:cs="Times New Roman"/>
          <w:b/>
          <w:bCs/>
          <w:color w:val="auto"/>
          <w:spacing w:val="5"/>
          <w:sz w:val="24"/>
          <w:szCs w:val="24"/>
          <w:highlight w:val="none"/>
        </w:rPr>
        <w:t xml:space="preserve">  </w:t>
      </w:r>
      <w:r>
        <w:rPr>
          <w:rFonts w:ascii="宋体" w:hAnsi="宋体" w:eastAsia="宋体" w:cs="宋体"/>
          <w:b/>
          <w:bCs/>
          <w:color w:val="auto"/>
          <w:spacing w:val="-5"/>
          <w:sz w:val="24"/>
          <w:szCs w:val="24"/>
          <w:highlight w:val="none"/>
        </w:rPr>
        <w:t>法律</w:t>
      </w:r>
      <w:bookmarkEnd w:id="266"/>
      <w:bookmarkEnd w:id="267"/>
    </w:p>
    <w:p w14:paraId="1FD99C7D">
      <w:pPr>
        <w:spacing w:before="182" w:line="359" w:lineRule="auto"/>
        <w:ind w:right="85" w:firstLine="480"/>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适用于合同的法律包括中华人民共和国法律、行政法规、部门规章，</w:t>
      </w:r>
      <w:r>
        <w:rPr>
          <w:rFonts w:ascii="宋体" w:hAnsi="宋体" w:eastAsia="宋体" w:cs="宋体"/>
          <w:color w:val="auto"/>
          <w:spacing w:val="-7"/>
          <w:sz w:val="24"/>
          <w:szCs w:val="24"/>
          <w:highlight w:val="none"/>
        </w:rPr>
        <w:t xml:space="preserve"> 以及工程所</w:t>
      </w:r>
      <w:r>
        <w:rPr>
          <w:rFonts w:ascii="宋体" w:hAnsi="宋体" w:eastAsia="宋体" w:cs="宋体"/>
          <w:color w:val="auto"/>
          <w:spacing w:val="-2"/>
          <w:sz w:val="24"/>
          <w:szCs w:val="24"/>
          <w:highlight w:val="none"/>
        </w:rPr>
        <w:t>在地的地方法规、自治条例、单行条例和地方政府规章。</w:t>
      </w:r>
    </w:p>
    <w:p w14:paraId="6AC4DBC4">
      <w:pPr>
        <w:spacing w:line="219" w:lineRule="auto"/>
        <w:ind w:left="7"/>
        <w:outlineLvl w:val="2"/>
        <w:rPr>
          <w:rFonts w:ascii="宋体" w:hAnsi="宋体" w:eastAsia="宋体" w:cs="宋体"/>
          <w:color w:val="auto"/>
          <w:sz w:val="24"/>
          <w:szCs w:val="24"/>
          <w:highlight w:val="none"/>
        </w:rPr>
      </w:pPr>
      <w:bookmarkStart w:id="268" w:name="bookmark147"/>
      <w:bookmarkEnd w:id="268"/>
      <w:bookmarkStart w:id="269" w:name="_Toc23487"/>
      <w:bookmarkStart w:id="270" w:name="_Toc15587"/>
      <w:r>
        <w:rPr>
          <w:rFonts w:ascii="Times New Roman" w:hAnsi="Times New Roman" w:eastAsia="Times New Roman" w:cs="Times New Roman"/>
          <w:b/>
          <w:bCs/>
          <w:color w:val="auto"/>
          <w:spacing w:val="-3"/>
          <w:sz w:val="24"/>
          <w:szCs w:val="24"/>
          <w:highlight w:val="none"/>
        </w:rPr>
        <w:t xml:space="preserve">1.4  </w:t>
      </w:r>
      <w:r>
        <w:rPr>
          <w:rFonts w:ascii="宋体" w:hAnsi="宋体" w:eastAsia="宋体" w:cs="宋体"/>
          <w:b/>
          <w:bCs/>
          <w:color w:val="auto"/>
          <w:spacing w:val="-3"/>
          <w:sz w:val="24"/>
          <w:szCs w:val="24"/>
          <w:highlight w:val="none"/>
        </w:rPr>
        <w:t>合同文件的优先顺序</w:t>
      </w:r>
      <w:bookmarkEnd w:id="269"/>
      <w:bookmarkEnd w:id="270"/>
    </w:p>
    <w:p w14:paraId="29CCA345">
      <w:pPr>
        <w:spacing w:before="181" w:line="359" w:lineRule="auto"/>
        <w:ind w:left="1" w:right="85" w:firstLine="48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组成合同的各项文件应互相解释，互为说明。除专用合同条款</w:t>
      </w:r>
      <w:r>
        <w:rPr>
          <w:rFonts w:ascii="宋体" w:hAnsi="宋体" w:eastAsia="宋体" w:cs="宋体"/>
          <w:color w:val="auto"/>
          <w:spacing w:val="-7"/>
          <w:sz w:val="24"/>
          <w:szCs w:val="24"/>
          <w:highlight w:val="none"/>
        </w:rPr>
        <w:t>另有约定外， 解释</w:t>
      </w:r>
      <w:r>
        <w:rPr>
          <w:rFonts w:ascii="宋体" w:hAnsi="宋体" w:eastAsia="宋体" w:cs="宋体"/>
          <w:color w:val="auto"/>
          <w:spacing w:val="-6"/>
          <w:sz w:val="24"/>
          <w:szCs w:val="24"/>
          <w:highlight w:val="none"/>
        </w:rPr>
        <w:t>合同文件的优先顺序如下：</w:t>
      </w:r>
    </w:p>
    <w:p w14:paraId="3F9F356E">
      <w:pPr>
        <w:spacing w:before="1" w:line="218" w:lineRule="auto"/>
        <w:ind w:left="487"/>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l</w:t>
      </w:r>
      <w:r>
        <w:rPr>
          <w:rFonts w:ascii="宋体" w:hAnsi="宋体" w:eastAsia="宋体" w:cs="宋体"/>
          <w:color w:val="auto"/>
          <w:spacing w:val="-6"/>
          <w:sz w:val="24"/>
          <w:szCs w:val="24"/>
          <w:highlight w:val="none"/>
        </w:rPr>
        <w:t>）合同协议书。</w:t>
      </w:r>
    </w:p>
    <w:p w14:paraId="02AE95FF">
      <w:pPr>
        <w:spacing w:before="183" w:line="219" w:lineRule="auto"/>
        <w:ind w:left="487"/>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2</w:t>
      </w:r>
      <w:r>
        <w:rPr>
          <w:rFonts w:ascii="宋体" w:hAnsi="宋体" w:eastAsia="宋体" w:cs="宋体"/>
          <w:color w:val="auto"/>
          <w:spacing w:val="-6"/>
          <w:sz w:val="24"/>
          <w:szCs w:val="24"/>
          <w:highlight w:val="none"/>
        </w:rPr>
        <w:t>）中标通知书。</w:t>
      </w:r>
    </w:p>
    <w:p w14:paraId="54601136">
      <w:pPr>
        <w:spacing w:before="181" w:line="219" w:lineRule="auto"/>
        <w:ind w:left="48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）投标函及投标函附录。</w:t>
      </w:r>
    </w:p>
    <w:p w14:paraId="0FF37FA5">
      <w:pPr>
        <w:spacing w:before="183" w:line="220" w:lineRule="auto"/>
        <w:ind w:left="48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4</w:t>
      </w:r>
      <w:r>
        <w:rPr>
          <w:rFonts w:ascii="宋体" w:hAnsi="宋体" w:eastAsia="宋体" w:cs="宋体"/>
          <w:color w:val="auto"/>
          <w:spacing w:val="-5"/>
          <w:sz w:val="24"/>
          <w:szCs w:val="24"/>
          <w:highlight w:val="none"/>
        </w:rPr>
        <w:t>）专用合同条款。</w:t>
      </w:r>
    </w:p>
    <w:p w14:paraId="0B0E644A">
      <w:pPr>
        <w:spacing w:before="179" w:line="220" w:lineRule="auto"/>
        <w:ind w:left="48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5</w:t>
      </w:r>
      <w:r>
        <w:rPr>
          <w:rFonts w:ascii="宋体" w:hAnsi="宋体" w:eastAsia="宋体" w:cs="宋体"/>
          <w:color w:val="auto"/>
          <w:spacing w:val="-5"/>
          <w:sz w:val="24"/>
          <w:szCs w:val="24"/>
          <w:highlight w:val="none"/>
        </w:rPr>
        <w:t>）通用合同条款。</w:t>
      </w:r>
    </w:p>
    <w:p w14:paraId="1F326596">
      <w:pPr>
        <w:spacing w:before="182" w:line="220" w:lineRule="auto"/>
        <w:ind w:left="48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6</w:t>
      </w:r>
      <w:r>
        <w:rPr>
          <w:rFonts w:ascii="宋体" w:hAnsi="宋体" w:eastAsia="宋体" w:cs="宋体"/>
          <w:color w:val="auto"/>
          <w:spacing w:val="-5"/>
          <w:sz w:val="24"/>
          <w:szCs w:val="24"/>
          <w:highlight w:val="none"/>
        </w:rPr>
        <w:t>）技术标准和要求。</w:t>
      </w:r>
    </w:p>
    <w:p w14:paraId="1262984C">
      <w:pPr>
        <w:spacing w:before="181" w:line="221" w:lineRule="auto"/>
        <w:ind w:left="487"/>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w:t>
      </w:r>
      <w:r>
        <w:rPr>
          <w:rFonts w:ascii="Times New Roman" w:hAnsi="Times New Roman" w:eastAsia="Times New Roman" w:cs="Times New Roman"/>
          <w:color w:val="auto"/>
          <w:spacing w:val="-7"/>
          <w:sz w:val="24"/>
          <w:szCs w:val="24"/>
          <w:highlight w:val="none"/>
        </w:rPr>
        <w:t>7</w:t>
      </w:r>
      <w:r>
        <w:rPr>
          <w:rFonts w:ascii="宋体" w:hAnsi="宋体" w:eastAsia="宋体" w:cs="宋体"/>
          <w:color w:val="auto"/>
          <w:spacing w:val="-7"/>
          <w:sz w:val="24"/>
          <w:szCs w:val="24"/>
          <w:highlight w:val="none"/>
        </w:rPr>
        <w:t>）图纸。</w:t>
      </w:r>
    </w:p>
    <w:p w14:paraId="1E38DD1B">
      <w:pPr>
        <w:spacing w:before="181" w:line="218" w:lineRule="auto"/>
        <w:ind w:left="48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8</w:t>
      </w:r>
      <w:r>
        <w:rPr>
          <w:rFonts w:ascii="宋体" w:hAnsi="宋体" w:eastAsia="宋体" w:cs="宋体"/>
          <w:color w:val="auto"/>
          <w:spacing w:val="-4"/>
          <w:sz w:val="24"/>
          <w:szCs w:val="24"/>
          <w:highlight w:val="none"/>
        </w:rPr>
        <w:t>）已标价工程量清单。</w:t>
      </w:r>
    </w:p>
    <w:p w14:paraId="63F72573">
      <w:pPr>
        <w:spacing w:before="183" w:line="220" w:lineRule="auto"/>
        <w:ind w:left="48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9</w:t>
      </w:r>
      <w:r>
        <w:rPr>
          <w:rFonts w:ascii="宋体" w:hAnsi="宋体" w:eastAsia="宋体" w:cs="宋体"/>
          <w:color w:val="auto"/>
          <w:spacing w:val="-5"/>
          <w:sz w:val="24"/>
          <w:szCs w:val="24"/>
          <w:highlight w:val="none"/>
        </w:rPr>
        <w:t>）其他合同文件。</w:t>
      </w:r>
    </w:p>
    <w:p w14:paraId="7F2BD2CC">
      <w:pPr>
        <w:spacing w:before="180" w:line="219" w:lineRule="auto"/>
        <w:ind w:left="7"/>
        <w:outlineLvl w:val="2"/>
        <w:rPr>
          <w:rFonts w:ascii="宋体" w:hAnsi="宋体" w:eastAsia="宋体" w:cs="宋体"/>
          <w:color w:val="auto"/>
          <w:sz w:val="24"/>
          <w:szCs w:val="24"/>
          <w:highlight w:val="none"/>
        </w:rPr>
      </w:pPr>
      <w:bookmarkStart w:id="271" w:name="bookmark148"/>
      <w:bookmarkEnd w:id="271"/>
      <w:bookmarkStart w:id="272" w:name="_Toc27892"/>
      <w:bookmarkStart w:id="273" w:name="_Toc15236"/>
      <w:r>
        <w:rPr>
          <w:rFonts w:ascii="Times New Roman" w:hAnsi="Times New Roman" w:eastAsia="Times New Roman" w:cs="Times New Roman"/>
          <w:b/>
          <w:bCs/>
          <w:color w:val="auto"/>
          <w:spacing w:val="-3"/>
          <w:sz w:val="24"/>
          <w:szCs w:val="24"/>
          <w:highlight w:val="none"/>
        </w:rPr>
        <w:t xml:space="preserve">1.5  </w:t>
      </w:r>
      <w:r>
        <w:rPr>
          <w:rFonts w:ascii="宋体" w:hAnsi="宋体" w:eastAsia="宋体" w:cs="宋体"/>
          <w:b/>
          <w:bCs/>
          <w:color w:val="auto"/>
          <w:spacing w:val="-3"/>
          <w:sz w:val="24"/>
          <w:szCs w:val="24"/>
          <w:highlight w:val="none"/>
        </w:rPr>
        <w:t>合同协议书</w:t>
      </w:r>
      <w:bookmarkEnd w:id="272"/>
      <w:bookmarkEnd w:id="273"/>
    </w:p>
    <w:p w14:paraId="77317DE8">
      <w:pPr>
        <w:spacing w:before="183" w:line="359" w:lineRule="auto"/>
        <w:ind w:left="1" w:right="85" w:firstLine="479"/>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承包人按中标通知书规定的时间与发包人签订合同协议书。除法律另有规定或合同另有约定外，发包人和承包人的法定代表人或其委托代理人在合同协议书上签字并</w:t>
      </w:r>
      <w:r>
        <w:rPr>
          <w:rFonts w:ascii="宋体" w:hAnsi="宋体" w:eastAsia="宋体" w:cs="宋体"/>
          <w:color w:val="auto"/>
          <w:spacing w:val="-4"/>
          <w:sz w:val="24"/>
          <w:szCs w:val="24"/>
          <w:highlight w:val="none"/>
        </w:rPr>
        <w:t>盖单位章后，合同生效。</w:t>
      </w:r>
    </w:p>
    <w:p w14:paraId="7F37D279">
      <w:pPr>
        <w:spacing w:before="1" w:line="219" w:lineRule="auto"/>
        <w:ind w:left="7"/>
        <w:outlineLvl w:val="2"/>
        <w:rPr>
          <w:rFonts w:ascii="宋体" w:hAnsi="宋体" w:eastAsia="宋体" w:cs="宋体"/>
          <w:color w:val="auto"/>
          <w:sz w:val="24"/>
          <w:szCs w:val="24"/>
          <w:highlight w:val="none"/>
        </w:rPr>
      </w:pPr>
      <w:bookmarkStart w:id="274" w:name="bookmark149"/>
      <w:bookmarkEnd w:id="274"/>
      <w:bookmarkStart w:id="275" w:name="_Toc16638"/>
      <w:bookmarkStart w:id="276" w:name="_Toc439"/>
      <w:r>
        <w:rPr>
          <w:rFonts w:ascii="Times New Roman" w:hAnsi="Times New Roman" w:eastAsia="Times New Roman" w:cs="Times New Roman"/>
          <w:b/>
          <w:bCs/>
          <w:color w:val="auto"/>
          <w:spacing w:val="-6"/>
          <w:sz w:val="24"/>
          <w:szCs w:val="24"/>
          <w:highlight w:val="none"/>
        </w:rPr>
        <w:t>1.6</w:t>
      </w:r>
      <w:r>
        <w:rPr>
          <w:rFonts w:ascii="Times New Roman" w:hAnsi="Times New Roman" w:eastAsia="Times New Roman" w:cs="Times New Roman"/>
          <w:b/>
          <w:bCs/>
          <w:color w:val="auto"/>
          <w:spacing w:val="18"/>
          <w:sz w:val="24"/>
          <w:szCs w:val="24"/>
          <w:highlight w:val="none"/>
        </w:rPr>
        <w:t xml:space="preserve">  </w:t>
      </w:r>
      <w:r>
        <w:rPr>
          <w:rFonts w:ascii="宋体" w:hAnsi="宋体" w:eastAsia="宋体" w:cs="宋体"/>
          <w:b/>
          <w:bCs/>
          <w:color w:val="auto"/>
          <w:spacing w:val="-6"/>
          <w:sz w:val="24"/>
          <w:szCs w:val="24"/>
          <w:highlight w:val="none"/>
        </w:rPr>
        <w:t>图纸和承包人文件</w:t>
      </w:r>
      <w:bookmarkEnd w:id="275"/>
      <w:bookmarkEnd w:id="276"/>
    </w:p>
    <w:p w14:paraId="6F1B8961">
      <w:pPr>
        <w:spacing w:before="182" w:line="219"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5"/>
          <w:sz w:val="24"/>
          <w:szCs w:val="24"/>
          <w:highlight w:val="none"/>
        </w:rPr>
        <w:t>1.6.1</w:t>
      </w:r>
      <w:r>
        <w:rPr>
          <w:rFonts w:ascii="Times New Roman" w:hAnsi="Times New Roman" w:eastAsia="Times New Roman" w:cs="Times New Roman"/>
          <w:b/>
          <w:bCs/>
          <w:color w:val="auto"/>
          <w:spacing w:val="19"/>
          <w:w w:val="101"/>
          <w:sz w:val="24"/>
          <w:szCs w:val="24"/>
          <w:highlight w:val="none"/>
        </w:rPr>
        <w:t xml:space="preserve">  </w:t>
      </w:r>
      <w:r>
        <w:rPr>
          <w:rFonts w:ascii="宋体" w:hAnsi="宋体" w:eastAsia="宋体" w:cs="宋体"/>
          <w:color w:val="auto"/>
          <w:spacing w:val="-5"/>
          <w:sz w:val="24"/>
          <w:szCs w:val="24"/>
          <w:highlight w:val="none"/>
        </w:rPr>
        <w:t>图纸的提供</w:t>
      </w:r>
    </w:p>
    <w:p w14:paraId="2F8D8FB5">
      <w:pPr>
        <w:spacing w:before="183" w:line="359" w:lineRule="auto"/>
        <w:ind w:left="1" w:right="85" w:firstLine="48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发包人应按技术标准和要求（合同技术条款）约定的期限和数量将施工图纸以及其他图纸（包括配套说明和有关资料）提供给承包人。由于发包人未按时提供图纸造成工期延误的，按第</w:t>
      </w:r>
      <w:r>
        <w:rPr>
          <w:rFonts w:ascii="Times New Roman" w:hAnsi="Times New Roman" w:eastAsia="Times New Roman" w:cs="Times New Roman"/>
          <w:color w:val="auto"/>
          <w:spacing w:val="-3"/>
          <w:sz w:val="24"/>
          <w:szCs w:val="24"/>
          <w:highlight w:val="none"/>
        </w:rPr>
        <w:t>11.3</w:t>
      </w:r>
      <w:r>
        <w:rPr>
          <w:rFonts w:ascii="宋体" w:hAnsi="宋体" w:eastAsia="宋体" w:cs="宋体"/>
          <w:color w:val="auto"/>
          <w:spacing w:val="-3"/>
          <w:sz w:val="24"/>
          <w:szCs w:val="24"/>
          <w:highlight w:val="none"/>
        </w:rPr>
        <w:t>款的约定办理。</w:t>
      </w:r>
    </w:p>
    <w:p w14:paraId="51CDE71F">
      <w:pPr>
        <w:spacing w:before="1" w:line="218"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1.6.2  </w:t>
      </w:r>
      <w:r>
        <w:rPr>
          <w:rFonts w:ascii="宋体" w:hAnsi="宋体" w:eastAsia="宋体" w:cs="宋体"/>
          <w:color w:val="auto"/>
          <w:spacing w:val="-1"/>
          <w:sz w:val="24"/>
          <w:szCs w:val="24"/>
          <w:highlight w:val="none"/>
        </w:rPr>
        <w:t>承包人提供的文件</w:t>
      </w:r>
    </w:p>
    <w:p w14:paraId="5716CD84">
      <w:pPr>
        <w:spacing w:before="181" w:line="359" w:lineRule="auto"/>
        <w:ind w:left="1" w:right="85"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承包人提供的文件应按技术标准和要求（合同技术条款）约定的期限和数量提供</w:t>
      </w:r>
      <w:r>
        <w:rPr>
          <w:rFonts w:ascii="宋体" w:hAnsi="宋体" w:eastAsia="宋体" w:cs="宋体"/>
          <w:color w:val="auto"/>
          <w:spacing w:val="-1"/>
          <w:sz w:val="24"/>
          <w:szCs w:val="24"/>
          <w:highlight w:val="none"/>
        </w:rPr>
        <w:t>给监理人。监理人应按技术标准和要求（合同技术条款）约定</w:t>
      </w:r>
      <w:r>
        <w:rPr>
          <w:rFonts w:ascii="宋体" w:hAnsi="宋体" w:eastAsia="宋体" w:cs="宋体"/>
          <w:color w:val="auto"/>
          <w:spacing w:val="-2"/>
          <w:sz w:val="24"/>
          <w:szCs w:val="24"/>
          <w:highlight w:val="none"/>
        </w:rPr>
        <w:t>的期限批复承包人。</w:t>
      </w:r>
    </w:p>
    <w:p w14:paraId="7116C582">
      <w:pPr>
        <w:spacing w:before="1" w:line="219"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5"/>
          <w:sz w:val="24"/>
          <w:szCs w:val="24"/>
          <w:highlight w:val="none"/>
        </w:rPr>
        <w:t>1.6.3</w:t>
      </w:r>
      <w:r>
        <w:rPr>
          <w:rFonts w:ascii="Times New Roman" w:hAnsi="Times New Roman" w:eastAsia="Times New Roman" w:cs="Times New Roman"/>
          <w:b/>
          <w:bCs/>
          <w:color w:val="auto"/>
          <w:spacing w:val="19"/>
          <w:w w:val="101"/>
          <w:sz w:val="24"/>
          <w:szCs w:val="24"/>
          <w:highlight w:val="none"/>
        </w:rPr>
        <w:t xml:space="preserve">  </w:t>
      </w:r>
      <w:r>
        <w:rPr>
          <w:rFonts w:ascii="宋体" w:hAnsi="宋体" w:eastAsia="宋体" w:cs="宋体"/>
          <w:color w:val="auto"/>
          <w:spacing w:val="-5"/>
          <w:sz w:val="24"/>
          <w:szCs w:val="24"/>
          <w:highlight w:val="none"/>
        </w:rPr>
        <w:t>图纸的修改</w:t>
      </w:r>
    </w:p>
    <w:p w14:paraId="27293495">
      <w:pPr>
        <w:spacing w:line="219" w:lineRule="auto"/>
        <w:rPr>
          <w:rFonts w:ascii="宋体" w:hAnsi="宋体" w:eastAsia="宋体" w:cs="宋体"/>
          <w:color w:val="auto"/>
          <w:sz w:val="24"/>
          <w:szCs w:val="24"/>
          <w:highlight w:val="none"/>
        </w:rPr>
        <w:sectPr>
          <w:footerReference r:id="rId32" w:type="default"/>
          <w:pgSz w:w="11907" w:h="16841"/>
          <w:pgMar w:top="1428" w:right="1443" w:bottom="1254" w:left="1597" w:header="0" w:footer="1093" w:gutter="0"/>
          <w:pgNumType w:fmt="decimal"/>
          <w:cols w:space="720" w:num="1"/>
        </w:sectPr>
      </w:pPr>
    </w:p>
    <w:p w14:paraId="7588251C">
      <w:pPr>
        <w:spacing w:before="49" w:line="359" w:lineRule="auto"/>
        <w:ind w:left="2" w:right="4" w:firstLine="481"/>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设计人需要对已发给承包人的施工图纸进行修改时，监理人应在技术标准和要求（合同技术条款）约定的期限内签发施工图纸的修改图给承包人。承包人应按技术标</w:t>
      </w:r>
      <w:r>
        <w:rPr>
          <w:rFonts w:ascii="宋体" w:hAnsi="宋体" w:eastAsia="宋体" w:cs="宋体"/>
          <w:color w:val="auto"/>
          <w:spacing w:val="-1"/>
          <w:sz w:val="24"/>
          <w:szCs w:val="24"/>
          <w:highlight w:val="none"/>
        </w:rPr>
        <w:t>准和要求（合同技术条款）的约定编制一份承包人实施计划提交监理人批准后执行。</w:t>
      </w:r>
    </w:p>
    <w:p w14:paraId="48D793BC">
      <w:pPr>
        <w:spacing w:before="1"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5"/>
          <w:sz w:val="24"/>
          <w:szCs w:val="24"/>
          <w:highlight w:val="none"/>
        </w:rPr>
        <w:t>1.6.4</w:t>
      </w:r>
      <w:r>
        <w:rPr>
          <w:rFonts w:ascii="Times New Roman" w:hAnsi="Times New Roman" w:eastAsia="Times New Roman" w:cs="Times New Roman"/>
          <w:b/>
          <w:bCs/>
          <w:color w:val="auto"/>
          <w:spacing w:val="19"/>
          <w:w w:val="101"/>
          <w:sz w:val="24"/>
          <w:szCs w:val="24"/>
          <w:highlight w:val="none"/>
        </w:rPr>
        <w:t xml:space="preserve">  </w:t>
      </w:r>
      <w:r>
        <w:rPr>
          <w:rFonts w:ascii="宋体" w:hAnsi="宋体" w:eastAsia="宋体" w:cs="宋体"/>
          <w:color w:val="auto"/>
          <w:spacing w:val="-5"/>
          <w:sz w:val="24"/>
          <w:szCs w:val="24"/>
          <w:highlight w:val="none"/>
        </w:rPr>
        <w:t>图纸的错误</w:t>
      </w:r>
    </w:p>
    <w:p w14:paraId="37F2067B">
      <w:pPr>
        <w:spacing w:before="178" w:line="219" w:lineRule="auto"/>
        <w:ind w:left="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承包人发现发包人提供的图纸存在明显错误或</w:t>
      </w:r>
      <w:r>
        <w:rPr>
          <w:rFonts w:ascii="宋体" w:hAnsi="宋体" w:eastAsia="宋体" w:cs="宋体"/>
          <w:color w:val="auto"/>
          <w:spacing w:val="-2"/>
          <w:sz w:val="24"/>
          <w:szCs w:val="24"/>
          <w:highlight w:val="none"/>
        </w:rPr>
        <w:t>疏忽，应及时通知监理人。</w:t>
      </w:r>
    </w:p>
    <w:p w14:paraId="31481612">
      <w:pPr>
        <w:spacing w:before="182"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1.6.5</w:t>
      </w:r>
      <w:r>
        <w:rPr>
          <w:rFonts w:ascii="Times New Roman" w:hAnsi="Times New Roman" w:eastAsia="Times New Roman" w:cs="Times New Roman"/>
          <w:b/>
          <w:bCs/>
          <w:color w:val="auto"/>
          <w:spacing w:val="17"/>
          <w:sz w:val="24"/>
          <w:szCs w:val="24"/>
          <w:highlight w:val="none"/>
        </w:rPr>
        <w:t xml:space="preserve">  </w:t>
      </w:r>
      <w:r>
        <w:rPr>
          <w:rFonts w:ascii="宋体" w:hAnsi="宋体" w:eastAsia="宋体" w:cs="宋体"/>
          <w:color w:val="auto"/>
          <w:spacing w:val="-3"/>
          <w:sz w:val="24"/>
          <w:szCs w:val="24"/>
          <w:highlight w:val="none"/>
        </w:rPr>
        <w:t>图纸和承包人文件的保管</w:t>
      </w:r>
    </w:p>
    <w:p w14:paraId="6260D7A7">
      <w:pPr>
        <w:spacing w:before="180" w:line="359" w:lineRule="auto"/>
        <w:ind w:left="19" w:right="101" w:firstLine="46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监理人和承包人均应在施工场地各保存一套完整的包含第</w:t>
      </w:r>
      <w:r>
        <w:rPr>
          <w:rFonts w:ascii="Times New Roman" w:hAnsi="Times New Roman" w:eastAsia="Times New Roman" w:cs="Times New Roman"/>
          <w:color w:val="auto"/>
          <w:spacing w:val="-3"/>
          <w:sz w:val="24"/>
          <w:szCs w:val="24"/>
          <w:highlight w:val="none"/>
        </w:rPr>
        <w:t>1.6.1</w:t>
      </w:r>
      <w:r>
        <w:rPr>
          <w:rFonts w:ascii="宋体" w:hAnsi="宋体" w:eastAsia="宋体" w:cs="宋体"/>
          <w:color w:val="auto"/>
          <w:spacing w:val="-3"/>
          <w:sz w:val="24"/>
          <w:szCs w:val="24"/>
          <w:highlight w:val="none"/>
        </w:rPr>
        <w:t>项、第</w:t>
      </w:r>
      <w:r>
        <w:rPr>
          <w:rFonts w:ascii="Times New Roman" w:hAnsi="Times New Roman" w:eastAsia="Times New Roman" w:cs="Times New Roman"/>
          <w:color w:val="auto"/>
          <w:spacing w:val="-3"/>
          <w:sz w:val="24"/>
          <w:szCs w:val="24"/>
          <w:highlight w:val="none"/>
        </w:rPr>
        <w:t>1.6.2</w:t>
      </w:r>
      <w:r>
        <w:rPr>
          <w:rFonts w:ascii="宋体" w:hAnsi="宋体" w:eastAsia="宋体" w:cs="宋体"/>
          <w:color w:val="auto"/>
          <w:spacing w:val="-3"/>
          <w:sz w:val="24"/>
          <w:szCs w:val="24"/>
          <w:highlight w:val="none"/>
        </w:rPr>
        <w:t>项、第</w:t>
      </w:r>
      <w:r>
        <w:rPr>
          <w:rFonts w:ascii="Times New Roman" w:hAnsi="Times New Roman" w:eastAsia="Times New Roman" w:cs="Times New Roman"/>
          <w:color w:val="auto"/>
          <w:spacing w:val="-4"/>
          <w:sz w:val="24"/>
          <w:szCs w:val="24"/>
          <w:highlight w:val="none"/>
        </w:rPr>
        <w:t>1.6.3</w:t>
      </w:r>
      <w:r>
        <w:rPr>
          <w:rFonts w:ascii="宋体" w:hAnsi="宋体" w:eastAsia="宋体" w:cs="宋体"/>
          <w:color w:val="auto"/>
          <w:spacing w:val="-4"/>
          <w:sz w:val="24"/>
          <w:szCs w:val="24"/>
          <w:highlight w:val="none"/>
        </w:rPr>
        <w:t>项约定内容的图纸和承包人文件。</w:t>
      </w:r>
    </w:p>
    <w:p w14:paraId="1DF1A92B">
      <w:pPr>
        <w:spacing w:before="1" w:line="221" w:lineRule="auto"/>
        <w:ind w:left="7"/>
        <w:outlineLvl w:val="2"/>
        <w:rPr>
          <w:rFonts w:ascii="宋体" w:hAnsi="宋体" w:eastAsia="宋体" w:cs="宋体"/>
          <w:color w:val="auto"/>
          <w:sz w:val="24"/>
          <w:szCs w:val="24"/>
          <w:highlight w:val="none"/>
        </w:rPr>
      </w:pPr>
      <w:bookmarkStart w:id="277" w:name="bookmark150"/>
      <w:bookmarkEnd w:id="277"/>
      <w:bookmarkStart w:id="278" w:name="_Toc29331"/>
      <w:bookmarkStart w:id="279" w:name="_Toc9230"/>
      <w:r>
        <w:rPr>
          <w:rFonts w:ascii="Times New Roman" w:hAnsi="Times New Roman" w:eastAsia="Times New Roman" w:cs="Times New Roman"/>
          <w:b/>
          <w:bCs/>
          <w:color w:val="auto"/>
          <w:spacing w:val="-5"/>
          <w:sz w:val="24"/>
          <w:szCs w:val="24"/>
          <w:highlight w:val="none"/>
        </w:rPr>
        <w:t>1.7</w:t>
      </w:r>
      <w:r>
        <w:rPr>
          <w:rFonts w:ascii="Times New Roman" w:hAnsi="Times New Roman" w:eastAsia="Times New Roman" w:cs="Times New Roman"/>
          <w:b/>
          <w:bCs/>
          <w:color w:val="auto"/>
          <w:spacing w:val="5"/>
          <w:sz w:val="24"/>
          <w:szCs w:val="24"/>
          <w:highlight w:val="none"/>
        </w:rPr>
        <w:t xml:space="preserve">  </w:t>
      </w:r>
      <w:r>
        <w:rPr>
          <w:rFonts w:ascii="宋体" w:hAnsi="宋体" w:eastAsia="宋体" w:cs="宋体"/>
          <w:b/>
          <w:bCs/>
          <w:color w:val="auto"/>
          <w:spacing w:val="-5"/>
          <w:sz w:val="24"/>
          <w:szCs w:val="24"/>
          <w:highlight w:val="none"/>
        </w:rPr>
        <w:t>联络</w:t>
      </w:r>
      <w:bookmarkEnd w:id="278"/>
      <w:bookmarkEnd w:id="279"/>
    </w:p>
    <w:p w14:paraId="0978ADA6">
      <w:pPr>
        <w:spacing w:before="181" w:line="288" w:lineRule="auto"/>
        <w:ind w:right="120"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7"/>
          <w:sz w:val="24"/>
          <w:szCs w:val="24"/>
          <w:highlight w:val="none"/>
        </w:rPr>
        <w:t xml:space="preserve">1.7.1  </w:t>
      </w:r>
      <w:r>
        <w:rPr>
          <w:rFonts w:ascii="宋体" w:hAnsi="宋体" w:eastAsia="宋体" w:cs="宋体"/>
          <w:color w:val="auto"/>
          <w:spacing w:val="-7"/>
          <w:sz w:val="24"/>
          <w:szCs w:val="24"/>
          <w:highlight w:val="none"/>
        </w:rPr>
        <w:t>与合同有关的通知、批准、证明、证书、指示、要求、请求、同意、意见、</w:t>
      </w:r>
      <w:r>
        <w:rPr>
          <w:rFonts w:ascii="宋体" w:hAnsi="宋体" w:eastAsia="宋体" w:cs="宋体"/>
          <w:color w:val="auto"/>
          <w:spacing w:val="-3"/>
          <w:sz w:val="24"/>
          <w:szCs w:val="24"/>
          <w:highlight w:val="none"/>
        </w:rPr>
        <w:t>确定和决定等，均应采用书面形式。</w:t>
      </w:r>
    </w:p>
    <w:p w14:paraId="166C2BF2">
      <w:pPr>
        <w:spacing w:before="183" w:line="324" w:lineRule="auto"/>
        <w:ind w:right="85" w:firstLine="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6"/>
          <w:sz w:val="24"/>
          <w:szCs w:val="24"/>
          <w:highlight w:val="none"/>
        </w:rPr>
        <w:t xml:space="preserve">1.7.2  </w:t>
      </w:r>
      <w:r>
        <w:rPr>
          <w:rFonts w:ascii="宋体" w:hAnsi="宋体" w:eastAsia="宋体" w:cs="宋体"/>
          <w:color w:val="auto"/>
          <w:spacing w:val="-6"/>
          <w:sz w:val="24"/>
          <w:szCs w:val="24"/>
          <w:highlight w:val="none"/>
        </w:rPr>
        <w:t>第</w:t>
      </w:r>
      <w:r>
        <w:rPr>
          <w:rFonts w:ascii="Times New Roman" w:hAnsi="Times New Roman" w:eastAsia="Times New Roman" w:cs="Times New Roman"/>
          <w:color w:val="auto"/>
          <w:spacing w:val="-6"/>
          <w:sz w:val="24"/>
          <w:szCs w:val="24"/>
          <w:highlight w:val="none"/>
        </w:rPr>
        <w:t>1.7.1</w:t>
      </w:r>
      <w:r>
        <w:rPr>
          <w:rFonts w:ascii="宋体" w:hAnsi="宋体" w:eastAsia="宋体" w:cs="宋体"/>
          <w:color w:val="auto"/>
          <w:spacing w:val="-6"/>
          <w:sz w:val="24"/>
          <w:szCs w:val="24"/>
          <w:highlight w:val="none"/>
        </w:rPr>
        <w:t>项中的通知、批准、证明、证书、指示、要求、请</w:t>
      </w:r>
      <w:r>
        <w:rPr>
          <w:rFonts w:ascii="宋体" w:hAnsi="宋体" w:eastAsia="宋体" w:cs="宋体"/>
          <w:color w:val="auto"/>
          <w:spacing w:val="-7"/>
          <w:sz w:val="24"/>
          <w:szCs w:val="24"/>
          <w:highlight w:val="none"/>
        </w:rPr>
        <w:t>求、同意、意见、</w:t>
      </w:r>
      <w:r>
        <w:rPr>
          <w:rFonts w:ascii="宋体" w:hAnsi="宋体" w:eastAsia="宋体" w:cs="宋体"/>
          <w:color w:val="auto"/>
          <w:spacing w:val="-3"/>
          <w:sz w:val="24"/>
          <w:szCs w:val="24"/>
          <w:highlight w:val="none"/>
        </w:rPr>
        <w:t>确定和决定等来往函件，均应在合同约定的期限内送达指定地点和接收人，并办理签收手续。来往函件的送达期限在技术标准和要求（合同技术条款）中约定，送达地点</w:t>
      </w:r>
      <w:r>
        <w:rPr>
          <w:rFonts w:ascii="宋体" w:hAnsi="宋体" w:eastAsia="宋体" w:cs="宋体"/>
          <w:color w:val="auto"/>
          <w:spacing w:val="-4"/>
          <w:sz w:val="24"/>
          <w:szCs w:val="24"/>
          <w:highlight w:val="none"/>
        </w:rPr>
        <w:t>在专用合同条款中约定。</w:t>
      </w:r>
    </w:p>
    <w:p w14:paraId="16FD0DF5">
      <w:pPr>
        <w:spacing w:before="182" w:line="290" w:lineRule="auto"/>
        <w:ind w:left="6" w:right="138" w:firstLine="48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1.7.3  </w:t>
      </w:r>
      <w:r>
        <w:rPr>
          <w:rFonts w:ascii="宋体" w:hAnsi="宋体" w:eastAsia="宋体" w:cs="宋体"/>
          <w:color w:val="auto"/>
          <w:spacing w:val="-1"/>
          <w:sz w:val="24"/>
          <w:szCs w:val="24"/>
          <w:highlight w:val="none"/>
        </w:rPr>
        <w:t>来往函件均应按合同约定的期限及时发出和答复，不得无故扣</w:t>
      </w:r>
      <w:r>
        <w:rPr>
          <w:rFonts w:ascii="宋体" w:hAnsi="宋体" w:eastAsia="宋体" w:cs="宋体"/>
          <w:color w:val="auto"/>
          <w:spacing w:val="-2"/>
          <w:sz w:val="24"/>
          <w:szCs w:val="24"/>
          <w:highlight w:val="none"/>
        </w:rPr>
        <w:t>压和拖延，亦不得拒收。否则，由此造成的后果由责任方</w:t>
      </w:r>
      <w:r>
        <w:rPr>
          <w:rFonts w:ascii="宋体" w:hAnsi="宋体" w:eastAsia="宋体" w:cs="宋体"/>
          <w:color w:val="auto"/>
          <w:spacing w:val="-3"/>
          <w:sz w:val="24"/>
          <w:szCs w:val="24"/>
          <w:highlight w:val="none"/>
        </w:rPr>
        <w:t>负责。</w:t>
      </w:r>
    </w:p>
    <w:p w14:paraId="1328F47F">
      <w:pPr>
        <w:spacing w:before="181" w:line="220" w:lineRule="auto"/>
        <w:ind w:left="7"/>
        <w:outlineLvl w:val="2"/>
        <w:rPr>
          <w:rFonts w:ascii="宋体" w:hAnsi="宋体" w:eastAsia="宋体" w:cs="宋体"/>
          <w:color w:val="auto"/>
          <w:sz w:val="24"/>
          <w:szCs w:val="24"/>
          <w:highlight w:val="none"/>
        </w:rPr>
      </w:pPr>
      <w:bookmarkStart w:id="280" w:name="bookmark151"/>
      <w:bookmarkEnd w:id="280"/>
      <w:bookmarkStart w:id="281" w:name="_Toc18087"/>
      <w:bookmarkStart w:id="282" w:name="_Toc27815"/>
      <w:r>
        <w:rPr>
          <w:rFonts w:ascii="Times New Roman" w:hAnsi="Times New Roman" w:eastAsia="Times New Roman" w:cs="Times New Roman"/>
          <w:b/>
          <w:bCs/>
          <w:color w:val="auto"/>
          <w:spacing w:val="-5"/>
          <w:sz w:val="24"/>
          <w:szCs w:val="24"/>
          <w:highlight w:val="none"/>
        </w:rPr>
        <w:t>1.8</w:t>
      </w:r>
      <w:r>
        <w:rPr>
          <w:rFonts w:ascii="Times New Roman" w:hAnsi="Times New Roman" w:eastAsia="Times New Roman" w:cs="Times New Roman"/>
          <w:b/>
          <w:bCs/>
          <w:color w:val="auto"/>
          <w:spacing w:val="5"/>
          <w:sz w:val="24"/>
          <w:szCs w:val="24"/>
          <w:highlight w:val="none"/>
        </w:rPr>
        <w:t xml:space="preserve">  </w:t>
      </w:r>
      <w:r>
        <w:rPr>
          <w:rFonts w:ascii="宋体" w:hAnsi="宋体" w:eastAsia="宋体" w:cs="宋体"/>
          <w:b/>
          <w:bCs/>
          <w:color w:val="auto"/>
          <w:spacing w:val="-5"/>
          <w:sz w:val="24"/>
          <w:szCs w:val="24"/>
          <w:highlight w:val="none"/>
        </w:rPr>
        <w:t>转让</w:t>
      </w:r>
      <w:bookmarkEnd w:id="281"/>
      <w:bookmarkEnd w:id="282"/>
    </w:p>
    <w:p w14:paraId="168D911A">
      <w:pPr>
        <w:spacing w:before="181" w:line="359" w:lineRule="auto"/>
        <w:ind w:left="3" w:right="85" w:firstLine="49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除合同另有约定外，未经对方当事人同意，一方当事人</w:t>
      </w:r>
      <w:r>
        <w:rPr>
          <w:rFonts w:ascii="宋体" w:hAnsi="宋体" w:eastAsia="宋体" w:cs="宋体"/>
          <w:color w:val="auto"/>
          <w:spacing w:val="-4"/>
          <w:sz w:val="24"/>
          <w:szCs w:val="24"/>
          <w:highlight w:val="none"/>
        </w:rPr>
        <w:t>不得将合同权利全部或部</w:t>
      </w:r>
      <w:r>
        <w:rPr>
          <w:rFonts w:ascii="宋体" w:hAnsi="宋体" w:eastAsia="宋体" w:cs="宋体"/>
          <w:color w:val="auto"/>
          <w:spacing w:val="-2"/>
          <w:sz w:val="24"/>
          <w:szCs w:val="24"/>
          <w:highlight w:val="none"/>
        </w:rPr>
        <w:t>分转让给第三人，也不得全部或部分转移合同义务。</w:t>
      </w:r>
    </w:p>
    <w:p w14:paraId="5964DAAD">
      <w:pPr>
        <w:spacing w:before="1" w:line="219" w:lineRule="auto"/>
        <w:ind w:left="7"/>
        <w:outlineLvl w:val="2"/>
        <w:rPr>
          <w:rFonts w:ascii="宋体" w:hAnsi="宋体" w:eastAsia="宋体" w:cs="宋体"/>
          <w:color w:val="auto"/>
          <w:sz w:val="24"/>
          <w:szCs w:val="24"/>
          <w:highlight w:val="none"/>
        </w:rPr>
      </w:pPr>
      <w:bookmarkStart w:id="283" w:name="bookmark152"/>
      <w:bookmarkEnd w:id="283"/>
      <w:bookmarkStart w:id="284" w:name="_Toc6322"/>
      <w:bookmarkStart w:id="285" w:name="_Toc31262"/>
      <w:r>
        <w:rPr>
          <w:rFonts w:ascii="Times New Roman" w:hAnsi="Times New Roman" w:eastAsia="Times New Roman" w:cs="Times New Roman"/>
          <w:b/>
          <w:bCs/>
          <w:color w:val="auto"/>
          <w:spacing w:val="-3"/>
          <w:sz w:val="24"/>
          <w:szCs w:val="24"/>
          <w:highlight w:val="none"/>
        </w:rPr>
        <w:t xml:space="preserve">1.9  </w:t>
      </w:r>
      <w:r>
        <w:rPr>
          <w:rFonts w:ascii="宋体" w:hAnsi="宋体" w:eastAsia="宋体" w:cs="宋体"/>
          <w:b/>
          <w:bCs/>
          <w:color w:val="auto"/>
          <w:spacing w:val="-3"/>
          <w:sz w:val="24"/>
          <w:szCs w:val="24"/>
          <w:highlight w:val="none"/>
        </w:rPr>
        <w:t>严禁贿赂</w:t>
      </w:r>
      <w:bookmarkEnd w:id="284"/>
      <w:bookmarkEnd w:id="285"/>
    </w:p>
    <w:p w14:paraId="120A9B24">
      <w:pPr>
        <w:spacing w:before="181" w:line="359" w:lineRule="auto"/>
        <w:ind w:left="19" w:firstLine="46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合同双方当事人不得以贿赂或变相贿赂的方式，谋取不当利益或损害对方权益。</w:t>
      </w:r>
      <w:r>
        <w:rPr>
          <w:rFonts w:ascii="宋体" w:hAnsi="宋体" w:eastAsia="宋体" w:cs="宋体"/>
          <w:color w:val="auto"/>
          <w:spacing w:val="-2"/>
          <w:sz w:val="24"/>
          <w:szCs w:val="24"/>
          <w:highlight w:val="none"/>
        </w:rPr>
        <w:t>因贿赂造成对方损失的，行为人应赔偿损失，并承担相应的法律责任。</w:t>
      </w:r>
    </w:p>
    <w:p w14:paraId="2041FD9D">
      <w:pPr>
        <w:spacing w:before="1" w:line="220" w:lineRule="auto"/>
        <w:ind w:left="7"/>
        <w:outlineLvl w:val="2"/>
        <w:rPr>
          <w:rFonts w:ascii="宋体" w:hAnsi="宋体" w:eastAsia="宋体" w:cs="宋体"/>
          <w:color w:val="auto"/>
          <w:sz w:val="24"/>
          <w:szCs w:val="24"/>
          <w:highlight w:val="none"/>
        </w:rPr>
      </w:pPr>
      <w:bookmarkStart w:id="286" w:name="bookmark153"/>
      <w:bookmarkEnd w:id="286"/>
      <w:bookmarkStart w:id="287" w:name="_Toc21013"/>
      <w:bookmarkStart w:id="288" w:name="_Toc1275"/>
      <w:r>
        <w:rPr>
          <w:rFonts w:ascii="Times New Roman" w:hAnsi="Times New Roman" w:eastAsia="Times New Roman" w:cs="Times New Roman"/>
          <w:b/>
          <w:bCs/>
          <w:color w:val="auto"/>
          <w:spacing w:val="-3"/>
          <w:sz w:val="24"/>
          <w:szCs w:val="24"/>
          <w:highlight w:val="none"/>
        </w:rPr>
        <w:t xml:space="preserve">1.10  </w:t>
      </w:r>
      <w:r>
        <w:rPr>
          <w:rFonts w:ascii="宋体" w:hAnsi="宋体" w:eastAsia="宋体" w:cs="宋体"/>
          <w:b/>
          <w:bCs/>
          <w:color w:val="auto"/>
          <w:spacing w:val="-3"/>
          <w:sz w:val="24"/>
          <w:szCs w:val="24"/>
          <w:highlight w:val="none"/>
        </w:rPr>
        <w:t>化石、文物</w:t>
      </w:r>
      <w:bookmarkEnd w:id="287"/>
      <w:bookmarkEnd w:id="288"/>
    </w:p>
    <w:p w14:paraId="0C581B79">
      <w:pPr>
        <w:spacing w:before="182" w:line="331" w:lineRule="auto"/>
        <w:ind w:right="85" w:firstLine="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1.10.1  </w:t>
      </w:r>
      <w:r>
        <w:rPr>
          <w:rFonts w:ascii="宋体" w:hAnsi="宋体" w:eastAsia="宋体" w:cs="宋体"/>
          <w:color w:val="auto"/>
          <w:spacing w:val="-3"/>
          <w:sz w:val="24"/>
          <w:szCs w:val="24"/>
          <w:highlight w:val="none"/>
        </w:rPr>
        <w:t>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w:t>
      </w:r>
      <w:r>
        <w:rPr>
          <w:rFonts w:ascii="宋体" w:hAnsi="宋体" w:eastAsia="宋体" w:cs="宋体"/>
          <w:color w:val="auto"/>
          <w:spacing w:val="-6"/>
          <w:sz w:val="24"/>
          <w:szCs w:val="24"/>
          <w:highlight w:val="none"/>
        </w:rPr>
        <w:t>通知监理人。发包人、监理人和承包人应按文物行政部门要求采取妥善保护措施， 由</w:t>
      </w:r>
      <w:r>
        <w:rPr>
          <w:rFonts w:ascii="宋体" w:hAnsi="宋体" w:eastAsia="宋体" w:cs="宋体"/>
          <w:color w:val="auto"/>
          <w:spacing w:val="-2"/>
          <w:sz w:val="24"/>
          <w:szCs w:val="24"/>
          <w:highlight w:val="none"/>
        </w:rPr>
        <w:t>此导致费用增加和（或）工期延误由发包人承担。</w:t>
      </w:r>
    </w:p>
    <w:p w14:paraId="3543CC84">
      <w:pPr>
        <w:spacing w:before="180" w:line="218"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1.10.2  </w:t>
      </w:r>
      <w:r>
        <w:rPr>
          <w:rFonts w:ascii="宋体" w:hAnsi="宋体" w:eastAsia="宋体" w:cs="宋体"/>
          <w:color w:val="auto"/>
          <w:spacing w:val="-3"/>
          <w:sz w:val="24"/>
          <w:szCs w:val="24"/>
          <w:highlight w:val="none"/>
        </w:rPr>
        <w:t>承包人发现文物后不及时报告或隐瞒不报，致使文物丢失或损坏的，应赔</w:t>
      </w:r>
    </w:p>
    <w:p w14:paraId="6A6446AF">
      <w:pPr>
        <w:spacing w:line="218" w:lineRule="auto"/>
        <w:rPr>
          <w:rFonts w:ascii="宋体" w:hAnsi="宋体" w:eastAsia="宋体" w:cs="宋体"/>
          <w:color w:val="auto"/>
          <w:sz w:val="24"/>
          <w:szCs w:val="24"/>
          <w:highlight w:val="none"/>
        </w:rPr>
        <w:sectPr>
          <w:footerReference r:id="rId33" w:type="default"/>
          <w:pgSz w:w="11907" w:h="16841"/>
          <w:pgMar w:top="1428" w:right="1443" w:bottom="1254" w:left="1597" w:header="0" w:footer="1093" w:gutter="0"/>
          <w:pgNumType w:fmt="decimal"/>
          <w:cols w:space="720" w:num="1"/>
        </w:sectPr>
      </w:pPr>
    </w:p>
    <w:p w14:paraId="63F571F8">
      <w:pPr>
        <w:spacing w:before="47" w:line="220" w:lineRule="auto"/>
        <w:ind w:left="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偿损失，并承担相应的法律责任。</w:t>
      </w:r>
    </w:p>
    <w:p w14:paraId="3F5896FD">
      <w:pPr>
        <w:spacing w:before="182" w:line="220" w:lineRule="auto"/>
        <w:ind w:left="10"/>
        <w:outlineLvl w:val="2"/>
        <w:rPr>
          <w:rFonts w:ascii="宋体" w:hAnsi="宋体" w:eastAsia="宋体" w:cs="宋体"/>
          <w:color w:val="auto"/>
          <w:sz w:val="24"/>
          <w:szCs w:val="24"/>
          <w:highlight w:val="none"/>
        </w:rPr>
      </w:pPr>
      <w:bookmarkStart w:id="289" w:name="bookmark154"/>
      <w:bookmarkEnd w:id="289"/>
      <w:bookmarkStart w:id="290" w:name="_Toc10517"/>
      <w:bookmarkStart w:id="291" w:name="_Toc11982"/>
      <w:r>
        <w:rPr>
          <w:rFonts w:ascii="Times New Roman" w:hAnsi="Times New Roman" w:eastAsia="Times New Roman" w:cs="Times New Roman"/>
          <w:b/>
          <w:bCs/>
          <w:color w:val="auto"/>
          <w:spacing w:val="-3"/>
          <w:sz w:val="24"/>
          <w:szCs w:val="24"/>
          <w:highlight w:val="none"/>
        </w:rPr>
        <w:t xml:space="preserve">1.11  </w:t>
      </w:r>
      <w:r>
        <w:rPr>
          <w:rFonts w:ascii="宋体" w:hAnsi="宋体" w:eastAsia="宋体" w:cs="宋体"/>
          <w:b/>
          <w:bCs/>
          <w:color w:val="auto"/>
          <w:spacing w:val="-3"/>
          <w:sz w:val="24"/>
          <w:szCs w:val="24"/>
          <w:highlight w:val="none"/>
        </w:rPr>
        <w:t>专利技术</w:t>
      </w:r>
      <w:bookmarkEnd w:id="290"/>
      <w:bookmarkEnd w:id="291"/>
    </w:p>
    <w:p w14:paraId="572080A0">
      <w:pPr>
        <w:spacing w:before="178" w:line="313" w:lineRule="auto"/>
        <w:ind w:left="3" w:right="1"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6"/>
          <w:sz w:val="24"/>
          <w:szCs w:val="24"/>
          <w:highlight w:val="none"/>
        </w:rPr>
        <w:t xml:space="preserve">1.11.1  </w:t>
      </w:r>
      <w:r>
        <w:rPr>
          <w:rFonts w:ascii="宋体" w:hAnsi="宋体" w:eastAsia="宋体" w:cs="宋体"/>
          <w:color w:val="auto"/>
          <w:spacing w:val="-6"/>
          <w:sz w:val="24"/>
          <w:szCs w:val="24"/>
          <w:highlight w:val="none"/>
        </w:rPr>
        <w:t>承包人在使用任何材料、承包人设备、工程设备或采用施工工艺时， 因侵</w:t>
      </w:r>
      <w:r>
        <w:rPr>
          <w:rFonts w:ascii="宋体" w:hAnsi="宋体" w:eastAsia="宋体" w:cs="宋体"/>
          <w:color w:val="auto"/>
          <w:spacing w:val="-3"/>
          <w:sz w:val="24"/>
          <w:szCs w:val="24"/>
          <w:highlight w:val="none"/>
        </w:rPr>
        <w:t>犯专利权或其他知识产权所引起的责任，由承包人承担，但由于遵照发包人提供的设计或技术标准和要求引起的除外。</w:t>
      </w:r>
    </w:p>
    <w:p w14:paraId="6FC53024">
      <w:pPr>
        <w:spacing w:before="182" w:line="289" w:lineRule="auto"/>
        <w:ind w:left="32" w:right="1" w:firstLine="45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1.11.2  </w:t>
      </w:r>
      <w:r>
        <w:rPr>
          <w:rFonts w:ascii="宋体" w:hAnsi="宋体" w:eastAsia="宋体" w:cs="宋体"/>
          <w:color w:val="auto"/>
          <w:spacing w:val="-3"/>
          <w:sz w:val="24"/>
          <w:szCs w:val="24"/>
          <w:highlight w:val="none"/>
        </w:rPr>
        <w:t>承包人在投标文件中采用专利技术的，专利技术的使用费包含在投标报价</w:t>
      </w:r>
      <w:r>
        <w:rPr>
          <w:rFonts w:ascii="宋体" w:hAnsi="宋体" w:eastAsia="宋体" w:cs="宋体"/>
          <w:color w:val="auto"/>
          <w:spacing w:val="-19"/>
          <w:sz w:val="24"/>
          <w:szCs w:val="24"/>
          <w:highlight w:val="none"/>
        </w:rPr>
        <w:t>内。</w:t>
      </w:r>
    </w:p>
    <w:p w14:paraId="1FE01FDC">
      <w:pPr>
        <w:spacing w:before="183" w:line="289" w:lineRule="auto"/>
        <w:ind w:left="4" w:right="1"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1.11.3  </w:t>
      </w:r>
      <w:r>
        <w:rPr>
          <w:rFonts w:ascii="宋体" w:hAnsi="宋体" w:eastAsia="宋体" w:cs="宋体"/>
          <w:color w:val="auto"/>
          <w:spacing w:val="-3"/>
          <w:sz w:val="24"/>
          <w:szCs w:val="24"/>
          <w:highlight w:val="none"/>
        </w:rPr>
        <w:t>承包人的技术秘密和声明需要保密的资料和信息，发包人和监理人不得为</w:t>
      </w:r>
      <w:r>
        <w:rPr>
          <w:rFonts w:ascii="宋体" w:hAnsi="宋体" w:eastAsia="宋体" w:cs="宋体"/>
          <w:color w:val="auto"/>
          <w:spacing w:val="-4"/>
          <w:sz w:val="24"/>
          <w:szCs w:val="24"/>
          <w:highlight w:val="none"/>
        </w:rPr>
        <w:t>合同以外的目的泄露给他人。</w:t>
      </w:r>
    </w:p>
    <w:p w14:paraId="42A32F6C">
      <w:pPr>
        <w:spacing w:before="179" w:line="313" w:lineRule="auto"/>
        <w:ind w:left="4" w:right="1"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1.11.4  </w:t>
      </w:r>
      <w:r>
        <w:rPr>
          <w:rFonts w:ascii="宋体" w:hAnsi="宋体" w:eastAsia="宋体" w:cs="宋体"/>
          <w:color w:val="auto"/>
          <w:spacing w:val="-3"/>
          <w:sz w:val="24"/>
          <w:szCs w:val="24"/>
          <w:highlight w:val="none"/>
        </w:rPr>
        <w:t>合同实施过程中，发包人要求承包人采用专利技术的，发包人应办理相应的使用手续，承包人应按发包人约定的条件使用，并承担使用专利技术的相关试验工</w:t>
      </w:r>
      <w:r>
        <w:rPr>
          <w:rFonts w:ascii="宋体" w:hAnsi="宋体" w:eastAsia="宋体" w:cs="宋体"/>
          <w:color w:val="auto"/>
          <w:spacing w:val="-4"/>
          <w:sz w:val="24"/>
          <w:szCs w:val="24"/>
          <w:highlight w:val="none"/>
        </w:rPr>
        <w:t>作，所需费用由发包人承担。</w:t>
      </w:r>
    </w:p>
    <w:p w14:paraId="5C41495F">
      <w:pPr>
        <w:spacing w:before="179" w:line="220" w:lineRule="auto"/>
        <w:ind w:left="10"/>
        <w:outlineLvl w:val="2"/>
        <w:rPr>
          <w:rFonts w:ascii="宋体" w:hAnsi="宋体" w:eastAsia="宋体" w:cs="宋体"/>
          <w:color w:val="auto"/>
          <w:sz w:val="24"/>
          <w:szCs w:val="24"/>
          <w:highlight w:val="none"/>
        </w:rPr>
      </w:pPr>
      <w:bookmarkStart w:id="292" w:name="bookmark155"/>
      <w:bookmarkEnd w:id="292"/>
      <w:bookmarkStart w:id="293" w:name="_Toc4950"/>
      <w:bookmarkStart w:id="294" w:name="_Toc30648"/>
      <w:r>
        <w:rPr>
          <w:rFonts w:ascii="Times New Roman" w:hAnsi="Times New Roman" w:eastAsia="Times New Roman" w:cs="Times New Roman"/>
          <w:b/>
          <w:bCs/>
          <w:color w:val="auto"/>
          <w:spacing w:val="-6"/>
          <w:sz w:val="24"/>
          <w:szCs w:val="24"/>
          <w:highlight w:val="none"/>
        </w:rPr>
        <w:t>1.12</w:t>
      </w:r>
      <w:r>
        <w:rPr>
          <w:rFonts w:ascii="Times New Roman" w:hAnsi="Times New Roman" w:eastAsia="Times New Roman" w:cs="Times New Roman"/>
          <w:b/>
          <w:bCs/>
          <w:color w:val="auto"/>
          <w:spacing w:val="21"/>
          <w:sz w:val="24"/>
          <w:szCs w:val="24"/>
          <w:highlight w:val="none"/>
        </w:rPr>
        <w:t xml:space="preserve">  </w:t>
      </w:r>
      <w:r>
        <w:rPr>
          <w:rFonts w:ascii="宋体" w:hAnsi="宋体" w:eastAsia="宋体" w:cs="宋体"/>
          <w:b/>
          <w:bCs/>
          <w:color w:val="auto"/>
          <w:spacing w:val="-6"/>
          <w:sz w:val="24"/>
          <w:szCs w:val="24"/>
          <w:highlight w:val="none"/>
        </w:rPr>
        <w:t>图纸和文件的保密</w:t>
      </w:r>
      <w:bookmarkEnd w:id="293"/>
      <w:bookmarkEnd w:id="294"/>
    </w:p>
    <w:p w14:paraId="3ADE9AB2">
      <w:pPr>
        <w:spacing w:before="183" w:line="289" w:lineRule="auto"/>
        <w:ind w:left="23" w:right="3" w:firstLine="46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1.12.1  </w:t>
      </w:r>
      <w:r>
        <w:rPr>
          <w:rFonts w:ascii="宋体" w:hAnsi="宋体" w:eastAsia="宋体" w:cs="宋体"/>
          <w:color w:val="auto"/>
          <w:spacing w:val="-3"/>
          <w:sz w:val="24"/>
          <w:szCs w:val="24"/>
          <w:highlight w:val="none"/>
        </w:rPr>
        <w:t>发包人提供的图纸和文件，未经发包人同意，承包人不得为合同以外的目</w:t>
      </w:r>
      <w:r>
        <w:rPr>
          <w:rFonts w:ascii="宋体" w:hAnsi="宋体" w:eastAsia="宋体" w:cs="宋体"/>
          <w:color w:val="auto"/>
          <w:spacing w:val="-4"/>
          <w:sz w:val="24"/>
          <w:szCs w:val="24"/>
          <w:highlight w:val="none"/>
        </w:rPr>
        <w:t>的泄露给他人或公开发表与引用。</w:t>
      </w:r>
    </w:p>
    <w:p w14:paraId="75BBC607">
      <w:pPr>
        <w:spacing w:before="182" w:line="290" w:lineRule="auto"/>
        <w:ind w:left="49" w:right="1" w:firstLine="443"/>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1.12.2  </w:t>
      </w:r>
      <w:r>
        <w:rPr>
          <w:rFonts w:ascii="宋体" w:hAnsi="宋体" w:eastAsia="宋体" w:cs="宋体"/>
          <w:color w:val="auto"/>
          <w:spacing w:val="-3"/>
          <w:sz w:val="24"/>
          <w:szCs w:val="24"/>
          <w:highlight w:val="none"/>
        </w:rPr>
        <w:t>承包人提供的文件，未经承包人同意，发包人和监理人不得为合同以外的</w:t>
      </w:r>
      <w:r>
        <w:rPr>
          <w:rFonts w:ascii="宋体" w:hAnsi="宋体" w:eastAsia="宋体" w:cs="宋体"/>
          <w:color w:val="auto"/>
          <w:spacing w:val="-6"/>
          <w:sz w:val="24"/>
          <w:szCs w:val="24"/>
          <w:highlight w:val="none"/>
        </w:rPr>
        <w:t>目的泄露给他人或公开发表与引用。</w:t>
      </w:r>
    </w:p>
    <w:p w14:paraId="574A976C">
      <w:pPr>
        <w:spacing w:before="306" w:line="220" w:lineRule="auto"/>
        <w:outlineLvl w:val="1"/>
        <w:rPr>
          <w:rFonts w:ascii="宋体" w:hAnsi="宋体" w:eastAsia="宋体" w:cs="宋体"/>
          <w:color w:val="auto"/>
          <w:sz w:val="28"/>
          <w:szCs w:val="28"/>
          <w:highlight w:val="none"/>
        </w:rPr>
      </w:pPr>
      <w:bookmarkStart w:id="295" w:name="bookmark156"/>
      <w:bookmarkEnd w:id="295"/>
      <w:bookmarkStart w:id="296" w:name="bookmark157"/>
      <w:bookmarkEnd w:id="296"/>
      <w:bookmarkStart w:id="297" w:name="_Toc23702"/>
      <w:bookmarkStart w:id="298" w:name="_Toc6380"/>
      <w:r>
        <w:rPr>
          <w:rFonts w:ascii="Times New Roman" w:hAnsi="Times New Roman" w:eastAsia="Times New Roman" w:cs="Times New Roman"/>
          <w:b/>
          <w:bCs/>
          <w:color w:val="auto"/>
          <w:spacing w:val="-6"/>
          <w:sz w:val="28"/>
          <w:szCs w:val="28"/>
          <w:highlight w:val="none"/>
        </w:rPr>
        <w:t>2</w:t>
      </w:r>
      <w:r>
        <w:rPr>
          <w:rFonts w:ascii="Times New Roman" w:hAnsi="Times New Roman" w:eastAsia="Times New Roman" w:cs="Times New Roman"/>
          <w:b/>
          <w:bCs/>
          <w:color w:val="auto"/>
          <w:spacing w:val="10"/>
          <w:sz w:val="28"/>
          <w:szCs w:val="28"/>
          <w:highlight w:val="none"/>
        </w:rPr>
        <w:t xml:space="preserve"> </w:t>
      </w:r>
      <w:r>
        <w:rPr>
          <w:rFonts w:hint="eastAsia" w:ascii="Times New Roman" w:hAnsi="Times New Roman" w:eastAsia="宋体" w:cs="Times New Roman"/>
          <w:b/>
          <w:bCs/>
          <w:color w:val="auto"/>
          <w:spacing w:val="10"/>
          <w:sz w:val="28"/>
          <w:szCs w:val="28"/>
          <w:highlight w:val="none"/>
          <w:lang w:eastAsia="zh-CN"/>
        </w:rPr>
        <w:t>、</w:t>
      </w:r>
      <w:r>
        <w:rPr>
          <w:rFonts w:ascii="宋体" w:hAnsi="宋体" w:eastAsia="宋体" w:cs="宋体"/>
          <w:b/>
          <w:bCs/>
          <w:color w:val="auto"/>
          <w:spacing w:val="-6"/>
          <w:sz w:val="28"/>
          <w:szCs w:val="28"/>
          <w:highlight w:val="none"/>
        </w:rPr>
        <w:t>发包人义务</w:t>
      </w:r>
      <w:bookmarkEnd w:id="297"/>
      <w:bookmarkEnd w:id="298"/>
    </w:p>
    <w:p w14:paraId="01E31D87">
      <w:pPr>
        <w:pStyle w:val="3"/>
        <w:spacing w:line="245" w:lineRule="auto"/>
        <w:rPr>
          <w:color w:val="auto"/>
          <w:highlight w:val="none"/>
        </w:rPr>
      </w:pPr>
    </w:p>
    <w:p w14:paraId="581A3D84">
      <w:pPr>
        <w:spacing w:before="78" w:line="220" w:lineRule="auto"/>
        <w:outlineLvl w:val="2"/>
        <w:rPr>
          <w:rFonts w:ascii="宋体" w:hAnsi="宋体" w:eastAsia="宋体" w:cs="宋体"/>
          <w:color w:val="auto"/>
          <w:sz w:val="24"/>
          <w:szCs w:val="24"/>
          <w:highlight w:val="none"/>
        </w:rPr>
      </w:pPr>
      <w:bookmarkStart w:id="299" w:name="bookmark688"/>
      <w:bookmarkEnd w:id="299"/>
      <w:bookmarkStart w:id="300" w:name="_Toc13802"/>
      <w:bookmarkStart w:id="301" w:name="_Toc1470"/>
      <w:r>
        <w:rPr>
          <w:rFonts w:ascii="Times New Roman" w:hAnsi="Times New Roman" w:eastAsia="Times New Roman" w:cs="Times New Roman"/>
          <w:b/>
          <w:bCs/>
          <w:color w:val="auto"/>
          <w:spacing w:val="-2"/>
          <w:sz w:val="24"/>
          <w:szCs w:val="24"/>
          <w:highlight w:val="none"/>
        </w:rPr>
        <w:t xml:space="preserve">2.1  </w:t>
      </w:r>
      <w:r>
        <w:rPr>
          <w:rFonts w:ascii="宋体" w:hAnsi="宋体" w:eastAsia="宋体" w:cs="宋体"/>
          <w:b/>
          <w:bCs/>
          <w:color w:val="auto"/>
          <w:spacing w:val="-2"/>
          <w:sz w:val="24"/>
          <w:szCs w:val="24"/>
          <w:highlight w:val="none"/>
        </w:rPr>
        <w:t>遵守法律</w:t>
      </w:r>
      <w:bookmarkEnd w:id="300"/>
      <w:bookmarkEnd w:id="301"/>
    </w:p>
    <w:p w14:paraId="2E23F0A8">
      <w:pPr>
        <w:spacing w:before="183" w:line="359" w:lineRule="auto"/>
        <w:ind w:left="4" w:right="1" w:firstLine="48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发包人在履行合同过程中应遵守法律，并保证承包人免于承担因发包人违反法律</w:t>
      </w:r>
      <w:r>
        <w:rPr>
          <w:rFonts w:ascii="宋体" w:hAnsi="宋体" w:eastAsia="宋体" w:cs="宋体"/>
          <w:color w:val="auto"/>
          <w:spacing w:val="-5"/>
          <w:sz w:val="24"/>
          <w:szCs w:val="24"/>
          <w:highlight w:val="none"/>
        </w:rPr>
        <w:t>而引起的任何责任。</w:t>
      </w:r>
    </w:p>
    <w:p w14:paraId="6DA157EA">
      <w:pPr>
        <w:spacing w:line="220" w:lineRule="auto"/>
        <w:outlineLvl w:val="2"/>
        <w:rPr>
          <w:rFonts w:ascii="宋体" w:hAnsi="宋体" w:eastAsia="宋体" w:cs="宋体"/>
          <w:color w:val="auto"/>
          <w:sz w:val="24"/>
          <w:szCs w:val="24"/>
          <w:highlight w:val="none"/>
        </w:rPr>
      </w:pPr>
      <w:bookmarkStart w:id="302" w:name="bookmark158"/>
      <w:bookmarkEnd w:id="302"/>
      <w:bookmarkStart w:id="303" w:name="_Toc16341"/>
      <w:bookmarkStart w:id="304" w:name="_Toc25788"/>
      <w:r>
        <w:rPr>
          <w:rFonts w:ascii="Times New Roman" w:hAnsi="Times New Roman" w:eastAsia="Times New Roman" w:cs="Times New Roman"/>
          <w:b/>
          <w:bCs/>
          <w:color w:val="auto"/>
          <w:spacing w:val="-2"/>
          <w:sz w:val="24"/>
          <w:szCs w:val="24"/>
          <w:highlight w:val="none"/>
        </w:rPr>
        <w:t xml:space="preserve">2.2  </w:t>
      </w:r>
      <w:r>
        <w:rPr>
          <w:rFonts w:ascii="宋体" w:hAnsi="宋体" w:eastAsia="宋体" w:cs="宋体"/>
          <w:b/>
          <w:bCs/>
          <w:color w:val="auto"/>
          <w:spacing w:val="-2"/>
          <w:sz w:val="24"/>
          <w:szCs w:val="24"/>
          <w:highlight w:val="none"/>
        </w:rPr>
        <w:t>发出开工通知</w:t>
      </w:r>
      <w:bookmarkEnd w:id="303"/>
      <w:bookmarkEnd w:id="304"/>
    </w:p>
    <w:p w14:paraId="0FA6375E">
      <w:pPr>
        <w:spacing w:before="179" w:line="220"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发包人应委托监理人按第</w:t>
      </w:r>
      <w:r>
        <w:rPr>
          <w:rFonts w:ascii="Times New Roman" w:hAnsi="Times New Roman" w:eastAsia="Times New Roman" w:cs="Times New Roman"/>
          <w:color w:val="auto"/>
          <w:spacing w:val="-2"/>
          <w:sz w:val="24"/>
          <w:szCs w:val="24"/>
          <w:highlight w:val="none"/>
        </w:rPr>
        <w:t>11.1</w:t>
      </w:r>
      <w:r>
        <w:rPr>
          <w:rFonts w:ascii="宋体" w:hAnsi="宋体" w:eastAsia="宋体" w:cs="宋体"/>
          <w:color w:val="auto"/>
          <w:spacing w:val="-2"/>
          <w:sz w:val="24"/>
          <w:szCs w:val="24"/>
          <w:highlight w:val="none"/>
        </w:rPr>
        <w:t>款的约定向承包人发出开工通知。</w:t>
      </w:r>
    </w:p>
    <w:p w14:paraId="5377F14D">
      <w:pPr>
        <w:spacing w:before="182" w:line="219" w:lineRule="auto"/>
        <w:outlineLvl w:val="2"/>
        <w:rPr>
          <w:rFonts w:ascii="宋体" w:hAnsi="宋体" w:eastAsia="宋体" w:cs="宋体"/>
          <w:color w:val="auto"/>
          <w:sz w:val="24"/>
          <w:szCs w:val="24"/>
          <w:highlight w:val="none"/>
        </w:rPr>
      </w:pPr>
      <w:bookmarkStart w:id="305" w:name="bookmark159"/>
      <w:bookmarkEnd w:id="305"/>
      <w:bookmarkStart w:id="306" w:name="_Toc5972"/>
      <w:bookmarkStart w:id="307" w:name="_Toc2081"/>
      <w:r>
        <w:rPr>
          <w:rFonts w:ascii="Times New Roman" w:hAnsi="Times New Roman" w:eastAsia="Times New Roman" w:cs="Times New Roman"/>
          <w:b/>
          <w:bCs/>
          <w:color w:val="auto"/>
          <w:spacing w:val="-2"/>
          <w:sz w:val="24"/>
          <w:szCs w:val="24"/>
          <w:highlight w:val="none"/>
        </w:rPr>
        <w:t xml:space="preserve">2.3  </w:t>
      </w:r>
      <w:r>
        <w:rPr>
          <w:rFonts w:ascii="宋体" w:hAnsi="宋体" w:eastAsia="宋体" w:cs="宋体"/>
          <w:b/>
          <w:bCs/>
          <w:color w:val="auto"/>
          <w:spacing w:val="-2"/>
          <w:sz w:val="24"/>
          <w:szCs w:val="24"/>
          <w:highlight w:val="none"/>
        </w:rPr>
        <w:t>提供施工场地</w:t>
      </w:r>
      <w:bookmarkEnd w:id="306"/>
      <w:bookmarkEnd w:id="307"/>
    </w:p>
    <w:p w14:paraId="73C32D30">
      <w:pPr>
        <w:spacing w:before="179" w:line="325" w:lineRule="auto"/>
        <w:ind w:left="3" w:right="1"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2.3.1  </w:t>
      </w:r>
      <w:r>
        <w:rPr>
          <w:rFonts w:ascii="宋体" w:hAnsi="宋体" w:eastAsia="宋体" w:cs="宋体"/>
          <w:color w:val="auto"/>
          <w:spacing w:val="1"/>
          <w:sz w:val="24"/>
          <w:szCs w:val="24"/>
          <w:highlight w:val="none"/>
        </w:rPr>
        <w:t>发包人应在合同双方签订合</w:t>
      </w:r>
      <w:r>
        <w:rPr>
          <w:rFonts w:ascii="宋体" w:hAnsi="宋体" w:eastAsia="宋体" w:cs="宋体"/>
          <w:color w:val="auto"/>
          <w:sz w:val="24"/>
          <w:szCs w:val="24"/>
          <w:highlight w:val="none"/>
        </w:rPr>
        <w:t>同协议书后的</w:t>
      </w:r>
      <w:r>
        <w:rPr>
          <w:rFonts w:ascii="Times New Roman" w:hAnsi="Times New Roman" w:eastAsia="Times New Roman" w:cs="Times New Roman"/>
          <w:color w:val="auto"/>
          <w:sz w:val="24"/>
          <w:szCs w:val="24"/>
          <w:highlight w:val="none"/>
        </w:rPr>
        <w:t>14</w:t>
      </w:r>
      <w:r>
        <w:rPr>
          <w:rFonts w:ascii="宋体" w:hAnsi="宋体" w:eastAsia="宋体" w:cs="宋体"/>
          <w:color w:val="auto"/>
          <w:sz w:val="24"/>
          <w:szCs w:val="24"/>
          <w:highlight w:val="none"/>
        </w:rPr>
        <w:t>天内，将本合同工程的施工场</w:t>
      </w:r>
      <w:r>
        <w:rPr>
          <w:rFonts w:ascii="宋体" w:hAnsi="宋体" w:eastAsia="宋体" w:cs="宋体"/>
          <w:color w:val="auto"/>
          <w:spacing w:val="-3"/>
          <w:sz w:val="24"/>
          <w:szCs w:val="24"/>
          <w:highlight w:val="none"/>
        </w:rPr>
        <w:t>地范围图提交给承包人。发包人提供的施工场地范围图应标明场地范围内永久占地与临时占地的范围和界限，以及指明提供给承包人用于施工场地布置的范围和界限及其</w:t>
      </w:r>
      <w:r>
        <w:rPr>
          <w:rFonts w:ascii="宋体" w:hAnsi="宋体" w:eastAsia="宋体" w:cs="宋体"/>
          <w:color w:val="auto"/>
          <w:spacing w:val="-8"/>
          <w:sz w:val="24"/>
          <w:szCs w:val="24"/>
          <w:highlight w:val="none"/>
        </w:rPr>
        <w:t>有关资料。</w:t>
      </w:r>
    </w:p>
    <w:p w14:paraId="4C15B4FC">
      <w:pPr>
        <w:spacing w:before="179"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2.3.2  </w:t>
      </w:r>
      <w:r>
        <w:rPr>
          <w:rFonts w:ascii="宋体" w:hAnsi="宋体" w:eastAsia="宋体" w:cs="宋体"/>
          <w:color w:val="auto"/>
          <w:spacing w:val="-1"/>
          <w:sz w:val="24"/>
          <w:szCs w:val="24"/>
          <w:highlight w:val="none"/>
        </w:rPr>
        <w:t>发包人提供的施工用地范围在</w:t>
      </w:r>
      <w:r>
        <w:rPr>
          <w:rFonts w:ascii="宋体" w:hAnsi="宋体" w:eastAsia="宋体" w:cs="宋体"/>
          <w:color w:val="auto"/>
          <w:spacing w:val="-2"/>
          <w:sz w:val="24"/>
          <w:szCs w:val="24"/>
          <w:highlight w:val="none"/>
        </w:rPr>
        <w:t>专用合同条款中约定。</w:t>
      </w:r>
    </w:p>
    <w:p w14:paraId="4F0E2139">
      <w:pPr>
        <w:spacing w:line="219" w:lineRule="auto"/>
        <w:rPr>
          <w:rFonts w:ascii="宋体" w:hAnsi="宋体" w:eastAsia="宋体" w:cs="宋体"/>
          <w:color w:val="auto"/>
          <w:sz w:val="24"/>
          <w:szCs w:val="24"/>
          <w:highlight w:val="none"/>
        </w:rPr>
        <w:sectPr>
          <w:footerReference r:id="rId34" w:type="default"/>
          <w:pgSz w:w="11907" w:h="16841"/>
          <w:pgMar w:top="1428" w:right="1527" w:bottom="1254" w:left="1594" w:header="0" w:footer="1093" w:gutter="0"/>
          <w:pgNumType w:fmt="decimal"/>
          <w:cols w:space="720" w:num="1"/>
        </w:sectPr>
      </w:pPr>
    </w:p>
    <w:p w14:paraId="648BFB56">
      <w:pPr>
        <w:spacing w:before="49" w:line="359" w:lineRule="auto"/>
        <w:ind w:left="8" w:right="1" w:firstLine="475"/>
        <w:jc w:val="both"/>
        <w:rPr>
          <w:rFonts w:ascii="宋体" w:hAnsi="宋体" w:eastAsia="宋体" w:cs="宋体"/>
          <w:color w:val="auto"/>
          <w:sz w:val="24"/>
          <w:szCs w:val="24"/>
          <w:highlight w:val="none"/>
        </w:rPr>
      </w:pPr>
      <w:r>
        <w:rPr>
          <w:rFonts w:ascii="Times New Roman" w:hAnsi="Times New Roman" w:eastAsia="Times New Roman" w:cs="Times New Roman"/>
          <w:b/>
          <w:bCs/>
          <w:color w:val="auto"/>
          <w:spacing w:val="-5"/>
          <w:sz w:val="24"/>
          <w:szCs w:val="24"/>
          <w:highlight w:val="none"/>
        </w:rPr>
        <w:t xml:space="preserve">2.3.3  </w:t>
      </w:r>
      <w:r>
        <w:rPr>
          <w:rFonts w:ascii="宋体" w:hAnsi="宋体" w:eastAsia="宋体" w:cs="宋体"/>
          <w:color w:val="auto"/>
          <w:spacing w:val="-5"/>
          <w:sz w:val="24"/>
          <w:szCs w:val="24"/>
          <w:highlight w:val="none"/>
        </w:rPr>
        <w:t>除专用合同条款另有约定外</w:t>
      </w:r>
      <w:r>
        <w:rPr>
          <w:rFonts w:ascii="宋体" w:hAnsi="宋体" w:eastAsia="宋体" w:cs="宋体"/>
          <w:color w:val="auto"/>
          <w:spacing w:val="-6"/>
          <w:sz w:val="24"/>
          <w:szCs w:val="24"/>
          <w:highlight w:val="none"/>
        </w:rPr>
        <w:t>，发包人应按技术标准和要求（合同技术条款）</w:t>
      </w:r>
      <w:r>
        <w:rPr>
          <w:rFonts w:ascii="宋体" w:hAnsi="宋体" w:eastAsia="宋体" w:cs="宋体"/>
          <w:color w:val="auto"/>
          <w:spacing w:val="-3"/>
          <w:sz w:val="24"/>
          <w:szCs w:val="24"/>
          <w:highlight w:val="none"/>
        </w:rPr>
        <w:t>的约定，向承包人提供施工场地内的工程地质图纸和报告，以及地下障碍物图纸等施</w:t>
      </w:r>
      <w:r>
        <w:rPr>
          <w:rFonts w:ascii="宋体" w:hAnsi="宋体" w:eastAsia="宋体" w:cs="宋体"/>
          <w:color w:val="auto"/>
          <w:spacing w:val="-2"/>
          <w:sz w:val="24"/>
          <w:szCs w:val="24"/>
          <w:highlight w:val="none"/>
        </w:rPr>
        <w:t>工场地有关资料，并保证资料的真实、准确、完整。</w:t>
      </w:r>
    </w:p>
    <w:p w14:paraId="0815839C">
      <w:pPr>
        <w:spacing w:line="219" w:lineRule="auto"/>
        <w:ind w:left="1"/>
        <w:outlineLvl w:val="2"/>
        <w:rPr>
          <w:rFonts w:ascii="宋体" w:hAnsi="宋体" w:eastAsia="宋体" w:cs="宋体"/>
          <w:color w:val="auto"/>
          <w:sz w:val="24"/>
          <w:szCs w:val="24"/>
          <w:highlight w:val="none"/>
        </w:rPr>
      </w:pPr>
      <w:bookmarkStart w:id="308" w:name="bookmark160"/>
      <w:bookmarkEnd w:id="308"/>
      <w:bookmarkStart w:id="309" w:name="_Toc10564"/>
      <w:bookmarkStart w:id="310" w:name="_Toc21375"/>
      <w:r>
        <w:rPr>
          <w:rFonts w:ascii="Times New Roman" w:hAnsi="Times New Roman" w:eastAsia="Times New Roman" w:cs="Times New Roman"/>
          <w:b/>
          <w:bCs/>
          <w:color w:val="auto"/>
          <w:spacing w:val="-2"/>
          <w:sz w:val="24"/>
          <w:szCs w:val="24"/>
          <w:highlight w:val="none"/>
        </w:rPr>
        <w:t xml:space="preserve">2.4  </w:t>
      </w:r>
      <w:r>
        <w:rPr>
          <w:rFonts w:ascii="宋体" w:hAnsi="宋体" w:eastAsia="宋体" w:cs="宋体"/>
          <w:b/>
          <w:bCs/>
          <w:color w:val="auto"/>
          <w:spacing w:val="-2"/>
          <w:sz w:val="24"/>
          <w:szCs w:val="24"/>
          <w:highlight w:val="none"/>
        </w:rPr>
        <w:t>协助承包人办理证件和批件</w:t>
      </w:r>
      <w:bookmarkEnd w:id="309"/>
      <w:bookmarkEnd w:id="310"/>
    </w:p>
    <w:p w14:paraId="2A1F388A">
      <w:pPr>
        <w:spacing w:before="179" w:line="220" w:lineRule="auto"/>
        <w:ind w:left="48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发包人应协助承包人办理法律规定的有关施工证件和批件。</w:t>
      </w:r>
    </w:p>
    <w:p w14:paraId="6765A5F6">
      <w:pPr>
        <w:spacing w:before="182" w:line="221" w:lineRule="auto"/>
        <w:ind w:left="1"/>
        <w:outlineLvl w:val="2"/>
        <w:rPr>
          <w:rFonts w:ascii="宋体" w:hAnsi="宋体" w:eastAsia="宋体" w:cs="宋体"/>
          <w:color w:val="auto"/>
          <w:sz w:val="24"/>
          <w:szCs w:val="24"/>
          <w:highlight w:val="none"/>
        </w:rPr>
      </w:pPr>
      <w:bookmarkStart w:id="311" w:name="bookmark161"/>
      <w:bookmarkEnd w:id="311"/>
      <w:bookmarkStart w:id="312" w:name="_Toc12694"/>
      <w:bookmarkStart w:id="313" w:name="_Toc407"/>
      <w:r>
        <w:rPr>
          <w:rFonts w:ascii="Times New Roman" w:hAnsi="Times New Roman" w:eastAsia="Times New Roman" w:cs="Times New Roman"/>
          <w:b/>
          <w:bCs/>
          <w:color w:val="auto"/>
          <w:spacing w:val="-2"/>
          <w:sz w:val="24"/>
          <w:szCs w:val="24"/>
          <w:highlight w:val="none"/>
        </w:rPr>
        <w:t xml:space="preserve">2.5  </w:t>
      </w:r>
      <w:r>
        <w:rPr>
          <w:rFonts w:ascii="宋体" w:hAnsi="宋体" w:eastAsia="宋体" w:cs="宋体"/>
          <w:b/>
          <w:bCs/>
          <w:color w:val="auto"/>
          <w:spacing w:val="-2"/>
          <w:sz w:val="24"/>
          <w:szCs w:val="24"/>
          <w:highlight w:val="none"/>
        </w:rPr>
        <w:t>组织设计交底</w:t>
      </w:r>
      <w:bookmarkEnd w:id="312"/>
      <w:bookmarkEnd w:id="313"/>
    </w:p>
    <w:p w14:paraId="0A9694A4">
      <w:pPr>
        <w:spacing w:before="178" w:line="220" w:lineRule="auto"/>
        <w:ind w:left="48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发包人应根据合同进度计划，组织设计单位向承包人进行设计交底。</w:t>
      </w:r>
    </w:p>
    <w:p w14:paraId="108879C9">
      <w:pPr>
        <w:spacing w:before="182" w:line="218" w:lineRule="auto"/>
        <w:ind w:left="1"/>
        <w:outlineLvl w:val="2"/>
        <w:rPr>
          <w:rFonts w:ascii="宋体" w:hAnsi="宋体" w:eastAsia="宋体" w:cs="宋体"/>
          <w:color w:val="auto"/>
          <w:sz w:val="24"/>
          <w:szCs w:val="24"/>
          <w:highlight w:val="none"/>
        </w:rPr>
      </w:pPr>
      <w:bookmarkStart w:id="314" w:name="bookmark162"/>
      <w:bookmarkEnd w:id="314"/>
      <w:bookmarkStart w:id="315" w:name="_Toc15913"/>
      <w:bookmarkStart w:id="316" w:name="_Toc2023"/>
      <w:r>
        <w:rPr>
          <w:rFonts w:ascii="Times New Roman" w:hAnsi="Times New Roman" w:eastAsia="Times New Roman" w:cs="Times New Roman"/>
          <w:b/>
          <w:bCs/>
          <w:color w:val="auto"/>
          <w:spacing w:val="-2"/>
          <w:sz w:val="24"/>
          <w:szCs w:val="24"/>
          <w:highlight w:val="none"/>
        </w:rPr>
        <w:t xml:space="preserve">2.6  </w:t>
      </w:r>
      <w:r>
        <w:rPr>
          <w:rFonts w:ascii="宋体" w:hAnsi="宋体" w:eastAsia="宋体" w:cs="宋体"/>
          <w:b/>
          <w:bCs/>
          <w:color w:val="auto"/>
          <w:spacing w:val="-2"/>
          <w:sz w:val="24"/>
          <w:szCs w:val="24"/>
          <w:highlight w:val="none"/>
        </w:rPr>
        <w:t>支付合同价款</w:t>
      </w:r>
      <w:bookmarkEnd w:id="315"/>
      <w:bookmarkEnd w:id="316"/>
    </w:p>
    <w:p w14:paraId="0A5AC1CD">
      <w:pPr>
        <w:spacing w:before="183" w:line="359" w:lineRule="auto"/>
        <w:ind w:left="4" w:right="147" w:firstLine="487"/>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发包人应按合同约定向承包人及时支付合同</w:t>
      </w:r>
      <w:r>
        <w:rPr>
          <w:rFonts w:ascii="宋体" w:hAnsi="宋体" w:eastAsia="宋体" w:cs="宋体"/>
          <w:color w:val="auto"/>
          <w:spacing w:val="-1"/>
          <w:sz w:val="24"/>
          <w:szCs w:val="24"/>
          <w:highlight w:val="none"/>
        </w:rPr>
        <w:t>价款，并将人工费用及时足额拨付</w:t>
      </w:r>
      <w:r>
        <w:rPr>
          <w:rFonts w:ascii="宋体" w:hAnsi="宋体" w:eastAsia="宋体" w:cs="宋体"/>
          <w:color w:val="auto"/>
          <w:sz w:val="24"/>
          <w:szCs w:val="24"/>
          <w:highlight w:val="none"/>
        </w:rPr>
        <w:t>至农民工工资专用账户，加强对承包人按时足额支付农民工</w:t>
      </w:r>
      <w:r>
        <w:rPr>
          <w:rFonts w:ascii="宋体" w:hAnsi="宋体" w:eastAsia="宋体" w:cs="宋体"/>
          <w:color w:val="auto"/>
          <w:spacing w:val="-1"/>
          <w:sz w:val="24"/>
          <w:szCs w:val="24"/>
          <w:highlight w:val="none"/>
        </w:rPr>
        <w:t>工资的监督。因发包人</w:t>
      </w:r>
      <w:r>
        <w:rPr>
          <w:rFonts w:ascii="宋体" w:hAnsi="宋体" w:eastAsia="宋体" w:cs="宋体"/>
          <w:color w:val="auto"/>
          <w:sz w:val="24"/>
          <w:szCs w:val="24"/>
          <w:highlight w:val="none"/>
        </w:rPr>
        <w:t>未按照合同约定及时拨付工程款导致农民工工资拖欠的，发</w:t>
      </w:r>
      <w:r>
        <w:rPr>
          <w:rFonts w:ascii="宋体" w:hAnsi="宋体" w:eastAsia="宋体" w:cs="宋体"/>
          <w:color w:val="auto"/>
          <w:spacing w:val="-1"/>
          <w:sz w:val="24"/>
          <w:szCs w:val="24"/>
          <w:highlight w:val="none"/>
        </w:rPr>
        <w:t>包人应当以未结清的工</w:t>
      </w:r>
      <w:r>
        <w:rPr>
          <w:rFonts w:ascii="宋体" w:hAnsi="宋体" w:eastAsia="宋体" w:cs="宋体"/>
          <w:color w:val="auto"/>
          <w:spacing w:val="-3"/>
          <w:sz w:val="24"/>
          <w:szCs w:val="24"/>
          <w:highlight w:val="none"/>
        </w:rPr>
        <w:t>程款为限先行垫付被拖欠的农民工工资。</w:t>
      </w:r>
    </w:p>
    <w:p w14:paraId="2D529CF2">
      <w:pPr>
        <w:spacing w:line="219" w:lineRule="auto"/>
        <w:ind w:left="1"/>
        <w:outlineLvl w:val="2"/>
        <w:rPr>
          <w:rFonts w:ascii="宋体" w:hAnsi="宋体" w:eastAsia="宋体" w:cs="宋体"/>
          <w:color w:val="auto"/>
          <w:sz w:val="24"/>
          <w:szCs w:val="24"/>
          <w:highlight w:val="none"/>
        </w:rPr>
      </w:pPr>
      <w:bookmarkStart w:id="317" w:name="bookmark163"/>
      <w:bookmarkEnd w:id="317"/>
      <w:bookmarkStart w:id="318" w:name="_Toc23056"/>
      <w:bookmarkStart w:id="319" w:name="_Toc11676"/>
      <w:r>
        <w:rPr>
          <w:rFonts w:ascii="Times New Roman" w:hAnsi="Times New Roman" w:eastAsia="Times New Roman" w:cs="Times New Roman"/>
          <w:b/>
          <w:bCs/>
          <w:color w:val="auto"/>
          <w:spacing w:val="-2"/>
          <w:sz w:val="24"/>
          <w:szCs w:val="24"/>
          <w:highlight w:val="none"/>
        </w:rPr>
        <w:t xml:space="preserve">2.7  </w:t>
      </w:r>
      <w:r>
        <w:rPr>
          <w:rFonts w:ascii="宋体" w:hAnsi="宋体" w:eastAsia="宋体" w:cs="宋体"/>
          <w:b/>
          <w:bCs/>
          <w:color w:val="auto"/>
          <w:spacing w:val="-2"/>
          <w:sz w:val="24"/>
          <w:szCs w:val="24"/>
          <w:highlight w:val="none"/>
        </w:rPr>
        <w:t>组织法人验收</w:t>
      </w:r>
      <w:bookmarkEnd w:id="318"/>
      <w:bookmarkEnd w:id="319"/>
    </w:p>
    <w:p w14:paraId="3A54CCB9">
      <w:pPr>
        <w:spacing w:before="182" w:line="220" w:lineRule="auto"/>
        <w:ind w:left="48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发包人应按合同约定及时组织法人验收。</w:t>
      </w:r>
    </w:p>
    <w:p w14:paraId="21CD9158">
      <w:pPr>
        <w:spacing w:before="180" w:line="220" w:lineRule="auto"/>
        <w:ind w:left="1"/>
        <w:outlineLvl w:val="2"/>
        <w:rPr>
          <w:rFonts w:ascii="宋体" w:hAnsi="宋体" w:eastAsia="宋体" w:cs="宋体"/>
          <w:color w:val="auto"/>
          <w:sz w:val="24"/>
          <w:szCs w:val="24"/>
          <w:highlight w:val="none"/>
        </w:rPr>
      </w:pPr>
      <w:bookmarkStart w:id="320" w:name="bookmark164"/>
      <w:bookmarkEnd w:id="320"/>
      <w:bookmarkStart w:id="321" w:name="_Toc15227"/>
      <w:bookmarkStart w:id="322" w:name="_Toc17071"/>
      <w:r>
        <w:rPr>
          <w:rFonts w:ascii="Times New Roman" w:hAnsi="Times New Roman" w:eastAsia="Times New Roman" w:cs="Times New Roman"/>
          <w:b/>
          <w:bCs/>
          <w:color w:val="auto"/>
          <w:spacing w:val="-2"/>
          <w:sz w:val="24"/>
          <w:szCs w:val="24"/>
          <w:highlight w:val="none"/>
        </w:rPr>
        <w:t xml:space="preserve">2.8  </w:t>
      </w:r>
      <w:r>
        <w:rPr>
          <w:rFonts w:ascii="宋体" w:hAnsi="宋体" w:eastAsia="宋体" w:cs="宋体"/>
          <w:b/>
          <w:bCs/>
          <w:color w:val="auto"/>
          <w:spacing w:val="-2"/>
          <w:sz w:val="24"/>
          <w:szCs w:val="24"/>
          <w:highlight w:val="none"/>
        </w:rPr>
        <w:t>其他义务</w:t>
      </w:r>
      <w:bookmarkEnd w:id="321"/>
      <w:bookmarkEnd w:id="322"/>
    </w:p>
    <w:p w14:paraId="0999A0CF">
      <w:pPr>
        <w:spacing w:before="182" w:line="220" w:lineRule="auto"/>
        <w:ind w:left="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其他义务在专用合同条款中补充约定。</w:t>
      </w:r>
    </w:p>
    <w:p w14:paraId="78F8D1F9">
      <w:pPr>
        <w:spacing w:before="308" w:line="223" w:lineRule="auto"/>
        <w:outlineLvl w:val="1"/>
        <w:rPr>
          <w:rFonts w:ascii="宋体" w:hAnsi="宋体" w:eastAsia="宋体" w:cs="宋体"/>
          <w:color w:val="auto"/>
          <w:sz w:val="28"/>
          <w:szCs w:val="28"/>
          <w:highlight w:val="none"/>
        </w:rPr>
      </w:pPr>
      <w:bookmarkStart w:id="323" w:name="bookmark165"/>
      <w:bookmarkEnd w:id="323"/>
      <w:bookmarkStart w:id="324" w:name="bookmark166"/>
      <w:bookmarkEnd w:id="324"/>
      <w:bookmarkStart w:id="325" w:name="_Toc12385"/>
      <w:bookmarkStart w:id="326" w:name="_Toc14835"/>
      <w:r>
        <w:rPr>
          <w:rFonts w:ascii="Times New Roman" w:hAnsi="Times New Roman" w:eastAsia="Times New Roman" w:cs="Times New Roman"/>
          <w:b/>
          <w:bCs/>
          <w:color w:val="auto"/>
          <w:spacing w:val="-5"/>
          <w:sz w:val="28"/>
          <w:szCs w:val="28"/>
          <w:highlight w:val="none"/>
        </w:rPr>
        <w:t>3</w:t>
      </w:r>
      <w:r>
        <w:rPr>
          <w:rFonts w:hint="eastAsia" w:ascii="Times New Roman" w:hAnsi="Times New Roman" w:eastAsia="宋体" w:cs="Times New Roman"/>
          <w:b/>
          <w:bCs/>
          <w:color w:val="auto"/>
          <w:spacing w:val="6"/>
          <w:sz w:val="28"/>
          <w:szCs w:val="28"/>
          <w:highlight w:val="none"/>
          <w:lang w:eastAsia="zh-CN"/>
        </w:rPr>
        <w:t>、</w:t>
      </w:r>
      <w:r>
        <w:rPr>
          <w:rFonts w:ascii="宋体" w:hAnsi="宋体" w:eastAsia="宋体" w:cs="宋体"/>
          <w:b/>
          <w:bCs/>
          <w:color w:val="auto"/>
          <w:spacing w:val="-5"/>
          <w:sz w:val="28"/>
          <w:szCs w:val="28"/>
          <w:highlight w:val="none"/>
        </w:rPr>
        <w:t>监理人</w:t>
      </w:r>
      <w:bookmarkEnd w:id="325"/>
      <w:bookmarkEnd w:id="326"/>
    </w:p>
    <w:p w14:paraId="2090435C">
      <w:pPr>
        <w:spacing w:before="318" w:line="220" w:lineRule="auto"/>
        <w:outlineLvl w:val="2"/>
        <w:rPr>
          <w:rFonts w:ascii="宋体" w:hAnsi="宋体" w:eastAsia="宋体" w:cs="宋体"/>
          <w:color w:val="auto"/>
          <w:sz w:val="24"/>
          <w:szCs w:val="24"/>
          <w:highlight w:val="none"/>
        </w:rPr>
      </w:pPr>
      <w:bookmarkStart w:id="327" w:name="bookmark689"/>
      <w:bookmarkEnd w:id="327"/>
      <w:bookmarkStart w:id="328" w:name="_Toc5904"/>
      <w:bookmarkStart w:id="329" w:name="_Toc6903"/>
      <w:r>
        <w:rPr>
          <w:rFonts w:ascii="Times New Roman" w:hAnsi="Times New Roman" w:eastAsia="Times New Roman" w:cs="Times New Roman"/>
          <w:b/>
          <w:bCs/>
          <w:color w:val="auto"/>
          <w:spacing w:val="-2"/>
          <w:sz w:val="24"/>
          <w:szCs w:val="24"/>
          <w:highlight w:val="none"/>
        </w:rPr>
        <w:t xml:space="preserve">3.1  </w:t>
      </w:r>
      <w:r>
        <w:rPr>
          <w:rFonts w:ascii="宋体" w:hAnsi="宋体" w:eastAsia="宋体" w:cs="宋体"/>
          <w:b/>
          <w:bCs/>
          <w:color w:val="auto"/>
          <w:spacing w:val="-2"/>
          <w:sz w:val="24"/>
          <w:szCs w:val="24"/>
          <w:highlight w:val="none"/>
        </w:rPr>
        <w:t>监理人的职责和权力</w:t>
      </w:r>
      <w:bookmarkEnd w:id="328"/>
      <w:bookmarkEnd w:id="329"/>
    </w:p>
    <w:p w14:paraId="50F435B1">
      <w:pPr>
        <w:spacing w:before="184" w:line="331" w:lineRule="auto"/>
        <w:ind w:left="5" w:right="1"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3.1.1  </w:t>
      </w:r>
      <w:r>
        <w:rPr>
          <w:rFonts w:ascii="宋体" w:hAnsi="宋体" w:eastAsia="宋体" w:cs="宋体"/>
          <w:color w:val="auto"/>
          <w:spacing w:val="1"/>
          <w:sz w:val="24"/>
          <w:szCs w:val="24"/>
          <w:highlight w:val="none"/>
        </w:rPr>
        <w:t>监理人受发包人的委托，享有合</w:t>
      </w:r>
      <w:r>
        <w:rPr>
          <w:rFonts w:ascii="宋体" w:hAnsi="宋体" w:eastAsia="宋体" w:cs="宋体"/>
          <w:color w:val="auto"/>
          <w:sz w:val="24"/>
          <w:szCs w:val="24"/>
          <w:highlight w:val="none"/>
        </w:rPr>
        <w:t>同约定的权力。监理人的权力范围在专用</w:t>
      </w:r>
      <w:r>
        <w:rPr>
          <w:rFonts w:ascii="宋体" w:hAnsi="宋体" w:eastAsia="宋体" w:cs="宋体"/>
          <w:color w:val="auto"/>
          <w:spacing w:val="-3"/>
          <w:sz w:val="24"/>
          <w:szCs w:val="24"/>
          <w:highlight w:val="none"/>
        </w:rPr>
        <w:t>合同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w:t>
      </w:r>
      <w:r>
        <w:rPr>
          <w:rFonts w:ascii="宋体" w:hAnsi="宋体" w:eastAsia="宋体" w:cs="宋体"/>
          <w:color w:val="auto"/>
          <w:spacing w:val="-2"/>
          <w:sz w:val="24"/>
          <w:szCs w:val="24"/>
          <w:highlight w:val="none"/>
        </w:rPr>
        <w:t>执行。监理人应按第</w:t>
      </w:r>
      <w:r>
        <w:rPr>
          <w:rFonts w:ascii="Times New Roman" w:hAnsi="Times New Roman" w:eastAsia="Times New Roman" w:cs="Times New Roman"/>
          <w:color w:val="auto"/>
          <w:spacing w:val="-2"/>
          <w:sz w:val="24"/>
          <w:szCs w:val="24"/>
          <w:highlight w:val="none"/>
        </w:rPr>
        <w:t>15</w:t>
      </w:r>
      <w:r>
        <w:rPr>
          <w:rFonts w:ascii="宋体" w:hAnsi="宋体" w:eastAsia="宋体" w:cs="宋体"/>
          <w:color w:val="auto"/>
          <w:spacing w:val="-2"/>
          <w:sz w:val="24"/>
          <w:szCs w:val="24"/>
          <w:highlight w:val="none"/>
        </w:rPr>
        <w:t>条的约定增加相应的费用，并通知承包人。</w:t>
      </w:r>
    </w:p>
    <w:p w14:paraId="61A43C29">
      <w:pPr>
        <w:spacing w:before="182" w:line="289" w:lineRule="auto"/>
        <w:ind w:left="5" w:right="1"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3.1.2  </w:t>
      </w:r>
      <w:r>
        <w:rPr>
          <w:rFonts w:ascii="宋体" w:hAnsi="宋体" w:eastAsia="宋体" w:cs="宋体"/>
          <w:color w:val="auto"/>
          <w:spacing w:val="1"/>
          <w:sz w:val="24"/>
          <w:szCs w:val="24"/>
          <w:highlight w:val="none"/>
        </w:rPr>
        <w:t>监理人发出的任何指示应视为已</w:t>
      </w:r>
      <w:r>
        <w:rPr>
          <w:rFonts w:ascii="宋体" w:hAnsi="宋体" w:eastAsia="宋体" w:cs="宋体"/>
          <w:color w:val="auto"/>
          <w:sz w:val="24"/>
          <w:szCs w:val="24"/>
          <w:highlight w:val="none"/>
        </w:rPr>
        <w:t>得到发包人的批准，但监理人无权免除或</w:t>
      </w:r>
      <w:r>
        <w:rPr>
          <w:rFonts w:ascii="宋体" w:hAnsi="宋体" w:eastAsia="宋体" w:cs="宋体"/>
          <w:color w:val="auto"/>
          <w:spacing w:val="-2"/>
          <w:sz w:val="24"/>
          <w:szCs w:val="24"/>
          <w:highlight w:val="none"/>
        </w:rPr>
        <w:t>变更合同约定的发包人和承包人的权利、义务和责任。</w:t>
      </w:r>
    </w:p>
    <w:p w14:paraId="7D515E7A">
      <w:pPr>
        <w:spacing w:before="181" w:line="313" w:lineRule="auto"/>
        <w:ind w:left="9" w:right="1" w:firstLine="47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3.1.3  </w:t>
      </w:r>
      <w:r>
        <w:rPr>
          <w:rFonts w:ascii="宋体" w:hAnsi="宋体" w:eastAsia="宋体" w:cs="宋体"/>
          <w:color w:val="auto"/>
          <w:spacing w:val="1"/>
          <w:sz w:val="24"/>
          <w:szCs w:val="24"/>
          <w:highlight w:val="none"/>
        </w:rPr>
        <w:t>合同约定应由承包人承担的义务</w:t>
      </w:r>
      <w:r>
        <w:rPr>
          <w:rFonts w:ascii="宋体" w:hAnsi="宋体" w:eastAsia="宋体" w:cs="宋体"/>
          <w:color w:val="auto"/>
          <w:sz w:val="24"/>
          <w:szCs w:val="24"/>
          <w:highlight w:val="none"/>
        </w:rPr>
        <w:t>和责任，不因监理人对承包人提交文件的</w:t>
      </w:r>
      <w:r>
        <w:rPr>
          <w:rFonts w:ascii="宋体" w:hAnsi="宋体" w:eastAsia="宋体" w:cs="宋体"/>
          <w:color w:val="auto"/>
          <w:spacing w:val="-6"/>
          <w:sz w:val="24"/>
          <w:szCs w:val="24"/>
          <w:highlight w:val="none"/>
        </w:rPr>
        <w:t>审查或批准，对工程、材料和设备的检查和检验， 以及为实施监理作出的指示等职务</w:t>
      </w:r>
      <w:r>
        <w:rPr>
          <w:rFonts w:ascii="宋体" w:hAnsi="宋体" w:eastAsia="宋体" w:cs="宋体"/>
          <w:color w:val="auto"/>
          <w:spacing w:val="-5"/>
          <w:sz w:val="24"/>
          <w:szCs w:val="24"/>
          <w:highlight w:val="none"/>
        </w:rPr>
        <w:t>行为而减轻或解除。</w:t>
      </w:r>
    </w:p>
    <w:p w14:paraId="78909244">
      <w:pPr>
        <w:spacing w:before="180" w:line="220" w:lineRule="auto"/>
        <w:outlineLvl w:val="2"/>
        <w:rPr>
          <w:rFonts w:ascii="宋体" w:hAnsi="宋体" w:eastAsia="宋体" w:cs="宋体"/>
          <w:color w:val="auto"/>
          <w:sz w:val="24"/>
          <w:szCs w:val="24"/>
          <w:highlight w:val="none"/>
        </w:rPr>
      </w:pPr>
      <w:bookmarkStart w:id="330" w:name="bookmark167"/>
      <w:bookmarkEnd w:id="330"/>
      <w:bookmarkStart w:id="331" w:name="_Toc20705"/>
      <w:bookmarkStart w:id="332" w:name="_Toc29717"/>
      <w:r>
        <w:rPr>
          <w:rFonts w:ascii="Times New Roman" w:hAnsi="Times New Roman" w:eastAsia="Times New Roman" w:cs="Times New Roman"/>
          <w:b/>
          <w:bCs/>
          <w:color w:val="auto"/>
          <w:spacing w:val="-2"/>
          <w:sz w:val="24"/>
          <w:szCs w:val="24"/>
          <w:highlight w:val="none"/>
        </w:rPr>
        <w:t xml:space="preserve">3.2  </w:t>
      </w:r>
      <w:r>
        <w:rPr>
          <w:rFonts w:ascii="宋体" w:hAnsi="宋体" w:eastAsia="宋体" w:cs="宋体"/>
          <w:b/>
          <w:bCs/>
          <w:color w:val="auto"/>
          <w:spacing w:val="-2"/>
          <w:sz w:val="24"/>
          <w:szCs w:val="24"/>
          <w:highlight w:val="none"/>
        </w:rPr>
        <w:t>总监理工程师</w:t>
      </w:r>
      <w:bookmarkEnd w:id="331"/>
      <w:bookmarkEnd w:id="332"/>
    </w:p>
    <w:p w14:paraId="6F10D88B">
      <w:pPr>
        <w:spacing w:line="220" w:lineRule="auto"/>
        <w:rPr>
          <w:rFonts w:ascii="宋体" w:hAnsi="宋体" w:eastAsia="宋体" w:cs="宋体"/>
          <w:color w:val="auto"/>
          <w:sz w:val="24"/>
          <w:szCs w:val="24"/>
          <w:highlight w:val="none"/>
        </w:rPr>
        <w:sectPr>
          <w:footerReference r:id="rId35" w:type="default"/>
          <w:pgSz w:w="11907" w:h="16841"/>
          <w:pgMar w:top="1428" w:right="1527" w:bottom="1254" w:left="1592" w:header="0" w:footer="1093" w:gutter="0"/>
          <w:pgNumType w:fmt="decimal"/>
          <w:cols w:space="720" w:num="1"/>
        </w:sectPr>
      </w:pPr>
    </w:p>
    <w:p w14:paraId="7209A4EF">
      <w:pPr>
        <w:spacing w:before="49" w:line="359" w:lineRule="auto"/>
        <w:ind w:left="4" w:right="80" w:firstLine="484"/>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发包人应在发出开工通知前将总监理工程师的任命通知承包人。总监理工程师更</w:t>
      </w:r>
      <w:r>
        <w:rPr>
          <w:rFonts w:ascii="宋体" w:hAnsi="宋体" w:eastAsia="宋体" w:cs="宋体"/>
          <w:color w:val="auto"/>
          <w:spacing w:val="-6"/>
          <w:sz w:val="24"/>
          <w:szCs w:val="24"/>
          <w:highlight w:val="none"/>
        </w:rPr>
        <w:t>换时，应在调离</w:t>
      </w:r>
      <w:r>
        <w:rPr>
          <w:rFonts w:ascii="Times New Roman" w:hAnsi="Times New Roman" w:eastAsia="Times New Roman" w:cs="Times New Roman"/>
          <w:color w:val="auto"/>
          <w:spacing w:val="-6"/>
          <w:sz w:val="24"/>
          <w:szCs w:val="24"/>
          <w:highlight w:val="none"/>
        </w:rPr>
        <w:t>14</w:t>
      </w:r>
      <w:r>
        <w:rPr>
          <w:rFonts w:ascii="宋体" w:hAnsi="宋体" w:eastAsia="宋体" w:cs="宋体"/>
          <w:color w:val="auto"/>
          <w:spacing w:val="-6"/>
          <w:sz w:val="24"/>
          <w:szCs w:val="24"/>
          <w:highlight w:val="none"/>
        </w:rPr>
        <w:t>天前通知承包人。总监理工程师短期离开施工场地的， 应委派代表</w:t>
      </w:r>
      <w:r>
        <w:rPr>
          <w:rFonts w:ascii="宋体" w:hAnsi="宋体" w:eastAsia="宋体" w:cs="宋体"/>
          <w:color w:val="auto"/>
          <w:spacing w:val="-4"/>
          <w:sz w:val="24"/>
          <w:szCs w:val="24"/>
          <w:highlight w:val="none"/>
        </w:rPr>
        <w:t>代行其职责，并通知承包人。</w:t>
      </w:r>
    </w:p>
    <w:p w14:paraId="3428D650">
      <w:pPr>
        <w:spacing w:before="1" w:line="220" w:lineRule="auto"/>
        <w:outlineLvl w:val="2"/>
        <w:rPr>
          <w:rFonts w:ascii="宋体" w:hAnsi="宋体" w:eastAsia="宋体" w:cs="宋体"/>
          <w:color w:val="auto"/>
          <w:sz w:val="24"/>
          <w:szCs w:val="24"/>
          <w:highlight w:val="none"/>
        </w:rPr>
      </w:pPr>
      <w:bookmarkStart w:id="333" w:name="bookmark168"/>
      <w:bookmarkEnd w:id="333"/>
      <w:bookmarkStart w:id="334" w:name="_Toc23571"/>
      <w:bookmarkStart w:id="335" w:name="_Toc17955"/>
      <w:r>
        <w:rPr>
          <w:rFonts w:ascii="Times New Roman" w:hAnsi="Times New Roman" w:eastAsia="Times New Roman" w:cs="Times New Roman"/>
          <w:b/>
          <w:bCs/>
          <w:color w:val="auto"/>
          <w:spacing w:val="-2"/>
          <w:sz w:val="24"/>
          <w:szCs w:val="24"/>
          <w:highlight w:val="none"/>
        </w:rPr>
        <w:t xml:space="preserve">3.3  </w:t>
      </w:r>
      <w:r>
        <w:rPr>
          <w:rFonts w:ascii="宋体" w:hAnsi="宋体" w:eastAsia="宋体" w:cs="宋体"/>
          <w:b/>
          <w:bCs/>
          <w:color w:val="auto"/>
          <w:spacing w:val="-2"/>
          <w:sz w:val="24"/>
          <w:szCs w:val="24"/>
          <w:highlight w:val="none"/>
        </w:rPr>
        <w:t>监理人员</w:t>
      </w:r>
      <w:bookmarkEnd w:id="334"/>
      <w:bookmarkEnd w:id="335"/>
    </w:p>
    <w:p w14:paraId="52EA4A00">
      <w:pPr>
        <w:spacing w:before="179" w:line="331" w:lineRule="auto"/>
        <w:ind w:left="6" w:right="80" w:firstLine="475"/>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3.3.1  </w:t>
      </w:r>
      <w:r>
        <w:rPr>
          <w:rFonts w:ascii="宋体" w:hAnsi="宋体" w:eastAsia="宋体" w:cs="宋体"/>
          <w:color w:val="auto"/>
          <w:spacing w:val="1"/>
          <w:sz w:val="24"/>
          <w:szCs w:val="24"/>
          <w:highlight w:val="none"/>
        </w:rPr>
        <w:t>总监理工程师可以授权其他监理</w:t>
      </w:r>
      <w:r>
        <w:rPr>
          <w:rFonts w:ascii="宋体" w:hAnsi="宋体" w:eastAsia="宋体" w:cs="宋体"/>
          <w:color w:val="auto"/>
          <w:sz w:val="24"/>
          <w:szCs w:val="24"/>
          <w:highlight w:val="none"/>
        </w:rPr>
        <w:t>人员负责执行其指派的一项或多项监理工</w:t>
      </w:r>
      <w:r>
        <w:rPr>
          <w:rFonts w:ascii="宋体" w:hAnsi="宋体" w:eastAsia="宋体" w:cs="宋体"/>
          <w:color w:val="auto"/>
          <w:spacing w:val="-3"/>
          <w:sz w:val="24"/>
          <w:szCs w:val="24"/>
          <w:highlight w:val="none"/>
        </w:rPr>
        <w:t>作。总监理工程师应将被授权监理人员的姓名及其授权范围通知承包人。被授权的监理人员在授权范围内发出的指示视为已得到总监理工程师的同意，与总监理工程师发</w:t>
      </w:r>
      <w:r>
        <w:rPr>
          <w:rFonts w:ascii="宋体" w:hAnsi="宋体" w:eastAsia="宋体" w:cs="宋体"/>
          <w:color w:val="auto"/>
          <w:spacing w:val="-5"/>
          <w:sz w:val="24"/>
          <w:szCs w:val="24"/>
          <w:highlight w:val="none"/>
        </w:rPr>
        <w:t>出的指示具有同等效力。总监理工程师撤销某项授权时，</w:t>
      </w:r>
      <w:r>
        <w:rPr>
          <w:rFonts w:ascii="宋体" w:hAnsi="宋体" w:eastAsia="宋体" w:cs="宋体"/>
          <w:color w:val="auto"/>
          <w:spacing w:val="-38"/>
          <w:sz w:val="24"/>
          <w:szCs w:val="24"/>
          <w:highlight w:val="none"/>
        </w:rPr>
        <w:t xml:space="preserve"> </w:t>
      </w:r>
      <w:r>
        <w:rPr>
          <w:rFonts w:ascii="宋体" w:hAnsi="宋体" w:eastAsia="宋体" w:cs="宋体"/>
          <w:color w:val="auto"/>
          <w:spacing w:val="-5"/>
          <w:sz w:val="24"/>
          <w:szCs w:val="24"/>
          <w:highlight w:val="none"/>
        </w:rPr>
        <w:t>应将撤销授权的决定及时通</w:t>
      </w:r>
      <w:r>
        <w:rPr>
          <w:rFonts w:ascii="宋体" w:hAnsi="宋体" w:eastAsia="宋体" w:cs="宋体"/>
          <w:color w:val="auto"/>
          <w:spacing w:val="-8"/>
          <w:sz w:val="24"/>
          <w:szCs w:val="24"/>
          <w:highlight w:val="none"/>
        </w:rPr>
        <w:t>知承包人。</w:t>
      </w:r>
    </w:p>
    <w:p w14:paraId="2EAD9286">
      <w:pPr>
        <w:spacing w:before="183" w:line="312" w:lineRule="auto"/>
        <w:ind w:left="8" w:right="80"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3.3.2  </w:t>
      </w:r>
      <w:r>
        <w:rPr>
          <w:rFonts w:ascii="宋体" w:hAnsi="宋体" w:eastAsia="宋体" w:cs="宋体"/>
          <w:color w:val="auto"/>
          <w:spacing w:val="1"/>
          <w:sz w:val="24"/>
          <w:szCs w:val="24"/>
          <w:highlight w:val="none"/>
        </w:rPr>
        <w:t>监理人员对承包人的任何工作、</w:t>
      </w:r>
      <w:r>
        <w:rPr>
          <w:rFonts w:ascii="宋体" w:hAnsi="宋体" w:eastAsia="宋体" w:cs="宋体"/>
          <w:color w:val="auto"/>
          <w:sz w:val="24"/>
          <w:szCs w:val="24"/>
          <w:highlight w:val="none"/>
        </w:rPr>
        <w:t>工程或其采用的材料和工程设备未在约定</w:t>
      </w:r>
      <w:r>
        <w:rPr>
          <w:rFonts w:ascii="宋体" w:hAnsi="宋体" w:eastAsia="宋体" w:cs="宋体"/>
          <w:color w:val="auto"/>
          <w:spacing w:val="-3"/>
          <w:sz w:val="24"/>
          <w:szCs w:val="24"/>
          <w:highlight w:val="none"/>
        </w:rPr>
        <w:t>的或合理的期限内提出否定意见的，视为已获批准，但不影响监理人在以后拒绝该项工作、工程、材料或工程设备的权利。</w:t>
      </w:r>
    </w:p>
    <w:p w14:paraId="4E82C111">
      <w:pPr>
        <w:spacing w:before="182" w:line="289" w:lineRule="auto"/>
        <w:ind w:left="8"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3.3.3  </w:t>
      </w:r>
      <w:r>
        <w:rPr>
          <w:rFonts w:ascii="宋体" w:hAnsi="宋体" w:eastAsia="宋体" w:cs="宋体"/>
          <w:color w:val="auto"/>
          <w:spacing w:val="1"/>
          <w:sz w:val="24"/>
          <w:szCs w:val="24"/>
          <w:highlight w:val="none"/>
        </w:rPr>
        <w:t>承包人对总监理工程师授权的监</w:t>
      </w:r>
      <w:r>
        <w:rPr>
          <w:rFonts w:ascii="宋体" w:hAnsi="宋体" w:eastAsia="宋体" w:cs="宋体"/>
          <w:color w:val="auto"/>
          <w:sz w:val="24"/>
          <w:szCs w:val="24"/>
          <w:highlight w:val="none"/>
        </w:rPr>
        <w:t>理人员发出的指示有疑问的，可向总监理</w:t>
      </w:r>
      <w:r>
        <w:rPr>
          <w:rFonts w:ascii="宋体" w:hAnsi="宋体" w:eastAsia="宋体" w:cs="宋体"/>
          <w:color w:val="auto"/>
          <w:spacing w:val="-1"/>
          <w:sz w:val="24"/>
          <w:szCs w:val="24"/>
          <w:highlight w:val="none"/>
        </w:rPr>
        <w:t>工程师提出书面异议，总监理工程师应在</w:t>
      </w:r>
      <w:r>
        <w:rPr>
          <w:rFonts w:ascii="Times New Roman" w:hAnsi="Times New Roman" w:eastAsia="Times New Roman" w:cs="Times New Roman"/>
          <w:color w:val="auto"/>
          <w:spacing w:val="-1"/>
          <w:sz w:val="24"/>
          <w:szCs w:val="24"/>
          <w:highlight w:val="none"/>
        </w:rPr>
        <w:t>48</w:t>
      </w:r>
      <w:r>
        <w:rPr>
          <w:rFonts w:ascii="宋体" w:hAnsi="宋体" w:eastAsia="宋体" w:cs="宋体"/>
          <w:color w:val="auto"/>
          <w:spacing w:val="-1"/>
          <w:sz w:val="24"/>
          <w:szCs w:val="24"/>
          <w:highlight w:val="none"/>
        </w:rPr>
        <w:t>小时内对该指示予以确认、更改或撤销。</w:t>
      </w:r>
    </w:p>
    <w:p w14:paraId="35E5DCF2">
      <w:pPr>
        <w:spacing w:before="180" w:line="290" w:lineRule="auto"/>
        <w:ind w:left="8" w:right="80"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3.3.4  </w:t>
      </w:r>
      <w:r>
        <w:rPr>
          <w:rFonts w:ascii="宋体" w:hAnsi="宋体" w:eastAsia="宋体" w:cs="宋体"/>
          <w:color w:val="auto"/>
          <w:spacing w:val="-1"/>
          <w:sz w:val="24"/>
          <w:szCs w:val="24"/>
          <w:highlight w:val="none"/>
        </w:rPr>
        <w:t>除专用合同条款另有约定外，总监理工程师不应将第</w:t>
      </w:r>
      <w:r>
        <w:rPr>
          <w:rFonts w:ascii="Times New Roman" w:hAnsi="Times New Roman" w:eastAsia="Times New Roman" w:cs="Times New Roman"/>
          <w:color w:val="auto"/>
          <w:spacing w:val="-1"/>
          <w:sz w:val="24"/>
          <w:szCs w:val="24"/>
          <w:highlight w:val="none"/>
        </w:rPr>
        <w:t>3.5</w:t>
      </w:r>
      <w:r>
        <w:rPr>
          <w:rFonts w:ascii="宋体" w:hAnsi="宋体" w:eastAsia="宋体" w:cs="宋体"/>
          <w:color w:val="auto"/>
          <w:spacing w:val="-1"/>
          <w:sz w:val="24"/>
          <w:szCs w:val="24"/>
          <w:highlight w:val="none"/>
        </w:rPr>
        <w:t>款约定应由总监理</w:t>
      </w:r>
      <w:r>
        <w:rPr>
          <w:rFonts w:ascii="宋体" w:hAnsi="宋体" w:eastAsia="宋体" w:cs="宋体"/>
          <w:color w:val="auto"/>
          <w:spacing w:val="-2"/>
          <w:sz w:val="24"/>
          <w:szCs w:val="24"/>
          <w:highlight w:val="none"/>
        </w:rPr>
        <w:t>工程师作出确定的权力授权或委托给其他监理人员。</w:t>
      </w:r>
    </w:p>
    <w:p w14:paraId="2B56F758">
      <w:pPr>
        <w:spacing w:before="183" w:line="221" w:lineRule="auto"/>
        <w:outlineLvl w:val="2"/>
        <w:rPr>
          <w:rFonts w:ascii="宋体" w:hAnsi="宋体" w:eastAsia="宋体" w:cs="宋体"/>
          <w:color w:val="auto"/>
          <w:sz w:val="24"/>
          <w:szCs w:val="24"/>
          <w:highlight w:val="none"/>
        </w:rPr>
      </w:pPr>
      <w:bookmarkStart w:id="336" w:name="bookmark169"/>
      <w:bookmarkEnd w:id="336"/>
      <w:bookmarkStart w:id="337" w:name="_Toc533"/>
      <w:bookmarkStart w:id="338" w:name="_Toc18910"/>
      <w:r>
        <w:rPr>
          <w:rFonts w:ascii="Times New Roman" w:hAnsi="Times New Roman" w:eastAsia="Times New Roman" w:cs="Times New Roman"/>
          <w:b/>
          <w:bCs/>
          <w:color w:val="auto"/>
          <w:spacing w:val="-2"/>
          <w:sz w:val="24"/>
          <w:szCs w:val="24"/>
          <w:highlight w:val="none"/>
        </w:rPr>
        <w:t xml:space="preserve">3.4  </w:t>
      </w:r>
      <w:r>
        <w:rPr>
          <w:rFonts w:ascii="宋体" w:hAnsi="宋体" w:eastAsia="宋体" w:cs="宋体"/>
          <w:b/>
          <w:bCs/>
          <w:color w:val="auto"/>
          <w:spacing w:val="-2"/>
          <w:sz w:val="24"/>
          <w:szCs w:val="24"/>
          <w:highlight w:val="none"/>
        </w:rPr>
        <w:t>监理人的指示</w:t>
      </w:r>
      <w:bookmarkEnd w:id="337"/>
      <w:bookmarkEnd w:id="338"/>
    </w:p>
    <w:p w14:paraId="014470FD">
      <w:pPr>
        <w:spacing w:before="176" w:line="313" w:lineRule="auto"/>
        <w:ind w:left="4" w:right="80"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3.4.1  </w:t>
      </w:r>
      <w:r>
        <w:rPr>
          <w:rFonts w:ascii="宋体" w:hAnsi="宋体" w:eastAsia="宋体" w:cs="宋体"/>
          <w:color w:val="auto"/>
          <w:spacing w:val="-1"/>
          <w:sz w:val="24"/>
          <w:szCs w:val="24"/>
          <w:highlight w:val="none"/>
        </w:rPr>
        <w:t>监理人应按第</w:t>
      </w:r>
      <w:r>
        <w:rPr>
          <w:rFonts w:ascii="Times New Roman" w:hAnsi="Times New Roman" w:eastAsia="Times New Roman" w:cs="Times New Roman"/>
          <w:color w:val="auto"/>
          <w:spacing w:val="-1"/>
          <w:sz w:val="24"/>
          <w:szCs w:val="24"/>
          <w:highlight w:val="none"/>
        </w:rPr>
        <w:t>3.1</w:t>
      </w:r>
      <w:r>
        <w:rPr>
          <w:rFonts w:ascii="宋体" w:hAnsi="宋体" w:eastAsia="宋体" w:cs="宋体"/>
          <w:color w:val="auto"/>
          <w:spacing w:val="-1"/>
          <w:sz w:val="24"/>
          <w:szCs w:val="24"/>
          <w:highlight w:val="none"/>
        </w:rPr>
        <w:t>款的约定向承包人发出指示，监理人的指示应盖有监理人</w:t>
      </w:r>
      <w:r>
        <w:rPr>
          <w:rFonts w:ascii="宋体" w:hAnsi="宋体" w:eastAsia="宋体" w:cs="宋体"/>
          <w:color w:val="auto"/>
          <w:spacing w:val="-2"/>
          <w:sz w:val="24"/>
          <w:szCs w:val="24"/>
          <w:highlight w:val="none"/>
        </w:rPr>
        <w:t>授权的施工场地机构章，并由总监理工程师</w:t>
      </w:r>
      <w:r>
        <w:rPr>
          <w:rFonts w:ascii="宋体" w:hAnsi="宋体" w:eastAsia="宋体" w:cs="宋体"/>
          <w:color w:val="auto"/>
          <w:spacing w:val="-3"/>
          <w:sz w:val="24"/>
          <w:szCs w:val="24"/>
          <w:highlight w:val="none"/>
        </w:rPr>
        <w:t>或总监理工程师按第</w:t>
      </w:r>
      <w:r>
        <w:rPr>
          <w:rFonts w:ascii="Times New Roman" w:hAnsi="Times New Roman" w:eastAsia="Times New Roman" w:cs="Times New Roman"/>
          <w:color w:val="auto"/>
          <w:spacing w:val="-3"/>
          <w:sz w:val="24"/>
          <w:szCs w:val="24"/>
          <w:highlight w:val="none"/>
        </w:rPr>
        <w:t>3.3.1</w:t>
      </w:r>
      <w:r>
        <w:rPr>
          <w:rFonts w:ascii="宋体" w:hAnsi="宋体" w:eastAsia="宋体" w:cs="宋体"/>
          <w:color w:val="auto"/>
          <w:spacing w:val="-3"/>
          <w:sz w:val="24"/>
          <w:szCs w:val="24"/>
          <w:highlight w:val="none"/>
        </w:rPr>
        <w:t>项约定授权的监</w:t>
      </w:r>
      <w:r>
        <w:rPr>
          <w:rFonts w:ascii="宋体" w:hAnsi="宋体" w:eastAsia="宋体" w:cs="宋体"/>
          <w:color w:val="auto"/>
          <w:spacing w:val="-6"/>
          <w:sz w:val="24"/>
          <w:szCs w:val="24"/>
          <w:highlight w:val="none"/>
        </w:rPr>
        <w:t>理人员签字。</w:t>
      </w:r>
    </w:p>
    <w:p w14:paraId="3074A8FD">
      <w:pPr>
        <w:spacing w:before="183" w:line="289" w:lineRule="auto"/>
        <w:ind w:left="5" w:right="13"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3.4.2  </w:t>
      </w:r>
      <w:r>
        <w:rPr>
          <w:rFonts w:ascii="宋体" w:hAnsi="宋体" w:eastAsia="宋体" w:cs="宋体"/>
          <w:color w:val="auto"/>
          <w:spacing w:val="-3"/>
          <w:sz w:val="24"/>
          <w:szCs w:val="24"/>
          <w:highlight w:val="none"/>
        </w:rPr>
        <w:t>承包人收到监理人按第</w:t>
      </w:r>
      <w:r>
        <w:rPr>
          <w:rFonts w:ascii="Times New Roman" w:hAnsi="Times New Roman" w:eastAsia="Times New Roman" w:cs="Times New Roman"/>
          <w:color w:val="auto"/>
          <w:spacing w:val="-3"/>
          <w:sz w:val="24"/>
          <w:szCs w:val="24"/>
          <w:highlight w:val="none"/>
        </w:rPr>
        <w:t>3.4</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项作出的指示后应遵照执行。指示构成变更的，应按第</w:t>
      </w:r>
      <w:r>
        <w:rPr>
          <w:rFonts w:ascii="Times New Roman" w:hAnsi="Times New Roman" w:eastAsia="Times New Roman" w:cs="Times New Roman"/>
          <w:color w:val="auto"/>
          <w:spacing w:val="-4"/>
          <w:sz w:val="24"/>
          <w:szCs w:val="24"/>
          <w:highlight w:val="none"/>
        </w:rPr>
        <w:t>15</w:t>
      </w:r>
      <w:r>
        <w:rPr>
          <w:rFonts w:ascii="宋体" w:hAnsi="宋体" w:eastAsia="宋体" w:cs="宋体"/>
          <w:color w:val="auto"/>
          <w:spacing w:val="-4"/>
          <w:sz w:val="24"/>
          <w:szCs w:val="24"/>
          <w:highlight w:val="none"/>
        </w:rPr>
        <w:t>条处理。</w:t>
      </w:r>
    </w:p>
    <w:p w14:paraId="4DDA5E93">
      <w:pPr>
        <w:spacing w:before="182" w:line="324" w:lineRule="auto"/>
        <w:ind w:left="5" w:right="80"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3.4.3  </w:t>
      </w:r>
      <w:r>
        <w:rPr>
          <w:rFonts w:ascii="宋体" w:hAnsi="宋体" w:eastAsia="宋体" w:cs="宋体"/>
          <w:color w:val="auto"/>
          <w:spacing w:val="1"/>
          <w:sz w:val="24"/>
          <w:szCs w:val="24"/>
          <w:highlight w:val="none"/>
        </w:rPr>
        <w:t>在紧急情况下，总监理工程师或</w:t>
      </w:r>
      <w:r>
        <w:rPr>
          <w:rFonts w:ascii="宋体" w:hAnsi="宋体" w:eastAsia="宋体" w:cs="宋体"/>
          <w:color w:val="auto"/>
          <w:sz w:val="24"/>
          <w:szCs w:val="24"/>
          <w:highlight w:val="none"/>
        </w:rPr>
        <w:t>被授权的监理人员可以当场签发临时书面</w:t>
      </w:r>
      <w:r>
        <w:rPr>
          <w:rFonts w:ascii="宋体" w:hAnsi="宋体" w:eastAsia="宋体" w:cs="宋体"/>
          <w:color w:val="auto"/>
          <w:spacing w:val="-3"/>
          <w:sz w:val="24"/>
          <w:szCs w:val="24"/>
          <w:highlight w:val="none"/>
        </w:rPr>
        <w:t>指示，承包人应遵照执行。承包人应在收到上述临时书面指示后</w:t>
      </w:r>
      <w:r>
        <w:rPr>
          <w:rFonts w:ascii="Times New Roman" w:hAnsi="Times New Roman" w:eastAsia="Times New Roman" w:cs="Times New Roman"/>
          <w:color w:val="auto"/>
          <w:spacing w:val="-3"/>
          <w:sz w:val="24"/>
          <w:szCs w:val="24"/>
          <w:highlight w:val="none"/>
        </w:rPr>
        <w:t>24</w:t>
      </w:r>
      <w:r>
        <w:rPr>
          <w:rFonts w:ascii="宋体" w:hAnsi="宋体" w:eastAsia="宋体" w:cs="宋体"/>
          <w:color w:val="auto"/>
          <w:spacing w:val="-3"/>
          <w:sz w:val="24"/>
          <w:szCs w:val="24"/>
          <w:highlight w:val="none"/>
        </w:rPr>
        <w:t>小时内，向监理人发出书面确认函。监理人在收到书面确认函后</w:t>
      </w:r>
      <w:r>
        <w:rPr>
          <w:rFonts w:ascii="Times New Roman" w:hAnsi="Times New Roman" w:eastAsia="Times New Roman" w:cs="Times New Roman"/>
          <w:color w:val="auto"/>
          <w:spacing w:val="-3"/>
          <w:sz w:val="24"/>
          <w:szCs w:val="24"/>
          <w:highlight w:val="none"/>
        </w:rPr>
        <w:t>24</w:t>
      </w:r>
      <w:r>
        <w:rPr>
          <w:rFonts w:ascii="宋体" w:hAnsi="宋体" w:eastAsia="宋体" w:cs="宋体"/>
          <w:color w:val="auto"/>
          <w:spacing w:val="-3"/>
          <w:sz w:val="24"/>
          <w:szCs w:val="24"/>
          <w:highlight w:val="none"/>
        </w:rPr>
        <w:t>小时内未予答复的，该书面确认函应</w:t>
      </w:r>
      <w:r>
        <w:rPr>
          <w:rFonts w:ascii="宋体" w:hAnsi="宋体" w:eastAsia="宋体" w:cs="宋体"/>
          <w:color w:val="auto"/>
          <w:spacing w:val="-4"/>
          <w:sz w:val="24"/>
          <w:szCs w:val="24"/>
          <w:highlight w:val="none"/>
        </w:rPr>
        <w:t>被视为监理人的正式指示。</w:t>
      </w:r>
    </w:p>
    <w:p w14:paraId="3E265AED">
      <w:pPr>
        <w:spacing w:before="182" w:line="289" w:lineRule="auto"/>
        <w:ind w:left="7" w:right="82"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3.4.4  </w:t>
      </w:r>
      <w:r>
        <w:rPr>
          <w:rFonts w:ascii="宋体" w:hAnsi="宋体" w:eastAsia="宋体" w:cs="宋体"/>
          <w:color w:val="auto"/>
          <w:spacing w:val="1"/>
          <w:sz w:val="24"/>
          <w:szCs w:val="24"/>
          <w:highlight w:val="none"/>
        </w:rPr>
        <w:t>除合同另有约定外，承包人</w:t>
      </w:r>
      <w:r>
        <w:rPr>
          <w:rFonts w:ascii="宋体" w:hAnsi="宋体" w:eastAsia="宋体" w:cs="宋体"/>
          <w:color w:val="auto"/>
          <w:sz w:val="24"/>
          <w:szCs w:val="24"/>
          <w:highlight w:val="none"/>
        </w:rPr>
        <w:t>只从总监理工程师或按第</w:t>
      </w:r>
      <w:r>
        <w:rPr>
          <w:rFonts w:ascii="Times New Roman" w:hAnsi="Times New Roman" w:eastAsia="Times New Roman" w:cs="Times New Roman"/>
          <w:color w:val="auto"/>
          <w:sz w:val="24"/>
          <w:szCs w:val="24"/>
          <w:highlight w:val="none"/>
        </w:rPr>
        <w:t>3.3.1</w:t>
      </w:r>
      <w:r>
        <w:rPr>
          <w:rFonts w:ascii="宋体" w:hAnsi="宋体" w:eastAsia="宋体" w:cs="宋体"/>
          <w:color w:val="auto"/>
          <w:sz w:val="24"/>
          <w:szCs w:val="24"/>
          <w:highlight w:val="none"/>
        </w:rPr>
        <w:t>项被授权的监理</w:t>
      </w:r>
      <w:r>
        <w:rPr>
          <w:rFonts w:ascii="宋体" w:hAnsi="宋体" w:eastAsia="宋体" w:cs="宋体"/>
          <w:color w:val="auto"/>
          <w:spacing w:val="-6"/>
          <w:sz w:val="24"/>
          <w:szCs w:val="24"/>
          <w:highlight w:val="none"/>
        </w:rPr>
        <w:t>人员处取得指示。</w:t>
      </w:r>
    </w:p>
    <w:p w14:paraId="0C6D40D5">
      <w:pPr>
        <w:spacing w:before="182" w:line="289" w:lineRule="auto"/>
        <w:ind w:left="18" w:right="80" w:firstLine="463"/>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3.4.5</w:t>
      </w:r>
      <w:r>
        <w:rPr>
          <w:rFonts w:ascii="Times New Roman" w:hAnsi="Times New Roman" w:eastAsia="Times New Roman" w:cs="Times New Roman"/>
          <w:b/>
          <w:bCs/>
          <w:color w:val="auto"/>
          <w:spacing w:val="19"/>
          <w:sz w:val="24"/>
          <w:szCs w:val="24"/>
          <w:highlight w:val="none"/>
        </w:rPr>
        <w:t xml:space="preserve">  </w:t>
      </w:r>
      <w:r>
        <w:rPr>
          <w:rFonts w:ascii="宋体" w:hAnsi="宋体" w:eastAsia="宋体" w:cs="宋体"/>
          <w:color w:val="auto"/>
          <w:sz w:val="24"/>
          <w:szCs w:val="24"/>
          <w:highlight w:val="none"/>
        </w:rPr>
        <w:t>由于监理人未能按合同约定发出指</w:t>
      </w:r>
      <w:r>
        <w:rPr>
          <w:rFonts w:ascii="宋体" w:hAnsi="宋体" w:eastAsia="宋体" w:cs="宋体"/>
          <w:color w:val="auto"/>
          <w:spacing w:val="-1"/>
          <w:sz w:val="24"/>
          <w:szCs w:val="24"/>
          <w:highlight w:val="none"/>
        </w:rPr>
        <w:t>示、指示延误或指示错误而导致承包人</w:t>
      </w:r>
      <w:r>
        <w:rPr>
          <w:rFonts w:ascii="宋体" w:hAnsi="宋体" w:eastAsia="宋体" w:cs="宋体"/>
          <w:color w:val="auto"/>
          <w:spacing w:val="-3"/>
          <w:sz w:val="24"/>
          <w:szCs w:val="24"/>
          <w:highlight w:val="none"/>
        </w:rPr>
        <w:t>费用增加和（或）工期延误的，由发包人承担赔偿责任。</w:t>
      </w:r>
    </w:p>
    <w:p w14:paraId="41C84DDC">
      <w:pPr>
        <w:spacing w:line="289" w:lineRule="auto"/>
        <w:rPr>
          <w:rFonts w:ascii="宋体" w:hAnsi="宋体" w:eastAsia="宋体" w:cs="宋体"/>
          <w:color w:val="auto"/>
          <w:sz w:val="24"/>
          <w:szCs w:val="24"/>
          <w:highlight w:val="none"/>
        </w:rPr>
        <w:sectPr>
          <w:footerReference r:id="rId36" w:type="default"/>
          <w:pgSz w:w="11907" w:h="16841"/>
          <w:pgMar w:top="1428" w:right="1448" w:bottom="1254" w:left="1592" w:header="0" w:footer="1093" w:gutter="0"/>
          <w:pgNumType w:fmt="decimal"/>
          <w:cols w:space="720" w:num="1"/>
        </w:sectPr>
      </w:pPr>
    </w:p>
    <w:p w14:paraId="6C72EE62">
      <w:pPr>
        <w:spacing w:before="48" w:line="220" w:lineRule="auto"/>
        <w:outlineLvl w:val="2"/>
        <w:rPr>
          <w:rFonts w:ascii="宋体" w:hAnsi="宋体" w:eastAsia="宋体" w:cs="宋体"/>
          <w:color w:val="auto"/>
          <w:sz w:val="24"/>
          <w:szCs w:val="24"/>
          <w:highlight w:val="none"/>
        </w:rPr>
      </w:pPr>
      <w:bookmarkStart w:id="339" w:name="bookmark170"/>
      <w:bookmarkEnd w:id="339"/>
      <w:bookmarkStart w:id="340" w:name="_Toc20426"/>
      <w:bookmarkStart w:id="341" w:name="_Toc12193"/>
      <w:r>
        <w:rPr>
          <w:rFonts w:ascii="Times New Roman" w:hAnsi="Times New Roman" w:eastAsia="Times New Roman" w:cs="Times New Roman"/>
          <w:b/>
          <w:bCs/>
          <w:color w:val="auto"/>
          <w:spacing w:val="-4"/>
          <w:sz w:val="24"/>
          <w:szCs w:val="24"/>
          <w:highlight w:val="none"/>
        </w:rPr>
        <w:t>3.5</w:t>
      </w:r>
      <w:r>
        <w:rPr>
          <w:rFonts w:ascii="Times New Roman" w:hAnsi="Times New Roman" w:eastAsia="Times New Roman" w:cs="Times New Roman"/>
          <w:b/>
          <w:bCs/>
          <w:color w:val="auto"/>
          <w:spacing w:val="9"/>
          <w:sz w:val="24"/>
          <w:szCs w:val="24"/>
          <w:highlight w:val="none"/>
        </w:rPr>
        <w:t xml:space="preserve">  </w:t>
      </w:r>
      <w:r>
        <w:rPr>
          <w:rFonts w:ascii="宋体" w:hAnsi="宋体" w:eastAsia="宋体" w:cs="宋体"/>
          <w:b/>
          <w:bCs/>
          <w:color w:val="auto"/>
          <w:spacing w:val="-4"/>
          <w:sz w:val="24"/>
          <w:szCs w:val="24"/>
          <w:highlight w:val="none"/>
        </w:rPr>
        <w:t>商定或确定</w:t>
      </w:r>
      <w:bookmarkEnd w:id="340"/>
      <w:bookmarkEnd w:id="341"/>
    </w:p>
    <w:p w14:paraId="31EBAE74">
      <w:pPr>
        <w:spacing w:before="182" w:line="312" w:lineRule="auto"/>
        <w:ind w:left="5" w:right="61"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3.5.1  </w:t>
      </w:r>
      <w:r>
        <w:rPr>
          <w:rFonts w:ascii="宋体" w:hAnsi="宋体" w:eastAsia="宋体" w:cs="宋体"/>
          <w:color w:val="auto"/>
          <w:spacing w:val="1"/>
          <w:sz w:val="24"/>
          <w:szCs w:val="24"/>
          <w:highlight w:val="none"/>
        </w:rPr>
        <w:t>合同约定总监理工程师应按照本</w:t>
      </w:r>
      <w:r>
        <w:rPr>
          <w:rFonts w:ascii="宋体" w:hAnsi="宋体" w:eastAsia="宋体" w:cs="宋体"/>
          <w:color w:val="auto"/>
          <w:sz w:val="24"/>
          <w:szCs w:val="24"/>
          <w:highlight w:val="none"/>
        </w:rPr>
        <w:t>款对任何事项进行商定或确定时，总监理</w:t>
      </w:r>
      <w:r>
        <w:rPr>
          <w:rFonts w:ascii="宋体" w:hAnsi="宋体" w:eastAsia="宋体" w:cs="宋体"/>
          <w:color w:val="auto"/>
          <w:spacing w:val="-3"/>
          <w:sz w:val="24"/>
          <w:szCs w:val="24"/>
          <w:highlight w:val="none"/>
        </w:rPr>
        <w:t>工程师应与合同当事人协商，尽量达成一致。不能达成一致的，总监理工程师应认真</w:t>
      </w:r>
      <w:r>
        <w:rPr>
          <w:rFonts w:ascii="宋体" w:hAnsi="宋体" w:eastAsia="宋体" w:cs="宋体"/>
          <w:color w:val="auto"/>
          <w:spacing w:val="-5"/>
          <w:sz w:val="24"/>
          <w:szCs w:val="24"/>
          <w:highlight w:val="none"/>
        </w:rPr>
        <w:t>研究后审慎确定。</w:t>
      </w:r>
    </w:p>
    <w:p w14:paraId="351AB97C">
      <w:pPr>
        <w:spacing w:before="183" w:line="324" w:lineRule="auto"/>
        <w:ind w:left="5"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3.5.2  </w:t>
      </w:r>
      <w:r>
        <w:rPr>
          <w:rFonts w:ascii="宋体" w:hAnsi="宋体" w:eastAsia="宋体" w:cs="宋体"/>
          <w:color w:val="auto"/>
          <w:spacing w:val="1"/>
          <w:sz w:val="24"/>
          <w:szCs w:val="24"/>
          <w:highlight w:val="none"/>
        </w:rPr>
        <w:t>总监理工程师应将商定或确定的</w:t>
      </w:r>
      <w:r>
        <w:rPr>
          <w:rFonts w:ascii="宋体" w:hAnsi="宋体" w:eastAsia="宋体" w:cs="宋体"/>
          <w:color w:val="auto"/>
          <w:sz w:val="24"/>
          <w:szCs w:val="24"/>
          <w:highlight w:val="none"/>
        </w:rPr>
        <w:t>事项通知合同当事人，并附详细依据。对</w:t>
      </w:r>
      <w:r>
        <w:rPr>
          <w:rFonts w:ascii="宋体" w:hAnsi="宋体" w:eastAsia="宋体" w:cs="宋体"/>
          <w:color w:val="auto"/>
          <w:spacing w:val="-1"/>
          <w:sz w:val="24"/>
          <w:szCs w:val="24"/>
          <w:highlight w:val="none"/>
        </w:rPr>
        <w:t>总监理工程师的确定有异议的，构成争议，按照第</w:t>
      </w:r>
      <w:r>
        <w:rPr>
          <w:rFonts w:ascii="Times New Roman" w:hAnsi="Times New Roman" w:eastAsia="Times New Roman" w:cs="Times New Roman"/>
          <w:color w:val="auto"/>
          <w:spacing w:val="-1"/>
          <w:sz w:val="24"/>
          <w:szCs w:val="24"/>
          <w:highlight w:val="none"/>
        </w:rPr>
        <w:t>24</w:t>
      </w:r>
      <w:r>
        <w:rPr>
          <w:rFonts w:ascii="宋体" w:hAnsi="宋体" w:eastAsia="宋体" w:cs="宋体"/>
          <w:color w:val="auto"/>
          <w:spacing w:val="-1"/>
          <w:sz w:val="24"/>
          <w:szCs w:val="24"/>
          <w:highlight w:val="none"/>
        </w:rPr>
        <w:t>条的约定处理。在争议解决</w:t>
      </w:r>
      <w:r>
        <w:rPr>
          <w:rFonts w:ascii="宋体" w:hAnsi="宋体" w:eastAsia="宋体" w:cs="宋体"/>
          <w:color w:val="auto"/>
          <w:spacing w:val="-2"/>
          <w:sz w:val="24"/>
          <w:szCs w:val="24"/>
          <w:highlight w:val="none"/>
        </w:rPr>
        <w:t>前，</w:t>
      </w:r>
      <w:r>
        <w:rPr>
          <w:rFonts w:ascii="宋体" w:hAnsi="宋体" w:eastAsia="宋体" w:cs="宋体"/>
          <w:color w:val="auto"/>
          <w:sz w:val="24"/>
          <w:szCs w:val="24"/>
          <w:highlight w:val="none"/>
        </w:rPr>
        <w:t>双方应暂按总监理工程师的确定执行，按照第</w:t>
      </w:r>
      <w:r>
        <w:rPr>
          <w:rFonts w:ascii="Times New Roman" w:hAnsi="Times New Roman" w:eastAsia="Times New Roman" w:cs="Times New Roman"/>
          <w:color w:val="auto"/>
          <w:sz w:val="24"/>
          <w:szCs w:val="24"/>
          <w:highlight w:val="none"/>
        </w:rPr>
        <w:t xml:space="preserve">24  </w:t>
      </w:r>
      <w:r>
        <w:rPr>
          <w:rFonts w:ascii="宋体" w:hAnsi="宋体" w:eastAsia="宋体" w:cs="宋体"/>
          <w:color w:val="auto"/>
          <w:sz w:val="24"/>
          <w:szCs w:val="24"/>
          <w:highlight w:val="none"/>
        </w:rPr>
        <w:t>条的约定对总监理工程师的确定作</w:t>
      </w:r>
      <w:r>
        <w:rPr>
          <w:rFonts w:ascii="宋体" w:hAnsi="宋体" w:eastAsia="宋体" w:cs="宋体"/>
          <w:color w:val="auto"/>
          <w:spacing w:val="-3"/>
          <w:sz w:val="24"/>
          <w:szCs w:val="24"/>
          <w:highlight w:val="none"/>
        </w:rPr>
        <w:t>出修改的，按修改后的结果执行。</w:t>
      </w:r>
    </w:p>
    <w:p w14:paraId="03F49FAF">
      <w:pPr>
        <w:spacing w:before="306" w:line="220" w:lineRule="auto"/>
        <w:ind w:left="3"/>
        <w:outlineLvl w:val="1"/>
        <w:rPr>
          <w:rFonts w:ascii="宋体" w:hAnsi="宋体" w:eastAsia="宋体" w:cs="宋体"/>
          <w:color w:val="auto"/>
          <w:sz w:val="28"/>
          <w:szCs w:val="28"/>
          <w:highlight w:val="none"/>
        </w:rPr>
      </w:pPr>
      <w:bookmarkStart w:id="342" w:name="bookmark171"/>
      <w:bookmarkEnd w:id="342"/>
      <w:bookmarkStart w:id="343" w:name="bookmark172"/>
      <w:bookmarkEnd w:id="343"/>
      <w:bookmarkStart w:id="344" w:name="_Toc23495"/>
      <w:bookmarkStart w:id="345" w:name="_Toc6091"/>
      <w:r>
        <w:rPr>
          <w:rFonts w:ascii="Times New Roman" w:hAnsi="Times New Roman" w:eastAsia="Times New Roman" w:cs="Times New Roman"/>
          <w:b/>
          <w:bCs/>
          <w:color w:val="auto"/>
          <w:spacing w:val="-6"/>
          <w:sz w:val="28"/>
          <w:szCs w:val="28"/>
          <w:highlight w:val="none"/>
        </w:rPr>
        <w:t>4</w:t>
      </w:r>
      <w:r>
        <w:rPr>
          <w:rFonts w:ascii="Times New Roman" w:hAnsi="Times New Roman" w:eastAsia="Times New Roman" w:cs="Times New Roman"/>
          <w:b/>
          <w:bCs/>
          <w:color w:val="auto"/>
          <w:spacing w:val="6"/>
          <w:sz w:val="28"/>
          <w:szCs w:val="28"/>
          <w:highlight w:val="none"/>
        </w:rPr>
        <w:t xml:space="preserve"> </w:t>
      </w:r>
      <w:r>
        <w:rPr>
          <w:rFonts w:hint="eastAsia" w:ascii="Times New Roman" w:hAnsi="Times New Roman" w:eastAsia="宋体" w:cs="Times New Roman"/>
          <w:b/>
          <w:bCs/>
          <w:color w:val="auto"/>
          <w:spacing w:val="6"/>
          <w:sz w:val="28"/>
          <w:szCs w:val="28"/>
          <w:highlight w:val="none"/>
          <w:lang w:eastAsia="zh-CN"/>
        </w:rPr>
        <w:t>、</w:t>
      </w:r>
      <w:r>
        <w:rPr>
          <w:rFonts w:ascii="宋体" w:hAnsi="宋体" w:eastAsia="宋体" w:cs="宋体"/>
          <w:b/>
          <w:bCs/>
          <w:color w:val="auto"/>
          <w:spacing w:val="-6"/>
          <w:sz w:val="28"/>
          <w:szCs w:val="28"/>
          <w:highlight w:val="none"/>
        </w:rPr>
        <w:t>承包人</w:t>
      </w:r>
      <w:bookmarkEnd w:id="344"/>
      <w:bookmarkEnd w:id="345"/>
    </w:p>
    <w:p w14:paraId="79119C39">
      <w:pPr>
        <w:pStyle w:val="3"/>
        <w:spacing w:line="245" w:lineRule="auto"/>
        <w:rPr>
          <w:color w:val="auto"/>
          <w:highlight w:val="none"/>
        </w:rPr>
      </w:pPr>
    </w:p>
    <w:p w14:paraId="6225BE48">
      <w:pPr>
        <w:spacing w:before="78" w:line="220" w:lineRule="auto"/>
        <w:ind w:left="2"/>
        <w:outlineLvl w:val="2"/>
        <w:rPr>
          <w:rFonts w:ascii="宋体" w:hAnsi="宋体" w:eastAsia="宋体" w:cs="宋体"/>
          <w:color w:val="auto"/>
          <w:sz w:val="24"/>
          <w:szCs w:val="24"/>
          <w:highlight w:val="none"/>
        </w:rPr>
      </w:pPr>
      <w:bookmarkStart w:id="346" w:name="bookmark690"/>
      <w:bookmarkEnd w:id="346"/>
      <w:bookmarkStart w:id="347" w:name="_Toc28196"/>
      <w:bookmarkStart w:id="348" w:name="_Toc7017"/>
      <w:r>
        <w:rPr>
          <w:rFonts w:ascii="Times New Roman" w:hAnsi="Times New Roman" w:eastAsia="Times New Roman" w:cs="Times New Roman"/>
          <w:b/>
          <w:bCs/>
          <w:color w:val="auto"/>
          <w:spacing w:val="-2"/>
          <w:sz w:val="24"/>
          <w:szCs w:val="24"/>
          <w:highlight w:val="none"/>
        </w:rPr>
        <w:t xml:space="preserve">4.1  </w:t>
      </w:r>
      <w:r>
        <w:rPr>
          <w:rFonts w:ascii="宋体" w:hAnsi="宋体" w:eastAsia="宋体" w:cs="宋体"/>
          <w:b/>
          <w:bCs/>
          <w:color w:val="auto"/>
          <w:spacing w:val="-2"/>
          <w:sz w:val="24"/>
          <w:szCs w:val="24"/>
          <w:highlight w:val="none"/>
        </w:rPr>
        <w:t>承包人的一般义务</w:t>
      </w:r>
      <w:bookmarkEnd w:id="347"/>
      <w:bookmarkEnd w:id="348"/>
    </w:p>
    <w:p w14:paraId="296D87A0">
      <w:pPr>
        <w:spacing w:before="181" w:line="220"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4.1.1  </w:t>
      </w:r>
      <w:r>
        <w:rPr>
          <w:rFonts w:ascii="宋体" w:hAnsi="宋体" w:eastAsia="宋体" w:cs="宋体"/>
          <w:color w:val="auto"/>
          <w:spacing w:val="-1"/>
          <w:sz w:val="24"/>
          <w:szCs w:val="24"/>
          <w:highlight w:val="none"/>
        </w:rPr>
        <w:t>遵守法律</w:t>
      </w:r>
    </w:p>
    <w:p w14:paraId="106F6BF0">
      <w:pPr>
        <w:spacing w:before="181" w:line="359" w:lineRule="auto"/>
        <w:ind w:left="6" w:right="61"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承包人在履行合同过程中应遵守法律，并保证发包人免于承担因承包人违反法律</w:t>
      </w:r>
      <w:r>
        <w:rPr>
          <w:rFonts w:ascii="宋体" w:hAnsi="宋体" w:eastAsia="宋体" w:cs="宋体"/>
          <w:color w:val="auto"/>
          <w:spacing w:val="-5"/>
          <w:sz w:val="24"/>
          <w:szCs w:val="24"/>
          <w:highlight w:val="none"/>
        </w:rPr>
        <w:t>而引起的任何责任。</w:t>
      </w:r>
    </w:p>
    <w:p w14:paraId="4799850D">
      <w:pPr>
        <w:spacing w:before="1" w:line="218"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4.1.2  </w:t>
      </w:r>
      <w:r>
        <w:rPr>
          <w:rFonts w:ascii="宋体" w:hAnsi="宋体" w:eastAsia="宋体" w:cs="宋体"/>
          <w:color w:val="auto"/>
          <w:spacing w:val="-1"/>
          <w:sz w:val="24"/>
          <w:szCs w:val="24"/>
          <w:highlight w:val="none"/>
        </w:rPr>
        <w:t>依法纳税</w:t>
      </w:r>
    </w:p>
    <w:p w14:paraId="2C6CD677">
      <w:pPr>
        <w:spacing w:before="183" w:line="218" w:lineRule="auto"/>
        <w:ind w:left="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承包人应按有关法律规定纳税，应缴纳的税金包括在合同价格内。</w:t>
      </w:r>
    </w:p>
    <w:p w14:paraId="635C341D">
      <w:pPr>
        <w:spacing w:before="182" w:line="220"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4.1.3  </w:t>
      </w:r>
      <w:r>
        <w:rPr>
          <w:rFonts w:ascii="宋体" w:hAnsi="宋体" w:eastAsia="宋体" w:cs="宋体"/>
          <w:color w:val="auto"/>
          <w:spacing w:val="-1"/>
          <w:sz w:val="24"/>
          <w:szCs w:val="24"/>
          <w:highlight w:val="none"/>
        </w:rPr>
        <w:t>完成各项承包工作</w:t>
      </w:r>
    </w:p>
    <w:p w14:paraId="7FC139AC">
      <w:pPr>
        <w:spacing w:before="183" w:line="359" w:lineRule="auto"/>
        <w:ind w:left="9" w:right="64" w:firstLine="47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承包人应按合同约定以及监理人根据第</w:t>
      </w:r>
      <w:r>
        <w:rPr>
          <w:rFonts w:ascii="Times New Roman" w:hAnsi="Times New Roman" w:eastAsia="Times New Roman" w:cs="Times New Roman"/>
          <w:color w:val="auto"/>
          <w:spacing w:val="-4"/>
          <w:sz w:val="24"/>
          <w:szCs w:val="24"/>
          <w:highlight w:val="none"/>
        </w:rPr>
        <w:t>3.4</w:t>
      </w:r>
      <w:r>
        <w:rPr>
          <w:rFonts w:ascii="宋体" w:hAnsi="宋体" w:eastAsia="宋体" w:cs="宋体"/>
          <w:color w:val="auto"/>
          <w:spacing w:val="-4"/>
          <w:sz w:val="24"/>
          <w:szCs w:val="24"/>
          <w:highlight w:val="none"/>
        </w:rPr>
        <w:t>款</w:t>
      </w:r>
      <w:r>
        <w:rPr>
          <w:rFonts w:ascii="宋体" w:hAnsi="宋体" w:eastAsia="宋体" w:cs="宋体"/>
          <w:color w:val="auto"/>
          <w:spacing w:val="-5"/>
          <w:sz w:val="24"/>
          <w:szCs w:val="24"/>
          <w:highlight w:val="none"/>
        </w:rPr>
        <w:t>作出的指示，实施、完成全部工程，</w:t>
      </w:r>
      <w:r>
        <w:rPr>
          <w:rFonts w:ascii="宋体" w:hAnsi="宋体" w:eastAsia="宋体" w:cs="宋体"/>
          <w:color w:val="auto"/>
          <w:sz w:val="24"/>
          <w:szCs w:val="24"/>
          <w:highlight w:val="none"/>
        </w:rPr>
        <w:t>并修补工程中的任何缺陷。除第</w:t>
      </w:r>
      <w:r>
        <w:rPr>
          <w:rFonts w:ascii="Times New Roman" w:hAnsi="Times New Roman" w:eastAsia="Times New Roman" w:cs="Times New Roman"/>
          <w:color w:val="auto"/>
          <w:sz w:val="24"/>
          <w:szCs w:val="24"/>
          <w:highlight w:val="none"/>
        </w:rPr>
        <w:t>5.2</w:t>
      </w:r>
      <w:r>
        <w:rPr>
          <w:rFonts w:ascii="宋体" w:hAnsi="宋体" w:eastAsia="宋体" w:cs="宋体"/>
          <w:color w:val="auto"/>
          <w:sz w:val="24"/>
          <w:szCs w:val="24"/>
          <w:highlight w:val="none"/>
        </w:rPr>
        <w:t>款、第</w:t>
      </w:r>
      <w:r>
        <w:rPr>
          <w:rFonts w:ascii="Times New Roman" w:hAnsi="Times New Roman" w:eastAsia="Times New Roman" w:cs="Times New Roman"/>
          <w:color w:val="auto"/>
          <w:sz w:val="24"/>
          <w:szCs w:val="24"/>
          <w:highlight w:val="none"/>
        </w:rPr>
        <w:t>6.2</w:t>
      </w:r>
      <w:r>
        <w:rPr>
          <w:rFonts w:ascii="宋体" w:hAnsi="宋体" w:eastAsia="宋体" w:cs="宋体"/>
          <w:color w:val="auto"/>
          <w:sz w:val="24"/>
          <w:szCs w:val="24"/>
          <w:highlight w:val="none"/>
        </w:rPr>
        <w:t>款另有约定外，承包人应提供为完成合</w:t>
      </w:r>
      <w:r>
        <w:rPr>
          <w:rFonts w:ascii="宋体" w:hAnsi="宋体" w:eastAsia="宋体" w:cs="宋体"/>
          <w:color w:val="auto"/>
          <w:spacing w:val="-3"/>
          <w:sz w:val="24"/>
          <w:szCs w:val="24"/>
          <w:highlight w:val="none"/>
        </w:rPr>
        <w:t>同工作所需的劳务、材料、施工设备、工程设备和其它物品，并按合同约定负责临时设施的设计、建造、运行、维护、管理和拆除。</w:t>
      </w:r>
    </w:p>
    <w:p w14:paraId="1998587F">
      <w:pPr>
        <w:spacing w:before="1" w:line="219"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4.1.4  </w:t>
      </w:r>
      <w:r>
        <w:rPr>
          <w:rFonts w:ascii="宋体" w:hAnsi="宋体" w:eastAsia="宋体" w:cs="宋体"/>
          <w:color w:val="auto"/>
          <w:spacing w:val="-1"/>
          <w:sz w:val="24"/>
          <w:szCs w:val="24"/>
          <w:highlight w:val="none"/>
        </w:rPr>
        <w:t>对施工作业和施工方法的完备性负责</w:t>
      </w:r>
    </w:p>
    <w:p w14:paraId="3D33CCB4">
      <w:pPr>
        <w:spacing w:before="182" w:line="359" w:lineRule="auto"/>
        <w:ind w:left="5" w:right="61"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承包人应按合同约定的工作内容和施工进度要求，编制施工组织设计和施工措施</w:t>
      </w:r>
      <w:r>
        <w:rPr>
          <w:rFonts w:ascii="宋体" w:hAnsi="宋体" w:eastAsia="宋体" w:cs="宋体"/>
          <w:color w:val="auto"/>
          <w:spacing w:val="-2"/>
          <w:sz w:val="24"/>
          <w:szCs w:val="24"/>
          <w:highlight w:val="none"/>
        </w:rPr>
        <w:t>计划，并对所有施工作业和施工方法的完备性和安全可靠性负责。</w:t>
      </w:r>
    </w:p>
    <w:p w14:paraId="6053D1DD">
      <w:pPr>
        <w:spacing w:before="1" w:line="220"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4.1.5  </w:t>
      </w:r>
      <w:r>
        <w:rPr>
          <w:rFonts w:ascii="宋体" w:hAnsi="宋体" w:eastAsia="宋体" w:cs="宋体"/>
          <w:color w:val="auto"/>
          <w:spacing w:val="-1"/>
          <w:sz w:val="24"/>
          <w:szCs w:val="24"/>
          <w:highlight w:val="none"/>
        </w:rPr>
        <w:t>保证工程施工和人员的安全</w:t>
      </w:r>
    </w:p>
    <w:p w14:paraId="4F1A24D7">
      <w:pPr>
        <w:spacing w:before="179" w:line="359" w:lineRule="auto"/>
        <w:ind w:left="4" w:right="61" w:firstLine="48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承包人应按第</w:t>
      </w:r>
      <w:r>
        <w:rPr>
          <w:rFonts w:ascii="Times New Roman" w:hAnsi="Times New Roman" w:eastAsia="Times New Roman" w:cs="Times New Roman"/>
          <w:color w:val="auto"/>
          <w:spacing w:val="-4"/>
          <w:sz w:val="24"/>
          <w:szCs w:val="24"/>
          <w:highlight w:val="none"/>
        </w:rPr>
        <w:t>9.2</w:t>
      </w:r>
      <w:r>
        <w:rPr>
          <w:rFonts w:ascii="宋体" w:hAnsi="宋体" w:eastAsia="宋体" w:cs="宋体"/>
          <w:color w:val="auto"/>
          <w:spacing w:val="-4"/>
          <w:sz w:val="24"/>
          <w:szCs w:val="24"/>
          <w:highlight w:val="none"/>
        </w:rPr>
        <w:t>款约定采取施工安全措施，确保</w:t>
      </w:r>
      <w:r>
        <w:rPr>
          <w:rFonts w:ascii="宋体" w:hAnsi="宋体" w:eastAsia="宋体" w:cs="宋体"/>
          <w:color w:val="auto"/>
          <w:spacing w:val="-5"/>
          <w:sz w:val="24"/>
          <w:szCs w:val="24"/>
          <w:highlight w:val="none"/>
        </w:rPr>
        <w:t>工程及其人员、材料、设备和设</w:t>
      </w:r>
      <w:r>
        <w:rPr>
          <w:rFonts w:ascii="宋体" w:hAnsi="宋体" w:eastAsia="宋体" w:cs="宋体"/>
          <w:color w:val="auto"/>
          <w:spacing w:val="-2"/>
          <w:sz w:val="24"/>
          <w:szCs w:val="24"/>
          <w:highlight w:val="none"/>
        </w:rPr>
        <w:t>施的安全，防止因工程施工造成的人身伤害和财产损失。</w:t>
      </w:r>
    </w:p>
    <w:p w14:paraId="19A2CB74">
      <w:pPr>
        <w:spacing w:before="1" w:line="219"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4.1.6  </w:t>
      </w:r>
      <w:r>
        <w:rPr>
          <w:rFonts w:ascii="宋体" w:hAnsi="宋体" w:eastAsia="宋体" w:cs="宋体"/>
          <w:color w:val="auto"/>
          <w:sz w:val="24"/>
          <w:szCs w:val="24"/>
          <w:highlight w:val="none"/>
        </w:rPr>
        <w:t>负责施工场地及其周边环境与</w:t>
      </w:r>
      <w:r>
        <w:rPr>
          <w:rFonts w:ascii="宋体" w:hAnsi="宋体" w:eastAsia="宋体" w:cs="宋体"/>
          <w:color w:val="auto"/>
          <w:spacing w:val="-1"/>
          <w:sz w:val="24"/>
          <w:szCs w:val="24"/>
          <w:highlight w:val="none"/>
        </w:rPr>
        <w:t>生态的保护工作</w:t>
      </w:r>
    </w:p>
    <w:p w14:paraId="4FCB971B">
      <w:pPr>
        <w:spacing w:before="182" w:line="220"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承包人应按照第</w:t>
      </w:r>
      <w:r>
        <w:rPr>
          <w:rFonts w:ascii="Times New Roman" w:hAnsi="Times New Roman" w:eastAsia="Times New Roman" w:cs="Times New Roman"/>
          <w:color w:val="auto"/>
          <w:spacing w:val="-1"/>
          <w:sz w:val="24"/>
          <w:szCs w:val="24"/>
          <w:highlight w:val="none"/>
        </w:rPr>
        <w:t>9.4</w:t>
      </w:r>
      <w:r>
        <w:rPr>
          <w:rFonts w:ascii="宋体" w:hAnsi="宋体" w:eastAsia="宋体" w:cs="宋体"/>
          <w:color w:val="auto"/>
          <w:spacing w:val="-1"/>
          <w:sz w:val="24"/>
          <w:szCs w:val="24"/>
          <w:highlight w:val="none"/>
        </w:rPr>
        <w:t>款约定负责施工场地及其周边环</w:t>
      </w:r>
      <w:r>
        <w:rPr>
          <w:rFonts w:ascii="宋体" w:hAnsi="宋体" w:eastAsia="宋体" w:cs="宋体"/>
          <w:color w:val="auto"/>
          <w:spacing w:val="-2"/>
          <w:sz w:val="24"/>
          <w:szCs w:val="24"/>
          <w:highlight w:val="none"/>
        </w:rPr>
        <w:t>境与生态的保护工作。</w:t>
      </w:r>
    </w:p>
    <w:p w14:paraId="00F549A6">
      <w:pPr>
        <w:spacing w:before="180" w:line="220"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4.1.7  </w:t>
      </w:r>
      <w:r>
        <w:rPr>
          <w:rFonts w:ascii="宋体" w:hAnsi="宋体" w:eastAsia="宋体" w:cs="宋体"/>
          <w:color w:val="auto"/>
          <w:spacing w:val="-1"/>
          <w:sz w:val="24"/>
          <w:szCs w:val="24"/>
          <w:highlight w:val="none"/>
        </w:rPr>
        <w:t>避免施工对公众与他人的利益造成损害</w:t>
      </w:r>
    </w:p>
    <w:p w14:paraId="3D1463FB">
      <w:pPr>
        <w:spacing w:line="220" w:lineRule="auto"/>
        <w:rPr>
          <w:rFonts w:ascii="宋体" w:hAnsi="宋体" w:eastAsia="宋体" w:cs="宋体"/>
          <w:color w:val="auto"/>
          <w:sz w:val="24"/>
          <w:szCs w:val="24"/>
          <w:highlight w:val="none"/>
        </w:rPr>
        <w:sectPr>
          <w:footerReference r:id="rId37" w:type="default"/>
          <w:pgSz w:w="11907" w:h="16841"/>
          <w:pgMar w:top="1428" w:right="1467" w:bottom="1254" w:left="1592" w:header="0" w:footer="1093" w:gutter="0"/>
          <w:pgNumType w:fmt="decimal"/>
          <w:cols w:space="720" w:num="1"/>
        </w:sectPr>
      </w:pPr>
    </w:p>
    <w:p w14:paraId="475CF68A">
      <w:pPr>
        <w:spacing w:before="49" w:line="359" w:lineRule="auto"/>
        <w:ind w:left="2" w:right="85" w:firstLine="480"/>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承包人在进行合同约定的各项工作时，不得侵害发包人与他人使用公用道路、水</w:t>
      </w:r>
      <w:r>
        <w:rPr>
          <w:rFonts w:ascii="宋体" w:hAnsi="宋体" w:eastAsia="宋体" w:cs="宋体"/>
          <w:color w:val="auto"/>
          <w:spacing w:val="-6"/>
          <w:sz w:val="24"/>
          <w:szCs w:val="24"/>
          <w:highlight w:val="none"/>
        </w:rPr>
        <w:t>源、市政管网等公共设施的权利， 避免对邻近的公共设施产生干扰。承包人占用或使</w:t>
      </w:r>
      <w:r>
        <w:rPr>
          <w:rFonts w:ascii="宋体" w:hAnsi="宋体" w:eastAsia="宋体" w:cs="宋体"/>
          <w:color w:val="auto"/>
          <w:spacing w:val="-2"/>
          <w:sz w:val="24"/>
          <w:szCs w:val="24"/>
          <w:highlight w:val="none"/>
        </w:rPr>
        <w:t>用他人的施工场地，影响他人作业或生活的，应承担相应责任。</w:t>
      </w:r>
    </w:p>
    <w:p w14:paraId="505CA8C3">
      <w:pPr>
        <w:spacing w:before="1" w:line="218"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4.1.8  </w:t>
      </w:r>
      <w:r>
        <w:rPr>
          <w:rFonts w:ascii="宋体" w:hAnsi="宋体" w:eastAsia="宋体" w:cs="宋体"/>
          <w:color w:val="auto"/>
          <w:spacing w:val="-1"/>
          <w:sz w:val="24"/>
          <w:szCs w:val="24"/>
          <w:highlight w:val="none"/>
        </w:rPr>
        <w:t>为他人提供方便</w:t>
      </w:r>
    </w:p>
    <w:p w14:paraId="0A839AE7">
      <w:pPr>
        <w:spacing w:before="182" w:line="359" w:lineRule="auto"/>
        <w:ind w:left="6" w:right="23" w:firstLine="47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承包人应按监理人的指示为他人在施工场地或附近实施与工程有关的其他各项</w:t>
      </w:r>
      <w:r>
        <w:rPr>
          <w:rFonts w:ascii="宋体" w:hAnsi="宋体" w:eastAsia="宋体" w:cs="宋体"/>
          <w:color w:val="auto"/>
          <w:spacing w:val="-1"/>
          <w:sz w:val="24"/>
          <w:szCs w:val="24"/>
          <w:highlight w:val="none"/>
        </w:rPr>
        <w:t>工作提供可能的条件。除合同另有约定外，提供有关条件的内容和可能</w:t>
      </w:r>
      <w:r>
        <w:rPr>
          <w:rFonts w:ascii="宋体" w:hAnsi="宋体" w:eastAsia="宋体" w:cs="宋体"/>
          <w:color w:val="auto"/>
          <w:spacing w:val="-2"/>
          <w:sz w:val="24"/>
          <w:szCs w:val="24"/>
          <w:highlight w:val="none"/>
        </w:rPr>
        <w:t>发生的费用，</w:t>
      </w:r>
      <w:r>
        <w:rPr>
          <w:rFonts w:ascii="宋体" w:hAnsi="宋体" w:eastAsia="宋体" w:cs="宋体"/>
          <w:color w:val="auto"/>
          <w:spacing w:val="-3"/>
          <w:sz w:val="24"/>
          <w:szCs w:val="24"/>
          <w:highlight w:val="none"/>
        </w:rPr>
        <w:t>由监理人按第</w:t>
      </w:r>
      <w:r>
        <w:rPr>
          <w:rFonts w:ascii="Times New Roman" w:hAnsi="Times New Roman" w:eastAsia="Times New Roman" w:cs="Times New Roman"/>
          <w:color w:val="auto"/>
          <w:spacing w:val="-3"/>
          <w:sz w:val="24"/>
          <w:szCs w:val="24"/>
          <w:highlight w:val="none"/>
        </w:rPr>
        <w:t>3.5</w:t>
      </w:r>
      <w:r>
        <w:rPr>
          <w:rFonts w:ascii="宋体" w:hAnsi="宋体" w:eastAsia="宋体" w:cs="宋体"/>
          <w:color w:val="auto"/>
          <w:spacing w:val="-3"/>
          <w:sz w:val="24"/>
          <w:szCs w:val="24"/>
          <w:highlight w:val="none"/>
        </w:rPr>
        <w:t>款商定或确定。</w:t>
      </w:r>
    </w:p>
    <w:p w14:paraId="2F8E255B">
      <w:pPr>
        <w:spacing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4.1.9  </w:t>
      </w:r>
      <w:r>
        <w:rPr>
          <w:rFonts w:ascii="宋体" w:hAnsi="宋体" w:eastAsia="宋体" w:cs="宋体"/>
          <w:color w:val="auto"/>
          <w:spacing w:val="-1"/>
          <w:sz w:val="24"/>
          <w:szCs w:val="24"/>
          <w:highlight w:val="none"/>
        </w:rPr>
        <w:t>工程的维护和照管</w:t>
      </w:r>
    </w:p>
    <w:p w14:paraId="0338C44A">
      <w:pPr>
        <w:spacing w:before="181" w:line="359" w:lineRule="auto"/>
        <w:ind w:left="4" w:firstLine="4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除合同另有约定外，合同工程完工证书颁发前，承包人应负责照管和维护工程。</w:t>
      </w:r>
      <w:r>
        <w:rPr>
          <w:rFonts w:ascii="宋体" w:hAnsi="宋体" w:eastAsia="宋体" w:cs="宋体"/>
          <w:color w:val="auto"/>
          <w:spacing w:val="-3"/>
          <w:sz w:val="24"/>
          <w:szCs w:val="24"/>
          <w:highlight w:val="none"/>
        </w:rPr>
        <w:t>合同工程完工证书颁发时尚有部分未完工程的，承包人还应负责该未完工程的照管和维护工作，直至完工后移交给发包人为止。</w:t>
      </w:r>
    </w:p>
    <w:p w14:paraId="78F5E13D">
      <w:pPr>
        <w:spacing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4.1.10  </w:t>
      </w:r>
      <w:r>
        <w:rPr>
          <w:rFonts w:ascii="宋体" w:hAnsi="宋体" w:eastAsia="宋体" w:cs="宋体"/>
          <w:color w:val="auto"/>
          <w:spacing w:val="-1"/>
          <w:sz w:val="24"/>
          <w:szCs w:val="24"/>
          <w:highlight w:val="none"/>
        </w:rPr>
        <w:t>农民工资专用账户</w:t>
      </w:r>
    </w:p>
    <w:p w14:paraId="2789E718">
      <w:pPr>
        <w:spacing w:before="177" w:line="360" w:lineRule="auto"/>
        <w:ind w:left="3" w:right="234"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承包人在本工程中，应严格执行国家、浙江省及项目</w:t>
      </w:r>
      <w:r>
        <w:rPr>
          <w:rFonts w:ascii="宋体" w:hAnsi="宋体" w:eastAsia="宋体" w:cs="宋体"/>
          <w:color w:val="auto"/>
          <w:spacing w:val="-1"/>
          <w:sz w:val="24"/>
          <w:szCs w:val="24"/>
          <w:highlight w:val="none"/>
        </w:rPr>
        <w:t>所在地政府有关劳动用工</w:t>
      </w:r>
      <w:r>
        <w:rPr>
          <w:rFonts w:ascii="宋体" w:hAnsi="宋体" w:eastAsia="宋体" w:cs="宋体"/>
          <w:color w:val="auto"/>
          <w:sz w:val="24"/>
          <w:szCs w:val="24"/>
          <w:highlight w:val="none"/>
        </w:rPr>
        <w:t>相关法律法规及规定，及时按月足额支付民工工资。承包</w:t>
      </w:r>
      <w:r>
        <w:rPr>
          <w:rFonts w:ascii="宋体" w:hAnsi="宋体" w:eastAsia="宋体" w:cs="宋体"/>
          <w:color w:val="auto"/>
          <w:spacing w:val="-1"/>
          <w:sz w:val="24"/>
          <w:szCs w:val="24"/>
          <w:highlight w:val="none"/>
        </w:rPr>
        <w:t>人应当按照有关规定开设</w:t>
      </w:r>
      <w:r>
        <w:rPr>
          <w:rFonts w:ascii="宋体" w:hAnsi="宋体" w:eastAsia="宋体" w:cs="宋体"/>
          <w:color w:val="auto"/>
          <w:sz w:val="24"/>
          <w:szCs w:val="24"/>
          <w:highlight w:val="none"/>
        </w:rPr>
        <w:t>农民工工资专用账户，专项用于支付该工程建设项目农民</w:t>
      </w:r>
      <w:r>
        <w:rPr>
          <w:rFonts w:ascii="宋体" w:hAnsi="宋体" w:eastAsia="宋体" w:cs="宋体"/>
          <w:color w:val="auto"/>
          <w:spacing w:val="-1"/>
          <w:sz w:val="24"/>
          <w:szCs w:val="24"/>
          <w:highlight w:val="none"/>
        </w:rPr>
        <w:t>工工资。开设、使用农民</w:t>
      </w:r>
      <w:r>
        <w:rPr>
          <w:rFonts w:ascii="宋体" w:hAnsi="宋体" w:eastAsia="宋体" w:cs="宋体"/>
          <w:color w:val="auto"/>
          <w:spacing w:val="-2"/>
          <w:sz w:val="24"/>
          <w:szCs w:val="24"/>
          <w:highlight w:val="none"/>
        </w:rPr>
        <w:t>工工资专用账户有关资料应当由承包人妥善保存备查。</w:t>
      </w:r>
    </w:p>
    <w:p w14:paraId="3B896254">
      <w:pPr>
        <w:spacing w:before="1"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4.1.11  </w:t>
      </w:r>
      <w:r>
        <w:rPr>
          <w:rFonts w:ascii="宋体" w:hAnsi="宋体" w:eastAsia="宋体" w:cs="宋体"/>
          <w:color w:val="auto"/>
          <w:spacing w:val="-1"/>
          <w:sz w:val="24"/>
          <w:szCs w:val="24"/>
          <w:highlight w:val="none"/>
        </w:rPr>
        <w:t>其他义务</w:t>
      </w:r>
    </w:p>
    <w:p w14:paraId="0FB82213">
      <w:pPr>
        <w:spacing w:before="180" w:line="220" w:lineRule="auto"/>
        <w:ind w:left="48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其他义务在专用合同条款中补充约定。</w:t>
      </w:r>
    </w:p>
    <w:p w14:paraId="0F96B9C0">
      <w:pPr>
        <w:spacing w:before="183" w:line="220" w:lineRule="auto"/>
        <w:outlineLvl w:val="2"/>
        <w:rPr>
          <w:rFonts w:ascii="宋体" w:hAnsi="宋体" w:eastAsia="宋体" w:cs="宋体"/>
          <w:color w:val="auto"/>
          <w:sz w:val="24"/>
          <w:szCs w:val="24"/>
          <w:highlight w:val="none"/>
        </w:rPr>
      </w:pPr>
      <w:bookmarkStart w:id="349" w:name="bookmark173"/>
      <w:bookmarkEnd w:id="349"/>
      <w:bookmarkStart w:id="350" w:name="_Toc736"/>
      <w:bookmarkStart w:id="351" w:name="_Toc4883"/>
      <w:r>
        <w:rPr>
          <w:rFonts w:ascii="Times New Roman" w:hAnsi="Times New Roman" w:eastAsia="Times New Roman" w:cs="Times New Roman"/>
          <w:b/>
          <w:bCs/>
          <w:color w:val="auto"/>
          <w:spacing w:val="-4"/>
          <w:sz w:val="24"/>
          <w:szCs w:val="24"/>
          <w:highlight w:val="none"/>
        </w:rPr>
        <w:t>4.2</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4"/>
          <w:sz w:val="24"/>
          <w:szCs w:val="24"/>
          <w:highlight w:val="none"/>
        </w:rPr>
        <w:t>履约担保</w:t>
      </w:r>
      <w:bookmarkEnd w:id="350"/>
      <w:bookmarkEnd w:id="351"/>
    </w:p>
    <w:p w14:paraId="0D17C432">
      <w:pPr>
        <w:spacing w:before="179" w:line="359" w:lineRule="auto"/>
        <w:ind w:left="6" w:right="85" w:firstLine="47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承包人应保证其履约担保在合同工程通过完工验收前一直有效。发包人应在合同</w:t>
      </w:r>
      <w:r>
        <w:rPr>
          <w:rFonts w:ascii="宋体" w:hAnsi="宋体" w:eastAsia="宋体" w:cs="宋体"/>
          <w:color w:val="auto"/>
          <w:spacing w:val="-2"/>
          <w:sz w:val="24"/>
          <w:szCs w:val="24"/>
          <w:highlight w:val="none"/>
        </w:rPr>
        <w:t>工程完工验收合格后</w:t>
      </w:r>
      <w:r>
        <w:rPr>
          <w:rFonts w:ascii="Times New Roman" w:hAnsi="Times New Roman" w:eastAsia="Times New Roman" w:cs="Times New Roman"/>
          <w:color w:val="auto"/>
          <w:spacing w:val="-2"/>
          <w:sz w:val="24"/>
          <w:szCs w:val="24"/>
          <w:highlight w:val="none"/>
        </w:rPr>
        <w:t>10</w:t>
      </w:r>
      <w:r>
        <w:rPr>
          <w:rFonts w:ascii="宋体" w:hAnsi="宋体" w:eastAsia="宋体" w:cs="宋体"/>
          <w:color w:val="auto"/>
          <w:spacing w:val="-2"/>
          <w:sz w:val="24"/>
          <w:szCs w:val="24"/>
          <w:highlight w:val="none"/>
        </w:rPr>
        <w:t>天内将履约担保退还给承包人。</w:t>
      </w:r>
    </w:p>
    <w:p w14:paraId="467B0180">
      <w:pPr>
        <w:spacing w:line="220" w:lineRule="auto"/>
        <w:outlineLvl w:val="2"/>
        <w:rPr>
          <w:rFonts w:ascii="宋体" w:hAnsi="宋体" w:eastAsia="宋体" w:cs="宋体"/>
          <w:color w:val="auto"/>
          <w:sz w:val="24"/>
          <w:szCs w:val="24"/>
          <w:highlight w:val="none"/>
        </w:rPr>
      </w:pPr>
      <w:bookmarkStart w:id="352" w:name="bookmark174"/>
      <w:bookmarkEnd w:id="352"/>
      <w:bookmarkStart w:id="353" w:name="_Toc9720"/>
      <w:bookmarkStart w:id="354" w:name="_Toc28383"/>
      <w:r>
        <w:rPr>
          <w:rFonts w:ascii="Times New Roman" w:hAnsi="Times New Roman" w:eastAsia="Times New Roman" w:cs="Times New Roman"/>
          <w:b/>
          <w:bCs/>
          <w:color w:val="auto"/>
          <w:spacing w:val="-4"/>
          <w:sz w:val="24"/>
          <w:szCs w:val="24"/>
          <w:highlight w:val="none"/>
        </w:rPr>
        <w:t>4.3</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4"/>
          <w:sz w:val="24"/>
          <w:szCs w:val="24"/>
          <w:highlight w:val="none"/>
        </w:rPr>
        <w:t>分包</w:t>
      </w:r>
      <w:bookmarkEnd w:id="353"/>
      <w:bookmarkEnd w:id="354"/>
    </w:p>
    <w:p w14:paraId="4862F6CC">
      <w:pPr>
        <w:spacing w:before="182" w:line="289" w:lineRule="auto"/>
        <w:ind w:left="2" w:right="85"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4.3.1  </w:t>
      </w:r>
      <w:r>
        <w:rPr>
          <w:rFonts w:ascii="宋体" w:hAnsi="宋体" w:eastAsia="宋体" w:cs="宋体"/>
          <w:color w:val="auto"/>
          <w:spacing w:val="1"/>
          <w:sz w:val="24"/>
          <w:szCs w:val="24"/>
          <w:highlight w:val="none"/>
        </w:rPr>
        <w:t>承包人不得将其承包的全部</w:t>
      </w:r>
      <w:r>
        <w:rPr>
          <w:rFonts w:ascii="宋体" w:hAnsi="宋体" w:eastAsia="宋体" w:cs="宋体"/>
          <w:color w:val="auto"/>
          <w:sz w:val="24"/>
          <w:szCs w:val="24"/>
          <w:highlight w:val="none"/>
        </w:rPr>
        <w:t>工程转包给第三人，或将其承包的全部工程肢</w:t>
      </w:r>
      <w:r>
        <w:rPr>
          <w:rFonts w:ascii="宋体" w:hAnsi="宋体" w:eastAsia="宋体" w:cs="宋体"/>
          <w:color w:val="auto"/>
          <w:spacing w:val="-3"/>
          <w:sz w:val="24"/>
          <w:szCs w:val="24"/>
          <w:highlight w:val="none"/>
        </w:rPr>
        <w:t>解后以分包的名义转包给第三人。</w:t>
      </w:r>
    </w:p>
    <w:p w14:paraId="3D7B0A94">
      <w:pPr>
        <w:spacing w:before="182" w:line="289" w:lineRule="auto"/>
        <w:ind w:left="9" w:right="85" w:firstLine="47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4.3.2  </w:t>
      </w:r>
      <w:r>
        <w:rPr>
          <w:rFonts w:ascii="宋体" w:hAnsi="宋体" w:eastAsia="宋体" w:cs="宋体"/>
          <w:color w:val="auto"/>
          <w:spacing w:val="1"/>
          <w:sz w:val="24"/>
          <w:szCs w:val="24"/>
          <w:highlight w:val="none"/>
        </w:rPr>
        <w:t>承包人不得将工程主体、关</w:t>
      </w:r>
      <w:r>
        <w:rPr>
          <w:rFonts w:ascii="宋体" w:hAnsi="宋体" w:eastAsia="宋体" w:cs="宋体"/>
          <w:color w:val="auto"/>
          <w:sz w:val="24"/>
          <w:szCs w:val="24"/>
          <w:highlight w:val="none"/>
        </w:rPr>
        <w:t>键性工作分包给第三人。除专用合同条款另有</w:t>
      </w:r>
      <w:r>
        <w:rPr>
          <w:rFonts w:ascii="宋体" w:hAnsi="宋体" w:eastAsia="宋体" w:cs="宋体"/>
          <w:color w:val="auto"/>
          <w:spacing w:val="-1"/>
          <w:sz w:val="24"/>
          <w:szCs w:val="24"/>
          <w:highlight w:val="none"/>
        </w:rPr>
        <w:t>约定外，未经发包人同意，承包人不得将工程</w:t>
      </w:r>
      <w:r>
        <w:rPr>
          <w:rFonts w:ascii="宋体" w:hAnsi="宋体" w:eastAsia="宋体" w:cs="宋体"/>
          <w:color w:val="auto"/>
          <w:spacing w:val="-2"/>
          <w:sz w:val="24"/>
          <w:szCs w:val="24"/>
          <w:highlight w:val="none"/>
        </w:rPr>
        <w:t>的其他部分或工作分包给第三人。</w:t>
      </w:r>
    </w:p>
    <w:p w14:paraId="20440E7C">
      <w:pPr>
        <w:spacing w:before="182"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4.3.3  </w:t>
      </w:r>
      <w:r>
        <w:rPr>
          <w:rFonts w:ascii="宋体" w:hAnsi="宋体" w:eastAsia="宋体" w:cs="宋体"/>
          <w:color w:val="auto"/>
          <w:spacing w:val="-1"/>
          <w:sz w:val="24"/>
          <w:szCs w:val="24"/>
          <w:highlight w:val="none"/>
        </w:rPr>
        <w:t>分包人的资格能力应与其分包工程的标</w:t>
      </w:r>
      <w:r>
        <w:rPr>
          <w:rFonts w:ascii="宋体" w:hAnsi="宋体" w:eastAsia="宋体" w:cs="宋体"/>
          <w:color w:val="auto"/>
          <w:spacing w:val="-2"/>
          <w:sz w:val="24"/>
          <w:szCs w:val="24"/>
          <w:highlight w:val="none"/>
        </w:rPr>
        <w:t>准和规模相适应。</w:t>
      </w:r>
    </w:p>
    <w:p w14:paraId="3A93FBFA">
      <w:pPr>
        <w:spacing w:before="181" w:line="289" w:lineRule="auto"/>
        <w:ind w:left="8" w:right="85"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4.3.4  </w:t>
      </w:r>
      <w:r>
        <w:rPr>
          <w:rFonts w:ascii="宋体" w:hAnsi="宋体" w:eastAsia="宋体" w:cs="宋体"/>
          <w:color w:val="auto"/>
          <w:spacing w:val="1"/>
          <w:sz w:val="24"/>
          <w:szCs w:val="24"/>
          <w:highlight w:val="none"/>
        </w:rPr>
        <w:t>按投标函附录约定分包工程</w:t>
      </w:r>
      <w:r>
        <w:rPr>
          <w:rFonts w:ascii="宋体" w:hAnsi="宋体" w:eastAsia="宋体" w:cs="宋体"/>
          <w:color w:val="auto"/>
          <w:sz w:val="24"/>
          <w:szCs w:val="24"/>
          <w:highlight w:val="none"/>
        </w:rPr>
        <w:t>的，承包人应向发包人和监理人提交分包合同</w:t>
      </w:r>
      <w:r>
        <w:rPr>
          <w:rFonts w:ascii="宋体" w:hAnsi="宋体" w:eastAsia="宋体" w:cs="宋体"/>
          <w:color w:val="auto"/>
          <w:spacing w:val="-11"/>
          <w:sz w:val="24"/>
          <w:szCs w:val="24"/>
          <w:highlight w:val="none"/>
        </w:rPr>
        <w:t>副本。</w:t>
      </w:r>
    </w:p>
    <w:p w14:paraId="36AA358A">
      <w:pPr>
        <w:spacing w:before="181"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4.3.5  </w:t>
      </w:r>
      <w:r>
        <w:rPr>
          <w:rFonts w:ascii="宋体" w:hAnsi="宋体" w:eastAsia="宋体" w:cs="宋体"/>
          <w:color w:val="auto"/>
          <w:spacing w:val="-1"/>
          <w:sz w:val="24"/>
          <w:szCs w:val="24"/>
          <w:highlight w:val="none"/>
        </w:rPr>
        <w:t>承包人应与分包人就分包工程向发</w:t>
      </w:r>
      <w:r>
        <w:rPr>
          <w:rFonts w:ascii="宋体" w:hAnsi="宋体" w:eastAsia="宋体" w:cs="宋体"/>
          <w:color w:val="auto"/>
          <w:spacing w:val="-2"/>
          <w:sz w:val="24"/>
          <w:szCs w:val="24"/>
          <w:highlight w:val="none"/>
        </w:rPr>
        <w:t>包人承担连带责任。</w:t>
      </w:r>
    </w:p>
    <w:p w14:paraId="538A014B">
      <w:pPr>
        <w:spacing w:line="220" w:lineRule="auto"/>
        <w:rPr>
          <w:rFonts w:ascii="宋体" w:hAnsi="宋体" w:eastAsia="宋体" w:cs="宋体"/>
          <w:color w:val="auto"/>
          <w:sz w:val="24"/>
          <w:szCs w:val="24"/>
          <w:highlight w:val="none"/>
        </w:rPr>
        <w:sectPr>
          <w:footerReference r:id="rId38" w:type="default"/>
          <w:pgSz w:w="11907" w:h="16841"/>
          <w:pgMar w:top="1428" w:right="1443" w:bottom="1254" w:left="1594" w:header="0" w:footer="1093" w:gutter="0"/>
          <w:pgNumType w:fmt="decimal"/>
          <w:cols w:space="720" w:num="1"/>
        </w:sectPr>
      </w:pPr>
    </w:p>
    <w:p w14:paraId="08A7EFD6">
      <w:pPr>
        <w:spacing w:before="50" w:line="324" w:lineRule="auto"/>
        <w:ind w:left="4" w:right="1"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4.3.6  </w:t>
      </w:r>
      <w:r>
        <w:rPr>
          <w:rFonts w:ascii="宋体" w:hAnsi="宋体" w:eastAsia="宋体" w:cs="宋体"/>
          <w:color w:val="auto"/>
          <w:spacing w:val="1"/>
          <w:sz w:val="24"/>
          <w:szCs w:val="24"/>
          <w:highlight w:val="none"/>
        </w:rPr>
        <w:t>分包分为工程分包和劳务作</w:t>
      </w:r>
      <w:r>
        <w:rPr>
          <w:rFonts w:ascii="宋体" w:hAnsi="宋体" w:eastAsia="宋体" w:cs="宋体"/>
          <w:color w:val="auto"/>
          <w:sz w:val="24"/>
          <w:szCs w:val="24"/>
          <w:highlight w:val="none"/>
        </w:rPr>
        <w:t>业分包。工程分包应遵循合同约定或者经发包</w:t>
      </w:r>
      <w:r>
        <w:rPr>
          <w:rFonts w:ascii="宋体" w:hAnsi="宋体" w:eastAsia="宋体" w:cs="宋体"/>
          <w:color w:val="auto"/>
          <w:spacing w:val="-3"/>
          <w:sz w:val="24"/>
          <w:szCs w:val="24"/>
          <w:highlight w:val="none"/>
        </w:rPr>
        <w:t>人书面认可。禁止承包人将本合同工程进行违法分包。分包人应具备与分包工程规模和标准相适应的资质和业绩，在人力、设备、资金等方面具有承担分包工程施工的能力。分包人应自行完成所承包的任务。</w:t>
      </w:r>
    </w:p>
    <w:p w14:paraId="3B3F0637">
      <w:pPr>
        <w:spacing w:before="182" w:line="331" w:lineRule="auto"/>
        <w:ind w:left="3" w:right="1"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4.3.7  </w:t>
      </w:r>
      <w:r>
        <w:rPr>
          <w:rFonts w:ascii="宋体" w:hAnsi="宋体" w:eastAsia="宋体" w:cs="宋体"/>
          <w:color w:val="auto"/>
          <w:spacing w:val="1"/>
          <w:sz w:val="24"/>
          <w:szCs w:val="24"/>
          <w:highlight w:val="none"/>
        </w:rPr>
        <w:t>在合同实施过程中，如承包</w:t>
      </w:r>
      <w:r>
        <w:rPr>
          <w:rFonts w:ascii="宋体" w:hAnsi="宋体" w:eastAsia="宋体" w:cs="宋体"/>
          <w:color w:val="auto"/>
          <w:sz w:val="24"/>
          <w:szCs w:val="24"/>
          <w:highlight w:val="none"/>
        </w:rPr>
        <w:t>人无力在合同规定的期限内完成合同中的应急</w:t>
      </w:r>
      <w:r>
        <w:rPr>
          <w:rFonts w:ascii="宋体" w:hAnsi="宋体" w:eastAsia="宋体" w:cs="宋体"/>
          <w:color w:val="auto"/>
          <w:spacing w:val="-6"/>
          <w:sz w:val="24"/>
          <w:szCs w:val="24"/>
          <w:highlight w:val="none"/>
        </w:rPr>
        <w:t>防汛、抢险等危及公共安全和工程安全的项目， 发包人可对该应急防汛、抢险等项目</w:t>
      </w:r>
      <w:r>
        <w:rPr>
          <w:rFonts w:ascii="宋体" w:hAnsi="宋体" w:eastAsia="宋体" w:cs="宋体"/>
          <w:color w:val="auto"/>
          <w:spacing w:val="-5"/>
          <w:sz w:val="24"/>
          <w:szCs w:val="24"/>
          <w:highlight w:val="none"/>
        </w:rPr>
        <w:t>的部分工程指定分包人。因非承包人原因形成指定分包条件的，</w:t>
      </w:r>
      <w:r>
        <w:rPr>
          <w:rFonts w:ascii="宋体" w:hAnsi="宋体" w:eastAsia="宋体" w:cs="宋体"/>
          <w:color w:val="auto"/>
          <w:spacing w:val="-37"/>
          <w:sz w:val="24"/>
          <w:szCs w:val="24"/>
          <w:highlight w:val="none"/>
        </w:rPr>
        <w:t xml:space="preserve"> </w:t>
      </w:r>
      <w:r>
        <w:rPr>
          <w:rFonts w:ascii="宋体" w:hAnsi="宋体" w:eastAsia="宋体" w:cs="宋体"/>
          <w:color w:val="auto"/>
          <w:spacing w:val="-5"/>
          <w:sz w:val="24"/>
          <w:szCs w:val="24"/>
          <w:highlight w:val="none"/>
        </w:rPr>
        <w:t>发包人的指定分包不</w:t>
      </w:r>
      <w:r>
        <w:rPr>
          <w:rFonts w:ascii="宋体" w:hAnsi="宋体" w:eastAsia="宋体" w:cs="宋体"/>
          <w:color w:val="auto"/>
          <w:spacing w:val="-3"/>
          <w:sz w:val="24"/>
          <w:szCs w:val="24"/>
          <w:highlight w:val="none"/>
        </w:rPr>
        <w:t>应增加承包人的额外费用；因承包人原因形成指定分包条件的，承包人应承担指定分</w:t>
      </w:r>
      <w:r>
        <w:rPr>
          <w:rFonts w:ascii="宋体" w:hAnsi="宋体" w:eastAsia="宋体" w:cs="宋体"/>
          <w:color w:val="auto"/>
          <w:spacing w:val="-5"/>
          <w:sz w:val="24"/>
          <w:szCs w:val="24"/>
          <w:highlight w:val="none"/>
        </w:rPr>
        <w:t>包所增加的费用。</w:t>
      </w:r>
    </w:p>
    <w:p w14:paraId="6B26631C">
      <w:pPr>
        <w:spacing w:before="181" w:line="359" w:lineRule="auto"/>
        <w:ind w:left="5" w:right="1" w:firstLine="50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由指定分包人造成的与其分包工作有关的一切索赔、诉讼和损失赔偿由指定分包</w:t>
      </w:r>
      <w:r>
        <w:rPr>
          <w:rFonts w:ascii="宋体" w:hAnsi="宋体" w:eastAsia="宋体" w:cs="宋体"/>
          <w:color w:val="auto"/>
          <w:spacing w:val="-3"/>
          <w:sz w:val="24"/>
          <w:szCs w:val="24"/>
          <w:highlight w:val="none"/>
        </w:rPr>
        <w:t>人直接对发包人负责，承包人不对此承担责任。</w:t>
      </w:r>
    </w:p>
    <w:p w14:paraId="538F0821">
      <w:pPr>
        <w:spacing w:before="1" w:line="312" w:lineRule="auto"/>
        <w:ind w:left="7" w:right="1" w:firstLine="475"/>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4.3.8  </w:t>
      </w:r>
      <w:r>
        <w:rPr>
          <w:rFonts w:ascii="宋体" w:hAnsi="宋体" w:eastAsia="宋体" w:cs="宋体"/>
          <w:color w:val="auto"/>
          <w:spacing w:val="1"/>
          <w:sz w:val="24"/>
          <w:szCs w:val="24"/>
          <w:highlight w:val="none"/>
        </w:rPr>
        <w:t>承包人和分包人应当签订分</w:t>
      </w:r>
      <w:r>
        <w:rPr>
          <w:rFonts w:ascii="宋体" w:hAnsi="宋体" w:eastAsia="宋体" w:cs="宋体"/>
          <w:color w:val="auto"/>
          <w:sz w:val="24"/>
          <w:szCs w:val="24"/>
          <w:highlight w:val="none"/>
        </w:rPr>
        <w:t>包合同，并履行合同约定的义务。分包合同必</w:t>
      </w:r>
      <w:r>
        <w:rPr>
          <w:rFonts w:ascii="宋体" w:hAnsi="宋体" w:eastAsia="宋体" w:cs="宋体"/>
          <w:color w:val="auto"/>
          <w:spacing w:val="-3"/>
          <w:sz w:val="24"/>
          <w:szCs w:val="24"/>
          <w:highlight w:val="none"/>
        </w:rPr>
        <w:t>须遵循承包合同的各项原则，满足承包合同中相应条款的要求。发包人可以对分包合</w:t>
      </w:r>
      <w:r>
        <w:rPr>
          <w:rFonts w:ascii="宋体" w:hAnsi="宋体" w:eastAsia="宋体" w:cs="宋体"/>
          <w:color w:val="auto"/>
          <w:spacing w:val="-2"/>
          <w:sz w:val="24"/>
          <w:szCs w:val="24"/>
          <w:highlight w:val="none"/>
        </w:rPr>
        <w:t>同实施情况进行监督检查。承包人应将分包合同副本提交发包人和监理人。</w:t>
      </w:r>
    </w:p>
    <w:p w14:paraId="10DB7A4B">
      <w:pPr>
        <w:spacing w:before="181" w:line="313" w:lineRule="auto"/>
        <w:ind w:left="7" w:right="3" w:firstLine="475"/>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4.3.9  </w:t>
      </w:r>
      <w:r>
        <w:rPr>
          <w:rFonts w:ascii="宋体" w:hAnsi="宋体" w:eastAsia="宋体" w:cs="宋体"/>
          <w:color w:val="auto"/>
          <w:sz w:val="24"/>
          <w:szCs w:val="24"/>
          <w:highlight w:val="none"/>
        </w:rPr>
        <w:t>除第</w:t>
      </w:r>
      <w:r>
        <w:rPr>
          <w:rFonts w:ascii="Times New Roman" w:hAnsi="Times New Roman" w:eastAsia="Times New Roman" w:cs="Times New Roman"/>
          <w:color w:val="auto"/>
          <w:sz w:val="24"/>
          <w:szCs w:val="24"/>
          <w:highlight w:val="none"/>
        </w:rPr>
        <w:t>4.3.7</w:t>
      </w:r>
      <w:r>
        <w:rPr>
          <w:rFonts w:ascii="宋体" w:hAnsi="宋体" w:eastAsia="宋体" w:cs="宋体"/>
          <w:color w:val="auto"/>
          <w:sz w:val="24"/>
          <w:szCs w:val="24"/>
          <w:highlight w:val="none"/>
        </w:rPr>
        <w:t>项规定的指定分包外，承包人对其分包项目的实施以及分包人的</w:t>
      </w:r>
      <w:r>
        <w:rPr>
          <w:rFonts w:ascii="宋体" w:hAnsi="宋体" w:eastAsia="宋体" w:cs="宋体"/>
          <w:color w:val="auto"/>
          <w:spacing w:val="-3"/>
          <w:sz w:val="24"/>
          <w:szCs w:val="24"/>
          <w:highlight w:val="none"/>
        </w:rPr>
        <w:t>行为向发包人负全部责任。承包人应对分包项目的工程进度、质量、安全、计量和验</w:t>
      </w:r>
      <w:r>
        <w:rPr>
          <w:rFonts w:ascii="宋体" w:hAnsi="宋体" w:eastAsia="宋体" w:cs="宋体"/>
          <w:color w:val="auto"/>
          <w:spacing w:val="-5"/>
          <w:sz w:val="24"/>
          <w:szCs w:val="24"/>
          <w:highlight w:val="none"/>
        </w:rPr>
        <w:t>收等实施监督和管理。</w:t>
      </w:r>
    </w:p>
    <w:p w14:paraId="7A12AFF2">
      <w:pPr>
        <w:spacing w:before="180" w:line="359" w:lineRule="auto"/>
        <w:ind w:left="2" w:righ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4.3.10  </w:t>
      </w:r>
      <w:r>
        <w:rPr>
          <w:rFonts w:ascii="宋体" w:hAnsi="宋体" w:eastAsia="宋体" w:cs="宋体"/>
          <w:color w:val="auto"/>
          <w:spacing w:val="4"/>
          <w:sz w:val="24"/>
          <w:szCs w:val="24"/>
          <w:highlight w:val="none"/>
        </w:rPr>
        <w:t>分包人应按专用合同条款的约定</w:t>
      </w:r>
      <w:r>
        <w:rPr>
          <w:rFonts w:ascii="宋体" w:hAnsi="宋体" w:eastAsia="宋体" w:cs="宋体"/>
          <w:color w:val="auto"/>
          <w:spacing w:val="3"/>
          <w:sz w:val="24"/>
          <w:szCs w:val="24"/>
          <w:highlight w:val="none"/>
        </w:rPr>
        <w:t>设立项目管理机构组织管理分包工程的</w:t>
      </w:r>
      <w:r>
        <w:rPr>
          <w:rFonts w:ascii="宋体" w:hAnsi="宋体" w:eastAsia="宋体" w:cs="宋体"/>
          <w:color w:val="auto"/>
          <w:spacing w:val="-7"/>
          <w:sz w:val="24"/>
          <w:szCs w:val="24"/>
          <w:highlight w:val="none"/>
        </w:rPr>
        <w:t>施工活动。</w:t>
      </w:r>
    </w:p>
    <w:p w14:paraId="0E558F11">
      <w:pPr>
        <w:spacing w:before="2" w:line="220" w:lineRule="auto"/>
        <w:outlineLvl w:val="2"/>
        <w:rPr>
          <w:rFonts w:ascii="宋体" w:hAnsi="宋体" w:eastAsia="宋体" w:cs="宋体"/>
          <w:color w:val="auto"/>
          <w:sz w:val="24"/>
          <w:szCs w:val="24"/>
          <w:highlight w:val="none"/>
        </w:rPr>
      </w:pPr>
      <w:bookmarkStart w:id="355" w:name="bookmark175"/>
      <w:bookmarkEnd w:id="355"/>
      <w:bookmarkStart w:id="356" w:name="_Toc8100"/>
      <w:bookmarkStart w:id="357" w:name="_Toc24299"/>
      <w:r>
        <w:rPr>
          <w:rFonts w:ascii="Times New Roman" w:hAnsi="Times New Roman" w:eastAsia="Times New Roman" w:cs="Times New Roman"/>
          <w:b/>
          <w:bCs/>
          <w:color w:val="auto"/>
          <w:spacing w:val="-4"/>
          <w:sz w:val="24"/>
          <w:szCs w:val="24"/>
          <w:highlight w:val="none"/>
        </w:rPr>
        <w:t>4.4</w:t>
      </w:r>
      <w:r>
        <w:rPr>
          <w:rFonts w:ascii="Times New Roman" w:hAnsi="Times New Roman" w:eastAsia="Times New Roman" w:cs="Times New Roman"/>
          <w:b/>
          <w:bCs/>
          <w:color w:val="auto"/>
          <w:spacing w:val="5"/>
          <w:sz w:val="24"/>
          <w:szCs w:val="24"/>
          <w:highlight w:val="none"/>
        </w:rPr>
        <w:t xml:space="preserve">  </w:t>
      </w:r>
      <w:r>
        <w:rPr>
          <w:rFonts w:ascii="宋体" w:hAnsi="宋体" w:eastAsia="宋体" w:cs="宋体"/>
          <w:b/>
          <w:bCs/>
          <w:color w:val="auto"/>
          <w:spacing w:val="-4"/>
          <w:sz w:val="24"/>
          <w:szCs w:val="24"/>
          <w:highlight w:val="none"/>
        </w:rPr>
        <w:t>联合体</w:t>
      </w:r>
      <w:bookmarkEnd w:id="356"/>
      <w:bookmarkEnd w:id="357"/>
    </w:p>
    <w:p w14:paraId="54391F6F">
      <w:pPr>
        <w:spacing w:before="180" w:line="289" w:lineRule="auto"/>
        <w:ind w:left="4" w:right="1"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4.4.1  </w:t>
      </w:r>
      <w:r>
        <w:rPr>
          <w:rFonts w:ascii="宋体" w:hAnsi="宋体" w:eastAsia="宋体" w:cs="宋体"/>
          <w:color w:val="auto"/>
          <w:spacing w:val="1"/>
          <w:sz w:val="24"/>
          <w:szCs w:val="24"/>
          <w:highlight w:val="none"/>
        </w:rPr>
        <w:t>联合体各方应共同与发包人</w:t>
      </w:r>
      <w:r>
        <w:rPr>
          <w:rFonts w:ascii="宋体" w:hAnsi="宋体" w:eastAsia="宋体" w:cs="宋体"/>
          <w:color w:val="auto"/>
          <w:sz w:val="24"/>
          <w:szCs w:val="24"/>
          <w:highlight w:val="none"/>
        </w:rPr>
        <w:t>签订合同协议书。联合体各方应为履行合同承</w:t>
      </w:r>
      <w:r>
        <w:rPr>
          <w:rFonts w:ascii="宋体" w:hAnsi="宋体" w:eastAsia="宋体" w:cs="宋体"/>
          <w:color w:val="auto"/>
          <w:spacing w:val="-7"/>
          <w:sz w:val="24"/>
          <w:szCs w:val="24"/>
          <w:highlight w:val="none"/>
        </w:rPr>
        <w:t>担连带责任。</w:t>
      </w:r>
    </w:p>
    <w:p w14:paraId="2FED970B">
      <w:pPr>
        <w:spacing w:before="182" w:line="289" w:lineRule="auto"/>
        <w:ind w:left="5" w:right="12"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4.4.2  </w:t>
      </w:r>
      <w:r>
        <w:rPr>
          <w:rFonts w:ascii="宋体" w:hAnsi="宋体" w:eastAsia="宋体" w:cs="宋体"/>
          <w:color w:val="auto"/>
          <w:sz w:val="24"/>
          <w:szCs w:val="24"/>
          <w:highlight w:val="none"/>
        </w:rPr>
        <w:t>联合体协议经发包人确认后作为合同附件。在履行合同过程中，未经发包</w:t>
      </w:r>
      <w:r>
        <w:rPr>
          <w:rFonts w:ascii="宋体" w:hAnsi="宋体" w:eastAsia="宋体" w:cs="宋体"/>
          <w:color w:val="auto"/>
          <w:spacing w:val="-4"/>
          <w:sz w:val="24"/>
          <w:szCs w:val="24"/>
          <w:highlight w:val="none"/>
        </w:rPr>
        <w:t>人同意，不得修改联合体协议。</w:t>
      </w:r>
    </w:p>
    <w:p w14:paraId="7DA7534A">
      <w:pPr>
        <w:spacing w:before="183" w:line="289" w:lineRule="auto"/>
        <w:ind w:left="6" w:right="1"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4.4.3  </w:t>
      </w:r>
      <w:r>
        <w:rPr>
          <w:rFonts w:ascii="宋体" w:hAnsi="宋体" w:eastAsia="宋体" w:cs="宋体"/>
          <w:color w:val="auto"/>
          <w:spacing w:val="1"/>
          <w:sz w:val="24"/>
          <w:szCs w:val="24"/>
          <w:highlight w:val="none"/>
        </w:rPr>
        <w:t>联合体牵头人负责与发包人</w:t>
      </w:r>
      <w:r>
        <w:rPr>
          <w:rFonts w:ascii="宋体" w:hAnsi="宋体" w:eastAsia="宋体" w:cs="宋体"/>
          <w:color w:val="auto"/>
          <w:sz w:val="24"/>
          <w:szCs w:val="24"/>
          <w:highlight w:val="none"/>
        </w:rPr>
        <w:t>和监理人联系，并接受指示，负责组织联合体</w:t>
      </w:r>
      <w:r>
        <w:rPr>
          <w:rFonts w:ascii="宋体" w:hAnsi="宋体" w:eastAsia="宋体" w:cs="宋体"/>
          <w:color w:val="auto"/>
          <w:spacing w:val="-5"/>
          <w:sz w:val="24"/>
          <w:szCs w:val="24"/>
          <w:highlight w:val="none"/>
        </w:rPr>
        <w:t>各成员全面履行合同。</w:t>
      </w:r>
    </w:p>
    <w:p w14:paraId="28E31C93">
      <w:pPr>
        <w:spacing w:before="181" w:line="220" w:lineRule="auto"/>
        <w:outlineLvl w:val="2"/>
        <w:rPr>
          <w:rFonts w:ascii="宋体" w:hAnsi="宋体" w:eastAsia="宋体" w:cs="宋体"/>
          <w:color w:val="auto"/>
          <w:sz w:val="24"/>
          <w:szCs w:val="24"/>
          <w:highlight w:val="none"/>
        </w:rPr>
      </w:pPr>
      <w:bookmarkStart w:id="358" w:name="bookmark176"/>
      <w:bookmarkEnd w:id="358"/>
      <w:bookmarkStart w:id="359" w:name="_Toc334"/>
      <w:bookmarkStart w:id="360" w:name="_Toc5391"/>
      <w:r>
        <w:rPr>
          <w:rFonts w:ascii="Times New Roman" w:hAnsi="Times New Roman" w:eastAsia="Times New Roman" w:cs="Times New Roman"/>
          <w:b/>
          <w:bCs/>
          <w:color w:val="auto"/>
          <w:spacing w:val="-2"/>
          <w:sz w:val="24"/>
          <w:szCs w:val="24"/>
          <w:highlight w:val="none"/>
        </w:rPr>
        <w:t xml:space="preserve">4.5  </w:t>
      </w:r>
      <w:r>
        <w:rPr>
          <w:rFonts w:ascii="宋体" w:hAnsi="宋体" w:eastAsia="宋体" w:cs="宋体"/>
          <w:b/>
          <w:bCs/>
          <w:color w:val="auto"/>
          <w:spacing w:val="-2"/>
          <w:sz w:val="24"/>
          <w:szCs w:val="24"/>
          <w:highlight w:val="none"/>
        </w:rPr>
        <w:t>承包人项目负责人、副项目负责人（若有）</w:t>
      </w:r>
      <w:bookmarkEnd w:id="359"/>
      <w:bookmarkEnd w:id="360"/>
    </w:p>
    <w:p w14:paraId="62A2CEB5">
      <w:pPr>
        <w:spacing w:before="182" w:line="360" w:lineRule="auto"/>
        <w:ind w:left="8" w:right="1" w:firstLine="474"/>
        <w:jc w:val="both"/>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4.5.1  </w:t>
      </w:r>
      <w:r>
        <w:rPr>
          <w:rFonts w:ascii="宋体" w:hAnsi="宋体" w:eastAsia="宋体" w:cs="宋体"/>
          <w:color w:val="auto"/>
          <w:spacing w:val="1"/>
          <w:sz w:val="24"/>
          <w:szCs w:val="24"/>
          <w:highlight w:val="none"/>
        </w:rPr>
        <w:t>承包人应按合同约定指派项</w:t>
      </w:r>
      <w:r>
        <w:rPr>
          <w:rFonts w:ascii="宋体" w:hAnsi="宋体" w:eastAsia="宋体" w:cs="宋体"/>
          <w:color w:val="auto"/>
          <w:sz w:val="24"/>
          <w:szCs w:val="24"/>
          <w:highlight w:val="none"/>
        </w:rPr>
        <w:t>目负责人、副项目负责人，并在约定的期限内</w:t>
      </w:r>
      <w:r>
        <w:rPr>
          <w:rFonts w:ascii="宋体" w:hAnsi="宋体" w:eastAsia="宋体" w:cs="宋体"/>
          <w:color w:val="auto"/>
          <w:spacing w:val="-6"/>
          <w:sz w:val="24"/>
          <w:szCs w:val="24"/>
          <w:highlight w:val="none"/>
        </w:rPr>
        <w:t>到职。承包人更换项目负责人、副项目负责人应事先征得发包人同意， 并应在更换</w:t>
      </w:r>
      <w:r>
        <w:rPr>
          <w:rFonts w:ascii="Times New Roman" w:hAnsi="Times New Roman" w:eastAsia="Times New Roman" w:cs="Times New Roman"/>
          <w:color w:val="auto"/>
          <w:spacing w:val="-6"/>
          <w:sz w:val="24"/>
          <w:szCs w:val="24"/>
          <w:highlight w:val="none"/>
        </w:rPr>
        <w:t>14</w:t>
      </w:r>
      <w:r>
        <w:rPr>
          <w:rFonts w:ascii="宋体" w:hAnsi="宋体" w:eastAsia="宋体" w:cs="宋体"/>
          <w:color w:val="auto"/>
          <w:spacing w:val="-6"/>
          <w:sz w:val="24"/>
          <w:szCs w:val="24"/>
          <w:highlight w:val="none"/>
        </w:rPr>
        <w:t>天前通知发包人和监理人。承包人项目负责人、副项目负责人短期离开施工场地， 应</w:t>
      </w:r>
    </w:p>
    <w:p w14:paraId="53684665">
      <w:pPr>
        <w:spacing w:line="360" w:lineRule="auto"/>
        <w:rPr>
          <w:rFonts w:ascii="宋体" w:hAnsi="宋体" w:eastAsia="宋体" w:cs="宋体"/>
          <w:color w:val="auto"/>
          <w:sz w:val="24"/>
          <w:szCs w:val="24"/>
          <w:highlight w:val="none"/>
        </w:rPr>
        <w:sectPr>
          <w:footerReference r:id="rId39" w:type="default"/>
          <w:pgSz w:w="11907" w:h="16841"/>
          <w:pgMar w:top="1428" w:right="1527" w:bottom="1254" w:left="1594" w:header="0" w:footer="1093" w:gutter="0"/>
          <w:pgNumType w:fmt="decimal"/>
          <w:cols w:space="720" w:num="1"/>
        </w:sectPr>
      </w:pPr>
    </w:p>
    <w:p w14:paraId="6C897843">
      <w:pPr>
        <w:spacing w:before="48" w:line="359" w:lineRule="auto"/>
        <w:ind w:left="6" w:right="85" w:hanging="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事先征得监理人同意，并委派代表代行其职责。项目负责人、副项目负责人不得同时</w:t>
      </w:r>
      <w:r>
        <w:rPr>
          <w:rFonts w:ascii="宋体" w:hAnsi="宋体" w:eastAsia="宋体" w:cs="宋体"/>
          <w:color w:val="auto"/>
          <w:spacing w:val="-6"/>
          <w:sz w:val="24"/>
          <w:szCs w:val="24"/>
          <w:highlight w:val="none"/>
        </w:rPr>
        <w:t>离开施工场地。</w:t>
      </w:r>
    </w:p>
    <w:p w14:paraId="6BDAD74F">
      <w:pPr>
        <w:spacing w:line="312" w:lineRule="auto"/>
        <w:ind w:left="5" w:right="85"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4.5.2  </w:t>
      </w:r>
      <w:r>
        <w:rPr>
          <w:rFonts w:ascii="宋体" w:hAnsi="宋体" w:eastAsia="宋体" w:cs="宋体"/>
          <w:color w:val="auto"/>
          <w:spacing w:val="-1"/>
          <w:sz w:val="24"/>
          <w:szCs w:val="24"/>
          <w:highlight w:val="none"/>
        </w:rPr>
        <w:t>承包人项目负责人应按合同约定以及监理人按第</w:t>
      </w:r>
      <w:r>
        <w:rPr>
          <w:rFonts w:ascii="Times New Roman" w:hAnsi="Times New Roman" w:eastAsia="Times New Roman" w:cs="Times New Roman"/>
          <w:color w:val="auto"/>
          <w:spacing w:val="-1"/>
          <w:sz w:val="24"/>
          <w:szCs w:val="24"/>
          <w:highlight w:val="none"/>
        </w:rPr>
        <w:t>3.4</w:t>
      </w:r>
      <w:r>
        <w:rPr>
          <w:rFonts w:ascii="宋体" w:hAnsi="宋体" w:eastAsia="宋体" w:cs="宋体"/>
          <w:color w:val="auto"/>
          <w:spacing w:val="-1"/>
          <w:sz w:val="24"/>
          <w:szCs w:val="24"/>
          <w:highlight w:val="none"/>
        </w:rPr>
        <w:t>款作出的指示，负责组</w:t>
      </w:r>
      <w:r>
        <w:rPr>
          <w:rFonts w:ascii="宋体" w:hAnsi="宋体" w:eastAsia="宋体" w:cs="宋体"/>
          <w:color w:val="auto"/>
          <w:spacing w:val="-5"/>
          <w:sz w:val="24"/>
          <w:szCs w:val="24"/>
          <w:highlight w:val="none"/>
        </w:rPr>
        <w:t>织合同工程的实施。在情况紧急且无法与监理人取得联系时，</w:t>
      </w:r>
      <w:r>
        <w:rPr>
          <w:rFonts w:ascii="宋体" w:hAnsi="宋体" w:eastAsia="宋体" w:cs="宋体"/>
          <w:color w:val="auto"/>
          <w:spacing w:val="-39"/>
          <w:sz w:val="24"/>
          <w:szCs w:val="24"/>
          <w:highlight w:val="none"/>
        </w:rPr>
        <w:t xml:space="preserve"> </w:t>
      </w:r>
      <w:r>
        <w:rPr>
          <w:rFonts w:ascii="宋体" w:hAnsi="宋体" w:eastAsia="宋体" w:cs="宋体"/>
          <w:color w:val="auto"/>
          <w:spacing w:val="-5"/>
          <w:sz w:val="24"/>
          <w:szCs w:val="24"/>
          <w:highlight w:val="none"/>
        </w:rPr>
        <w:t>可采取保证工程和人员</w:t>
      </w:r>
      <w:r>
        <w:rPr>
          <w:rFonts w:ascii="宋体" w:hAnsi="宋体" w:eastAsia="宋体" w:cs="宋体"/>
          <w:color w:val="auto"/>
          <w:spacing w:val="-1"/>
          <w:sz w:val="24"/>
          <w:szCs w:val="24"/>
          <w:highlight w:val="none"/>
        </w:rPr>
        <w:t>生命财产安令的紧急措施，并在采取措施后</w:t>
      </w:r>
      <w:r>
        <w:rPr>
          <w:rFonts w:ascii="Times New Roman" w:hAnsi="Times New Roman" w:eastAsia="Times New Roman" w:cs="Times New Roman"/>
          <w:color w:val="auto"/>
          <w:spacing w:val="-1"/>
          <w:sz w:val="24"/>
          <w:szCs w:val="24"/>
          <w:highlight w:val="none"/>
        </w:rPr>
        <w:t>24</w:t>
      </w:r>
      <w:r>
        <w:rPr>
          <w:rFonts w:ascii="宋体" w:hAnsi="宋体" w:eastAsia="宋体" w:cs="宋体"/>
          <w:color w:val="auto"/>
          <w:spacing w:val="-1"/>
          <w:sz w:val="24"/>
          <w:szCs w:val="24"/>
          <w:highlight w:val="none"/>
        </w:rPr>
        <w:t>小时内向</w:t>
      </w:r>
      <w:r>
        <w:rPr>
          <w:rFonts w:ascii="宋体" w:hAnsi="宋体" w:eastAsia="宋体" w:cs="宋体"/>
          <w:color w:val="auto"/>
          <w:spacing w:val="-2"/>
          <w:sz w:val="24"/>
          <w:szCs w:val="24"/>
          <w:highlight w:val="none"/>
        </w:rPr>
        <w:t>监理人提交书面报告。</w:t>
      </w:r>
    </w:p>
    <w:p w14:paraId="19C24AF5">
      <w:pPr>
        <w:spacing w:before="185" w:line="288" w:lineRule="auto"/>
        <w:ind w:left="6" w:right="85"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4.5.3  </w:t>
      </w:r>
      <w:r>
        <w:rPr>
          <w:rFonts w:ascii="宋体" w:hAnsi="宋体" w:eastAsia="宋体" w:cs="宋体"/>
          <w:color w:val="auto"/>
          <w:spacing w:val="1"/>
          <w:sz w:val="24"/>
          <w:szCs w:val="24"/>
          <w:highlight w:val="none"/>
        </w:rPr>
        <w:t>承包人为履行合同发出的一</w:t>
      </w:r>
      <w:r>
        <w:rPr>
          <w:rFonts w:ascii="宋体" w:hAnsi="宋体" w:eastAsia="宋体" w:cs="宋体"/>
          <w:color w:val="auto"/>
          <w:sz w:val="24"/>
          <w:szCs w:val="24"/>
          <w:highlight w:val="none"/>
        </w:rPr>
        <w:t>切函件均应盖有承包人授权的施工场地管理机</w:t>
      </w:r>
      <w:r>
        <w:rPr>
          <w:rFonts w:ascii="宋体" w:hAnsi="宋体" w:eastAsia="宋体" w:cs="宋体"/>
          <w:color w:val="auto"/>
          <w:spacing w:val="-2"/>
          <w:sz w:val="24"/>
          <w:szCs w:val="24"/>
          <w:highlight w:val="none"/>
        </w:rPr>
        <w:t>构章，并由承包人项目负责人或其授权代表签</w:t>
      </w:r>
      <w:r>
        <w:rPr>
          <w:rFonts w:ascii="宋体" w:hAnsi="宋体" w:eastAsia="宋体" w:cs="宋体"/>
          <w:color w:val="auto"/>
          <w:spacing w:val="-3"/>
          <w:sz w:val="24"/>
          <w:szCs w:val="24"/>
          <w:highlight w:val="none"/>
        </w:rPr>
        <w:t>字。</w:t>
      </w:r>
    </w:p>
    <w:p w14:paraId="00E22470">
      <w:pPr>
        <w:spacing w:before="183" w:line="289" w:lineRule="auto"/>
        <w:ind w:left="5" w:right="85"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4.5.4  </w:t>
      </w:r>
      <w:r>
        <w:rPr>
          <w:rFonts w:ascii="宋体" w:hAnsi="宋体" w:eastAsia="宋体" w:cs="宋体"/>
          <w:color w:val="auto"/>
          <w:spacing w:val="1"/>
          <w:sz w:val="24"/>
          <w:szCs w:val="24"/>
          <w:highlight w:val="none"/>
        </w:rPr>
        <w:t>承包人项目负责人可以授权</w:t>
      </w:r>
      <w:r>
        <w:rPr>
          <w:rFonts w:ascii="宋体" w:hAnsi="宋体" w:eastAsia="宋体" w:cs="宋体"/>
          <w:color w:val="auto"/>
          <w:sz w:val="24"/>
          <w:szCs w:val="24"/>
          <w:highlight w:val="none"/>
        </w:rPr>
        <w:t>其下属人员履行其某项职责，但事先应将这些</w:t>
      </w:r>
      <w:r>
        <w:rPr>
          <w:rFonts w:ascii="宋体" w:hAnsi="宋体" w:eastAsia="宋体" w:cs="宋体"/>
          <w:color w:val="auto"/>
          <w:spacing w:val="-3"/>
          <w:sz w:val="24"/>
          <w:szCs w:val="24"/>
          <w:highlight w:val="none"/>
        </w:rPr>
        <w:t>人员的姓名和授权范围通知监理人。</w:t>
      </w:r>
    </w:p>
    <w:p w14:paraId="6E22B597">
      <w:pPr>
        <w:spacing w:before="182" w:line="220" w:lineRule="auto"/>
        <w:outlineLvl w:val="2"/>
        <w:rPr>
          <w:rFonts w:ascii="宋体" w:hAnsi="宋体" w:eastAsia="宋体" w:cs="宋体"/>
          <w:color w:val="auto"/>
          <w:sz w:val="24"/>
          <w:szCs w:val="24"/>
          <w:highlight w:val="none"/>
        </w:rPr>
      </w:pPr>
      <w:bookmarkStart w:id="361" w:name="bookmark177"/>
      <w:bookmarkEnd w:id="361"/>
      <w:bookmarkStart w:id="362" w:name="_Toc22178"/>
      <w:bookmarkStart w:id="363" w:name="_Toc24847"/>
      <w:r>
        <w:rPr>
          <w:rFonts w:ascii="Times New Roman" w:hAnsi="Times New Roman" w:eastAsia="Times New Roman" w:cs="Times New Roman"/>
          <w:b/>
          <w:bCs/>
          <w:color w:val="auto"/>
          <w:spacing w:val="-2"/>
          <w:sz w:val="24"/>
          <w:szCs w:val="24"/>
          <w:highlight w:val="none"/>
        </w:rPr>
        <w:t xml:space="preserve">4.6  </w:t>
      </w:r>
      <w:r>
        <w:rPr>
          <w:rFonts w:ascii="宋体" w:hAnsi="宋体" w:eastAsia="宋体" w:cs="宋体"/>
          <w:b/>
          <w:bCs/>
          <w:color w:val="auto"/>
          <w:spacing w:val="-2"/>
          <w:sz w:val="24"/>
          <w:szCs w:val="24"/>
          <w:highlight w:val="none"/>
        </w:rPr>
        <w:t>承包人人员的管理</w:t>
      </w:r>
      <w:bookmarkEnd w:id="362"/>
      <w:bookmarkEnd w:id="363"/>
    </w:p>
    <w:p w14:paraId="0747098F">
      <w:pPr>
        <w:spacing w:before="180" w:line="324" w:lineRule="auto"/>
        <w:ind w:left="2" w:right="85"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4.6.1  </w:t>
      </w:r>
      <w:r>
        <w:rPr>
          <w:rFonts w:ascii="宋体" w:hAnsi="宋体" w:eastAsia="宋体" w:cs="宋体"/>
          <w:color w:val="auto"/>
          <w:spacing w:val="1"/>
          <w:sz w:val="24"/>
          <w:szCs w:val="24"/>
          <w:highlight w:val="none"/>
        </w:rPr>
        <w:t>承包人应在接到开工通知后</w:t>
      </w:r>
      <w:r>
        <w:rPr>
          <w:rFonts w:ascii="Times New Roman" w:hAnsi="Times New Roman" w:eastAsia="Times New Roman" w:cs="Times New Roman"/>
          <w:color w:val="auto"/>
          <w:sz w:val="24"/>
          <w:szCs w:val="24"/>
          <w:highlight w:val="none"/>
        </w:rPr>
        <w:t>28</w:t>
      </w:r>
      <w:r>
        <w:rPr>
          <w:rFonts w:ascii="宋体" w:hAnsi="宋体" w:eastAsia="宋体" w:cs="宋体"/>
          <w:color w:val="auto"/>
          <w:sz w:val="24"/>
          <w:szCs w:val="24"/>
          <w:highlight w:val="none"/>
        </w:rPr>
        <w:t>天内，向监理人提交承包人在施工场地的管</w:t>
      </w:r>
      <w:r>
        <w:rPr>
          <w:rFonts w:ascii="宋体" w:hAnsi="宋体" w:eastAsia="宋体" w:cs="宋体"/>
          <w:color w:val="auto"/>
          <w:spacing w:val="-3"/>
          <w:sz w:val="24"/>
          <w:szCs w:val="24"/>
          <w:highlight w:val="none"/>
        </w:rPr>
        <w:t>理机构以及人员安排的报告，其内容应包括管理机构的设置、各主要岗位的技术和管理人员名单及其资格，以及各工种技术工人的安排状况。承包人应向监理人提交施工</w:t>
      </w:r>
      <w:r>
        <w:rPr>
          <w:rFonts w:ascii="宋体" w:hAnsi="宋体" w:eastAsia="宋体" w:cs="宋体"/>
          <w:color w:val="auto"/>
          <w:spacing w:val="-4"/>
          <w:sz w:val="24"/>
          <w:szCs w:val="24"/>
          <w:highlight w:val="none"/>
        </w:rPr>
        <w:t>场地人员变动情况的报告。</w:t>
      </w:r>
    </w:p>
    <w:p w14:paraId="512CE3DD">
      <w:pPr>
        <w:spacing w:before="183" w:line="290" w:lineRule="auto"/>
        <w:ind w:left="10" w:right="85" w:firstLine="471"/>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4.6.2  </w:t>
      </w:r>
      <w:r>
        <w:rPr>
          <w:rFonts w:ascii="宋体" w:hAnsi="宋体" w:eastAsia="宋体" w:cs="宋体"/>
          <w:color w:val="auto"/>
          <w:spacing w:val="1"/>
          <w:sz w:val="24"/>
          <w:szCs w:val="24"/>
          <w:highlight w:val="none"/>
        </w:rPr>
        <w:t>为完成合同约定的各项工作</w:t>
      </w:r>
      <w:r>
        <w:rPr>
          <w:rFonts w:ascii="宋体" w:hAnsi="宋体" w:eastAsia="宋体" w:cs="宋体"/>
          <w:color w:val="auto"/>
          <w:sz w:val="24"/>
          <w:szCs w:val="24"/>
          <w:highlight w:val="none"/>
        </w:rPr>
        <w:t>，承包人应向施工场地派遣或雇佣足够数量的</w:t>
      </w:r>
      <w:r>
        <w:rPr>
          <w:rFonts w:ascii="宋体" w:hAnsi="宋体" w:eastAsia="宋体" w:cs="宋体"/>
          <w:color w:val="auto"/>
          <w:spacing w:val="-12"/>
          <w:sz w:val="24"/>
          <w:szCs w:val="24"/>
          <w:highlight w:val="none"/>
        </w:rPr>
        <w:t>下列人员：</w:t>
      </w:r>
    </w:p>
    <w:p w14:paraId="7C5199BA">
      <w:pPr>
        <w:spacing w:before="180" w:line="220" w:lineRule="auto"/>
        <w:ind w:left="48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）具有相应资格的专业技工和合格的普工。</w:t>
      </w:r>
    </w:p>
    <w:p w14:paraId="5C98B49E">
      <w:pPr>
        <w:spacing w:before="179" w:line="220" w:lineRule="auto"/>
        <w:ind w:left="48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）具有相应施工经验的技术人员。</w:t>
      </w:r>
    </w:p>
    <w:p w14:paraId="345607D6">
      <w:pPr>
        <w:spacing w:before="184" w:line="313" w:lineRule="auto"/>
        <w:ind w:left="5" w:right="85" w:firstLine="486"/>
        <w:rPr>
          <w:rFonts w:ascii="宋体" w:hAnsi="宋体" w:eastAsia="宋体" w:cs="宋体"/>
          <w:color w:val="auto"/>
          <w:spacing w:val="-3"/>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）具有相应岗位资格的各级管理人员。</w:t>
      </w:r>
    </w:p>
    <w:p w14:paraId="02C73430">
      <w:pPr>
        <w:spacing w:before="184" w:line="313" w:lineRule="auto"/>
        <w:ind w:left="5" w:right="85"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4.6.3  </w:t>
      </w:r>
      <w:r>
        <w:rPr>
          <w:rFonts w:ascii="宋体" w:hAnsi="宋体" w:eastAsia="宋体" w:cs="宋体"/>
          <w:color w:val="auto"/>
          <w:spacing w:val="-3"/>
          <w:sz w:val="24"/>
          <w:szCs w:val="24"/>
          <w:highlight w:val="none"/>
        </w:rPr>
        <w:t>承包人安排在施工场地的主要管</w:t>
      </w:r>
      <w:r>
        <w:rPr>
          <w:rFonts w:ascii="宋体" w:hAnsi="宋体" w:eastAsia="宋体" w:cs="宋体"/>
          <w:color w:val="auto"/>
          <w:spacing w:val="-5"/>
          <w:sz w:val="24"/>
          <w:szCs w:val="24"/>
          <w:highlight w:val="none"/>
        </w:rPr>
        <w:t>理人员和技术骨干应相对稳定。承包人更换主要管理人员和技术骨干时，</w:t>
      </w:r>
      <w:r>
        <w:rPr>
          <w:rFonts w:ascii="宋体" w:hAnsi="宋体" w:eastAsia="宋体" w:cs="宋体"/>
          <w:color w:val="auto"/>
          <w:spacing w:val="-39"/>
          <w:sz w:val="24"/>
          <w:szCs w:val="24"/>
          <w:highlight w:val="none"/>
        </w:rPr>
        <w:t xml:space="preserve"> </w:t>
      </w:r>
      <w:r>
        <w:rPr>
          <w:rFonts w:ascii="宋体" w:hAnsi="宋体" w:eastAsia="宋体" w:cs="宋体"/>
          <w:color w:val="auto"/>
          <w:spacing w:val="-5"/>
          <w:sz w:val="24"/>
          <w:szCs w:val="24"/>
          <w:highlight w:val="none"/>
        </w:rPr>
        <w:t>应取得监理</w:t>
      </w:r>
      <w:r>
        <w:rPr>
          <w:rFonts w:ascii="宋体" w:hAnsi="宋体" w:eastAsia="宋体" w:cs="宋体"/>
          <w:color w:val="auto"/>
          <w:spacing w:val="-8"/>
          <w:sz w:val="24"/>
          <w:szCs w:val="24"/>
          <w:highlight w:val="none"/>
        </w:rPr>
        <w:t>人的同意。</w:t>
      </w:r>
    </w:p>
    <w:p w14:paraId="0B3C52A6">
      <w:pPr>
        <w:spacing w:before="178" w:line="359" w:lineRule="auto"/>
        <w:ind w:left="6" w:right="85"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4.6.4  </w:t>
      </w:r>
      <w:r>
        <w:rPr>
          <w:rFonts w:ascii="宋体" w:hAnsi="宋体" w:eastAsia="宋体" w:cs="宋体"/>
          <w:color w:val="auto"/>
          <w:spacing w:val="1"/>
          <w:sz w:val="24"/>
          <w:szCs w:val="24"/>
          <w:highlight w:val="none"/>
        </w:rPr>
        <w:t>特殊岗位的工作人员均应持</w:t>
      </w:r>
      <w:r>
        <w:rPr>
          <w:rFonts w:ascii="宋体" w:hAnsi="宋体" w:eastAsia="宋体" w:cs="宋体"/>
          <w:color w:val="auto"/>
          <w:sz w:val="24"/>
          <w:szCs w:val="24"/>
          <w:highlight w:val="none"/>
        </w:rPr>
        <w:t>有相应的资格证明，监理人有权随时检查。监</w:t>
      </w:r>
      <w:r>
        <w:rPr>
          <w:rFonts w:ascii="宋体" w:hAnsi="宋体" w:eastAsia="宋体" w:cs="宋体"/>
          <w:color w:val="auto"/>
          <w:spacing w:val="-3"/>
          <w:sz w:val="24"/>
          <w:szCs w:val="24"/>
          <w:highlight w:val="none"/>
        </w:rPr>
        <w:t>理人认为有必要时，可进行现场考核。</w:t>
      </w:r>
    </w:p>
    <w:p w14:paraId="01BA0E9C">
      <w:pPr>
        <w:spacing w:line="219" w:lineRule="auto"/>
        <w:outlineLvl w:val="2"/>
        <w:rPr>
          <w:rFonts w:ascii="宋体" w:hAnsi="宋体" w:eastAsia="宋体" w:cs="宋体"/>
          <w:color w:val="auto"/>
          <w:sz w:val="24"/>
          <w:szCs w:val="24"/>
          <w:highlight w:val="none"/>
        </w:rPr>
      </w:pPr>
      <w:bookmarkStart w:id="364" w:name="bookmark178"/>
      <w:bookmarkEnd w:id="364"/>
      <w:bookmarkStart w:id="365" w:name="_Toc29852"/>
      <w:bookmarkStart w:id="366" w:name="_Toc28152"/>
      <w:r>
        <w:rPr>
          <w:rFonts w:ascii="Times New Roman" w:hAnsi="Times New Roman" w:eastAsia="Times New Roman" w:cs="Times New Roman"/>
          <w:b/>
          <w:bCs/>
          <w:color w:val="auto"/>
          <w:spacing w:val="-2"/>
          <w:sz w:val="24"/>
          <w:szCs w:val="24"/>
          <w:highlight w:val="none"/>
        </w:rPr>
        <w:t xml:space="preserve">4.7  </w:t>
      </w:r>
      <w:r>
        <w:rPr>
          <w:rFonts w:ascii="宋体" w:hAnsi="宋体" w:eastAsia="宋体" w:cs="宋体"/>
          <w:b/>
          <w:bCs/>
          <w:color w:val="auto"/>
          <w:spacing w:val="-2"/>
          <w:sz w:val="24"/>
          <w:szCs w:val="24"/>
          <w:highlight w:val="none"/>
        </w:rPr>
        <w:t>撤换承包人项目负责人和其他人员</w:t>
      </w:r>
      <w:bookmarkEnd w:id="365"/>
      <w:bookmarkEnd w:id="366"/>
    </w:p>
    <w:p w14:paraId="5162514E">
      <w:pPr>
        <w:spacing w:before="183" w:line="359" w:lineRule="auto"/>
        <w:ind w:left="4"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承包人应对其项目负责人和其他人员进行有效管理。监理人要求撤换不能胜任本</w:t>
      </w:r>
      <w:r>
        <w:rPr>
          <w:rFonts w:ascii="宋体" w:hAnsi="宋体" w:eastAsia="宋体" w:cs="宋体"/>
          <w:color w:val="auto"/>
          <w:spacing w:val="-7"/>
          <w:sz w:val="24"/>
          <w:szCs w:val="24"/>
          <w:highlight w:val="none"/>
        </w:rPr>
        <w:t>职工作、行为不端或玩忽职守的承包人项目负责人和其他人员的，承包人应予以撤换。</w:t>
      </w:r>
    </w:p>
    <w:p w14:paraId="44C0A7A2">
      <w:pPr>
        <w:spacing w:before="1" w:line="219" w:lineRule="auto"/>
        <w:outlineLvl w:val="2"/>
        <w:rPr>
          <w:rFonts w:ascii="宋体" w:hAnsi="宋体" w:eastAsia="宋体" w:cs="宋体"/>
          <w:color w:val="auto"/>
          <w:sz w:val="24"/>
          <w:szCs w:val="24"/>
          <w:highlight w:val="none"/>
        </w:rPr>
      </w:pPr>
      <w:bookmarkStart w:id="367" w:name="bookmark179"/>
      <w:bookmarkEnd w:id="367"/>
      <w:bookmarkStart w:id="368" w:name="_Toc21358"/>
      <w:bookmarkStart w:id="369" w:name="_Toc1660"/>
      <w:r>
        <w:rPr>
          <w:rFonts w:ascii="Times New Roman" w:hAnsi="Times New Roman" w:eastAsia="Times New Roman" w:cs="Times New Roman"/>
          <w:b/>
          <w:bCs/>
          <w:color w:val="auto"/>
          <w:spacing w:val="-2"/>
          <w:sz w:val="24"/>
          <w:szCs w:val="24"/>
          <w:highlight w:val="none"/>
        </w:rPr>
        <w:t xml:space="preserve">4.8  </w:t>
      </w:r>
      <w:r>
        <w:rPr>
          <w:rFonts w:ascii="宋体" w:hAnsi="宋体" w:eastAsia="宋体" w:cs="宋体"/>
          <w:b/>
          <w:bCs/>
          <w:color w:val="auto"/>
          <w:spacing w:val="-2"/>
          <w:sz w:val="24"/>
          <w:szCs w:val="24"/>
          <w:highlight w:val="none"/>
        </w:rPr>
        <w:t>保障承包人人员的合法权益</w:t>
      </w:r>
      <w:bookmarkEnd w:id="368"/>
      <w:bookmarkEnd w:id="369"/>
    </w:p>
    <w:p w14:paraId="1B4E1253">
      <w:pPr>
        <w:spacing w:before="180"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4.8.1  </w:t>
      </w:r>
      <w:r>
        <w:rPr>
          <w:rFonts w:ascii="宋体" w:hAnsi="宋体" w:eastAsia="宋体" w:cs="宋体"/>
          <w:color w:val="auto"/>
          <w:spacing w:val="-1"/>
          <w:sz w:val="24"/>
          <w:szCs w:val="24"/>
          <w:highlight w:val="none"/>
        </w:rPr>
        <w:t>承包人应与其雇佣的人员签订劳动合同，</w:t>
      </w:r>
      <w:r>
        <w:rPr>
          <w:rFonts w:ascii="宋体" w:hAnsi="宋体" w:eastAsia="宋体" w:cs="宋体"/>
          <w:color w:val="auto"/>
          <w:spacing w:val="-2"/>
          <w:sz w:val="24"/>
          <w:szCs w:val="24"/>
          <w:highlight w:val="none"/>
        </w:rPr>
        <w:t>并按时发放工资。</w:t>
      </w:r>
    </w:p>
    <w:p w14:paraId="7DF1D209">
      <w:pPr>
        <w:spacing w:before="183" w:line="288" w:lineRule="auto"/>
        <w:ind w:left="23" w:right="85" w:firstLine="45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4.8.2  </w:t>
      </w:r>
      <w:r>
        <w:rPr>
          <w:rFonts w:ascii="宋体" w:hAnsi="宋体" w:eastAsia="宋体" w:cs="宋体"/>
          <w:color w:val="auto"/>
          <w:spacing w:val="1"/>
          <w:sz w:val="24"/>
          <w:szCs w:val="24"/>
          <w:highlight w:val="none"/>
        </w:rPr>
        <w:t>承包人应按劳动法的规定安</w:t>
      </w:r>
      <w:r>
        <w:rPr>
          <w:rFonts w:ascii="宋体" w:hAnsi="宋体" w:eastAsia="宋体" w:cs="宋体"/>
          <w:color w:val="auto"/>
          <w:sz w:val="24"/>
          <w:szCs w:val="24"/>
          <w:highlight w:val="none"/>
        </w:rPr>
        <w:t>排工作时间，保证其雇佣人员享有休息和休假</w:t>
      </w:r>
      <w:r>
        <w:rPr>
          <w:rFonts w:ascii="宋体" w:hAnsi="宋体" w:eastAsia="宋体" w:cs="宋体"/>
          <w:color w:val="auto"/>
          <w:spacing w:val="-5"/>
          <w:sz w:val="24"/>
          <w:szCs w:val="24"/>
          <w:highlight w:val="none"/>
        </w:rPr>
        <w:t>的权利。因工程施工的特殊需要占用休假日或延长工作时间的</w:t>
      </w:r>
      <w:r>
        <w:rPr>
          <w:rFonts w:ascii="宋体" w:hAnsi="宋体" w:eastAsia="宋体" w:cs="宋体"/>
          <w:color w:val="auto"/>
          <w:spacing w:val="-6"/>
          <w:sz w:val="24"/>
          <w:szCs w:val="24"/>
          <w:highlight w:val="none"/>
        </w:rPr>
        <w:t>，</w:t>
      </w:r>
      <w:r>
        <w:rPr>
          <w:rFonts w:ascii="宋体" w:hAnsi="宋体" w:eastAsia="宋体" w:cs="宋体"/>
          <w:color w:val="auto"/>
          <w:spacing w:val="-47"/>
          <w:sz w:val="24"/>
          <w:szCs w:val="24"/>
          <w:highlight w:val="none"/>
        </w:rPr>
        <w:t xml:space="preserve"> </w:t>
      </w:r>
      <w:r>
        <w:rPr>
          <w:rFonts w:ascii="宋体" w:hAnsi="宋体" w:eastAsia="宋体" w:cs="宋体"/>
          <w:color w:val="auto"/>
          <w:spacing w:val="-6"/>
          <w:sz w:val="24"/>
          <w:szCs w:val="24"/>
          <w:highlight w:val="none"/>
        </w:rPr>
        <w:t>应不超过法律规定的</w:t>
      </w:r>
    </w:p>
    <w:p w14:paraId="60AB044B">
      <w:pPr>
        <w:spacing w:line="288" w:lineRule="auto"/>
        <w:rPr>
          <w:rFonts w:ascii="宋体" w:hAnsi="宋体" w:eastAsia="宋体" w:cs="宋体"/>
          <w:color w:val="auto"/>
          <w:sz w:val="24"/>
          <w:szCs w:val="24"/>
          <w:highlight w:val="none"/>
        </w:rPr>
        <w:sectPr>
          <w:footerReference r:id="rId40" w:type="default"/>
          <w:pgSz w:w="11907" w:h="16841"/>
          <w:pgMar w:top="1428" w:right="1443" w:bottom="1254" w:left="1594" w:header="0" w:footer="1093" w:gutter="0"/>
          <w:pgNumType w:fmt="decimal"/>
          <w:cols w:space="720" w:num="1"/>
        </w:sectPr>
      </w:pPr>
    </w:p>
    <w:p w14:paraId="249D8237">
      <w:pPr>
        <w:spacing w:before="47" w:line="220" w:lineRule="auto"/>
        <w:ind w:left="2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限度，并按法律规定给予补休或付酬。</w:t>
      </w:r>
    </w:p>
    <w:p w14:paraId="143DA0F4">
      <w:pPr>
        <w:spacing w:before="181" w:line="313" w:lineRule="auto"/>
        <w:ind w:left="5" w:right="1"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4.8.3  </w:t>
      </w:r>
      <w:r>
        <w:rPr>
          <w:rFonts w:ascii="宋体" w:hAnsi="宋体" w:eastAsia="宋体" w:cs="宋体"/>
          <w:color w:val="auto"/>
          <w:spacing w:val="1"/>
          <w:sz w:val="24"/>
          <w:szCs w:val="24"/>
          <w:highlight w:val="none"/>
        </w:rPr>
        <w:t>承包人应为其雇佣人员提供</w:t>
      </w:r>
      <w:r>
        <w:rPr>
          <w:rFonts w:ascii="宋体" w:hAnsi="宋体" w:eastAsia="宋体" w:cs="宋体"/>
          <w:color w:val="auto"/>
          <w:sz w:val="24"/>
          <w:szCs w:val="24"/>
          <w:highlight w:val="none"/>
        </w:rPr>
        <w:t>必要的食宿条件，以及符合环境保护和卫生要</w:t>
      </w:r>
      <w:r>
        <w:rPr>
          <w:rFonts w:ascii="宋体" w:hAnsi="宋体" w:eastAsia="宋体" w:cs="宋体"/>
          <w:color w:val="auto"/>
          <w:spacing w:val="-3"/>
          <w:sz w:val="24"/>
          <w:szCs w:val="24"/>
          <w:highlight w:val="none"/>
        </w:rPr>
        <w:t>求的生活环境，在远离城镇的施工场地，还应配备必要的伤病防治和急救的医务人员</w:t>
      </w:r>
      <w:r>
        <w:rPr>
          <w:rFonts w:ascii="宋体" w:hAnsi="宋体" w:eastAsia="宋体" w:cs="宋体"/>
          <w:color w:val="auto"/>
          <w:spacing w:val="-7"/>
          <w:sz w:val="24"/>
          <w:szCs w:val="24"/>
          <w:highlight w:val="none"/>
        </w:rPr>
        <w:t>与医疗设施。</w:t>
      </w:r>
    </w:p>
    <w:p w14:paraId="6A001B21">
      <w:pPr>
        <w:spacing w:before="180" w:line="312" w:lineRule="auto"/>
        <w:ind w:left="2" w:righ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4.8.4  </w:t>
      </w:r>
      <w:r>
        <w:rPr>
          <w:rFonts w:ascii="宋体" w:hAnsi="宋体" w:eastAsia="宋体" w:cs="宋体"/>
          <w:color w:val="auto"/>
          <w:sz w:val="24"/>
          <w:szCs w:val="24"/>
          <w:highlight w:val="none"/>
        </w:rPr>
        <w:t>承包人应按国家有关劳动保护的规定</w:t>
      </w:r>
      <w:r>
        <w:rPr>
          <w:rFonts w:ascii="宋体" w:hAnsi="宋体" w:eastAsia="宋体" w:cs="宋体"/>
          <w:color w:val="auto"/>
          <w:spacing w:val="-1"/>
          <w:sz w:val="24"/>
          <w:szCs w:val="24"/>
          <w:highlight w:val="none"/>
        </w:rPr>
        <w:t>，采取有效的防止粉尘、降低噪声、</w:t>
      </w:r>
      <w:r>
        <w:rPr>
          <w:rFonts w:ascii="宋体" w:hAnsi="宋体" w:eastAsia="宋体" w:cs="宋体"/>
          <w:color w:val="auto"/>
          <w:spacing w:val="-3"/>
          <w:sz w:val="24"/>
          <w:szCs w:val="24"/>
          <w:highlight w:val="none"/>
        </w:rPr>
        <w:t>控制有害气体和保障高温、高寒、高空作业安全等劳动保护措施。其雇佣人员在施工</w:t>
      </w:r>
      <w:r>
        <w:rPr>
          <w:rFonts w:ascii="宋体" w:hAnsi="宋体" w:eastAsia="宋体" w:cs="宋体"/>
          <w:color w:val="auto"/>
          <w:spacing w:val="-2"/>
          <w:sz w:val="24"/>
          <w:szCs w:val="24"/>
          <w:highlight w:val="none"/>
        </w:rPr>
        <w:t>中受到伤害的，承包人应立即采取有效措施进行抢救和治疗。</w:t>
      </w:r>
    </w:p>
    <w:p w14:paraId="26D65063">
      <w:pPr>
        <w:spacing w:before="182"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4.8.5  </w:t>
      </w:r>
      <w:r>
        <w:rPr>
          <w:rFonts w:ascii="宋体" w:hAnsi="宋体" w:eastAsia="宋体" w:cs="宋体"/>
          <w:color w:val="auto"/>
          <w:spacing w:val="-1"/>
          <w:sz w:val="24"/>
          <w:szCs w:val="24"/>
          <w:highlight w:val="none"/>
        </w:rPr>
        <w:t>承包人应按有关法律规定和合同约定，为其雇佣人</w:t>
      </w:r>
      <w:r>
        <w:rPr>
          <w:rFonts w:ascii="宋体" w:hAnsi="宋体" w:eastAsia="宋体" w:cs="宋体"/>
          <w:color w:val="auto"/>
          <w:spacing w:val="-2"/>
          <w:sz w:val="24"/>
          <w:szCs w:val="24"/>
          <w:highlight w:val="none"/>
        </w:rPr>
        <w:t>员办理保险。</w:t>
      </w:r>
    </w:p>
    <w:p w14:paraId="31B56A78">
      <w:pPr>
        <w:spacing w:before="180"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4.8.6  </w:t>
      </w:r>
      <w:r>
        <w:rPr>
          <w:rFonts w:ascii="宋体" w:hAnsi="宋体" w:eastAsia="宋体" w:cs="宋体"/>
          <w:color w:val="auto"/>
          <w:spacing w:val="-1"/>
          <w:sz w:val="24"/>
          <w:szCs w:val="24"/>
          <w:highlight w:val="none"/>
        </w:rPr>
        <w:t>承包人应负责处理其雇佣人员因工伤</w:t>
      </w:r>
      <w:r>
        <w:rPr>
          <w:rFonts w:ascii="宋体" w:hAnsi="宋体" w:eastAsia="宋体" w:cs="宋体"/>
          <w:color w:val="auto"/>
          <w:spacing w:val="-2"/>
          <w:sz w:val="24"/>
          <w:szCs w:val="24"/>
          <w:highlight w:val="none"/>
        </w:rPr>
        <w:t>亡事故的善后事宜。</w:t>
      </w:r>
    </w:p>
    <w:p w14:paraId="1AA35638">
      <w:pPr>
        <w:spacing w:before="183" w:line="218" w:lineRule="auto"/>
        <w:outlineLvl w:val="2"/>
        <w:rPr>
          <w:rFonts w:ascii="宋体" w:hAnsi="宋体" w:eastAsia="宋体" w:cs="宋体"/>
          <w:color w:val="auto"/>
          <w:sz w:val="24"/>
          <w:szCs w:val="24"/>
          <w:highlight w:val="none"/>
        </w:rPr>
      </w:pPr>
      <w:bookmarkStart w:id="370" w:name="bookmark180"/>
      <w:bookmarkEnd w:id="370"/>
      <w:bookmarkStart w:id="371" w:name="_Toc8622"/>
      <w:bookmarkStart w:id="372" w:name="_Toc31839"/>
      <w:r>
        <w:rPr>
          <w:rFonts w:ascii="Times New Roman" w:hAnsi="Times New Roman" w:eastAsia="Times New Roman" w:cs="Times New Roman"/>
          <w:b/>
          <w:bCs/>
          <w:color w:val="auto"/>
          <w:spacing w:val="-2"/>
          <w:sz w:val="24"/>
          <w:szCs w:val="24"/>
          <w:highlight w:val="none"/>
        </w:rPr>
        <w:t xml:space="preserve">4.9  </w:t>
      </w:r>
      <w:r>
        <w:rPr>
          <w:rFonts w:ascii="宋体" w:hAnsi="宋体" w:eastAsia="宋体" w:cs="宋体"/>
          <w:b/>
          <w:bCs/>
          <w:color w:val="auto"/>
          <w:spacing w:val="-2"/>
          <w:sz w:val="24"/>
          <w:szCs w:val="24"/>
          <w:highlight w:val="none"/>
        </w:rPr>
        <w:t>工程价款应专款专用</w:t>
      </w:r>
      <w:bookmarkEnd w:id="371"/>
      <w:bookmarkEnd w:id="372"/>
    </w:p>
    <w:p w14:paraId="2FF138CF">
      <w:pPr>
        <w:spacing w:before="182" w:line="218"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发包人按合同约定支付给承包人的各项价款应专用于合同工程。</w:t>
      </w:r>
    </w:p>
    <w:p w14:paraId="1920B801">
      <w:pPr>
        <w:spacing w:before="184" w:line="220" w:lineRule="auto"/>
        <w:outlineLvl w:val="2"/>
        <w:rPr>
          <w:rFonts w:ascii="宋体" w:hAnsi="宋体" w:eastAsia="宋体" w:cs="宋体"/>
          <w:color w:val="auto"/>
          <w:sz w:val="24"/>
          <w:szCs w:val="24"/>
          <w:highlight w:val="none"/>
        </w:rPr>
      </w:pPr>
      <w:bookmarkStart w:id="373" w:name="bookmark181"/>
      <w:bookmarkEnd w:id="373"/>
      <w:bookmarkStart w:id="374" w:name="_Toc4469"/>
      <w:bookmarkStart w:id="375" w:name="_Toc2909"/>
      <w:r>
        <w:rPr>
          <w:rFonts w:ascii="Times New Roman" w:hAnsi="Times New Roman" w:eastAsia="Times New Roman" w:cs="Times New Roman"/>
          <w:b/>
          <w:bCs/>
          <w:color w:val="auto"/>
          <w:spacing w:val="-2"/>
          <w:sz w:val="24"/>
          <w:szCs w:val="24"/>
          <w:highlight w:val="none"/>
        </w:rPr>
        <w:t xml:space="preserve">4.10  </w:t>
      </w:r>
      <w:r>
        <w:rPr>
          <w:rFonts w:ascii="宋体" w:hAnsi="宋体" w:eastAsia="宋体" w:cs="宋体"/>
          <w:b/>
          <w:bCs/>
          <w:color w:val="auto"/>
          <w:spacing w:val="-2"/>
          <w:sz w:val="24"/>
          <w:szCs w:val="24"/>
          <w:highlight w:val="none"/>
        </w:rPr>
        <w:t>承包人现场查勘</w:t>
      </w:r>
      <w:bookmarkEnd w:id="374"/>
      <w:bookmarkEnd w:id="375"/>
    </w:p>
    <w:p w14:paraId="0645C72B">
      <w:pPr>
        <w:spacing w:before="179" w:line="290" w:lineRule="auto"/>
        <w:ind w:left="2" w:right="3"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4.10.1  </w:t>
      </w:r>
      <w:r>
        <w:rPr>
          <w:rFonts w:ascii="宋体" w:hAnsi="宋体" w:eastAsia="宋体" w:cs="宋体"/>
          <w:color w:val="auto"/>
          <w:spacing w:val="-4"/>
          <w:sz w:val="24"/>
          <w:szCs w:val="24"/>
          <w:highlight w:val="none"/>
        </w:rPr>
        <w:t>发包人应将其持有的现场地质勘探</w:t>
      </w:r>
      <w:r>
        <w:rPr>
          <w:rFonts w:ascii="宋体" w:hAnsi="宋体" w:eastAsia="宋体" w:cs="宋体"/>
          <w:color w:val="auto"/>
          <w:spacing w:val="-5"/>
          <w:sz w:val="24"/>
          <w:szCs w:val="24"/>
          <w:highlight w:val="none"/>
        </w:rPr>
        <w:t>资料、水文气象资料提供给承包人，</w:t>
      </w:r>
      <w:r>
        <w:rPr>
          <w:rFonts w:ascii="宋体" w:hAnsi="宋体" w:eastAsia="宋体" w:cs="宋体"/>
          <w:color w:val="auto"/>
          <w:spacing w:val="-46"/>
          <w:sz w:val="24"/>
          <w:szCs w:val="24"/>
          <w:highlight w:val="none"/>
        </w:rPr>
        <w:t xml:space="preserve"> </w:t>
      </w:r>
      <w:r>
        <w:rPr>
          <w:rFonts w:ascii="宋体" w:hAnsi="宋体" w:eastAsia="宋体" w:cs="宋体"/>
          <w:color w:val="auto"/>
          <w:spacing w:val="-5"/>
          <w:sz w:val="24"/>
          <w:szCs w:val="24"/>
          <w:highlight w:val="none"/>
        </w:rPr>
        <w:t>并</w:t>
      </w:r>
      <w:r>
        <w:rPr>
          <w:rFonts w:ascii="宋体" w:hAnsi="宋体" w:eastAsia="宋体" w:cs="宋体"/>
          <w:color w:val="auto"/>
          <w:spacing w:val="-1"/>
          <w:sz w:val="24"/>
          <w:szCs w:val="24"/>
          <w:highlight w:val="none"/>
        </w:rPr>
        <w:t>对其准确性负责。但承包人应对其阅读上述有关资料后所作出的解</w:t>
      </w:r>
      <w:r>
        <w:rPr>
          <w:rFonts w:ascii="宋体" w:hAnsi="宋体" w:eastAsia="宋体" w:cs="宋体"/>
          <w:color w:val="auto"/>
          <w:spacing w:val="-2"/>
          <w:sz w:val="24"/>
          <w:szCs w:val="24"/>
          <w:highlight w:val="none"/>
        </w:rPr>
        <w:t>释和推断负责。</w:t>
      </w:r>
    </w:p>
    <w:p w14:paraId="1486F03D">
      <w:pPr>
        <w:spacing w:before="179" w:line="313" w:lineRule="auto"/>
        <w:ind w:left="4" w:right="1"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4.10.2  </w:t>
      </w:r>
      <w:r>
        <w:rPr>
          <w:rFonts w:ascii="宋体" w:hAnsi="宋体" w:eastAsia="宋体" w:cs="宋体"/>
          <w:color w:val="auto"/>
          <w:spacing w:val="-2"/>
          <w:sz w:val="24"/>
          <w:szCs w:val="24"/>
          <w:highlight w:val="none"/>
        </w:rPr>
        <w:t>承包人应对施工场地和周</w:t>
      </w:r>
      <w:r>
        <w:rPr>
          <w:rFonts w:ascii="宋体" w:hAnsi="宋体" w:eastAsia="宋体" w:cs="宋体"/>
          <w:color w:val="auto"/>
          <w:spacing w:val="-3"/>
          <w:sz w:val="24"/>
          <w:szCs w:val="24"/>
          <w:highlight w:val="none"/>
        </w:rPr>
        <w:t>围环境进行查勘，并收集有关地质、水文、气象条件、交通条件、风俗习惯以及其他为完成合同工作有关的当地资料。在全部合同工</w:t>
      </w:r>
      <w:r>
        <w:rPr>
          <w:rFonts w:ascii="宋体" w:hAnsi="宋体" w:eastAsia="宋体" w:cs="宋体"/>
          <w:color w:val="auto"/>
          <w:spacing w:val="-2"/>
          <w:sz w:val="24"/>
          <w:szCs w:val="24"/>
          <w:highlight w:val="none"/>
        </w:rPr>
        <w:t>作中，应视为承包人已充分估计了应承担的责任和风险。</w:t>
      </w:r>
    </w:p>
    <w:p w14:paraId="5673D4BB">
      <w:pPr>
        <w:spacing w:before="182" w:line="220" w:lineRule="auto"/>
        <w:outlineLvl w:val="2"/>
        <w:rPr>
          <w:rFonts w:ascii="宋体" w:hAnsi="宋体" w:eastAsia="宋体" w:cs="宋体"/>
          <w:color w:val="auto"/>
          <w:sz w:val="24"/>
          <w:szCs w:val="24"/>
          <w:highlight w:val="none"/>
        </w:rPr>
      </w:pPr>
      <w:bookmarkStart w:id="376" w:name="bookmark182"/>
      <w:bookmarkEnd w:id="376"/>
      <w:bookmarkStart w:id="377" w:name="_Toc28475"/>
      <w:bookmarkStart w:id="378" w:name="_Toc29406"/>
      <w:r>
        <w:rPr>
          <w:rFonts w:ascii="Times New Roman" w:hAnsi="Times New Roman" w:eastAsia="Times New Roman" w:cs="Times New Roman"/>
          <w:b/>
          <w:bCs/>
          <w:color w:val="auto"/>
          <w:spacing w:val="-2"/>
          <w:sz w:val="24"/>
          <w:szCs w:val="24"/>
          <w:highlight w:val="none"/>
        </w:rPr>
        <w:t xml:space="preserve">4.11  </w:t>
      </w:r>
      <w:r>
        <w:rPr>
          <w:rFonts w:ascii="宋体" w:hAnsi="宋体" w:eastAsia="宋体" w:cs="宋体"/>
          <w:b/>
          <w:bCs/>
          <w:color w:val="auto"/>
          <w:spacing w:val="-2"/>
          <w:sz w:val="24"/>
          <w:szCs w:val="24"/>
          <w:highlight w:val="none"/>
        </w:rPr>
        <w:t>不利物质条件</w:t>
      </w:r>
      <w:bookmarkEnd w:id="377"/>
      <w:bookmarkEnd w:id="378"/>
    </w:p>
    <w:p w14:paraId="45BD0402">
      <w:pPr>
        <w:spacing w:before="182" w:line="289" w:lineRule="auto"/>
        <w:ind w:left="8" w:right="1"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4.11.1  </w:t>
      </w:r>
      <w:r>
        <w:rPr>
          <w:rFonts w:ascii="宋体" w:hAnsi="宋体" w:eastAsia="宋体" w:cs="宋体"/>
          <w:color w:val="auto"/>
          <w:spacing w:val="-2"/>
          <w:sz w:val="24"/>
          <w:szCs w:val="24"/>
          <w:highlight w:val="none"/>
        </w:rPr>
        <w:t>除专用合同条款另有约定</w:t>
      </w:r>
      <w:r>
        <w:rPr>
          <w:rFonts w:ascii="宋体" w:hAnsi="宋体" w:eastAsia="宋体" w:cs="宋体"/>
          <w:color w:val="auto"/>
          <w:spacing w:val="-3"/>
          <w:sz w:val="24"/>
          <w:szCs w:val="24"/>
          <w:highlight w:val="none"/>
        </w:rPr>
        <w:t>外，不利物质条件是指在施工中遭遇不可预见的外界障碍或自然条件造成施工受阻。</w:t>
      </w:r>
    </w:p>
    <w:p w14:paraId="5681B687">
      <w:pPr>
        <w:spacing w:before="182" w:line="324" w:lineRule="auto"/>
        <w:ind w:left="2" w:righ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4.11.2  </w:t>
      </w:r>
      <w:r>
        <w:rPr>
          <w:rFonts w:ascii="宋体" w:hAnsi="宋体" w:eastAsia="宋体" w:cs="宋体"/>
          <w:color w:val="auto"/>
          <w:spacing w:val="-2"/>
          <w:sz w:val="24"/>
          <w:szCs w:val="24"/>
          <w:highlight w:val="none"/>
        </w:rPr>
        <w:t>承包人遇到不利物质条件</w:t>
      </w:r>
      <w:r>
        <w:rPr>
          <w:rFonts w:ascii="宋体" w:hAnsi="宋体" w:eastAsia="宋体" w:cs="宋体"/>
          <w:color w:val="auto"/>
          <w:spacing w:val="-3"/>
          <w:sz w:val="24"/>
          <w:szCs w:val="24"/>
          <w:highlight w:val="none"/>
        </w:rPr>
        <w:t>时，应采取适应不利物质条件的合理措施继续施</w:t>
      </w:r>
      <w:r>
        <w:rPr>
          <w:rFonts w:ascii="宋体" w:hAnsi="宋体" w:eastAsia="宋体" w:cs="宋体"/>
          <w:color w:val="auto"/>
          <w:spacing w:val="-7"/>
          <w:sz w:val="24"/>
          <w:szCs w:val="24"/>
          <w:highlight w:val="none"/>
        </w:rPr>
        <w:t>工，并及时通知监理人。承包人有权根据第</w:t>
      </w:r>
      <w:r>
        <w:rPr>
          <w:rFonts w:ascii="Times New Roman" w:hAnsi="Times New Roman" w:eastAsia="Times New Roman" w:cs="Times New Roman"/>
          <w:color w:val="auto"/>
          <w:spacing w:val="-7"/>
          <w:sz w:val="24"/>
          <w:szCs w:val="24"/>
          <w:highlight w:val="none"/>
        </w:rPr>
        <w:t>23.1</w:t>
      </w:r>
      <w:r>
        <w:rPr>
          <w:rFonts w:ascii="宋体" w:hAnsi="宋体" w:eastAsia="宋体" w:cs="宋体"/>
          <w:color w:val="auto"/>
          <w:spacing w:val="-7"/>
          <w:sz w:val="24"/>
          <w:szCs w:val="24"/>
          <w:highlight w:val="none"/>
        </w:rPr>
        <w:t>款的约定，要求延长工期及增加费用。</w:t>
      </w:r>
      <w:r>
        <w:rPr>
          <w:rFonts w:ascii="宋体" w:hAnsi="宋体" w:eastAsia="宋体" w:cs="宋体"/>
          <w:color w:val="auto"/>
          <w:spacing w:val="-3"/>
          <w:sz w:val="24"/>
          <w:szCs w:val="24"/>
          <w:highlight w:val="none"/>
        </w:rPr>
        <w:t>监理人收到此类要求后，应在分析上述外界障碍或自然条件是否不可预见及不可预见</w:t>
      </w:r>
      <w:r>
        <w:rPr>
          <w:rFonts w:ascii="宋体" w:hAnsi="宋体" w:eastAsia="宋体" w:cs="宋体"/>
          <w:color w:val="auto"/>
          <w:spacing w:val="-2"/>
          <w:sz w:val="24"/>
          <w:szCs w:val="24"/>
          <w:highlight w:val="none"/>
        </w:rPr>
        <w:t>程度的基础上，按照通用合同条款第</w:t>
      </w:r>
      <w:r>
        <w:rPr>
          <w:rFonts w:ascii="Times New Roman" w:hAnsi="Times New Roman" w:eastAsia="Times New Roman" w:cs="Times New Roman"/>
          <w:color w:val="auto"/>
          <w:spacing w:val="-2"/>
          <w:sz w:val="24"/>
          <w:szCs w:val="24"/>
          <w:highlight w:val="none"/>
        </w:rPr>
        <w:t>15</w:t>
      </w:r>
      <w:r>
        <w:rPr>
          <w:rFonts w:ascii="宋体" w:hAnsi="宋体" w:eastAsia="宋体" w:cs="宋体"/>
          <w:color w:val="auto"/>
          <w:spacing w:val="-2"/>
          <w:sz w:val="24"/>
          <w:szCs w:val="24"/>
          <w:highlight w:val="none"/>
        </w:rPr>
        <w:t>条的约定办理。</w:t>
      </w:r>
    </w:p>
    <w:p w14:paraId="2A0DAB98">
      <w:pPr>
        <w:spacing w:before="309" w:line="219" w:lineRule="auto"/>
        <w:ind w:left="3"/>
        <w:outlineLvl w:val="1"/>
        <w:rPr>
          <w:rFonts w:ascii="宋体" w:hAnsi="宋体" w:eastAsia="宋体" w:cs="宋体"/>
          <w:color w:val="auto"/>
          <w:sz w:val="28"/>
          <w:szCs w:val="28"/>
          <w:highlight w:val="none"/>
        </w:rPr>
      </w:pPr>
      <w:bookmarkStart w:id="379" w:name="bookmark184"/>
      <w:bookmarkEnd w:id="379"/>
      <w:bookmarkStart w:id="380" w:name="bookmark183"/>
      <w:bookmarkEnd w:id="380"/>
      <w:bookmarkStart w:id="381" w:name="_Toc22668"/>
      <w:bookmarkStart w:id="382" w:name="_Toc2969"/>
      <w:r>
        <w:rPr>
          <w:rFonts w:ascii="Times New Roman" w:hAnsi="Times New Roman" w:eastAsia="Times New Roman" w:cs="Times New Roman"/>
          <w:b/>
          <w:bCs/>
          <w:color w:val="auto"/>
          <w:spacing w:val="-3"/>
          <w:sz w:val="28"/>
          <w:szCs w:val="28"/>
          <w:highlight w:val="none"/>
        </w:rPr>
        <w:t xml:space="preserve">5 </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材料和工程设备</w:t>
      </w:r>
      <w:bookmarkEnd w:id="381"/>
      <w:bookmarkEnd w:id="382"/>
    </w:p>
    <w:p w14:paraId="48E08249">
      <w:pPr>
        <w:pStyle w:val="3"/>
        <w:spacing w:line="246" w:lineRule="auto"/>
        <w:rPr>
          <w:color w:val="auto"/>
          <w:highlight w:val="none"/>
        </w:rPr>
      </w:pPr>
    </w:p>
    <w:p w14:paraId="00760ED8">
      <w:pPr>
        <w:spacing w:before="79" w:line="219" w:lineRule="auto"/>
        <w:ind w:left="2"/>
        <w:outlineLvl w:val="2"/>
        <w:rPr>
          <w:rFonts w:ascii="宋体" w:hAnsi="宋体" w:eastAsia="宋体" w:cs="宋体"/>
          <w:color w:val="auto"/>
          <w:sz w:val="24"/>
          <w:szCs w:val="24"/>
          <w:highlight w:val="none"/>
        </w:rPr>
      </w:pPr>
      <w:bookmarkStart w:id="383" w:name="bookmark691"/>
      <w:bookmarkEnd w:id="383"/>
      <w:bookmarkStart w:id="384" w:name="_Toc14048"/>
      <w:bookmarkStart w:id="385" w:name="_Toc28063"/>
      <w:r>
        <w:rPr>
          <w:rFonts w:ascii="Times New Roman" w:hAnsi="Times New Roman" w:eastAsia="Times New Roman" w:cs="Times New Roman"/>
          <w:b/>
          <w:bCs/>
          <w:color w:val="auto"/>
          <w:spacing w:val="-2"/>
          <w:sz w:val="24"/>
          <w:szCs w:val="24"/>
          <w:highlight w:val="none"/>
        </w:rPr>
        <w:t xml:space="preserve">5.1  </w:t>
      </w:r>
      <w:r>
        <w:rPr>
          <w:rFonts w:ascii="宋体" w:hAnsi="宋体" w:eastAsia="宋体" w:cs="宋体"/>
          <w:b/>
          <w:bCs/>
          <w:color w:val="auto"/>
          <w:spacing w:val="-2"/>
          <w:sz w:val="24"/>
          <w:szCs w:val="24"/>
          <w:highlight w:val="none"/>
        </w:rPr>
        <w:t>承包人提供的材料和工程设备</w:t>
      </w:r>
      <w:bookmarkEnd w:id="384"/>
      <w:bookmarkEnd w:id="385"/>
    </w:p>
    <w:p w14:paraId="723591EB">
      <w:pPr>
        <w:spacing w:before="183" w:line="360" w:lineRule="auto"/>
        <w:ind w:left="4" w:right="1" w:firstLine="480"/>
        <w:jc w:val="both"/>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5.1.1  </w:t>
      </w:r>
      <w:r>
        <w:rPr>
          <w:rFonts w:ascii="宋体" w:hAnsi="宋体" w:eastAsia="宋体" w:cs="宋体"/>
          <w:color w:val="auto"/>
          <w:spacing w:val="-1"/>
          <w:sz w:val="24"/>
          <w:szCs w:val="24"/>
          <w:highlight w:val="none"/>
        </w:rPr>
        <w:t>除第</w:t>
      </w:r>
      <w:r>
        <w:rPr>
          <w:rFonts w:ascii="Times New Roman" w:hAnsi="Times New Roman" w:eastAsia="Times New Roman" w:cs="Times New Roman"/>
          <w:color w:val="auto"/>
          <w:spacing w:val="-1"/>
          <w:sz w:val="24"/>
          <w:szCs w:val="24"/>
          <w:highlight w:val="none"/>
        </w:rPr>
        <w:t>5.2</w:t>
      </w:r>
      <w:r>
        <w:rPr>
          <w:rFonts w:ascii="宋体" w:hAnsi="宋体" w:eastAsia="宋体" w:cs="宋体"/>
          <w:color w:val="auto"/>
          <w:spacing w:val="-1"/>
          <w:sz w:val="24"/>
          <w:szCs w:val="24"/>
          <w:highlight w:val="none"/>
        </w:rPr>
        <w:t>款约定由发包人提供的材料和工程设备外，承包人负责采购、</w:t>
      </w:r>
      <w:r>
        <w:rPr>
          <w:rFonts w:ascii="宋体" w:hAnsi="宋体" w:eastAsia="宋体" w:cs="宋体"/>
          <w:color w:val="auto"/>
          <w:spacing w:val="-2"/>
          <w:sz w:val="24"/>
          <w:szCs w:val="24"/>
          <w:highlight w:val="none"/>
        </w:rPr>
        <w:t>运输</w:t>
      </w:r>
      <w:r>
        <w:rPr>
          <w:rFonts w:ascii="宋体" w:hAnsi="宋体" w:eastAsia="宋体" w:cs="宋体"/>
          <w:color w:val="auto"/>
          <w:spacing w:val="-3"/>
          <w:sz w:val="24"/>
          <w:szCs w:val="24"/>
          <w:highlight w:val="none"/>
        </w:rPr>
        <w:t>和保管完成本合同工作所需的材料和工程设备。承包人应对其采购的材料和工程设备</w:t>
      </w:r>
      <w:r>
        <w:rPr>
          <w:rFonts w:ascii="宋体" w:hAnsi="宋体" w:eastAsia="宋体" w:cs="宋体"/>
          <w:color w:val="auto"/>
          <w:spacing w:val="-11"/>
          <w:sz w:val="24"/>
          <w:szCs w:val="24"/>
          <w:highlight w:val="none"/>
        </w:rPr>
        <w:t>负责。</w:t>
      </w:r>
    </w:p>
    <w:p w14:paraId="06892F31">
      <w:pPr>
        <w:spacing w:line="360" w:lineRule="auto"/>
        <w:rPr>
          <w:rFonts w:ascii="宋体" w:hAnsi="宋体" w:eastAsia="宋体" w:cs="宋体"/>
          <w:color w:val="auto"/>
          <w:sz w:val="24"/>
          <w:szCs w:val="24"/>
          <w:highlight w:val="none"/>
        </w:rPr>
        <w:sectPr>
          <w:footerReference r:id="rId41" w:type="default"/>
          <w:pgSz w:w="11907" w:h="16841"/>
          <w:pgMar w:top="1428" w:right="1527" w:bottom="1254" w:left="1594" w:header="0" w:footer="1093" w:gutter="0"/>
          <w:pgNumType w:fmt="decimal"/>
          <w:cols w:space="720" w:num="1"/>
        </w:sectPr>
      </w:pPr>
    </w:p>
    <w:p w14:paraId="181A5587">
      <w:pPr>
        <w:spacing w:before="46" w:line="313" w:lineRule="auto"/>
        <w:ind w:left="2"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5.1.2  </w:t>
      </w:r>
      <w:r>
        <w:rPr>
          <w:rFonts w:ascii="宋体" w:hAnsi="宋体" w:eastAsia="宋体" w:cs="宋体"/>
          <w:color w:val="auto"/>
          <w:spacing w:val="-3"/>
          <w:sz w:val="24"/>
          <w:szCs w:val="24"/>
          <w:highlight w:val="none"/>
        </w:rPr>
        <w:t>承包人应按专用合同条款的约定，</w:t>
      </w:r>
      <w:r>
        <w:rPr>
          <w:rFonts w:ascii="宋体" w:hAnsi="宋体" w:eastAsia="宋体" w:cs="宋体"/>
          <w:color w:val="auto"/>
          <w:spacing w:val="-4"/>
          <w:sz w:val="24"/>
          <w:szCs w:val="24"/>
          <w:highlight w:val="none"/>
        </w:rPr>
        <w:t>将各项材料和工程设备的供货人及品种、</w:t>
      </w:r>
      <w:r>
        <w:rPr>
          <w:rFonts w:ascii="宋体" w:hAnsi="宋体" w:eastAsia="宋体" w:cs="宋体"/>
          <w:color w:val="auto"/>
          <w:spacing w:val="-3"/>
          <w:sz w:val="24"/>
          <w:szCs w:val="24"/>
          <w:highlight w:val="none"/>
        </w:rPr>
        <w:t>规格、数量和供货时间等报送监理人审批。承包人应向监理人提交其负责提供的材料</w:t>
      </w:r>
      <w:r>
        <w:rPr>
          <w:rFonts w:ascii="宋体" w:hAnsi="宋体" w:eastAsia="宋体" w:cs="宋体"/>
          <w:color w:val="auto"/>
          <w:spacing w:val="-2"/>
          <w:sz w:val="24"/>
          <w:szCs w:val="24"/>
          <w:highlight w:val="none"/>
        </w:rPr>
        <w:t>和工程设备的质量证明文件，并满足合同约定的质量标准。</w:t>
      </w:r>
    </w:p>
    <w:p w14:paraId="45E7A1DA">
      <w:pPr>
        <w:spacing w:before="183" w:line="324" w:lineRule="auto"/>
        <w:ind w:right="85" w:firstLine="482"/>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5.1.3  </w:t>
      </w:r>
      <w:r>
        <w:rPr>
          <w:rFonts w:ascii="宋体" w:hAnsi="宋体" w:eastAsia="宋体" w:cs="宋体"/>
          <w:color w:val="auto"/>
          <w:sz w:val="24"/>
          <w:szCs w:val="24"/>
          <w:highlight w:val="none"/>
        </w:rPr>
        <w:t>对承包人提供的材料和工程设备，承包人应会同监理人进行检验和交货验</w:t>
      </w:r>
      <w:r>
        <w:rPr>
          <w:rFonts w:ascii="宋体" w:hAnsi="宋体" w:eastAsia="宋体" w:cs="宋体"/>
          <w:color w:val="auto"/>
          <w:spacing w:val="-3"/>
          <w:sz w:val="24"/>
          <w:szCs w:val="24"/>
          <w:highlight w:val="none"/>
        </w:rPr>
        <w:t>收，查验材料合格证明和产品合格证书，并按合同约定和监理人指示，进行材料的抽样检验和工程设备的检验测试，检验和测试结果应提交监理人，所需费用由承包人承</w:t>
      </w:r>
      <w:r>
        <w:rPr>
          <w:rFonts w:ascii="宋体" w:hAnsi="宋体" w:eastAsia="宋体" w:cs="宋体"/>
          <w:color w:val="auto"/>
          <w:spacing w:val="-11"/>
          <w:sz w:val="24"/>
          <w:szCs w:val="24"/>
          <w:highlight w:val="none"/>
        </w:rPr>
        <w:t>担。</w:t>
      </w:r>
    </w:p>
    <w:p w14:paraId="1D1A0CEF">
      <w:pPr>
        <w:spacing w:before="181" w:line="219" w:lineRule="auto"/>
        <w:outlineLvl w:val="2"/>
        <w:rPr>
          <w:rFonts w:ascii="宋体" w:hAnsi="宋体" w:eastAsia="宋体" w:cs="宋体"/>
          <w:color w:val="auto"/>
          <w:sz w:val="24"/>
          <w:szCs w:val="24"/>
          <w:highlight w:val="none"/>
        </w:rPr>
      </w:pPr>
      <w:bookmarkStart w:id="386" w:name="bookmark185"/>
      <w:bookmarkEnd w:id="386"/>
      <w:bookmarkStart w:id="387" w:name="_Toc9854"/>
      <w:bookmarkStart w:id="388" w:name="_Toc13594"/>
      <w:r>
        <w:rPr>
          <w:rFonts w:ascii="Times New Roman" w:hAnsi="Times New Roman" w:eastAsia="Times New Roman" w:cs="Times New Roman"/>
          <w:b/>
          <w:bCs/>
          <w:color w:val="auto"/>
          <w:spacing w:val="-2"/>
          <w:sz w:val="24"/>
          <w:szCs w:val="24"/>
          <w:highlight w:val="none"/>
        </w:rPr>
        <w:t xml:space="preserve">5.2  </w:t>
      </w:r>
      <w:r>
        <w:rPr>
          <w:rFonts w:ascii="宋体" w:hAnsi="宋体" w:eastAsia="宋体" w:cs="宋体"/>
          <w:b/>
          <w:bCs/>
          <w:color w:val="auto"/>
          <w:spacing w:val="-2"/>
          <w:sz w:val="24"/>
          <w:szCs w:val="24"/>
          <w:highlight w:val="none"/>
        </w:rPr>
        <w:t>发包人提供的材料和工程设备</w:t>
      </w:r>
      <w:bookmarkEnd w:id="387"/>
      <w:bookmarkEnd w:id="388"/>
    </w:p>
    <w:p w14:paraId="221E2676">
      <w:pPr>
        <w:spacing w:before="181" w:line="289" w:lineRule="auto"/>
        <w:ind w:left="20" w:right="85" w:firstLine="461"/>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5.2.1  </w:t>
      </w:r>
      <w:r>
        <w:rPr>
          <w:rFonts w:ascii="宋体" w:hAnsi="宋体" w:eastAsia="宋体" w:cs="宋体"/>
          <w:color w:val="auto"/>
          <w:sz w:val="24"/>
          <w:szCs w:val="24"/>
          <w:highlight w:val="none"/>
        </w:rPr>
        <w:t>发包人提供的材料和工程设备，应在专用合同条款中写明材料和工程设备</w:t>
      </w:r>
      <w:r>
        <w:rPr>
          <w:rFonts w:ascii="宋体" w:hAnsi="宋体" w:eastAsia="宋体" w:cs="宋体"/>
          <w:color w:val="auto"/>
          <w:spacing w:val="-2"/>
          <w:sz w:val="24"/>
          <w:szCs w:val="24"/>
          <w:highlight w:val="none"/>
        </w:rPr>
        <w:t>的名称、规格、数量、价格、交货方式、交货地点和计划交货日期等。</w:t>
      </w:r>
    </w:p>
    <w:p w14:paraId="0E38CA57">
      <w:pPr>
        <w:spacing w:before="181" w:line="313" w:lineRule="auto"/>
        <w:ind w:left="1" w:right="85" w:firstLine="481"/>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5.2.2  </w:t>
      </w:r>
      <w:r>
        <w:rPr>
          <w:rFonts w:ascii="宋体" w:hAnsi="宋体" w:eastAsia="宋体" w:cs="宋体"/>
          <w:color w:val="auto"/>
          <w:sz w:val="24"/>
          <w:szCs w:val="24"/>
          <w:highlight w:val="none"/>
        </w:rPr>
        <w:t>承包人应根据合同进度计划的安排，向监理人报送要求发包人交货的日期</w:t>
      </w:r>
      <w:r>
        <w:rPr>
          <w:rFonts w:ascii="宋体" w:hAnsi="宋体" w:eastAsia="宋体" w:cs="宋体"/>
          <w:color w:val="auto"/>
          <w:spacing w:val="-5"/>
          <w:sz w:val="24"/>
          <w:szCs w:val="24"/>
          <w:highlight w:val="none"/>
        </w:rPr>
        <w:t>计划。发包人应按照监理人与合同双方当事人商定的</w:t>
      </w:r>
      <w:r>
        <w:rPr>
          <w:rFonts w:ascii="宋体" w:hAnsi="宋体" w:eastAsia="宋体" w:cs="宋体"/>
          <w:color w:val="auto"/>
          <w:spacing w:val="-6"/>
          <w:sz w:val="24"/>
          <w:szCs w:val="24"/>
          <w:highlight w:val="none"/>
        </w:rPr>
        <w:t>交货日期，</w:t>
      </w:r>
      <w:r>
        <w:rPr>
          <w:rFonts w:ascii="宋体" w:hAnsi="宋体" w:eastAsia="宋体" w:cs="宋体"/>
          <w:color w:val="auto"/>
          <w:spacing w:val="-23"/>
          <w:sz w:val="24"/>
          <w:szCs w:val="24"/>
          <w:highlight w:val="none"/>
        </w:rPr>
        <w:t xml:space="preserve"> </w:t>
      </w:r>
      <w:r>
        <w:rPr>
          <w:rFonts w:ascii="宋体" w:hAnsi="宋体" w:eastAsia="宋体" w:cs="宋体"/>
          <w:color w:val="auto"/>
          <w:spacing w:val="-6"/>
          <w:sz w:val="24"/>
          <w:szCs w:val="24"/>
          <w:highlight w:val="none"/>
        </w:rPr>
        <w:t>向承包人提交材料和</w:t>
      </w:r>
      <w:r>
        <w:rPr>
          <w:rFonts w:ascii="宋体" w:hAnsi="宋体" w:eastAsia="宋体" w:cs="宋体"/>
          <w:color w:val="auto"/>
          <w:spacing w:val="-8"/>
          <w:sz w:val="24"/>
          <w:szCs w:val="24"/>
          <w:highlight w:val="none"/>
        </w:rPr>
        <w:t>工程设备。</w:t>
      </w:r>
    </w:p>
    <w:p w14:paraId="7BC827F2">
      <w:pPr>
        <w:spacing w:before="182" w:line="312" w:lineRule="auto"/>
        <w:ind w:left="6" w:right="85" w:firstLine="475"/>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5.2.3  </w:t>
      </w:r>
      <w:r>
        <w:rPr>
          <w:rFonts w:ascii="宋体" w:hAnsi="宋体" w:eastAsia="宋体" w:cs="宋体"/>
          <w:color w:val="auto"/>
          <w:spacing w:val="-3"/>
          <w:sz w:val="24"/>
          <w:szCs w:val="24"/>
          <w:highlight w:val="none"/>
        </w:rPr>
        <w:t>发包人应在材料和工程设备到货</w:t>
      </w:r>
      <w:r>
        <w:rPr>
          <w:rFonts w:ascii="Times New Roman" w:hAnsi="Times New Roman" w:eastAsia="Times New Roman" w:cs="Times New Roman"/>
          <w:color w:val="auto"/>
          <w:spacing w:val="-3"/>
          <w:sz w:val="24"/>
          <w:szCs w:val="24"/>
          <w:highlight w:val="none"/>
        </w:rPr>
        <w:t>7</w:t>
      </w:r>
      <w:r>
        <w:rPr>
          <w:rFonts w:ascii="宋体" w:hAnsi="宋体" w:eastAsia="宋体" w:cs="宋体"/>
          <w:color w:val="auto"/>
          <w:spacing w:val="-3"/>
          <w:sz w:val="24"/>
          <w:szCs w:val="24"/>
          <w:highlight w:val="none"/>
        </w:rPr>
        <w:t>天前通知承包人，承包人应会同监理人在约定的时间内，赴交货地点共同进行验收。发包人提供的材料和工程设备运至交货地</w:t>
      </w:r>
      <w:r>
        <w:rPr>
          <w:rFonts w:ascii="宋体" w:hAnsi="宋体" w:eastAsia="宋体" w:cs="宋体"/>
          <w:color w:val="auto"/>
          <w:spacing w:val="-2"/>
          <w:sz w:val="24"/>
          <w:szCs w:val="24"/>
          <w:highlight w:val="none"/>
        </w:rPr>
        <w:t>点验收后，由承包人负责接收、卸货、运输和</w:t>
      </w:r>
      <w:r>
        <w:rPr>
          <w:rFonts w:ascii="宋体" w:hAnsi="宋体" w:eastAsia="宋体" w:cs="宋体"/>
          <w:color w:val="auto"/>
          <w:spacing w:val="-3"/>
          <w:sz w:val="24"/>
          <w:szCs w:val="24"/>
          <w:highlight w:val="none"/>
        </w:rPr>
        <w:t>保管。</w:t>
      </w:r>
    </w:p>
    <w:p w14:paraId="7547B410">
      <w:pPr>
        <w:spacing w:before="184" w:line="289" w:lineRule="auto"/>
        <w:ind w:left="3" w:right="85"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5.2.4  </w:t>
      </w:r>
      <w:r>
        <w:rPr>
          <w:rFonts w:ascii="宋体" w:hAnsi="宋体" w:eastAsia="宋体" w:cs="宋体"/>
          <w:color w:val="auto"/>
          <w:sz w:val="24"/>
          <w:szCs w:val="24"/>
          <w:highlight w:val="none"/>
        </w:rPr>
        <w:t>发包人要求向承包人提前交货的，承包人不得拒绝，但发包人应承担承包</w:t>
      </w:r>
      <w:r>
        <w:rPr>
          <w:rFonts w:ascii="宋体" w:hAnsi="宋体" w:eastAsia="宋体" w:cs="宋体"/>
          <w:color w:val="auto"/>
          <w:spacing w:val="-5"/>
          <w:sz w:val="24"/>
          <w:szCs w:val="24"/>
          <w:highlight w:val="none"/>
        </w:rPr>
        <w:t>人由此增加的费用。</w:t>
      </w:r>
    </w:p>
    <w:p w14:paraId="3693B724">
      <w:pPr>
        <w:spacing w:before="183" w:line="288" w:lineRule="auto"/>
        <w:ind w:left="2" w:right="85"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5.2.5  </w:t>
      </w:r>
      <w:r>
        <w:rPr>
          <w:rFonts w:ascii="宋体" w:hAnsi="宋体" w:eastAsia="宋体" w:cs="宋体"/>
          <w:color w:val="auto"/>
          <w:sz w:val="24"/>
          <w:szCs w:val="24"/>
          <w:highlight w:val="none"/>
        </w:rPr>
        <w:t>承包人要求更改交货日期或地点的，应事先报请监理人批准。由于承包人</w:t>
      </w:r>
      <w:r>
        <w:rPr>
          <w:rFonts w:ascii="宋体" w:hAnsi="宋体" w:eastAsia="宋体" w:cs="宋体"/>
          <w:color w:val="auto"/>
          <w:spacing w:val="-1"/>
          <w:sz w:val="24"/>
          <w:szCs w:val="24"/>
          <w:highlight w:val="none"/>
        </w:rPr>
        <w:t>要求更改交货时间或地点所增加的费用和（</w:t>
      </w:r>
      <w:r>
        <w:rPr>
          <w:rFonts w:ascii="宋体" w:hAnsi="宋体" w:eastAsia="宋体" w:cs="宋体"/>
          <w:color w:val="auto"/>
          <w:spacing w:val="-2"/>
          <w:sz w:val="24"/>
          <w:szCs w:val="24"/>
          <w:highlight w:val="none"/>
        </w:rPr>
        <w:t>或）工期延误由承包人承担。</w:t>
      </w:r>
    </w:p>
    <w:p w14:paraId="32F589F6">
      <w:pPr>
        <w:spacing w:before="182" w:line="313" w:lineRule="auto"/>
        <w:ind w:left="5" w:right="85"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5.2.6  </w:t>
      </w:r>
      <w:r>
        <w:rPr>
          <w:rFonts w:ascii="宋体" w:hAnsi="宋体" w:eastAsia="宋体" w:cs="宋体"/>
          <w:color w:val="auto"/>
          <w:sz w:val="24"/>
          <w:szCs w:val="24"/>
          <w:highlight w:val="none"/>
        </w:rPr>
        <w:t>发包人提供的材料和工程设备的规格、数量或质量不符合合同要求，或由</w:t>
      </w:r>
      <w:r>
        <w:rPr>
          <w:rFonts w:ascii="宋体" w:hAnsi="宋体" w:eastAsia="宋体" w:cs="宋体"/>
          <w:color w:val="auto"/>
          <w:spacing w:val="-3"/>
          <w:sz w:val="24"/>
          <w:szCs w:val="24"/>
          <w:highlight w:val="none"/>
        </w:rPr>
        <w:t>于发包人原因发生交货日期延误及交货地点变更等情况的，发包人应承担由此增加的</w:t>
      </w:r>
      <w:r>
        <w:rPr>
          <w:rFonts w:ascii="宋体" w:hAnsi="宋体" w:eastAsia="宋体" w:cs="宋体"/>
          <w:color w:val="auto"/>
          <w:spacing w:val="-2"/>
          <w:sz w:val="24"/>
          <w:szCs w:val="24"/>
          <w:highlight w:val="none"/>
        </w:rPr>
        <w:t>费用和（或）工期延误，并向承包人支付合理利润。</w:t>
      </w:r>
    </w:p>
    <w:p w14:paraId="369FE20F">
      <w:pPr>
        <w:spacing w:before="180" w:line="219" w:lineRule="auto"/>
        <w:outlineLvl w:val="2"/>
        <w:rPr>
          <w:rFonts w:ascii="宋体" w:hAnsi="宋体" w:eastAsia="宋体" w:cs="宋体"/>
          <w:color w:val="auto"/>
          <w:sz w:val="24"/>
          <w:szCs w:val="24"/>
          <w:highlight w:val="none"/>
        </w:rPr>
      </w:pPr>
      <w:bookmarkStart w:id="389" w:name="bookmark186"/>
      <w:bookmarkEnd w:id="389"/>
      <w:bookmarkStart w:id="390" w:name="_Toc32629"/>
      <w:bookmarkStart w:id="391" w:name="_Toc27527"/>
      <w:r>
        <w:rPr>
          <w:rFonts w:ascii="Times New Roman" w:hAnsi="Times New Roman" w:eastAsia="Times New Roman" w:cs="Times New Roman"/>
          <w:b/>
          <w:bCs/>
          <w:color w:val="auto"/>
          <w:spacing w:val="-2"/>
          <w:sz w:val="24"/>
          <w:szCs w:val="24"/>
          <w:highlight w:val="none"/>
        </w:rPr>
        <w:t xml:space="preserve">5.3  </w:t>
      </w:r>
      <w:r>
        <w:rPr>
          <w:rFonts w:ascii="宋体" w:hAnsi="宋体" w:eastAsia="宋体" w:cs="宋体"/>
          <w:b/>
          <w:bCs/>
          <w:color w:val="auto"/>
          <w:spacing w:val="-2"/>
          <w:sz w:val="24"/>
          <w:szCs w:val="24"/>
          <w:highlight w:val="none"/>
        </w:rPr>
        <w:t>材料和工程设备专用于合同工程</w:t>
      </w:r>
      <w:bookmarkEnd w:id="390"/>
      <w:bookmarkEnd w:id="391"/>
    </w:p>
    <w:p w14:paraId="026E6AC5">
      <w:pPr>
        <w:spacing w:before="183" w:line="289" w:lineRule="auto"/>
        <w:ind w:left="11" w:right="85" w:firstLine="47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5.3.1  </w:t>
      </w:r>
      <w:r>
        <w:rPr>
          <w:rFonts w:ascii="宋体" w:hAnsi="宋体" w:eastAsia="宋体" w:cs="宋体"/>
          <w:color w:val="auto"/>
          <w:sz w:val="24"/>
          <w:szCs w:val="24"/>
          <w:highlight w:val="none"/>
        </w:rPr>
        <w:t>运入施工场地的材料、工程设备，包括备品备件、安装专用工器具与随机</w:t>
      </w:r>
      <w:r>
        <w:rPr>
          <w:rFonts w:ascii="宋体" w:hAnsi="宋体" w:eastAsia="宋体" w:cs="宋体"/>
          <w:color w:val="auto"/>
          <w:spacing w:val="-10"/>
          <w:sz w:val="24"/>
          <w:szCs w:val="24"/>
          <w:highlight w:val="none"/>
        </w:rPr>
        <w:t>资料，必须专用于合同工程，未经监理人同意，承包人不得运出施工场地或</w:t>
      </w:r>
      <w:r>
        <w:rPr>
          <w:rFonts w:ascii="宋体" w:hAnsi="宋体" w:eastAsia="宋体" w:cs="宋体"/>
          <w:color w:val="auto"/>
          <w:spacing w:val="-11"/>
          <w:sz w:val="24"/>
          <w:szCs w:val="24"/>
          <w:highlight w:val="none"/>
        </w:rPr>
        <w:t>挪作他用。</w:t>
      </w:r>
    </w:p>
    <w:p w14:paraId="5CD571F2">
      <w:pPr>
        <w:spacing w:before="181" w:line="313" w:lineRule="auto"/>
        <w:ind w:left="1" w:right="85" w:firstLine="481"/>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5.3.2  </w:t>
      </w:r>
      <w:r>
        <w:rPr>
          <w:rFonts w:ascii="宋体" w:hAnsi="宋体" w:eastAsia="宋体" w:cs="宋体"/>
          <w:color w:val="auto"/>
          <w:sz w:val="24"/>
          <w:szCs w:val="24"/>
          <w:highlight w:val="none"/>
        </w:rPr>
        <w:t>随同工程设备运入施工场地的备品备件、专用工器具与随机资料，应由承</w:t>
      </w:r>
      <w:r>
        <w:rPr>
          <w:rFonts w:ascii="宋体" w:hAnsi="宋体" w:eastAsia="宋体" w:cs="宋体"/>
          <w:color w:val="auto"/>
          <w:spacing w:val="-3"/>
          <w:sz w:val="24"/>
          <w:szCs w:val="24"/>
          <w:highlight w:val="none"/>
        </w:rPr>
        <w:t>包人会同监理人按供货人的装箱单清点后共同封存，未经监理人同意不得启用。承包</w:t>
      </w:r>
      <w:r>
        <w:rPr>
          <w:rFonts w:ascii="宋体" w:hAnsi="宋体" w:eastAsia="宋体" w:cs="宋体"/>
          <w:color w:val="auto"/>
          <w:spacing w:val="-2"/>
          <w:sz w:val="24"/>
          <w:szCs w:val="24"/>
          <w:highlight w:val="none"/>
        </w:rPr>
        <w:t>人因合同工作需要使用上述物品时，应向监理人提出申请。</w:t>
      </w:r>
    </w:p>
    <w:p w14:paraId="6BAC355A">
      <w:pPr>
        <w:spacing w:before="180" w:line="219" w:lineRule="auto"/>
        <w:outlineLvl w:val="2"/>
        <w:rPr>
          <w:rFonts w:ascii="宋体" w:hAnsi="宋体" w:eastAsia="宋体" w:cs="宋体"/>
          <w:color w:val="auto"/>
          <w:sz w:val="24"/>
          <w:szCs w:val="24"/>
          <w:highlight w:val="none"/>
        </w:rPr>
      </w:pPr>
      <w:bookmarkStart w:id="392" w:name="bookmark187"/>
      <w:bookmarkEnd w:id="392"/>
      <w:bookmarkStart w:id="393" w:name="_Toc1454"/>
      <w:bookmarkStart w:id="394" w:name="_Toc16814"/>
      <w:r>
        <w:rPr>
          <w:rFonts w:ascii="Times New Roman" w:hAnsi="Times New Roman" w:eastAsia="Times New Roman" w:cs="Times New Roman"/>
          <w:b/>
          <w:bCs/>
          <w:color w:val="auto"/>
          <w:spacing w:val="-2"/>
          <w:sz w:val="24"/>
          <w:szCs w:val="24"/>
          <w:highlight w:val="none"/>
        </w:rPr>
        <w:t xml:space="preserve">5.4  </w:t>
      </w:r>
      <w:r>
        <w:rPr>
          <w:rFonts w:ascii="宋体" w:hAnsi="宋体" w:eastAsia="宋体" w:cs="宋体"/>
          <w:b/>
          <w:bCs/>
          <w:color w:val="auto"/>
          <w:spacing w:val="-2"/>
          <w:sz w:val="24"/>
          <w:szCs w:val="24"/>
          <w:highlight w:val="none"/>
        </w:rPr>
        <w:t>禁止使用不合格的材料和工程设备</w:t>
      </w:r>
      <w:bookmarkEnd w:id="393"/>
      <w:bookmarkEnd w:id="394"/>
    </w:p>
    <w:p w14:paraId="7B0F6F63">
      <w:pPr>
        <w:spacing w:line="219" w:lineRule="auto"/>
        <w:rPr>
          <w:rFonts w:ascii="宋体" w:hAnsi="宋体" w:eastAsia="宋体" w:cs="宋体"/>
          <w:color w:val="auto"/>
          <w:sz w:val="24"/>
          <w:szCs w:val="24"/>
          <w:highlight w:val="none"/>
        </w:rPr>
        <w:sectPr>
          <w:footerReference r:id="rId42" w:type="default"/>
          <w:pgSz w:w="11907" w:h="16841"/>
          <w:pgMar w:top="1428" w:right="1443" w:bottom="1254" w:left="1596" w:header="0" w:footer="1093" w:gutter="0"/>
          <w:pgNumType w:fmt="decimal"/>
          <w:cols w:space="720" w:num="1"/>
        </w:sectPr>
      </w:pPr>
    </w:p>
    <w:p w14:paraId="178D428A">
      <w:pPr>
        <w:spacing w:before="46" w:line="313" w:lineRule="auto"/>
        <w:ind w:right="1" w:firstLine="483"/>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5.4.1  </w:t>
      </w:r>
      <w:r>
        <w:rPr>
          <w:rFonts w:ascii="宋体" w:hAnsi="宋体" w:eastAsia="宋体" w:cs="宋体"/>
          <w:color w:val="auto"/>
          <w:sz w:val="24"/>
          <w:szCs w:val="24"/>
          <w:highlight w:val="none"/>
        </w:rPr>
        <w:t>监理人有权拒绝承包人提供的不合格材料或工程设备，并要求承包人立即</w:t>
      </w:r>
      <w:r>
        <w:rPr>
          <w:rFonts w:ascii="宋体" w:hAnsi="宋体" w:eastAsia="宋体" w:cs="宋体"/>
          <w:color w:val="auto"/>
          <w:spacing w:val="-6"/>
          <w:sz w:val="24"/>
          <w:szCs w:val="24"/>
          <w:highlight w:val="none"/>
        </w:rPr>
        <w:t>进行更换。监理人应在更换后再次进行检查和检验， 由此增加的费用和（或）工期延</w:t>
      </w:r>
      <w:r>
        <w:rPr>
          <w:rFonts w:ascii="宋体" w:hAnsi="宋体" w:eastAsia="宋体" w:cs="宋体"/>
          <w:color w:val="auto"/>
          <w:spacing w:val="-5"/>
          <w:sz w:val="24"/>
          <w:szCs w:val="24"/>
          <w:highlight w:val="none"/>
        </w:rPr>
        <w:t>误由承包人承担。</w:t>
      </w:r>
    </w:p>
    <w:p w14:paraId="6151FAE6">
      <w:pPr>
        <w:spacing w:before="183" w:line="288" w:lineRule="auto"/>
        <w:ind w:left="1" w:right="1" w:firstLine="481"/>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5.4.2  </w:t>
      </w:r>
      <w:r>
        <w:rPr>
          <w:rFonts w:ascii="宋体" w:hAnsi="宋体" w:eastAsia="宋体" w:cs="宋体"/>
          <w:color w:val="auto"/>
          <w:sz w:val="24"/>
          <w:szCs w:val="24"/>
          <w:highlight w:val="none"/>
        </w:rPr>
        <w:t>监理人发现承包人使用了不合格的材料和工程设备，应即时发出指示要求</w:t>
      </w:r>
      <w:r>
        <w:rPr>
          <w:rFonts w:ascii="宋体" w:hAnsi="宋体" w:eastAsia="宋体" w:cs="宋体"/>
          <w:color w:val="auto"/>
          <w:spacing w:val="-2"/>
          <w:sz w:val="24"/>
          <w:szCs w:val="24"/>
          <w:highlight w:val="none"/>
        </w:rPr>
        <w:t>承包人立即改正，并禁止在工程中继续使用不合格的材料和工程设备。</w:t>
      </w:r>
    </w:p>
    <w:p w14:paraId="66B5803C">
      <w:pPr>
        <w:spacing w:before="183" w:line="289" w:lineRule="auto"/>
        <w:ind w:left="2" w:righ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5.4.3  </w:t>
      </w:r>
      <w:r>
        <w:rPr>
          <w:rFonts w:ascii="宋体" w:hAnsi="宋体" w:eastAsia="宋体" w:cs="宋体"/>
          <w:color w:val="auto"/>
          <w:sz w:val="24"/>
          <w:szCs w:val="24"/>
          <w:highlight w:val="none"/>
        </w:rPr>
        <w:t>发包人提供的材料或工程设备不符合合同要求的，承包人有权拒绝，并可</w:t>
      </w:r>
      <w:r>
        <w:rPr>
          <w:rFonts w:ascii="宋体" w:hAnsi="宋体" w:eastAsia="宋体" w:cs="宋体"/>
          <w:color w:val="auto"/>
          <w:spacing w:val="-2"/>
          <w:sz w:val="24"/>
          <w:szCs w:val="24"/>
          <w:highlight w:val="none"/>
        </w:rPr>
        <w:t>要求发包人更换，由此增加的费用和（或）工期延误由发包人承担。</w:t>
      </w:r>
    </w:p>
    <w:p w14:paraId="1D35E55E">
      <w:pPr>
        <w:spacing w:before="308" w:line="220" w:lineRule="auto"/>
        <w:ind w:left="2"/>
        <w:outlineLvl w:val="1"/>
        <w:rPr>
          <w:rFonts w:ascii="宋体" w:hAnsi="宋体" w:eastAsia="宋体" w:cs="宋体"/>
          <w:color w:val="auto"/>
          <w:sz w:val="28"/>
          <w:szCs w:val="28"/>
          <w:highlight w:val="none"/>
        </w:rPr>
      </w:pPr>
      <w:bookmarkStart w:id="395" w:name="bookmark188"/>
      <w:bookmarkEnd w:id="395"/>
      <w:bookmarkStart w:id="396" w:name="bookmark189"/>
      <w:bookmarkEnd w:id="396"/>
      <w:bookmarkStart w:id="397" w:name="_Toc19481"/>
      <w:bookmarkStart w:id="398" w:name="_Toc19619"/>
      <w:r>
        <w:rPr>
          <w:rFonts w:ascii="Times New Roman" w:hAnsi="Times New Roman" w:eastAsia="Times New Roman" w:cs="Times New Roman"/>
          <w:b/>
          <w:bCs/>
          <w:color w:val="auto"/>
          <w:spacing w:val="-3"/>
          <w:sz w:val="28"/>
          <w:szCs w:val="28"/>
          <w:highlight w:val="none"/>
        </w:rPr>
        <w:t xml:space="preserve">6 </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施工设备和临时设施</w:t>
      </w:r>
      <w:bookmarkEnd w:id="397"/>
      <w:bookmarkEnd w:id="398"/>
    </w:p>
    <w:p w14:paraId="43E3219B">
      <w:pPr>
        <w:pStyle w:val="3"/>
        <w:spacing w:line="245" w:lineRule="auto"/>
        <w:rPr>
          <w:color w:val="auto"/>
          <w:highlight w:val="none"/>
        </w:rPr>
      </w:pPr>
    </w:p>
    <w:p w14:paraId="40FD209D">
      <w:pPr>
        <w:spacing w:before="78" w:line="219" w:lineRule="auto"/>
        <w:ind w:left="1"/>
        <w:outlineLvl w:val="2"/>
        <w:rPr>
          <w:rFonts w:ascii="宋体" w:hAnsi="宋体" w:eastAsia="宋体" w:cs="宋体"/>
          <w:color w:val="auto"/>
          <w:sz w:val="24"/>
          <w:szCs w:val="24"/>
          <w:highlight w:val="none"/>
        </w:rPr>
      </w:pPr>
      <w:bookmarkStart w:id="399" w:name="bookmark692"/>
      <w:bookmarkEnd w:id="399"/>
      <w:bookmarkStart w:id="400" w:name="_Toc23237"/>
      <w:bookmarkStart w:id="401" w:name="_Toc1017"/>
      <w:r>
        <w:rPr>
          <w:rFonts w:ascii="Times New Roman" w:hAnsi="Times New Roman" w:eastAsia="Times New Roman" w:cs="Times New Roman"/>
          <w:b/>
          <w:bCs/>
          <w:color w:val="auto"/>
          <w:spacing w:val="-2"/>
          <w:sz w:val="24"/>
          <w:szCs w:val="24"/>
          <w:highlight w:val="none"/>
        </w:rPr>
        <w:t xml:space="preserve">6.1  </w:t>
      </w:r>
      <w:r>
        <w:rPr>
          <w:rFonts w:ascii="宋体" w:hAnsi="宋体" w:eastAsia="宋体" w:cs="宋体"/>
          <w:b/>
          <w:bCs/>
          <w:color w:val="auto"/>
          <w:spacing w:val="-2"/>
          <w:sz w:val="24"/>
          <w:szCs w:val="24"/>
          <w:highlight w:val="none"/>
        </w:rPr>
        <w:t>承包人提供的施工设备和临时设施</w:t>
      </w:r>
      <w:bookmarkEnd w:id="400"/>
      <w:bookmarkEnd w:id="401"/>
    </w:p>
    <w:p w14:paraId="2C03F974">
      <w:pPr>
        <w:spacing w:before="179" w:line="313" w:lineRule="auto"/>
        <w:ind w:right="1" w:firstLine="482"/>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6.1.1  </w:t>
      </w:r>
      <w:r>
        <w:rPr>
          <w:rFonts w:ascii="宋体" w:hAnsi="宋体" w:eastAsia="宋体" w:cs="宋体"/>
          <w:color w:val="auto"/>
          <w:sz w:val="24"/>
          <w:szCs w:val="24"/>
          <w:highlight w:val="none"/>
        </w:rPr>
        <w:t>承包人应按合同进度计划的要求，及时配置施工设备和修建临时设施。进</w:t>
      </w:r>
      <w:r>
        <w:rPr>
          <w:rFonts w:ascii="宋体" w:hAnsi="宋体" w:eastAsia="宋体" w:cs="宋体"/>
          <w:color w:val="auto"/>
          <w:spacing w:val="-3"/>
          <w:sz w:val="24"/>
          <w:szCs w:val="24"/>
          <w:highlight w:val="none"/>
        </w:rPr>
        <w:t>入施工场地的承包人设备需经监理人核查后才能投入使用。承包人更换合同约定的承包人设备的，应报监理人批准。</w:t>
      </w:r>
    </w:p>
    <w:p w14:paraId="2F4D3F25">
      <w:pPr>
        <w:spacing w:before="182" w:line="289" w:lineRule="auto"/>
        <w:ind w:left="2" w:righ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6.1.2  </w:t>
      </w:r>
      <w:r>
        <w:rPr>
          <w:rFonts w:ascii="宋体" w:hAnsi="宋体" w:eastAsia="宋体" w:cs="宋体"/>
          <w:color w:val="auto"/>
          <w:sz w:val="24"/>
          <w:szCs w:val="24"/>
          <w:highlight w:val="none"/>
        </w:rPr>
        <w:t>除专用合同条款另有约定外，承包人应自行承担修建临时设施的费用，需</w:t>
      </w:r>
      <w:r>
        <w:rPr>
          <w:rFonts w:ascii="宋体" w:hAnsi="宋体" w:eastAsia="宋体" w:cs="宋体"/>
          <w:color w:val="auto"/>
          <w:spacing w:val="-2"/>
          <w:sz w:val="24"/>
          <w:szCs w:val="24"/>
          <w:highlight w:val="none"/>
        </w:rPr>
        <w:t>要临时占地的，应由发包人办理申请手续并承担相应费用。</w:t>
      </w:r>
    </w:p>
    <w:p w14:paraId="3866871F">
      <w:pPr>
        <w:spacing w:before="183" w:line="219" w:lineRule="auto"/>
        <w:ind w:left="1"/>
        <w:outlineLvl w:val="2"/>
        <w:rPr>
          <w:rFonts w:ascii="宋体" w:hAnsi="宋体" w:eastAsia="宋体" w:cs="宋体"/>
          <w:color w:val="auto"/>
          <w:sz w:val="24"/>
          <w:szCs w:val="24"/>
          <w:highlight w:val="none"/>
        </w:rPr>
      </w:pPr>
      <w:bookmarkStart w:id="402" w:name="bookmark190"/>
      <w:bookmarkEnd w:id="402"/>
      <w:bookmarkStart w:id="403" w:name="_Toc362"/>
      <w:bookmarkStart w:id="404" w:name="_Toc5124"/>
      <w:r>
        <w:rPr>
          <w:rFonts w:ascii="Times New Roman" w:hAnsi="Times New Roman" w:eastAsia="Times New Roman" w:cs="Times New Roman"/>
          <w:b/>
          <w:bCs/>
          <w:color w:val="auto"/>
          <w:spacing w:val="-2"/>
          <w:sz w:val="24"/>
          <w:szCs w:val="24"/>
          <w:highlight w:val="none"/>
        </w:rPr>
        <w:t xml:space="preserve">6.2  </w:t>
      </w:r>
      <w:r>
        <w:rPr>
          <w:rFonts w:ascii="宋体" w:hAnsi="宋体" w:eastAsia="宋体" w:cs="宋体"/>
          <w:b/>
          <w:bCs/>
          <w:color w:val="auto"/>
          <w:spacing w:val="-2"/>
          <w:sz w:val="24"/>
          <w:szCs w:val="24"/>
          <w:highlight w:val="none"/>
        </w:rPr>
        <w:t>发包人提供的施工设备和临时设施</w:t>
      </w:r>
      <w:bookmarkEnd w:id="403"/>
      <w:bookmarkEnd w:id="404"/>
    </w:p>
    <w:p w14:paraId="7EE2F563">
      <w:pPr>
        <w:spacing w:before="181" w:line="219" w:lineRule="auto"/>
        <w:ind w:left="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发包人提供的施工设备或临时设施在专用合同条款中约定。</w:t>
      </w:r>
    </w:p>
    <w:p w14:paraId="5A0F6B11">
      <w:pPr>
        <w:spacing w:before="183" w:line="220" w:lineRule="auto"/>
        <w:ind w:left="1"/>
        <w:outlineLvl w:val="2"/>
        <w:rPr>
          <w:rFonts w:ascii="宋体" w:hAnsi="宋体" w:eastAsia="宋体" w:cs="宋体"/>
          <w:color w:val="auto"/>
          <w:sz w:val="24"/>
          <w:szCs w:val="24"/>
          <w:highlight w:val="none"/>
        </w:rPr>
      </w:pPr>
      <w:bookmarkStart w:id="405" w:name="bookmark191"/>
      <w:bookmarkEnd w:id="405"/>
      <w:bookmarkStart w:id="406" w:name="_Toc29104"/>
      <w:bookmarkStart w:id="407" w:name="_Toc16429"/>
      <w:r>
        <w:rPr>
          <w:rFonts w:ascii="Times New Roman" w:hAnsi="Times New Roman" w:eastAsia="Times New Roman" w:cs="Times New Roman"/>
          <w:b/>
          <w:bCs/>
          <w:color w:val="auto"/>
          <w:spacing w:val="-2"/>
          <w:sz w:val="24"/>
          <w:szCs w:val="24"/>
          <w:highlight w:val="none"/>
        </w:rPr>
        <w:t xml:space="preserve">6.3  </w:t>
      </w:r>
      <w:r>
        <w:rPr>
          <w:rFonts w:ascii="宋体" w:hAnsi="宋体" w:eastAsia="宋体" w:cs="宋体"/>
          <w:b/>
          <w:bCs/>
          <w:color w:val="auto"/>
          <w:spacing w:val="-2"/>
          <w:sz w:val="24"/>
          <w:szCs w:val="24"/>
          <w:highlight w:val="none"/>
        </w:rPr>
        <w:t>要求承包人增加或更换施工设备</w:t>
      </w:r>
      <w:bookmarkEnd w:id="406"/>
      <w:bookmarkEnd w:id="407"/>
    </w:p>
    <w:p w14:paraId="7D5729C1">
      <w:pPr>
        <w:spacing w:before="181" w:line="359" w:lineRule="auto"/>
        <w:ind w:left="2" w:right="1" w:firstLine="479"/>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承包人使用的施工设备不能满足合同进度计划和（或）质量要求时，监理人有权</w:t>
      </w:r>
      <w:r>
        <w:rPr>
          <w:rFonts w:ascii="宋体" w:hAnsi="宋体" w:eastAsia="宋体" w:cs="宋体"/>
          <w:color w:val="auto"/>
          <w:spacing w:val="-9"/>
          <w:sz w:val="24"/>
          <w:szCs w:val="24"/>
          <w:highlight w:val="none"/>
        </w:rPr>
        <w:t>要求承包人增加或更换施工设备，承包人应及时增加或更换，由此增加的费用和（或）</w:t>
      </w:r>
      <w:r>
        <w:rPr>
          <w:rFonts w:ascii="宋体" w:hAnsi="宋体" w:eastAsia="宋体" w:cs="宋体"/>
          <w:color w:val="auto"/>
          <w:spacing w:val="-4"/>
          <w:sz w:val="24"/>
          <w:szCs w:val="24"/>
          <w:highlight w:val="none"/>
        </w:rPr>
        <w:t>工期延误由承包人承担。</w:t>
      </w:r>
    </w:p>
    <w:p w14:paraId="3B822B5D">
      <w:pPr>
        <w:spacing w:before="1" w:line="219" w:lineRule="auto"/>
        <w:ind w:left="1"/>
        <w:outlineLvl w:val="2"/>
        <w:rPr>
          <w:rFonts w:ascii="宋体" w:hAnsi="宋体" w:eastAsia="宋体" w:cs="宋体"/>
          <w:color w:val="auto"/>
          <w:sz w:val="24"/>
          <w:szCs w:val="24"/>
          <w:highlight w:val="none"/>
        </w:rPr>
      </w:pPr>
      <w:bookmarkStart w:id="408" w:name="bookmark192"/>
      <w:bookmarkEnd w:id="408"/>
      <w:bookmarkStart w:id="409" w:name="_Toc24435"/>
      <w:bookmarkStart w:id="410" w:name="_Toc11206"/>
      <w:r>
        <w:rPr>
          <w:rFonts w:ascii="Times New Roman" w:hAnsi="Times New Roman" w:eastAsia="Times New Roman" w:cs="Times New Roman"/>
          <w:b/>
          <w:bCs/>
          <w:color w:val="auto"/>
          <w:spacing w:val="-2"/>
          <w:sz w:val="24"/>
          <w:szCs w:val="24"/>
          <w:highlight w:val="none"/>
        </w:rPr>
        <w:t xml:space="preserve">6.4  </w:t>
      </w:r>
      <w:r>
        <w:rPr>
          <w:rFonts w:ascii="宋体" w:hAnsi="宋体" w:eastAsia="宋体" w:cs="宋体"/>
          <w:b/>
          <w:bCs/>
          <w:color w:val="auto"/>
          <w:spacing w:val="-2"/>
          <w:sz w:val="24"/>
          <w:szCs w:val="24"/>
          <w:highlight w:val="none"/>
        </w:rPr>
        <w:t>施工设备和临时设施专用于合同工程</w:t>
      </w:r>
      <w:bookmarkEnd w:id="409"/>
      <w:bookmarkEnd w:id="410"/>
    </w:p>
    <w:p w14:paraId="1A32A6C0">
      <w:pPr>
        <w:spacing w:before="181" w:line="313" w:lineRule="auto"/>
        <w:ind w:right="1" w:firstLine="482"/>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6.4.1  </w:t>
      </w:r>
      <w:r>
        <w:rPr>
          <w:rFonts w:ascii="宋体" w:hAnsi="宋体" w:eastAsia="宋体" w:cs="宋体"/>
          <w:color w:val="auto"/>
          <w:sz w:val="24"/>
          <w:szCs w:val="24"/>
          <w:highlight w:val="none"/>
        </w:rPr>
        <w:t>除合同另有约定外，运入施工场地的所有施工设备以及在施工场地建设的</w:t>
      </w:r>
      <w:r>
        <w:rPr>
          <w:rFonts w:ascii="宋体" w:hAnsi="宋体" w:eastAsia="宋体" w:cs="宋体"/>
          <w:color w:val="auto"/>
          <w:spacing w:val="-5"/>
          <w:sz w:val="24"/>
          <w:szCs w:val="24"/>
          <w:highlight w:val="none"/>
        </w:rPr>
        <w:t>临时设施应专用于合同工程。未经监理人同意，</w:t>
      </w:r>
      <w:r>
        <w:rPr>
          <w:rFonts w:ascii="宋体" w:hAnsi="宋体" w:eastAsia="宋体" w:cs="宋体"/>
          <w:color w:val="auto"/>
          <w:spacing w:val="-36"/>
          <w:sz w:val="24"/>
          <w:szCs w:val="24"/>
          <w:highlight w:val="none"/>
        </w:rPr>
        <w:t xml:space="preserve"> </w:t>
      </w:r>
      <w:r>
        <w:rPr>
          <w:rFonts w:ascii="宋体" w:hAnsi="宋体" w:eastAsia="宋体" w:cs="宋体"/>
          <w:color w:val="auto"/>
          <w:spacing w:val="-5"/>
          <w:sz w:val="24"/>
          <w:szCs w:val="24"/>
          <w:highlight w:val="none"/>
        </w:rPr>
        <w:t>不得将上述施工设备和临时设施中的</w:t>
      </w:r>
      <w:r>
        <w:rPr>
          <w:rFonts w:ascii="宋体" w:hAnsi="宋体" w:eastAsia="宋体" w:cs="宋体"/>
          <w:color w:val="auto"/>
          <w:spacing w:val="-3"/>
          <w:sz w:val="24"/>
          <w:szCs w:val="24"/>
          <w:highlight w:val="none"/>
        </w:rPr>
        <w:t>任何部分运出施工场地或挪作他用。</w:t>
      </w:r>
    </w:p>
    <w:p w14:paraId="216F53CF">
      <w:pPr>
        <w:spacing w:before="180" w:line="220" w:lineRule="auto"/>
        <w:ind w:left="48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6.4.2  </w:t>
      </w:r>
      <w:r>
        <w:rPr>
          <w:rFonts w:ascii="宋体" w:hAnsi="宋体" w:eastAsia="宋体" w:cs="宋体"/>
          <w:color w:val="auto"/>
          <w:spacing w:val="-1"/>
          <w:sz w:val="24"/>
          <w:szCs w:val="24"/>
          <w:highlight w:val="none"/>
        </w:rPr>
        <w:t>经监理人同意，承包人可根据合同进度计划撤走</w:t>
      </w:r>
      <w:r>
        <w:rPr>
          <w:rFonts w:ascii="宋体" w:hAnsi="宋体" w:eastAsia="宋体" w:cs="宋体"/>
          <w:color w:val="auto"/>
          <w:spacing w:val="-2"/>
          <w:sz w:val="24"/>
          <w:szCs w:val="24"/>
          <w:highlight w:val="none"/>
        </w:rPr>
        <w:t>闲置的施工设备。</w:t>
      </w:r>
    </w:p>
    <w:p w14:paraId="0D640DB8">
      <w:pPr>
        <w:spacing w:before="308" w:line="220" w:lineRule="auto"/>
        <w:ind w:left="2"/>
        <w:outlineLvl w:val="1"/>
        <w:rPr>
          <w:rFonts w:ascii="宋体" w:hAnsi="宋体" w:eastAsia="宋体" w:cs="宋体"/>
          <w:color w:val="auto"/>
          <w:sz w:val="28"/>
          <w:szCs w:val="28"/>
          <w:highlight w:val="none"/>
        </w:rPr>
      </w:pPr>
      <w:bookmarkStart w:id="411" w:name="bookmark194"/>
      <w:bookmarkEnd w:id="411"/>
      <w:bookmarkStart w:id="412" w:name="bookmark193"/>
      <w:bookmarkEnd w:id="412"/>
      <w:bookmarkStart w:id="413" w:name="_Toc29060"/>
      <w:bookmarkStart w:id="414" w:name="_Toc12618"/>
      <w:r>
        <w:rPr>
          <w:rFonts w:ascii="Times New Roman" w:hAnsi="Times New Roman" w:eastAsia="Times New Roman" w:cs="Times New Roman"/>
          <w:b/>
          <w:bCs/>
          <w:color w:val="auto"/>
          <w:spacing w:val="-7"/>
          <w:sz w:val="28"/>
          <w:szCs w:val="28"/>
          <w:highlight w:val="none"/>
        </w:rPr>
        <w:t>7</w:t>
      </w:r>
      <w:r>
        <w:rPr>
          <w:rFonts w:hint="eastAsia" w:ascii="Times New Roman" w:hAnsi="Times New Roman" w:eastAsia="宋体" w:cs="Times New Roman"/>
          <w:b/>
          <w:bCs/>
          <w:color w:val="auto"/>
          <w:spacing w:val="10"/>
          <w:sz w:val="28"/>
          <w:szCs w:val="28"/>
          <w:highlight w:val="none"/>
          <w:lang w:eastAsia="zh-CN"/>
        </w:rPr>
        <w:t>、</w:t>
      </w:r>
      <w:r>
        <w:rPr>
          <w:rFonts w:ascii="宋体" w:hAnsi="宋体" w:eastAsia="宋体" w:cs="宋体"/>
          <w:b/>
          <w:bCs/>
          <w:color w:val="auto"/>
          <w:spacing w:val="-7"/>
          <w:sz w:val="28"/>
          <w:szCs w:val="28"/>
          <w:highlight w:val="none"/>
        </w:rPr>
        <w:t>交通运输</w:t>
      </w:r>
      <w:bookmarkEnd w:id="413"/>
      <w:bookmarkEnd w:id="414"/>
    </w:p>
    <w:p w14:paraId="322DCB37">
      <w:pPr>
        <w:pStyle w:val="3"/>
        <w:spacing w:line="245" w:lineRule="auto"/>
        <w:rPr>
          <w:color w:val="auto"/>
          <w:highlight w:val="none"/>
        </w:rPr>
      </w:pPr>
    </w:p>
    <w:p w14:paraId="62E6DFEC">
      <w:pPr>
        <w:spacing w:before="78" w:line="220" w:lineRule="auto"/>
        <w:outlineLvl w:val="2"/>
        <w:rPr>
          <w:rFonts w:ascii="宋体" w:hAnsi="宋体" w:eastAsia="宋体" w:cs="宋体"/>
          <w:color w:val="auto"/>
          <w:sz w:val="24"/>
          <w:szCs w:val="24"/>
          <w:highlight w:val="none"/>
        </w:rPr>
      </w:pPr>
      <w:bookmarkStart w:id="415" w:name="bookmark693"/>
      <w:bookmarkEnd w:id="415"/>
      <w:bookmarkStart w:id="416" w:name="_Toc7186"/>
      <w:bookmarkStart w:id="417" w:name="_Toc17950"/>
      <w:r>
        <w:rPr>
          <w:rFonts w:ascii="Times New Roman" w:hAnsi="Times New Roman" w:eastAsia="Times New Roman" w:cs="Times New Roman"/>
          <w:b/>
          <w:bCs/>
          <w:color w:val="auto"/>
          <w:spacing w:val="-2"/>
          <w:sz w:val="24"/>
          <w:szCs w:val="24"/>
          <w:highlight w:val="none"/>
        </w:rPr>
        <w:t xml:space="preserve">7.1  </w:t>
      </w:r>
      <w:r>
        <w:rPr>
          <w:rFonts w:ascii="宋体" w:hAnsi="宋体" w:eastAsia="宋体" w:cs="宋体"/>
          <w:b/>
          <w:bCs/>
          <w:color w:val="auto"/>
          <w:spacing w:val="-2"/>
          <w:sz w:val="24"/>
          <w:szCs w:val="24"/>
          <w:highlight w:val="none"/>
        </w:rPr>
        <w:t>道路通行权和场外设施</w:t>
      </w:r>
      <w:bookmarkEnd w:id="416"/>
      <w:bookmarkEnd w:id="417"/>
    </w:p>
    <w:p w14:paraId="474140BF">
      <w:pPr>
        <w:spacing w:before="180" w:line="220" w:lineRule="auto"/>
        <w:jc w:val="right"/>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除专用合同条款另有约定外，承包人应根据合同工程的</w:t>
      </w:r>
      <w:r>
        <w:rPr>
          <w:rFonts w:ascii="宋体" w:hAnsi="宋体" w:eastAsia="宋体" w:cs="宋体"/>
          <w:color w:val="auto"/>
          <w:spacing w:val="-4"/>
          <w:sz w:val="24"/>
          <w:szCs w:val="24"/>
          <w:highlight w:val="none"/>
        </w:rPr>
        <w:t>施工需要，负责办理取得</w:t>
      </w:r>
    </w:p>
    <w:p w14:paraId="20F28A14">
      <w:pPr>
        <w:spacing w:line="220" w:lineRule="auto"/>
        <w:rPr>
          <w:rFonts w:ascii="宋体" w:hAnsi="宋体" w:eastAsia="宋体" w:cs="宋体"/>
          <w:color w:val="auto"/>
          <w:sz w:val="24"/>
          <w:szCs w:val="24"/>
          <w:highlight w:val="none"/>
        </w:rPr>
        <w:sectPr>
          <w:footerReference r:id="rId43" w:type="default"/>
          <w:pgSz w:w="11907" w:h="16841"/>
          <w:pgMar w:top="1428" w:right="1527" w:bottom="1254" w:left="1596" w:header="0" w:footer="1093" w:gutter="0"/>
          <w:pgNumType w:fmt="decimal"/>
          <w:cols w:space="720" w:num="1"/>
        </w:sectPr>
      </w:pPr>
    </w:p>
    <w:p w14:paraId="7DF9A691">
      <w:pPr>
        <w:spacing w:before="48" w:line="359" w:lineRule="auto"/>
        <w:ind w:right="85" w:firstLine="2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出入施工场地的专用和临时道路的通行权，以及取得为工</w:t>
      </w:r>
      <w:r>
        <w:rPr>
          <w:rFonts w:ascii="宋体" w:hAnsi="宋体" w:eastAsia="宋体" w:cs="宋体"/>
          <w:color w:val="auto"/>
          <w:spacing w:val="-4"/>
          <w:sz w:val="24"/>
          <w:szCs w:val="24"/>
          <w:highlight w:val="none"/>
        </w:rPr>
        <w:t>程建设所需修建场外设施的</w:t>
      </w:r>
      <w:r>
        <w:rPr>
          <w:rFonts w:ascii="宋体" w:hAnsi="宋体" w:eastAsia="宋体" w:cs="宋体"/>
          <w:color w:val="auto"/>
          <w:spacing w:val="-2"/>
          <w:sz w:val="24"/>
          <w:szCs w:val="24"/>
          <w:highlight w:val="none"/>
        </w:rPr>
        <w:t>权利，并承担相关费用。发包人应协助承包人办理上述手续。</w:t>
      </w:r>
    </w:p>
    <w:p w14:paraId="1E2C918C">
      <w:pPr>
        <w:spacing w:line="219" w:lineRule="auto"/>
        <w:outlineLvl w:val="2"/>
        <w:rPr>
          <w:rFonts w:ascii="宋体" w:hAnsi="宋体" w:eastAsia="宋体" w:cs="宋体"/>
          <w:color w:val="auto"/>
          <w:sz w:val="24"/>
          <w:szCs w:val="24"/>
          <w:highlight w:val="none"/>
        </w:rPr>
      </w:pPr>
      <w:bookmarkStart w:id="418" w:name="bookmark195"/>
      <w:bookmarkEnd w:id="418"/>
      <w:bookmarkStart w:id="419" w:name="_Toc26049"/>
      <w:bookmarkStart w:id="420" w:name="_Toc22658"/>
      <w:r>
        <w:rPr>
          <w:rFonts w:ascii="Times New Roman" w:hAnsi="Times New Roman" w:eastAsia="Times New Roman" w:cs="Times New Roman"/>
          <w:b/>
          <w:bCs/>
          <w:color w:val="auto"/>
          <w:spacing w:val="-2"/>
          <w:sz w:val="24"/>
          <w:szCs w:val="24"/>
          <w:highlight w:val="none"/>
        </w:rPr>
        <w:t xml:space="preserve">7.2  </w:t>
      </w:r>
      <w:r>
        <w:rPr>
          <w:rFonts w:ascii="宋体" w:hAnsi="宋体" w:eastAsia="宋体" w:cs="宋体"/>
          <w:b/>
          <w:bCs/>
          <w:color w:val="auto"/>
          <w:spacing w:val="-2"/>
          <w:sz w:val="24"/>
          <w:szCs w:val="24"/>
          <w:highlight w:val="none"/>
        </w:rPr>
        <w:t>场内施工道路</w:t>
      </w:r>
      <w:bookmarkEnd w:id="419"/>
      <w:bookmarkEnd w:id="420"/>
    </w:p>
    <w:p w14:paraId="08175BDA">
      <w:pPr>
        <w:spacing w:before="183" w:line="312" w:lineRule="auto"/>
        <w:ind w:left="1" w:firstLine="481"/>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7.2.1  </w:t>
      </w:r>
      <w:r>
        <w:rPr>
          <w:rFonts w:ascii="宋体" w:hAnsi="宋体" w:eastAsia="宋体" w:cs="宋体"/>
          <w:color w:val="auto"/>
          <w:spacing w:val="-3"/>
          <w:sz w:val="24"/>
          <w:szCs w:val="24"/>
          <w:highlight w:val="none"/>
        </w:rPr>
        <w:t>除本合同约定由发包人提供的部分</w:t>
      </w:r>
      <w:r>
        <w:rPr>
          <w:rFonts w:ascii="宋体" w:hAnsi="宋体" w:eastAsia="宋体" w:cs="宋体"/>
          <w:color w:val="auto"/>
          <w:spacing w:val="-4"/>
          <w:sz w:val="24"/>
          <w:szCs w:val="24"/>
          <w:highlight w:val="none"/>
        </w:rPr>
        <w:t>道路和交通设施外，承包人应负责修建、</w:t>
      </w:r>
      <w:r>
        <w:rPr>
          <w:rFonts w:ascii="宋体" w:hAnsi="宋体" w:eastAsia="宋体" w:cs="宋体"/>
          <w:color w:val="auto"/>
          <w:spacing w:val="-3"/>
          <w:sz w:val="24"/>
          <w:szCs w:val="24"/>
          <w:highlight w:val="none"/>
        </w:rPr>
        <w:t>维修、养护和管理其施工所需的全部临时道路和交通设施（包括合同约定由发包人提</w:t>
      </w:r>
      <w:r>
        <w:rPr>
          <w:rFonts w:ascii="宋体" w:hAnsi="宋体" w:eastAsia="宋体" w:cs="宋体"/>
          <w:color w:val="auto"/>
          <w:spacing w:val="-2"/>
          <w:sz w:val="24"/>
          <w:szCs w:val="24"/>
          <w:highlight w:val="none"/>
        </w:rPr>
        <w:t>供的部分道路和交通设施的维修、养护和管理</w:t>
      </w:r>
      <w:r>
        <w:rPr>
          <w:rFonts w:ascii="宋体" w:hAnsi="宋体" w:eastAsia="宋体" w:cs="宋体"/>
          <w:color w:val="auto"/>
          <w:spacing w:val="6"/>
          <w:sz w:val="24"/>
          <w:szCs w:val="24"/>
          <w:highlight w:val="none"/>
        </w:rPr>
        <w:t>），</w:t>
      </w:r>
      <w:r>
        <w:rPr>
          <w:rFonts w:ascii="宋体" w:hAnsi="宋体" w:eastAsia="宋体" w:cs="宋体"/>
          <w:color w:val="auto"/>
          <w:spacing w:val="-2"/>
          <w:sz w:val="24"/>
          <w:szCs w:val="24"/>
          <w:highlight w:val="none"/>
        </w:rPr>
        <w:t>并承担相应费用。</w:t>
      </w:r>
    </w:p>
    <w:p w14:paraId="4A28120E">
      <w:pPr>
        <w:spacing w:before="180" w:line="290" w:lineRule="auto"/>
        <w:ind w:left="2" w:right="85"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7.2.2  </w:t>
      </w:r>
      <w:r>
        <w:rPr>
          <w:rFonts w:ascii="宋体" w:hAnsi="宋体" w:eastAsia="宋体" w:cs="宋体"/>
          <w:color w:val="auto"/>
          <w:sz w:val="24"/>
          <w:szCs w:val="24"/>
          <w:highlight w:val="none"/>
        </w:rPr>
        <w:t>承包人修建的临时道路和交通设施，应免费提供发包人、监理人以及与本</w:t>
      </w:r>
      <w:r>
        <w:rPr>
          <w:rFonts w:ascii="宋体" w:hAnsi="宋体" w:eastAsia="宋体" w:cs="宋体"/>
          <w:color w:val="auto"/>
          <w:spacing w:val="-4"/>
          <w:sz w:val="24"/>
          <w:szCs w:val="24"/>
          <w:highlight w:val="none"/>
        </w:rPr>
        <w:t>合同有关的其他承包人使用。</w:t>
      </w:r>
    </w:p>
    <w:p w14:paraId="52A203C1">
      <w:pPr>
        <w:spacing w:before="180" w:line="220" w:lineRule="auto"/>
        <w:outlineLvl w:val="2"/>
        <w:rPr>
          <w:rFonts w:ascii="宋体" w:hAnsi="宋体" w:eastAsia="宋体" w:cs="宋体"/>
          <w:color w:val="auto"/>
          <w:sz w:val="24"/>
          <w:szCs w:val="24"/>
          <w:highlight w:val="none"/>
        </w:rPr>
      </w:pPr>
      <w:bookmarkStart w:id="421" w:name="bookmark196"/>
      <w:bookmarkEnd w:id="421"/>
      <w:bookmarkStart w:id="422" w:name="_Toc10707"/>
      <w:bookmarkStart w:id="423" w:name="_Toc11184"/>
      <w:r>
        <w:rPr>
          <w:rFonts w:ascii="Times New Roman" w:hAnsi="Times New Roman" w:eastAsia="Times New Roman" w:cs="Times New Roman"/>
          <w:b/>
          <w:bCs/>
          <w:color w:val="auto"/>
          <w:spacing w:val="-2"/>
          <w:sz w:val="24"/>
          <w:szCs w:val="24"/>
          <w:highlight w:val="none"/>
        </w:rPr>
        <w:t xml:space="preserve">7.3  </w:t>
      </w:r>
      <w:r>
        <w:rPr>
          <w:rFonts w:ascii="宋体" w:hAnsi="宋体" w:eastAsia="宋体" w:cs="宋体"/>
          <w:b/>
          <w:bCs/>
          <w:color w:val="auto"/>
          <w:spacing w:val="-2"/>
          <w:sz w:val="24"/>
          <w:szCs w:val="24"/>
          <w:highlight w:val="none"/>
        </w:rPr>
        <w:t>场外交通</w:t>
      </w:r>
      <w:bookmarkEnd w:id="422"/>
      <w:bookmarkEnd w:id="423"/>
    </w:p>
    <w:p w14:paraId="1FF3BF99">
      <w:pPr>
        <w:spacing w:before="182" w:line="289" w:lineRule="auto"/>
        <w:ind w:left="1" w:right="85" w:firstLine="481"/>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7.3.1  </w:t>
      </w:r>
      <w:r>
        <w:rPr>
          <w:rFonts w:ascii="宋体" w:hAnsi="宋体" w:eastAsia="宋体" w:cs="宋体"/>
          <w:color w:val="auto"/>
          <w:sz w:val="24"/>
          <w:szCs w:val="24"/>
          <w:highlight w:val="none"/>
        </w:rPr>
        <w:t>承包人车辆外出行驶所需的场外公共道路的通行费、养路费和税款等由承</w:t>
      </w:r>
      <w:r>
        <w:rPr>
          <w:rFonts w:ascii="宋体" w:hAnsi="宋体" w:eastAsia="宋体" w:cs="宋体"/>
          <w:color w:val="auto"/>
          <w:spacing w:val="-8"/>
          <w:sz w:val="24"/>
          <w:szCs w:val="24"/>
          <w:highlight w:val="none"/>
        </w:rPr>
        <w:t>包人承担。</w:t>
      </w:r>
    </w:p>
    <w:p w14:paraId="3A2BB79E">
      <w:pPr>
        <w:spacing w:before="182" w:line="289" w:lineRule="auto"/>
        <w:ind w:left="6" w:right="138" w:firstLine="475"/>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7.3.2  </w:t>
      </w:r>
      <w:r>
        <w:rPr>
          <w:rFonts w:ascii="宋体" w:hAnsi="宋体" w:eastAsia="宋体" w:cs="宋体"/>
          <w:color w:val="auto"/>
          <w:spacing w:val="-1"/>
          <w:sz w:val="24"/>
          <w:szCs w:val="24"/>
          <w:highlight w:val="none"/>
        </w:rPr>
        <w:t>承包人应遵守有关交通法规，严格按照道路和桥梁的限制荷重安全行驶，</w:t>
      </w:r>
      <w:r>
        <w:rPr>
          <w:rFonts w:ascii="宋体" w:hAnsi="宋体" w:eastAsia="宋体" w:cs="宋体"/>
          <w:color w:val="auto"/>
          <w:spacing w:val="-3"/>
          <w:sz w:val="24"/>
          <w:szCs w:val="24"/>
          <w:highlight w:val="none"/>
        </w:rPr>
        <w:t>并服从交通管理部门的检查和监督。</w:t>
      </w:r>
    </w:p>
    <w:p w14:paraId="18FB45EB">
      <w:pPr>
        <w:spacing w:before="182" w:line="220" w:lineRule="auto"/>
        <w:outlineLvl w:val="2"/>
        <w:rPr>
          <w:rFonts w:ascii="宋体" w:hAnsi="宋体" w:eastAsia="宋体" w:cs="宋体"/>
          <w:color w:val="auto"/>
          <w:sz w:val="24"/>
          <w:szCs w:val="24"/>
          <w:highlight w:val="none"/>
        </w:rPr>
      </w:pPr>
      <w:bookmarkStart w:id="424" w:name="bookmark197"/>
      <w:bookmarkEnd w:id="424"/>
      <w:bookmarkStart w:id="425" w:name="_Toc8775"/>
      <w:bookmarkStart w:id="426" w:name="_Toc31923"/>
      <w:r>
        <w:rPr>
          <w:rFonts w:ascii="Times New Roman" w:hAnsi="Times New Roman" w:eastAsia="Times New Roman" w:cs="Times New Roman"/>
          <w:b/>
          <w:bCs/>
          <w:color w:val="auto"/>
          <w:spacing w:val="-2"/>
          <w:sz w:val="24"/>
          <w:szCs w:val="24"/>
          <w:highlight w:val="none"/>
        </w:rPr>
        <w:t xml:space="preserve">7.4  </w:t>
      </w:r>
      <w:r>
        <w:rPr>
          <w:rFonts w:ascii="宋体" w:hAnsi="宋体" w:eastAsia="宋体" w:cs="宋体"/>
          <w:b/>
          <w:bCs/>
          <w:color w:val="auto"/>
          <w:spacing w:val="-2"/>
          <w:sz w:val="24"/>
          <w:szCs w:val="24"/>
          <w:highlight w:val="none"/>
        </w:rPr>
        <w:t>超大件和超重件的运输</w:t>
      </w:r>
      <w:bookmarkEnd w:id="425"/>
      <w:bookmarkEnd w:id="426"/>
    </w:p>
    <w:p w14:paraId="567B8A2D">
      <w:pPr>
        <w:spacing w:before="182" w:line="359" w:lineRule="auto"/>
        <w:ind w:left="1" w:right="85" w:firstLine="509"/>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由承包人负责运输的超大件或超重件，应由承包人负责向交通管理部门办理申请</w:t>
      </w:r>
      <w:r>
        <w:rPr>
          <w:rFonts w:ascii="宋体" w:hAnsi="宋体" w:eastAsia="宋体" w:cs="宋体"/>
          <w:color w:val="auto"/>
          <w:spacing w:val="-3"/>
          <w:sz w:val="24"/>
          <w:szCs w:val="24"/>
          <w:highlight w:val="none"/>
        </w:rPr>
        <w:t>手续，发包人给予协助。运输超大件或超重件所需的道路和桥梁临时加固改造费用和</w:t>
      </w:r>
      <w:r>
        <w:rPr>
          <w:rFonts w:ascii="宋体" w:hAnsi="宋体" w:eastAsia="宋体" w:cs="宋体"/>
          <w:color w:val="auto"/>
          <w:spacing w:val="-2"/>
          <w:sz w:val="24"/>
          <w:szCs w:val="24"/>
          <w:highlight w:val="none"/>
        </w:rPr>
        <w:t>其他有关费用，由承包人承担，但专用合同条款另有约定除外。</w:t>
      </w:r>
    </w:p>
    <w:p w14:paraId="6B46CEF1">
      <w:pPr>
        <w:spacing w:line="219" w:lineRule="auto"/>
        <w:outlineLvl w:val="2"/>
        <w:rPr>
          <w:rFonts w:ascii="宋体" w:hAnsi="宋体" w:eastAsia="宋体" w:cs="宋体"/>
          <w:color w:val="auto"/>
          <w:sz w:val="24"/>
          <w:szCs w:val="24"/>
          <w:highlight w:val="none"/>
        </w:rPr>
      </w:pPr>
      <w:bookmarkStart w:id="427" w:name="bookmark198"/>
      <w:bookmarkEnd w:id="427"/>
      <w:bookmarkStart w:id="428" w:name="_Toc24447"/>
      <w:bookmarkStart w:id="429" w:name="_Toc142"/>
      <w:r>
        <w:rPr>
          <w:rFonts w:ascii="Times New Roman" w:hAnsi="Times New Roman" w:eastAsia="Times New Roman" w:cs="Times New Roman"/>
          <w:b/>
          <w:bCs/>
          <w:color w:val="auto"/>
          <w:spacing w:val="-2"/>
          <w:sz w:val="24"/>
          <w:szCs w:val="24"/>
          <w:highlight w:val="none"/>
        </w:rPr>
        <w:t xml:space="preserve">7.5  </w:t>
      </w:r>
      <w:r>
        <w:rPr>
          <w:rFonts w:ascii="宋体" w:hAnsi="宋体" w:eastAsia="宋体" w:cs="宋体"/>
          <w:b/>
          <w:bCs/>
          <w:color w:val="auto"/>
          <w:spacing w:val="-2"/>
          <w:sz w:val="24"/>
          <w:szCs w:val="24"/>
          <w:highlight w:val="none"/>
        </w:rPr>
        <w:t>道路和桥梁的损坏责任</w:t>
      </w:r>
      <w:bookmarkEnd w:id="428"/>
      <w:bookmarkEnd w:id="429"/>
    </w:p>
    <w:p w14:paraId="2116595E">
      <w:pPr>
        <w:spacing w:before="183" w:line="359" w:lineRule="auto"/>
        <w:ind w:left="20" w:right="85"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因承包人运输造成施工场地内外公共道路和</w:t>
      </w:r>
      <w:r>
        <w:rPr>
          <w:rFonts w:ascii="宋体" w:hAnsi="宋体" w:eastAsia="宋体" w:cs="宋体"/>
          <w:color w:val="auto"/>
          <w:spacing w:val="-4"/>
          <w:sz w:val="24"/>
          <w:szCs w:val="24"/>
          <w:highlight w:val="none"/>
        </w:rPr>
        <w:t>桥梁损坏的，由承包人承担修复损坏</w:t>
      </w:r>
      <w:r>
        <w:rPr>
          <w:rFonts w:ascii="宋体" w:hAnsi="宋体" w:eastAsia="宋体" w:cs="宋体"/>
          <w:color w:val="auto"/>
          <w:spacing w:val="-5"/>
          <w:sz w:val="24"/>
          <w:szCs w:val="24"/>
          <w:highlight w:val="none"/>
        </w:rPr>
        <w:t>的全部费用和可能引起的赔偿。</w:t>
      </w:r>
    </w:p>
    <w:p w14:paraId="287B1100">
      <w:pPr>
        <w:spacing w:before="1" w:line="219" w:lineRule="auto"/>
        <w:outlineLvl w:val="2"/>
        <w:rPr>
          <w:rFonts w:ascii="宋体" w:hAnsi="宋体" w:eastAsia="宋体" w:cs="宋体"/>
          <w:color w:val="auto"/>
          <w:sz w:val="24"/>
          <w:szCs w:val="24"/>
          <w:highlight w:val="none"/>
        </w:rPr>
      </w:pPr>
      <w:bookmarkStart w:id="430" w:name="bookmark199"/>
      <w:bookmarkEnd w:id="430"/>
      <w:bookmarkStart w:id="431" w:name="_Toc10312"/>
      <w:bookmarkStart w:id="432" w:name="_Toc15044"/>
      <w:r>
        <w:rPr>
          <w:rFonts w:ascii="Times New Roman" w:hAnsi="Times New Roman" w:eastAsia="Times New Roman" w:cs="Times New Roman"/>
          <w:b/>
          <w:bCs/>
          <w:color w:val="auto"/>
          <w:spacing w:val="-2"/>
          <w:sz w:val="24"/>
          <w:szCs w:val="24"/>
          <w:highlight w:val="none"/>
        </w:rPr>
        <w:t xml:space="preserve">7.6  </w:t>
      </w:r>
      <w:r>
        <w:rPr>
          <w:rFonts w:ascii="宋体" w:hAnsi="宋体" w:eastAsia="宋体" w:cs="宋体"/>
          <w:b/>
          <w:bCs/>
          <w:color w:val="auto"/>
          <w:spacing w:val="-2"/>
          <w:sz w:val="24"/>
          <w:szCs w:val="24"/>
          <w:highlight w:val="none"/>
        </w:rPr>
        <w:t>水路和航空运输</w:t>
      </w:r>
      <w:bookmarkEnd w:id="431"/>
      <w:bookmarkEnd w:id="432"/>
    </w:p>
    <w:p w14:paraId="16386139">
      <w:pPr>
        <w:spacing w:before="181" w:line="360" w:lineRule="auto"/>
        <w:ind w:right="82" w:firstLine="481"/>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本条上述各款的内容适用于水路运输和航空运输，其中“道路”一词的涵义包括河道、航线、船闸、机场、码头、堤防以及水路或航空运输中其他相似结构物。“车辆”一词的涵义包括船舶和飞机等。</w:t>
      </w:r>
    </w:p>
    <w:p w14:paraId="4B26CC5D">
      <w:pPr>
        <w:spacing w:before="122" w:line="221" w:lineRule="auto"/>
        <w:ind w:left="1"/>
        <w:outlineLvl w:val="1"/>
        <w:rPr>
          <w:rFonts w:ascii="宋体" w:hAnsi="宋体" w:eastAsia="宋体" w:cs="宋体"/>
          <w:color w:val="auto"/>
          <w:sz w:val="28"/>
          <w:szCs w:val="28"/>
          <w:highlight w:val="none"/>
        </w:rPr>
      </w:pPr>
      <w:bookmarkStart w:id="433" w:name="bookmark200"/>
      <w:bookmarkEnd w:id="433"/>
      <w:bookmarkStart w:id="434" w:name="bookmark201"/>
      <w:bookmarkEnd w:id="434"/>
      <w:bookmarkStart w:id="435" w:name="_Toc3928"/>
      <w:bookmarkStart w:id="436" w:name="_Toc7209"/>
      <w:r>
        <w:rPr>
          <w:rFonts w:ascii="Times New Roman" w:hAnsi="Times New Roman" w:eastAsia="Times New Roman" w:cs="Times New Roman"/>
          <w:b/>
          <w:bCs/>
          <w:color w:val="auto"/>
          <w:spacing w:val="-6"/>
          <w:sz w:val="28"/>
          <w:szCs w:val="28"/>
          <w:highlight w:val="none"/>
        </w:rPr>
        <w:t>8</w:t>
      </w:r>
      <w:r>
        <w:rPr>
          <w:rFonts w:ascii="Times New Roman" w:hAnsi="Times New Roman" w:eastAsia="Times New Roman" w:cs="Times New Roman"/>
          <w:b/>
          <w:bCs/>
          <w:color w:val="auto"/>
          <w:spacing w:val="6"/>
          <w:sz w:val="28"/>
          <w:szCs w:val="28"/>
          <w:highlight w:val="none"/>
        </w:rPr>
        <w:t xml:space="preserve"> </w:t>
      </w:r>
      <w:r>
        <w:rPr>
          <w:rFonts w:hint="eastAsia" w:ascii="Times New Roman" w:hAnsi="Times New Roman" w:eastAsia="宋体" w:cs="Times New Roman"/>
          <w:b/>
          <w:bCs/>
          <w:color w:val="auto"/>
          <w:spacing w:val="6"/>
          <w:sz w:val="28"/>
          <w:szCs w:val="28"/>
          <w:highlight w:val="none"/>
          <w:lang w:eastAsia="zh-CN"/>
        </w:rPr>
        <w:t>、</w:t>
      </w:r>
      <w:r>
        <w:rPr>
          <w:rFonts w:ascii="宋体" w:hAnsi="宋体" w:eastAsia="宋体" w:cs="宋体"/>
          <w:b/>
          <w:bCs/>
          <w:color w:val="auto"/>
          <w:spacing w:val="-6"/>
          <w:sz w:val="28"/>
          <w:szCs w:val="28"/>
          <w:highlight w:val="none"/>
        </w:rPr>
        <w:t>测量放线</w:t>
      </w:r>
      <w:bookmarkEnd w:id="435"/>
      <w:bookmarkEnd w:id="436"/>
    </w:p>
    <w:p w14:paraId="782C9539">
      <w:pPr>
        <w:pStyle w:val="3"/>
        <w:spacing w:line="245" w:lineRule="auto"/>
        <w:rPr>
          <w:color w:val="auto"/>
          <w:highlight w:val="none"/>
        </w:rPr>
      </w:pPr>
    </w:p>
    <w:p w14:paraId="2BFE7E1F">
      <w:pPr>
        <w:spacing w:before="78" w:line="220" w:lineRule="auto"/>
        <w:outlineLvl w:val="2"/>
        <w:rPr>
          <w:rFonts w:ascii="宋体" w:hAnsi="宋体" w:eastAsia="宋体" w:cs="宋体"/>
          <w:color w:val="auto"/>
          <w:sz w:val="24"/>
          <w:szCs w:val="24"/>
          <w:highlight w:val="none"/>
        </w:rPr>
      </w:pPr>
      <w:bookmarkStart w:id="437" w:name="bookmark694"/>
      <w:bookmarkEnd w:id="437"/>
      <w:bookmarkStart w:id="438" w:name="_Toc3487"/>
      <w:bookmarkStart w:id="439" w:name="_Toc25554"/>
      <w:r>
        <w:rPr>
          <w:rFonts w:ascii="Times New Roman" w:hAnsi="Times New Roman" w:eastAsia="Times New Roman" w:cs="Times New Roman"/>
          <w:b/>
          <w:bCs/>
          <w:color w:val="auto"/>
          <w:spacing w:val="-2"/>
          <w:sz w:val="24"/>
          <w:szCs w:val="24"/>
          <w:highlight w:val="none"/>
        </w:rPr>
        <w:t xml:space="preserve">8.1  </w:t>
      </w:r>
      <w:r>
        <w:rPr>
          <w:rFonts w:ascii="宋体" w:hAnsi="宋体" w:eastAsia="宋体" w:cs="宋体"/>
          <w:b/>
          <w:bCs/>
          <w:color w:val="auto"/>
          <w:spacing w:val="-2"/>
          <w:sz w:val="24"/>
          <w:szCs w:val="24"/>
          <w:highlight w:val="none"/>
        </w:rPr>
        <w:t>施工控制网</w:t>
      </w:r>
      <w:bookmarkEnd w:id="438"/>
      <w:bookmarkEnd w:id="439"/>
    </w:p>
    <w:p w14:paraId="44643516">
      <w:pPr>
        <w:spacing w:before="181" w:line="360" w:lineRule="auto"/>
        <w:ind w:left="2" w:right="85" w:firstLine="480"/>
        <w:jc w:val="both"/>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8.1.1  </w:t>
      </w:r>
      <w:r>
        <w:rPr>
          <w:rFonts w:ascii="宋体" w:hAnsi="宋体" w:eastAsia="宋体" w:cs="宋体"/>
          <w:color w:val="auto"/>
          <w:sz w:val="24"/>
          <w:szCs w:val="24"/>
          <w:highlight w:val="none"/>
        </w:rPr>
        <w:t>除专用合同条款另有约定外，施工控制网由承包人负责测设，发包人应在</w:t>
      </w:r>
      <w:r>
        <w:rPr>
          <w:rFonts w:ascii="宋体" w:hAnsi="宋体" w:eastAsia="宋体" w:cs="宋体"/>
          <w:color w:val="auto"/>
          <w:spacing w:val="-3"/>
          <w:sz w:val="24"/>
          <w:szCs w:val="24"/>
          <w:highlight w:val="none"/>
        </w:rPr>
        <w:t>本合同协议书签订后的</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天内，向承包人提供测量基准点、基准线和水准点及其相关资料。承包人应在收到上述资料后的</w:t>
      </w:r>
      <w:r>
        <w:rPr>
          <w:rFonts w:ascii="Times New Roman" w:hAnsi="Times New Roman" w:eastAsia="Times New Roman" w:cs="Times New Roman"/>
          <w:color w:val="auto"/>
          <w:spacing w:val="-3"/>
          <w:sz w:val="24"/>
          <w:szCs w:val="24"/>
          <w:highlight w:val="none"/>
        </w:rPr>
        <w:t>28</w:t>
      </w:r>
      <w:r>
        <w:rPr>
          <w:rFonts w:ascii="宋体" w:hAnsi="宋体" w:eastAsia="宋体" w:cs="宋体"/>
          <w:color w:val="auto"/>
          <w:spacing w:val="-3"/>
          <w:sz w:val="24"/>
          <w:szCs w:val="24"/>
          <w:highlight w:val="none"/>
        </w:rPr>
        <w:t>天内，将施测的施工控制网资料提交监理人审</w:t>
      </w:r>
    </w:p>
    <w:p w14:paraId="6D298E24">
      <w:pPr>
        <w:spacing w:line="360" w:lineRule="auto"/>
        <w:rPr>
          <w:rFonts w:ascii="宋体" w:hAnsi="宋体" w:eastAsia="宋体" w:cs="宋体"/>
          <w:color w:val="auto"/>
          <w:sz w:val="24"/>
          <w:szCs w:val="24"/>
          <w:highlight w:val="none"/>
        </w:rPr>
        <w:sectPr>
          <w:footerReference r:id="rId44" w:type="default"/>
          <w:pgSz w:w="11907" w:h="16841"/>
          <w:pgMar w:top="1428" w:right="1443" w:bottom="1254" w:left="1596" w:header="0" w:footer="1093" w:gutter="0"/>
          <w:pgNumType w:fmt="decimal"/>
          <w:cols w:space="720" w:num="1"/>
        </w:sectPr>
      </w:pPr>
    </w:p>
    <w:p w14:paraId="1291C316">
      <w:pPr>
        <w:spacing w:before="47" w:line="220" w:lineRule="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批。监理人应在收到报批件后的</w:t>
      </w:r>
      <w:r>
        <w:rPr>
          <w:rFonts w:ascii="Times New Roman" w:hAnsi="Times New Roman" w:eastAsia="Times New Roman" w:cs="Times New Roman"/>
          <w:color w:val="auto"/>
          <w:spacing w:val="-2"/>
          <w:sz w:val="24"/>
          <w:szCs w:val="24"/>
          <w:highlight w:val="none"/>
        </w:rPr>
        <w:t>14</w:t>
      </w:r>
      <w:r>
        <w:rPr>
          <w:rFonts w:ascii="宋体" w:hAnsi="宋体" w:eastAsia="宋体" w:cs="宋体"/>
          <w:color w:val="auto"/>
          <w:spacing w:val="-2"/>
          <w:sz w:val="24"/>
          <w:szCs w:val="24"/>
          <w:highlight w:val="none"/>
        </w:rPr>
        <w:t>天内批复承包人。</w:t>
      </w:r>
    </w:p>
    <w:p w14:paraId="02B59713">
      <w:pPr>
        <w:spacing w:before="181" w:line="359" w:lineRule="auto"/>
        <w:ind w:right="1" w:firstLine="482"/>
        <w:jc w:val="both"/>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8.1.2  </w:t>
      </w:r>
      <w:r>
        <w:rPr>
          <w:rFonts w:ascii="宋体" w:hAnsi="宋体" w:eastAsia="宋体" w:cs="宋体"/>
          <w:color w:val="auto"/>
          <w:sz w:val="24"/>
          <w:szCs w:val="24"/>
          <w:highlight w:val="none"/>
        </w:rPr>
        <w:t>承包人应负责管理施工控制网点。施工控制网点丢失或损坏的，承包人应</w:t>
      </w:r>
      <w:r>
        <w:rPr>
          <w:rFonts w:ascii="宋体" w:hAnsi="宋体" w:eastAsia="宋体" w:cs="宋体"/>
          <w:color w:val="auto"/>
          <w:spacing w:val="-5"/>
          <w:sz w:val="24"/>
          <w:szCs w:val="24"/>
          <w:highlight w:val="none"/>
        </w:rPr>
        <w:t>及时修复。承包人应承担施工控制网点的管理与修复费用，</w:t>
      </w:r>
      <w:r>
        <w:rPr>
          <w:rFonts w:ascii="宋体" w:hAnsi="宋体" w:eastAsia="宋体" w:cs="宋体"/>
          <w:color w:val="auto"/>
          <w:spacing w:val="-36"/>
          <w:sz w:val="24"/>
          <w:szCs w:val="24"/>
          <w:highlight w:val="none"/>
        </w:rPr>
        <w:t xml:space="preserve"> </w:t>
      </w:r>
      <w:r>
        <w:rPr>
          <w:rFonts w:ascii="宋体" w:hAnsi="宋体" w:eastAsia="宋体" w:cs="宋体"/>
          <w:color w:val="auto"/>
          <w:spacing w:val="-5"/>
          <w:sz w:val="24"/>
          <w:szCs w:val="24"/>
          <w:highlight w:val="none"/>
        </w:rPr>
        <w:t>并在工程竣工后将施工控制网点移交发包人。</w:t>
      </w:r>
    </w:p>
    <w:p w14:paraId="18AD174F">
      <w:pPr>
        <w:spacing w:before="1" w:line="220" w:lineRule="auto"/>
        <w:outlineLvl w:val="2"/>
        <w:rPr>
          <w:rFonts w:ascii="宋体" w:hAnsi="宋体" w:eastAsia="宋体" w:cs="宋体"/>
          <w:color w:val="auto"/>
          <w:sz w:val="24"/>
          <w:szCs w:val="24"/>
          <w:highlight w:val="none"/>
        </w:rPr>
      </w:pPr>
      <w:bookmarkStart w:id="440" w:name="bookmark202"/>
      <w:bookmarkEnd w:id="440"/>
      <w:bookmarkStart w:id="441" w:name="_Toc14589"/>
      <w:bookmarkStart w:id="442" w:name="_Toc19926"/>
      <w:r>
        <w:rPr>
          <w:rFonts w:ascii="Times New Roman" w:hAnsi="Times New Roman" w:eastAsia="Times New Roman" w:cs="Times New Roman"/>
          <w:b/>
          <w:bCs/>
          <w:color w:val="auto"/>
          <w:spacing w:val="-2"/>
          <w:sz w:val="24"/>
          <w:szCs w:val="24"/>
          <w:highlight w:val="none"/>
        </w:rPr>
        <w:t xml:space="preserve">8.2  </w:t>
      </w:r>
      <w:r>
        <w:rPr>
          <w:rFonts w:ascii="宋体" w:hAnsi="宋体" w:eastAsia="宋体" w:cs="宋体"/>
          <w:b/>
          <w:bCs/>
          <w:color w:val="auto"/>
          <w:spacing w:val="-2"/>
          <w:sz w:val="24"/>
          <w:szCs w:val="24"/>
          <w:highlight w:val="none"/>
        </w:rPr>
        <w:t>施工测量</w:t>
      </w:r>
      <w:bookmarkEnd w:id="441"/>
      <w:bookmarkEnd w:id="442"/>
    </w:p>
    <w:p w14:paraId="5EFE1141">
      <w:pPr>
        <w:spacing w:before="180" w:line="289" w:lineRule="auto"/>
        <w:ind w:left="2" w:right="36"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8.2.1  </w:t>
      </w:r>
      <w:r>
        <w:rPr>
          <w:rFonts w:ascii="宋体" w:hAnsi="宋体" w:eastAsia="宋体" w:cs="宋体"/>
          <w:color w:val="auto"/>
          <w:sz w:val="24"/>
          <w:szCs w:val="24"/>
          <w:highlight w:val="none"/>
        </w:rPr>
        <w:t>承包人应负责施工过程中的全部</w:t>
      </w:r>
      <w:r>
        <w:rPr>
          <w:rFonts w:ascii="宋体" w:hAnsi="宋体" w:eastAsia="宋体" w:cs="宋体"/>
          <w:color w:val="auto"/>
          <w:spacing w:val="-1"/>
          <w:sz w:val="24"/>
          <w:szCs w:val="24"/>
          <w:highlight w:val="none"/>
        </w:rPr>
        <w:t>施工测量放线工作，并配置合格的人员、</w:t>
      </w:r>
      <w:r>
        <w:rPr>
          <w:rFonts w:ascii="宋体" w:hAnsi="宋体" w:eastAsia="宋体" w:cs="宋体"/>
          <w:color w:val="auto"/>
          <w:spacing w:val="-4"/>
          <w:sz w:val="24"/>
          <w:szCs w:val="24"/>
          <w:highlight w:val="none"/>
        </w:rPr>
        <w:t>仪器、设备和其他物品。</w:t>
      </w:r>
    </w:p>
    <w:p w14:paraId="7D4C89E9">
      <w:pPr>
        <w:spacing w:before="182" w:line="289" w:lineRule="auto"/>
        <w:ind w:left="7" w:right="1" w:firstLine="475"/>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8.2.2  </w:t>
      </w:r>
      <w:r>
        <w:rPr>
          <w:rFonts w:ascii="宋体" w:hAnsi="宋体" w:eastAsia="宋体" w:cs="宋体"/>
          <w:color w:val="auto"/>
          <w:sz w:val="24"/>
          <w:szCs w:val="24"/>
          <w:highlight w:val="none"/>
        </w:rPr>
        <w:t>监理人可以指示承包人进行抽样复测，当复测中发现错误或出现超过合同</w:t>
      </w:r>
      <w:r>
        <w:rPr>
          <w:rFonts w:ascii="宋体" w:hAnsi="宋体" w:eastAsia="宋体" w:cs="宋体"/>
          <w:color w:val="auto"/>
          <w:spacing w:val="-1"/>
          <w:sz w:val="24"/>
          <w:szCs w:val="24"/>
          <w:highlight w:val="none"/>
        </w:rPr>
        <w:t>约定的误差时，承包人应按监理人指示进行修正或</w:t>
      </w:r>
      <w:r>
        <w:rPr>
          <w:rFonts w:ascii="宋体" w:hAnsi="宋体" w:eastAsia="宋体" w:cs="宋体"/>
          <w:color w:val="auto"/>
          <w:spacing w:val="-2"/>
          <w:sz w:val="24"/>
          <w:szCs w:val="24"/>
          <w:highlight w:val="none"/>
        </w:rPr>
        <w:t>补测，并承担相应的复测费用。</w:t>
      </w:r>
    </w:p>
    <w:p w14:paraId="499E1329">
      <w:pPr>
        <w:spacing w:before="182" w:line="220" w:lineRule="auto"/>
        <w:outlineLvl w:val="2"/>
        <w:rPr>
          <w:rFonts w:ascii="宋体" w:hAnsi="宋体" w:eastAsia="宋体" w:cs="宋体"/>
          <w:color w:val="auto"/>
          <w:sz w:val="24"/>
          <w:szCs w:val="24"/>
          <w:highlight w:val="none"/>
        </w:rPr>
      </w:pPr>
      <w:bookmarkStart w:id="443" w:name="bookmark203"/>
      <w:bookmarkEnd w:id="443"/>
      <w:bookmarkStart w:id="444" w:name="_Toc9718"/>
      <w:bookmarkStart w:id="445" w:name="_Toc7101"/>
      <w:r>
        <w:rPr>
          <w:rFonts w:ascii="Times New Roman" w:hAnsi="Times New Roman" w:eastAsia="Times New Roman" w:cs="Times New Roman"/>
          <w:b/>
          <w:bCs/>
          <w:color w:val="auto"/>
          <w:spacing w:val="-2"/>
          <w:sz w:val="24"/>
          <w:szCs w:val="24"/>
          <w:highlight w:val="none"/>
        </w:rPr>
        <w:t xml:space="preserve">8.3  </w:t>
      </w:r>
      <w:r>
        <w:rPr>
          <w:rFonts w:ascii="宋体" w:hAnsi="宋体" w:eastAsia="宋体" w:cs="宋体"/>
          <w:b/>
          <w:bCs/>
          <w:color w:val="auto"/>
          <w:spacing w:val="-2"/>
          <w:sz w:val="24"/>
          <w:szCs w:val="24"/>
          <w:highlight w:val="none"/>
        </w:rPr>
        <w:t>基准资料错误的责任</w:t>
      </w:r>
      <w:bookmarkEnd w:id="444"/>
      <w:bookmarkEnd w:id="445"/>
    </w:p>
    <w:p w14:paraId="27408F64">
      <w:pPr>
        <w:spacing w:before="181" w:line="359" w:lineRule="auto"/>
        <w:ind w:left="2" w:right="1" w:firstLine="482"/>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w:t>
      </w:r>
      <w:r>
        <w:rPr>
          <w:rFonts w:ascii="宋体" w:hAnsi="宋体" w:eastAsia="宋体" w:cs="宋体"/>
          <w:color w:val="auto"/>
          <w:spacing w:val="-5"/>
          <w:sz w:val="24"/>
          <w:szCs w:val="24"/>
          <w:highlight w:val="none"/>
        </w:rPr>
        <w:t>合理利润。承包人发现发包人提供的上述基准资料存在明显错误或疏忽的，</w:t>
      </w:r>
      <w:r>
        <w:rPr>
          <w:rFonts w:ascii="宋体" w:hAnsi="宋体" w:eastAsia="宋体" w:cs="宋体"/>
          <w:color w:val="auto"/>
          <w:spacing w:val="-38"/>
          <w:sz w:val="24"/>
          <w:szCs w:val="24"/>
          <w:highlight w:val="none"/>
        </w:rPr>
        <w:t xml:space="preserve"> </w:t>
      </w:r>
      <w:r>
        <w:rPr>
          <w:rFonts w:ascii="宋体" w:hAnsi="宋体" w:eastAsia="宋体" w:cs="宋体"/>
          <w:color w:val="auto"/>
          <w:spacing w:val="-5"/>
          <w:sz w:val="24"/>
          <w:szCs w:val="24"/>
          <w:highlight w:val="none"/>
        </w:rPr>
        <w:t>应及时通</w:t>
      </w:r>
      <w:r>
        <w:rPr>
          <w:rFonts w:ascii="宋体" w:hAnsi="宋体" w:eastAsia="宋体" w:cs="宋体"/>
          <w:color w:val="auto"/>
          <w:spacing w:val="-8"/>
          <w:sz w:val="24"/>
          <w:szCs w:val="24"/>
          <w:highlight w:val="none"/>
        </w:rPr>
        <w:t>知监理人。</w:t>
      </w:r>
    </w:p>
    <w:p w14:paraId="4361C562">
      <w:pPr>
        <w:spacing w:before="1" w:line="219" w:lineRule="auto"/>
        <w:outlineLvl w:val="2"/>
        <w:rPr>
          <w:rFonts w:ascii="宋体" w:hAnsi="宋体" w:eastAsia="宋体" w:cs="宋体"/>
          <w:color w:val="auto"/>
          <w:sz w:val="24"/>
          <w:szCs w:val="24"/>
          <w:highlight w:val="none"/>
        </w:rPr>
      </w:pPr>
      <w:bookmarkStart w:id="446" w:name="bookmark204"/>
      <w:bookmarkEnd w:id="446"/>
      <w:bookmarkStart w:id="447" w:name="_Toc1877"/>
      <w:bookmarkStart w:id="448" w:name="_Toc1742"/>
      <w:r>
        <w:rPr>
          <w:rFonts w:ascii="Times New Roman" w:hAnsi="Times New Roman" w:eastAsia="Times New Roman" w:cs="Times New Roman"/>
          <w:b/>
          <w:bCs/>
          <w:color w:val="auto"/>
          <w:spacing w:val="-2"/>
          <w:sz w:val="24"/>
          <w:szCs w:val="24"/>
          <w:highlight w:val="none"/>
        </w:rPr>
        <w:t xml:space="preserve">8.4  </w:t>
      </w:r>
      <w:r>
        <w:rPr>
          <w:rFonts w:ascii="宋体" w:hAnsi="宋体" w:eastAsia="宋体" w:cs="宋体"/>
          <w:b/>
          <w:bCs/>
          <w:color w:val="auto"/>
          <w:spacing w:val="-2"/>
          <w:sz w:val="24"/>
          <w:szCs w:val="24"/>
          <w:highlight w:val="none"/>
        </w:rPr>
        <w:t>监理人使用施工控制网</w:t>
      </w:r>
      <w:bookmarkEnd w:id="447"/>
      <w:bookmarkEnd w:id="448"/>
    </w:p>
    <w:p w14:paraId="02B7579C">
      <w:pPr>
        <w:spacing w:before="183" w:line="359" w:lineRule="auto"/>
        <w:ind w:left="15" w:right="1" w:firstLine="46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监理人需要使用施工控制网的，承包人应提供必要的协助，发包人不再为此支付</w:t>
      </w:r>
      <w:r>
        <w:rPr>
          <w:rFonts w:ascii="宋体" w:hAnsi="宋体" w:eastAsia="宋体" w:cs="宋体"/>
          <w:color w:val="auto"/>
          <w:spacing w:val="-13"/>
          <w:sz w:val="24"/>
          <w:szCs w:val="24"/>
          <w:highlight w:val="none"/>
        </w:rPr>
        <w:t>费用。</w:t>
      </w:r>
    </w:p>
    <w:p w14:paraId="44BFB066">
      <w:pPr>
        <w:spacing w:line="219" w:lineRule="auto"/>
        <w:outlineLvl w:val="2"/>
        <w:rPr>
          <w:rFonts w:ascii="宋体" w:hAnsi="宋体" w:eastAsia="宋体" w:cs="宋体"/>
          <w:color w:val="auto"/>
          <w:sz w:val="24"/>
          <w:szCs w:val="24"/>
          <w:highlight w:val="none"/>
        </w:rPr>
      </w:pPr>
      <w:bookmarkStart w:id="449" w:name="bookmark205"/>
      <w:bookmarkEnd w:id="449"/>
      <w:bookmarkStart w:id="450" w:name="_Toc467"/>
      <w:bookmarkStart w:id="451" w:name="_Toc25963"/>
      <w:r>
        <w:rPr>
          <w:rFonts w:ascii="Times New Roman" w:hAnsi="Times New Roman" w:eastAsia="Times New Roman" w:cs="Times New Roman"/>
          <w:b/>
          <w:bCs/>
          <w:color w:val="auto"/>
          <w:spacing w:val="-2"/>
          <w:sz w:val="24"/>
          <w:szCs w:val="24"/>
          <w:highlight w:val="none"/>
        </w:rPr>
        <w:t xml:space="preserve">8.5  </w:t>
      </w:r>
      <w:r>
        <w:rPr>
          <w:rFonts w:ascii="宋体" w:hAnsi="宋体" w:eastAsia="宋体" w:cs="宋体"/>
          <w:b/>
          <w:bCs/>
          <w:color w:val="auto"/>
          <w:spacing w:val="-2"/>
          <w:sz w:val="24"/>
          <w:szCs w:val="24"/>
          <w:highlight w:val="none"/>
        </w:rPr>
        <w:t>补充地质勘探</w:t>
      </w:r>
      <w:bookmarkEnd w:id="450"/>
      <w:bookmarkEnd w:id="451"/>
    </w:p>
    <w:p w14:paraId="0148A2C4">
      <w:pPr>
        <w:spacing w:before="183" w:line="360" w:lineRule="auto"/>
        <w:ind w:left="1" w:right="1" w:firstLine="479"/>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在合同实施期间，监理人可以指示承包人进行必要的补充地质勘探并提供有关资</w:t>
      </w:r>
      <w:r>
        <w:rPr>
          <w:rFonts w:ascii="宋体" w:hAnsi="宋体" w:eastAsia="宋体" w:cs="宋体"/>
          <w:color w:val="auto"/>
          <w:spacing w:val="-6"/>
          <w:sz w:val="24"/>
          <w:szCs w:val="24"/>
          <w:highlight w:val="none"/>
        </w:rPr>
        <w:t>料。承包人为本合同永久工程施工的需要进行补充地质勘探时， 须经监理人批准，并</w:t>
      </w:r>
      <w:r>
        <w:rPr>
          <w:rFonts w:ascii="宋体" w:hAnsi="宋体" w:eastAsia="宋体" w:cs="宋体"/>
          <w:color w:val="auto"/>
          <w:spacing w:val="-3"/>
          <w:sz w:val="24"/>
          <w:szCs w:val="24"/>
          <w:highlight w:val="none"/>
        </w:rPr>
        <w:t>应向监理人提交有关资料，上述补充勘探的费用由发包人承担。承包人为其临时工程</w:t>
      </w:r>
      <w:r>
        <w:rPr>
          <w:rFonts w:ascii="宋体" w:hAnsi="宋体" w:eastAsia="宋体" w:cs="宋体"/>
          <w:color w:val="auto"/>
          <w:spacing w:val="-2"/>
          <w:sz w:val="24"/>
          <w:szCs w:val="24"/>
          <w:highlight w:val="none"/>
        </w:rPr>
        <w:t>设计及施工的需要进行的补充地质勘探，其费用由承包人承担。</w:t>
      </w:r>
    </w:p>
    <w:p w14:paraId="3D9C81A4">
      <w:pPr>
        <w:spacing w:before="118" w:line="221" w:lineRule="auto"/>
        <w:ind w:left="1"/>
        <w:outlineLvl w:val="1"/>
        <w:rPr>
          <w:rFonts w:ascii="宋体" w:hAnsi="宋体" w:eastAsia="宋体" w:cs="宋体"/>
          <w:color w:val="auto"/>
          <w:sz w:val="28"/>
          <w:szCs w:val="28"/>
          <w:highlight w:val="none"/>
        </w:rPr>
      </w:pPr>
      <w:bookmarkStart w:id="452" w:name="bookmark206"/>
      <w:bookmarkEnd w:id="452"/>
      <w:bookmarkStart w:id="453" w:name="bookmark207"/>
      <w:bookmarkEnd w:id="453"/>
      <w:bookmarkStart w:id="454" w:name="_Toc7379"/>
      <w:bookmarkStart w:id="455" w:name="_Toc25332"/>
      <w:r>
        <w:rPr>
          <w:rFonts w:ascii="Times New Roman" w:hAnsi="Times New Roman" w:eastAsia="Times New Roman" w:cs="Times New Roman"/>
          <w:b/>
          <w:bCs/>
          <w:color w:val="auto"/>
          <w:spacing w:val="-2"/>
          <w:sz w:val="28"/>
          <w:szCs w:val="28"/>
          <w:highlight w:val="none"/>
        </w:rPr>
        <w:t>9</w:t>
      </w:r>
      <w:r>
        <w:rPr>
          <w:rFonts w:hint="eastAsia" w:ascii="Times New Roman" w:hAnsi="Times New Roman" w:eastAsia="宋体" w:cs="Times New Roman"/>
          <w:b/>
          <w:bCs/>
          <w:color w:val="auto"/>
          <w:spacing w:val="-2"/>
          <w:sz w:val="28"/>
          <w:szCs w:val="28"/>
          <w:highlight w:val="none"/>
          <w:lang w:eastAsia="zh-CN"/>
        </w:rPr>
        <w:t>、</w:t>
      </w:r>
      <w:r>
        <w:rPr>
          <w:rFonts w:ascii="宋体" w:hAnsi="宋体" w:eastAsia="宋体" w:cs="宋体"/>
          <w:b/>
          <w:bCs/>
          <w:color w:val="auto"/>
          <w:spacing w:val="-2"/>
          <w:sz w:val="28"/>
          <w:szCs w:val="28"/>
          <w:highlight w:val="none"/>
        </w:rPr>
        <w:t>施工安全、治安保卫和环境保护</w:t>
      </w:r>
      <w:bookmarkEnd w:id="454"/>
      <w:bookmarkEnd w:id="455"/>
    </w:p>
    <w:p w14:paraId="083E105B">
      <w:pPr>
        <w:pStyle w:val="3"/>
        <w:spacing w:line="244" w:lineRule="auto"/>
        <w:rPr>
          <w:color w:val="auto"/>
          <w:highlight w:val="none"/>
        </w:rPr>
      </w:pPr>
    </w:p>
    <w:p w14:paraId="7C9EC43F">
      <w:pPr>
        <w:spacing w:before="78" w:line="220" w:lineRule="auto"/>
        <w:outlineLvl w:val="2"/>
        <w:rPr>
          <w:rFonts w:ascii="宋体" w:hAnsi="宋体" w:eastAsia="宋体" w:cs="宋体"/>
          <w:color w:val="auto"/>
          <w:sz w:val="24"/>
          <w:szCs w:val="24"/>
          <w:highlight w:val="none"/>
        </w:rPr>
      </w:pPr>
      <w:bookmarkStart w:id="456" w:name="bookmark695"/>
      <w:bookmarkEnd w:id="456"/>
      <w:bookmarkStart w:id="457" w:name="_Toc14545"/>
      <w:bookmarkStart w:id="458" w:name="_Toc29811"/>
      <w:r>
        <w:rPr>
          <w:rFonts w:ascii="Times New Roman" w:hAnsi="Times New Roman" w:eastAsia="Times New Roman" w:cs="Times New Roman"/>
          <w:b/>
          <w:bCs/>
          <w:color w:val="auto"/>
          <w:spacing w:val="-2"/>
          <w:sz w:val="24"/>
          <w:szCs w:val="24"/>
          <w:highlight w:val="none"/>
        </w:rPr>
        <w:t xml:space="preserve">9.1  </w:t>
      </w:r>
      <w:r>
        <w:rPr>
          <w:rFonts w:ascii="宋体" w:hAnsi="宋体" w:eastAsia="宋体" w:cs="宋体"/>
          <w:b/>
          <w:bCs/>
          <w:color w:val="auto"/>
          <w:spacing w:val="-2"/>
          <w:sz w:val="24"/>
          <w:szCs w:val="24"/>
          <w:highlight w:val="none"/>
        </w:rPr>
        <w:t>发包人的施工安全责任</w:t>
      </w:r>
      <w:bookmarkEnd w:id="457"/>
      <w:bookmarkEnd w:id="458"/>
    </w:p>
    <w:p w14:paraId="489FA814">
      <w:pPr>
        <w:spacing w:before="181" w:line="313" w:lineRule="auto"/>
        <w:ind w:left="1" w:righ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9.1.1  </w:t>
      </w:r>
      <w:r>
        <w:rPr>
          <w:rFonts w:ascii="宋体" w:hAnsi="宋体" w:eastAsia="宋体" w:cs="宋体"/>
          <w:color w:val="auto"/>
          <w:sz w:val="24"/>
          <w:szCs w:val="24"/>
          <w:highlight w:val="none"/>
        </w:rPr>
        <w:t>发包人应按合同约定履行安全职责。发包人委托监理人根据国家有关安全</w:t>
      </w:r>
      <w:r>
        <w:rPr>
          <w:rFonts w:ascii="宋体" w:hAnsi="宋体" w:eastAsia="宋体" w:cs="宋体"/>
          <w:color w:val="auto"/>
          <w:spacing w:val="-3"/>
          <w:sz w:val="24"/>
          <w:szCs w:val="24"/>
          <w:highlight w:val="none"/>
        </w:rPr>
        <w:t>的法律、法规、强制性标准以及部门规章，对承包人的安全责任履行情况进行监督和</w:t>
      </w:r>
      <w:r>
        <w:rPr>
          <w:rFonts w:ascii="宋体" w:hAnsi="宋体" w:eastAsia="宋体" w:cs="宋体"/>
          <w:color w:val="auto"/>
          <w:spacing w:val="-2"/>
          <w:sz w:val="24"/>
          <w:szCs w:val="24"/>
          <w:highlight w:val="none"/>
        </w:rPr>
        <w:t>检查。监理人的监督检查不减轻承包人应负的安全责任。</w:t>
      </w:r>
    </w:p>
    <w:p w14:paraId="2064E90E">
      <w:pPr>
        <w:spacing w:before="180" w:line="219" w:lineRule="auto"/>
        <w:jc w:val="right"/>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9.1.2  </w:t>
      </w:r>
      <w:r>
        <w:rPr>
          <w:rFonts w:ascii="宋体" w:hAnsi="宋体" w:eastAsia="宋体" w:cs="宋体"/>
          <w:color w:val="auto"/>
          <w:sz w:val="24"/>
          <w:szCs w:val="24"/>
          <w:highlight w:val="none"/>
        </w:rPr>
        <w:t>发包人应对其现场机构雇佣的全部人员的工伤事故承担责任，但由于承包</w:t>
      </w:r>
    </w:p>
    <w:p w14:paraId="5216B7EB">
      <w:pPr>
        <w:spacing w:line="219" w:lineRule="auto"/>
        <w:rPr>
          <w:rFonts w:ascii="宋体" w:hAnsi="宋体" w:eastAsia="宋体" w:cs="宋体"/>
          <w:color w:val="auto"/>
          <w:sz w:val="24"/>
          <w:szCs w:val="24"/>
          <w:highlight w:val="none"/>
        </w:rPr>
        <w:sectPr>
          <w:footerReference r:id="rId45" w:type="default"/>
          <w:pgSz w:w="11907" w:h="16841"/>
          <w:pgMar w:top="1428" w:right="1527" w:bottom="1254" w:left="1596" w:header="0" w:footer="1093" w:gutter="0"/>
          <w:pgNumType w:fmt="decimal"/>
          <w:cols w:space="720" w:num="1"/>
        </w:sectPr>
      </w:pPr>
    </w:p>
    <w:p w14:paraId="4F16F560">
      <w:pPr>
        <w:spacing w:before="47" w:line="220" w:lineRule="auto"/>
        <w:ind w:left="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人原因造成发包人人员工伤的，应由承包人承担责任。</w:t>
      </w:r>
    </w:p>
    <w:p w14:paraId="412A3882">
      <w:pPr>
        <w:spacing w:before="182"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9.1.3  </w:t>
      </w:r>
      <w:r>
        <w:rPr>
          <w:rFonts w:ascii="宋体" w:hAnsi="宋体" w:eastAsia="宋体" w:cs="宋体"/>
          <w:color w:val="auto"/>
          <w:spacing w:val="-2"/>
          <w:sz w:val="24"/>
          <w:szCs w:val="24"/>
          <w:highlight w:val="none"/>
        </w:rPr>
        <w:t>发包人应负责赔偿以下各种情况造成的第三者人身伤亡和财产损失：</w:t>
      </w:r>
    </w:p>
    <w:p w14:paraId="138036F3">
      <w:pPr>
        <w:spacing w:before="179" w:line="220" w:lineRule="auto"/>
        <w:ind w:left="48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l</w:t>
      </w:r>
      <w:r>
        <w:rPr>
          <w:rFonts w:ascii="宋体" w:hAnsi="宋体" w:eastAsia="宋体" w:cs="宋体"/>
          <w:color w:val="auto"/>
          <w:spacing w:val="-2"/>
          <w:sz w:val="24"/>
          <w:szCs w:val="24"/>
          <w:highlight w:val="none"/>
        </w:rPr>
        <w:t>）工程或工程的任何部分对土地的占用所造成的第三者财产损失。</w:t>
      </w:r>
    </w:p>
    <w:p w14:paraId="739CDBF8">
      <w:pPr>
        <w:spacing w:before="182" w:line="359" w:lineRule="auto"/>
        <w:ind w:left="7" w:right="224"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）由于发包人原因在施工场地及其毗邻地带造成的第三者</w:t>
      </w:r>
      <w:r>
        <w:rPr>
          <w:rFonts w:ascii="宋体" w:hAnsi="宋体" w:eastAsia="宋体" w:cs="宋体"/>
          <w:color w:val="auto"/>
          <w:spacing w:val="-1"/>
          <w:sz w:val="24"/>
          <w:szCs w:val="24"/>
          <w:highlight w:val="none"/>
        </w:rPr>
        <w:t>人身伤亡和财产损</w:t>
      </w:r>
      <w:r>
        <w:rPr>
          <w:rFonts w:ascii="宋体" w:hAnsi="宋体" w:eastAsia="宋体" w:cs="宋体"/>
          <w:color w:val="auto"/>
          <w:spacing w:val="-13"/>
          <w:sz w:val="24"/>
          <w:szCs w:val="24"/>
          <w:highlight w:val="none"/>
        </w:rPr>
        <w:t>失。</w:t>
      </w:r>
    </w:p>
    <w:p w14:paraId="00154A96">
      <w:pPr>
        <w:spacing w:before="4" w:line="323" w:lineRule="auto"/>
        <w:ind w:left="1" w:right="205"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9.1.4  </w:t>
      </w:r>
      <w:r>
        <w:rPr>
          <w:rFonts w:ascii="宋体" w:hAnsi="宋体" w:eastAsia="宋体" w:cs="宋体"/>
          <w:color w:val="auto"/>
          <w:sz w:val="24"/>
          <w:szCs w:val="24"/>
          <w:highlight w:val="none"/>
        </w:rPr>
        <w:t>除专用合同条款另有约定外，发包人负责向承包人提供施工现场及施工可</w:t>
      </w:r>
      <w:r>
        <w:rPr>
          <w:rFonts w:ascii="宋体" w:hAnsi="宋体" w:eastAsia="宋体" w:cs="宋体"/>
          <w:color w:val="auto"/>
          <w:spacing w:val="-3"/>
          <w:sz w:val="24"/>
          <w:szCs w:val="24"/>
          <w:highlight w:val="none"/>
        </w:rPr>
        <w:t>能影响的毗邻区域内供水、排水、供电、供气、供热、通信、广播电视等地下管线资料，气象和水文观测资料，拟建工程可能影响的相邻建筑物地下工程的有关资料，并</w:t>
      </w:r>
      <w:r>
        <w:rPr>
          <w:rFonts w:ascii="宋体" w:hAnsi="宋体" w:eastAsia="宋体" w:cs="宋体"/>
          <w:color w:val="auto"/>
          <w:spacing w:val="-2"/>
          <w:sz w:val="24"/>
          <w:szCs w:val="24"/>
          <w:highlight w:val="none"/>
        </w:rPr>
        <w:t>保证有关资料的真实、准确、完整，满足有关技术规程的要求。</w:t>
      </w:r>
    </w:p>
    <w:p w14:paraId="00920787">
      <w:pPr>
        <w:spacing w:before="183" w:line="289" w:lineRule="auto"/>
        <w:ind w:left="6" w:right="205" w:firstLine="475"/>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9.1.5  </w:t>
      </w:r>
      <w:r>
        <w:rPr>
          <w:rFonts w:ascii="宋体" w:hAnsi="宋体" w:eastAsia="宋体" w:cs="宋体"/>
          <w:color w:val="auto"/>
          <w:sz w:val="24"/>
          <w:szCs w:val="24"/>
          <w:highlight w:val="none"/>
        </w:rPr>
        <w:t>发包人按照已标价工程量清单所列金额和合同约定的计量支付规定，支付</w:t>
      </w:r>
      <w:r>
        <w:rPr>
          <w:rFonts w:ascii="宋体" w:hAnsi="宋体" w:eastAsia="宋体" w:cs="宋体"/>
          <w:color w:val="auto"/>
          <w:spacing w:val="-3"/>
          <w:sz w:val="24"/>
          <w:szCs w:val="24"/>
          <w:highlight w:val="none"/>
        </w:rPr>
        <w:t>安全作业环境及安全施工措施所需费用。</w:t>
      </w:r>
    </w:p>
    <w:p w14:paraId="4B11977F">
      <w:pPr>
        <w:spacing w:before="183" w:line="288" w:lineRule="auto"/>
        <w:ind w:left="3"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9.1.6  </w:t>
      </w:r>
      <w:r>
        <w:rPr>
          <w:rFonts w:ascii="宋体" w:hAnsi="宋体" w:eastAsia="宋体" w:cs="宋体"/>
          <w:color w:val="auto"/>
          <w:spacing w:val="-4"/>
          <w:sz w:val="24"/>
          <w:szCs w:val="24"/>
          <w:highlight w:val="none"/>
        </w:rPr>
        <w:t>发包人负责组织工程参建单位编制保证安全生产的措施方案。工程开工前，就落实保证安全生产的措施进行全面系统的布置，进一步明确承包人的安全生产责任。</w:t>
      </w:r>
    </w:p>
    <w:p w14:paraId="1CA93517">
      <w:pPr>
        <w:spacing w:before="184" w:line="289" w:lineRule="auto"/>
        <w:ind w:left="4" w:right="205"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9.1.7  </w:t>
      </w:r>
      <w:r>
        <w:rPr>
          <w:rFonts w:ascii="宋体" w:hAnsi="宋体" w:eastAsia="宋体" w:cs="宋体"/>
          <w:color w:val="auto"/>
          <w:sz w:val="24"/>
          <w:szCs w:val="24"/>
          <w:highlight w:val="none"/>
        </w:rPr>
        <w:t>发包人负责在拆除工程和爆破工程施工</w:t>
      </w:r>
      <w:r>
        <w:rPr>
          <w:rFonts w:ascii="Times New Roman" w:hAnsi="Times New Roman" w:eastAsia="Times New Roman" w:cs="Times New Roman"/>
          <w:color w:val="auto"/>
          <w:sz w:val="24"/>
          <w:szCs w:val="24"/>
          <w:highlight w:val="none"/>
        </w:rPr>
        <w:t>14</w:t>
      </w:r>
      <w:r>
        <w:rPr>
          <w:rFonts w:ascii="宋体" w:hAnsi="宋体" w:eastAsia="宋体" w:cs="宋体"/>
          <w:color w:val="auto"/>
          <w:sz w:val="24"/>
          <w:szCs w:val="24"/>
          <w:highlight w:val="none"/>
        </w:rPr>
        <w:t>天前向有关部门或机构报送相关</w:t>
      </w:r>
      <w:r>
        <w:rPr>
          <w:rFonts w:ascii="宋体" w:hAnsi="宋体" w:eastAsia="宋体" w:cs="宋体"/>
          <w:color w:val="auto"/>
          <w:spacing w:val="-8"/>
          <w:sz w:val="24"/>
          <w:szCs w:val="24"/>
          <w:highlight w:val="none"/>
        </w:rPr>
        <w:t>备案资料。</w:t>
      </w:r>
    </w:p>
    <w:p w14:paraId="5CA84A23">
      <w:pPr>
        <w:spacing w:before="181" w:line="220" w:lineRule="auto"/>
        <w:outlineLvl w:val="2"/>
        <w:rPr>
          <w:rFonts w:ascii="宋体" w:hAnsi="宋体" w:eastAsia="宋体" w:cs="宋体"/>
          <w:color w:val="auto"/>
          <w:sz w:val="24"/>
          <w:szCs w:val="24"/>
          <w:highlight w:val="none"/>
        </w:rPr>
      </w:pPr>
      <w:bookmarkStart w:id="459" w:name="bookmark208"/>
      <w:bookmarkEnd w:id="459"/>
      <w:bookmarkStart w:id="460" w:name="_Toc10854"/>
      <w:bookmarkStart w:id="461" w:name="_Toc27967"/>
      <w:r>
        <w:rPr>
          <w:rFonts w:ascii="Times New Roman" w:hAnsi="Times New Roman" w:eastAsia="Times New Roman" w:cs="Times New Roman"/>
          <w:b/>
          <w:bCs/>
          <w:color w:val="auto"/>
          <w:spacing w:val="-2"/>
          <w:sz w:val="24"/>
          <w:szCs w:val="24"/>
          <w:highlight w:val="none"/>
        </w:rPr>
        <w:t xml:space="preserve">9.2  </w:t>
      </w:r>
      <w:r>
        <w:rPr>
          <w:rFonts w:ascii="宋体" w:hAnsi="宋体" w:eastAsia="宋体" w:cs="宋体"/>
          <w:b/>
          <w:bCs/>
          <w:color w:val="auto"/>
          <w:spacing w:val="-2"/>
          <w:sz w:val="24"/>
          <w:szCs w:val="24"/>
          <w:highlight w:val="none"/>
        </w:rPr>
        <w:t>承包人的施工安全责任</w:t>
      </w:r>
      <w:bookmarkEnd w:id="460"/>
      <w:bookmarkEnd w:id="461"/>
    </w:p>
    <w:p w14:paraId="4CDCE617">
      <w:pPr>
        <w:spacing w:before="183" w:line="324" w:lineRule="auto"/>
        <w:ind w:left="1" w:right="10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9.2.1  </w:t>
      </w:r>
      <w:r>
        <w:rPr>
          <w:rFonts w:ascii="宋体" w:hAnsi="宋体" w:eastAsia="宋体" w:cs="宋体"/>
          <w:color w:val="auto"/>
          <w:sz w:val="24"/>
          <w:szCs w:val="24"/>
          <w:highlight w:val="none"/>
        </w:rPr>
        <w:t>承包人应按合同约定履行安全职责，执行监理人有关安全工作的指示。承包人应按技术标准和要求（合同技术条款）约定的内容和期限，以及监理人的指示，</w:t>
      </w:r>
      <w:r>
        <w:rPr>
          <w:rFonts w:ascii="宋体" w:hAnsi="宋体" w:eastAsia="宋体" w:cs="宋体"/>
          <w:color w:val="auto"/>
          <w:spacing w:val="-6"/>
          <w:sz w:val="24"/>
          <w:szCs w:val="24"/>
          <w:highlight w:val="none"/>
        </w:rPr>
        <w:t>编制施工安全技术措施提交监理人审批。监理人应在技术标准和</w:t>
      </w:r>
      <w:r>
        <w:rPr>
          <w:rFonts w:ascii="宋体" w:hAnsi="宋体" w:eastAsia="宋体" w:cs="宋体"/>
          <w:color w:val="auto"/>
          <w:spacing w:val="-7"/>
          <w:sz w:val="24"/>
          <w:szCs w:val="24"/>
          <w:highlight w:val="none"/>
        </w:rPr>
        <w:t>要求（合同技术条款）</w:t>
      </w:r>
      <w:r>
        <w:rPr>
          <w:rFonts w:ascii="宋体" w:hAnsi="宋体" w:eastAsia="宋体" w:cs="宋体"/>
          <w:color w:val="auto"/>
          <w:spacing w:val="-4"/>
          <w:sz w:val="24"/>
          <w:szCs w:val="24"/>
          <w:highlight w:val="none"/>
        </w:rPr>
        <w:t>约定的期限内批复承包人。</w:t>
      </w:r>
    </w:p>
    <w:p w14:paraId="6F4727F1">
      <w:pPr>
        <w:spacing w:before="181" w:line="313" w:lineRule="auto"/>
        <w:ind w:left="2" w:right="205"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9.2.2  </w:t>
      </w:r>
      <w:r>
        <w:rPr>
          <w:rFonts w:ascii="宋体" w:hAnsi="宋体" w:eastAsia="宋体" w:cs="宋体"/>
          <w:color w:val="auto"/>
          <w:sz w:val="24"/>
          <w:szCs w:val="24"/>
          <w:highlight w:val="none"/>
        </w:rPr>
        <w:t>承包人应加强施工作业安全管理，</w:t>
      </w:r>
      <w:r>
        <w:rPr>
          <w:rFonts w:ascii="宋体" w:hAnsi="宋体" w:eastAsia="宋体" w:cs="宋体"/>
          <w:color w:val="auto"/>
          <w:spacing w:val="-1"/>
          <w:sz w:val="24"/>
          <w:szCs w:val="24"/>
          <w:highlight w:val="none"/>
        </w:rPr>
        <w:t>特别应加强易燃易爆材料、火工器材、</w:t>
      </w:r>
      <w:r>
        <w:rPr>
          <w:rFonts w:ascii="宋体" w:hAnsi="宋体" w:eastAsia="宋体" w:cs="宋体"/>
          <w:color w:val="auto"/>
          <w:spacing w:val="-3"/>
          <w:sz w:val="24"/>
          <w:szCs w:val="24"/>
          <w:highlight w:val="none"/>
        </w:rPr>
        <w:t>有毒与腐蚀性材料和其他危险品的管理，以及对爆破作业和地下工程施工等危险作业</w:t>
      </w:r>
      <w:r>
        <w:rPr>
          <w:rFonts w:ascii="宋体" w:hAnsi="宋体" w:eastAsia="宋体" w:cs="宋体"/>
          <w:color w:val="auto"/>
          <w:spacing w:val="-9"/>
          <w:sz w:val="24"/>
          <w:szCs w:val="24"/>
          <w:highlight w:val="none"/>
        </w:rPr>
        <w:t>的管理。</w:t>
      </w:r>
    </w:p>
    <w:p w14:paraId="28206A91">
      <w:pPr>
        <w:spacing w:before="179" w:line="313" w:lineRule="auto"/>
        <w:ind w:left="2" w:right="205"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9.2.3  </w:t>
      </w:r>
      <w:r>
        <w:rPr>
          <w:rFonts w:ascii="宋体" w:hAnsi="宋体" w:eastAsia="宋体" w:cs="宋体"/>
          <w:color w:val="auto"/>
          <w:sz w:val="24"/>
          <w:szCs w:val="24"/>
          <w:highlight w:val="none"/>
        </w:rPr>
        <w:t>承包人应严格按照国家安全标准制定施工安全操作规程，配备必要的安全</w:t>
      </w:r>
      <w:r>
        <w:rPr>
          <w:rFonts w:ascii="宋体" w:hAnsi="宋体" w:eastAsia="宋体" w:cs="宋体"/>
          <w:color w:val="auto"/>
          <w:spacing w:val="-3"/>
          <w:sz w:val="24"/>
          <w:szCs w:val="24"/>
          <w:highlight w:val="none"/>
        </w:rPr>
        <w:t>生产和劳动保护设施，加强对承包人人员的安全教育，并发放安全工作手册和劳动保</w:t>
      </w:r>
      <w:r>
        <w:rPr>
          <w:rFonts w:ascii="宋体" w:hAnsi="宋体" w:eastAsia="宋体" w:cs="宋体"/>
          <w:color w:val="auto"/>
          <w:spacing w:val="-9"/>
          <w:sz w:val="24"/>
          <w:szCs w:val="24"/>
          <w:highlight w:val="none"/>
        </w:rPr>
        <w:t>护用具。</w:t>
      </w:r>
    </w:p>
    <w:p w14:paraId="1A997555">
      <w:pPr>
        <w:spacing w:before="180" w:line="313" w:lineRule="auto"/>
        <w:ind w:left="1" w:right="205"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9.2.4  </w:t>
      </w:r>
      <w:r>
        <w:rPr>
          <w:rFonts w:ascii="宋体" w:hAnsi="宋体" w:eastAsia="宋体" w:cs="宋体"/>
          <w:color w:val="auto"/>
          <w:sz w:val="24"/>
          <w:szCs w:val="24"/>
          <w:highlight w:val="none"/>
        </w:rPr>
        <w:t>承包人应按监理人的指示制定应对灾害的紧急预案，报送监理人审批。承</w:t>
      </w:r>
      <w:r>
        <w:rPr>
          <w:rFonts w:ascii="宋体" w:hAnsi="宋体" w:eastAsia="宋体" w:cs="宋体"/>
          <w:color w:val="auto"/>
          <w:spacing w:val="-3"/>
          <w:sz w:val="24"/>
          <w:szCs w:val="24"/>
          <w:highlight w:val="none"/>
        </w:rPr>
        <w:t>包人还应按预案做好安全检查，配置必要的救助物资和器材，切实保护好有关人员的</w:t>
      </w:r>
      <w:r>
        <w:rPr>
          <w:rFonts w:ascii="宋体" w:hAnsi="宋体" w:eastAsia="宋体" w:cs="宋体"/>
          <w:color w:val="auto"/>
          <w:spacing w:val="-5"/>
          <w:sz w:val="24"/>
          <w:szCs w:val="24"/>
          <w:highlight w:val="none"/>
        </w:rPr>
        <w:t>人身和财产安全。</w:t>
      </w:r>
    </w:p>
    <w:p w14:paraId="19EA0E0C">
      <w:pPr>
        <w:spacing w:before="180"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9.2.5  </w:t>
      </w:r>
      <w:r>
        <w:rPr>
          <w:rFonts w:ascii="宋体" w:hAnsi="宋体" w:eastAsia="宋体" w:cs="宋体"/>
          <w:color w:val="auto"/>
          <w:sz w:val="24"/>
          <w:szCs w:val="24"/>
          <w:highlight w:val="none"/>
        </w:rPr>
        <w:t>合同约定的安全作业环境及安全施工措施所需费用应遵守有关规定，并包</w:t>
      </w:r>
    </w:p>
    <w:p w14:paraId="11425B1A">
      <w:pPr>
        <w:spacing w:line="220" w:lineRule="auto"/>
        <w:rPr>
          <w:rFonts w:ascii="宋体" w:hAnsi="宋体" w:eastAsia="宋体" w:cs="宋体"/>
          <w:color w:val="auto"/>
          <w:sz w:val="24"/>
          <w:szCs w:val="24"/>
          <w:highlight w:val="none"/>
        </w:rPr>
        <w:sectPr>
          <w:footerReference r:id="rId46" w:type="default"/>
          <w:pgSz w:w="11907" w:h="16841"/>
          <w:pgMar w:top="1428" w:right="1323" w:bottom="1254" w:left="1596" w:header="0" w:footer="1093" w:gutter="0"/>
          <w:pgNumType w:fmt="decimal"/>
          <w:cols w:space="720" w:num="1"/>
        </w:sectPr>
      </w:pPr>
    </w:p>
    <w:p w14:paraId="01F56B5A">
      <w:pPr>
        <w:spacing w:before="48" w:line="359" w:lineRule="auto"/>
        <w:ind w:left="20" w:right="186" w:hanging="1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括在相关工作的合同价格中。因采取合同未约定的安全作业环境及安全施工措施增加的费用，由监理人按第</w:t>
      </w:r>
      <w:r>
        <w:rPr>
          <w:rFonts w:ascii="Times New Roman" w:hAnsi="Times New Roman" w:eastAsia="Times New Roman" w:cs="Times New Roman"/>
          <w:color w:val="auto"/>
          <w:spacing w:val="-3"/>
          <w:sz w:val="24"/>
          <w:szCs w:val="24"/>
          <w:highlight w:val="none"/>
        </w:rPr>
        <w:t>3.5</w:t>
      </w:r>
      <w:r>
        <w:rPr>
          <w:rFonts w:ascii="宋体" w:hAnsi="宋体" w:eastAsia="宋体" w:cs="宋体"/>
          <w:color w:val="auto"/>
          <w:spacing w:val="-3"/>
          <w:sz w:val="24"/>
          <w:szCs w:val="24"/>
          <w:highlight w:val="none"/>
        </w:rPr>
        <w:t>款商定或确定。</w:t>
      </w:r>
    </w:p>
    <w:p w14:paraId="748653A1">
      <w:pPr>
        <w:spacing w:before="1" w:line="289" w:lineRule="auto"/>
        <w:ind w:left="2" w:right="186"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9.2.6  </w:t>
      </w:r>
      <w:r>
        <w:rPr>
          <w:rFonts w:ascii="宋体" w:hAnsi="宋体" w:eastAsia="宋体" w:cs="宋体"/>
          <w:color w:val="auto"/>
          <w:sz w:val="24"/>
          <w:szCs w:val="24"/>
          <w:highlight w:val="none"/>
        </w:rPr>
        <w:t>承包人应对其履行合同所雇佣的全部人员，包括分包人人员的工伤事故承</w:t>
      </w:r>
      <w:r>
        <w:rPr>
          <w:rFonts w:ascii="宋体" w:hAnsi="宋体" w:eastAsia="宋体" w:cs="宋体"/>
          <w:color w:val="auto"/>
          <w:spacing w:val="-1"/>
          <w:sz w:val="24"/>
          <w:szCs w:val="24"/>
          <w:highlight w:val="none"/>
        </w:rPr>
        <w:t>担责任，但由于发包人原因造成承包人人员工伤事故的，</w:t>
      </w:r>
      <w:r>
        <w:rPr>
          <w:rFonts w:ascii="宋体" w:hAnsi="宋体" w:eastAsia="宋体" w:cs="宋体"/>
          <w:color w:val="auto"/>
          <w:spacing w:val="-2"/>
          <w:sz w:val="24"/>
          <w:szCs w:val="24"/>
          <w:highlight w:val="none"/>
        </w:rPr>
        <w:t>应由发包人承担责任。</w:t>
      </w:r>
    </w:p>
    <w:p w14:paraId="516EF2B0">
      <w:pPr>
        <w:spacing w:before="179" w:line="290" w:lineRule="auto"/>
        <w:ind w:left="1" w:right="186"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9.2.7</w:t>
      </w:r>
      <w:r>
        <w:rPr>
          <w:rFonts w:ascii="Times New Roman" w:hAnsi="Times New Roman" w:eastAsia="Times New Roman" w:cs="Times New Roman"/>
          <w:b/>
          <w:bCs/>
          <w:color w:val="auto"/>
          <w:spacing w:val="27"/>
          <w:sz w:val="24"/>
          <w:szCs w:val="24"/>
          <w:highlight w:val="none"/>
        </w:rPr>
        <w:t xml:space="preserve">  </w:t>
      </w:r>
      <w:r>
        <w:rPr>
          <w:rFonts w:ascii="宋体" w:hAnsi="宋体" w:eastAsia="宋体" w:cs="宋体"/>
          <w:color w:val="auto"/>
          <w:spacing w:val="-1"/>
          <w:sz w:val="24"/>
          <w:szCs w:val="24"/>
          <w:highlight w:val="none"/>
        </w:rPr>
        <w:t>由于承包人原因在施工场地内及其毗邻地带造成的第三者人员伤亡和财产</w:t>
      </w:r>
      <w:r>
        <w:rPr>
          <w:rFonts w:ascii="宋体" w:hAnsi="宋体" w:eastAsia="宋体" w:cs="宋体"/>
          <w:color w:val="auto"/>
          <w:spacing w:val="-4"/>
          <w:sz w:val="24"/>
          <w:szCs w:val="24"/>
          <w:highlight w:val="none"/>
        </w:rPr>
        <w:t>损失，由承包人负责赔偿。</w:t>
      </w:r>
    </w:p>
    <w:p w14:paraId="60F6EE5A">
      <w:pPr>
        <w:spacing w:before="181" w:line="290" w:lineRule="auto"/>
        <w:ind w:left="3" w:right="186"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9.2.8  </w:t>
      </w:r>
      <w:r>
        <w:rPr>
          <w:rFonts w:ascii="宋体" w:hAnsi="宋体" w:eastAsia="宋体" w:cs="宋体"/>
          <w:color w:val="auto"/>
          <w:sz w:val="24"/>
          <w:szCs w:val="24"/>
          <w:highlight w:val="none"/>
        </w:rPr>
        <w:t>承包人已标价工程量清单应包含工程安全作业环境及安全施工措施所需费</w:t>
      </w:r>
      <w:r>
        <w:rPr>
          <w:rFonts w:ascii="宋体" w:hAnsi="宋体" w:eastAsia="宋体" w:cs="宋体"/>
          <w:color w:val="auto"/>
          <w:spacing w:val="-12"/>
          <w:sz w:val="24"/>
          <w:szCs w:val="24"/>
          <w:highlight w:val="none"/>
        </w:rPr>
        <w:t>用。</w:t>
      </w:r>
    </w:p>
    <w:p w14:paraId="10D905A0">
      <w:pPr>
        <w:spacing w:before="179" w:line="312" w:lineRule="auto"/>
        <w:ind w:left="2" w:right="186"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9.2.9  </w:t>
      </w:r>
      <w:r>
        <w:rPr>
          <w:rFonts w:ascii="宋体" w:hAnsi="宋体" w:eastAsia="宋体" w:cs="宋体"/>
          <w:color w:val="auto"/>
          <w:sz w:val="24"/>
          <w:szCs w:val="24"/>
          <w:highlight w:val="none"/>
        </w:rPr>
        <w:t>承包人应建立健全安全生产责任制度和安全生产教育培训制度，制定安全</w:t>
      </w:r>
      <w:r>
        <w:rPr>
          <w:rFonts w:ascii="宋体" w:hAnsi="宋体" w:eastAsia="宋体" w:cs="宋体"/>
          <w:color w:val="auto"/>
          <w:spacing w:val="-3"/>
          <w:sz w:val="24"/>
          <w:szCs w:val="24"/>
          <w:highlight w:val="none"/>
        </w:rPr>
        <w:t>生产规章制度和操作规程，保证本单位建立和完善安全生产条件所需资金的投入，对</w:t>
      </w:r>
      <w:r>
        <w:rPr>
          <w:rFonts w:ascii="宋体" w:hAnsi="宋体" w:eastAsia="宋体" w:cs="宋体"/>
          <w:color w:val="auto"/>
          <w:spacing w:val="-2"/>
          <w:sz w:val="24"/>
          <w:szCs w:val="24"/>
          <w:highlight w:val="none"/>
        </w:rPr>
        <w:t>本工程进行定期和专项安全检查，并做好安全检查记录。</w:t>
      </w:r>
    </w:p>
    <w:p w14:paraId="701BA2B8">
      <w:pPr>
        <w:spacing w:before="184"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9.2.10  </w:t>
      </w:r>
      <w:r>
        <w:rPr>
          <w:rFonts w:ascii="宋体" w:hAnsi="宋体" w:eastAsia="宋体" w:cs="宋体"/>
          <w:color w:val="auto"/>
          <w:sz w:val="24"/>
          <w:szCs w:val="24"/>
          <w:highlight w:val="none"/>
        </w:rPr>
        <w:t>承包人应设立安全生产管理机构，施工现场应有</w:t>
      </w:r>
      <w:r>
        <w:rPr>
          <w:rFonts w:ascii="宋体" w:hAnsi="宋体" w:eastAsia="宋体" w:cs="宋体"/>
          <w:color w:val="auto"/>
          <w:spacing w:val="-1"/>
          <w:sz w:val="24"/>
          <w:szCs w:val="24"/>
          <w:highlight w:val="none"/>
        </w:rPr>
        <w:t>专职安全生产管理人员。</w:t>
      </w:r>
    </w:p>
    <w:p w14:paraId="2DDF6E4D">
      <w:pPr>
        <w:spacing w:before="180" w:line="290" w:lineRule="auto"/>
        <w:ind w:left="3" w:right="186"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9.2.11  </w:t>
      </w:r>
      <w:r>
        <w:rPr>
          <w:rFonts w:ascii="宋体" w:hAnsi="宋体" w:eastAsia="宋体" w:cs="宋体"/>
          <w:color w:val="auto"/>
          <w:spacing w:val="-3"/>
          <w:sz w:val="24"/>
          <w:szCs w:val="24"/>
          <w:highlight w:val="none"/>
        </w:rPr>
        <w:t>承包人应负责对特种作业人员进行专门的安全作业培训，并保证特种作业</w:t>
      </w:r>
      <w:r>
        <w:rPr>
          <w:rFonts w:ascii="宋体" w:hAnsi="宋体" w:eastAsia="宋体" w:cs="宋体"/>
          <w:color w:val="auto"/>
          <w:spacing w:val="-6"/>
          <w:sz w:val="24"/>
          <w:szCs w:val="24"/>
          <w:highlight w:val="none"/>
        </w:rPr>
        <w:t>人员持证上岗。</w:t>
      </w:r>
    </w:p>
    <w:p w14:paraId="6452D6A0">
      <w:pPr>
        <w:spacing w:before="180" w:line="325" w:lineRule="auto"/>
        <w:ind w:right="101" w:firstLine="481"/>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9.2.12  </w:t>
      </w:r>
      <w:r>
        <w:rPr>
          <w:rFonts w:ascii="宋体" w:hAnsi="宋体" w:eastAsia="宋体" w:cs="宋体"/>
          <w:color w:val="auto"/>
          <w:sz w:val="24"/>
          <w:szCs w:val="24"/>
          <w:highlight w:val="none"/>
        </w:rPr>
        <w:t>承包人应在施工组织设计中编制安</w:t>
      </w:r>
      <w:r>
        <w:rPr>
          <w:rFonts w:ascii="宋体" w:hAnsi="宋体" w:eastAsia="宋体" w:cs="宋体"/>
          <w:color w:val="auto"/>
          <w:spacing w:val="-1"/>
          <w:sz w:val="24"/>
          <w:szCs w:val="24"/>
          <w:highlight w:val="none"/>
        </w:rPr>
        <w:t>全技术措施和施工现场临时用电方案。</w:t>
      </w:r>
      <w:r>
        <w:rPr>
          <w:rFonts w:ascii="宋体" w:hAnsi="宋体" w:eastAsia="宋体" w:cs="宋体"/>
          <w:color w:val="auto"/>
          <w:spacing w:val="-3"/>
          <w:sz w:val="24"/>
          <w:szCs w:val="24"/>
          <w:highlight w:val="none"/>
        </w:rPr>
        <w:t>对专用合同条款约定的工程，应编制专项施工方案报监理人批准。对专用合同条款约</w:t>
      </w:r>
      <w:r>
        <w:rPr>
          <w:rFonts w:ascii="宋体" w:hAnsi="宋体" w:eastAsia="宋体" w:cs="宋体"/>
          <w:color w:val="auto"/>
          <w:spacing w:val="-6"/>
          <w:sz w:val="24"/>
          <w:szCs w:val="24"/>
          <w:highlight w:val="none"/>
        </w:rPr>
        <w:t>定的专项施工方案，还应组织专家进行论证、审查，</w:t>
      </w:r>
      <w:r>
        <w:rPr>
          <w:rFonts w:ascii="宋体" w:hAnsi="宋体" w:eastAsia="宋体" w:cs="宋体"/>
          <w:color w:val="auto"/>
          <w:spacing w:val="-54"/>
          <w:sz w:val="24"/>
          <w:szCs w:val="24"/>
          <w:highlight w:val="none"/>
        </w:rPr>
        <w:t xml:space="preserve"> </w:t>
      </w:r>
      <w:r>
        <w:rPr>
          <w:rFonts w:ascii="宋体" w:hAnsi="宋体" w:eastAsia="宋体" w:cs="宋体"/>
          <w:color w:val="auto"/>
          <w:spacing w:val="-6"/>
          <w:sz w:val="24"/>
          <w:szCs w:val="24"/>
          <w:highlight w:val="none"/>
        </w:rPr>
        <w:t>其中专家中</w:t>
      </w:r>
      <w:r>
        <w:rPr>
          <w:rFonts w:ascii="Times New Roman" w:hAnsi="Times New Roman" w:eastAsia="Times New Roman" w:cs="Times New Roman"/>
          <w:color w:val="auto"/>
          <w:spacing w:val="-6"/>
          <w:sz w:val="24"/>
          <w:szCs w:val="24"/>
          <w:highlight w:val="none"/>
        </w:rPr>
        <w:t>1/2</w:t>
      </w:r>
      <w:r>
        <w:rPr>
          <w:rFonts w:ascii="宋体" w:hAnsi="宋体" w:eastAsia="宋体" w:cs="宋体"/>
          <w:color w:val="auto"/>
          <w:spacing w:val="-6"/>
          <w:sz w:val="24"/>
          <w:szCs w:val="24"/>
          <w:highlight w:val="none"/>
        </w:rPr>
        <w:t>的人员应经发包人</w:t>
      </w:r>
      <w:r>
        <w:rPr>
          <w:rFonts w:ascii="宋体" w:hAnsi="宋体" w:eastAsia="宋体" w:cs="宋体"/>
          <w:color w:val="auto"/>
          <w:spacing w:val="-10"/>
          <w:sz w:val="24"/>
          <w:szCs w:val="24"/>
          <w:highlight w:val="none"/>
        </w:rPr>
        <w:t>同意。</w:t>
      </w:r>
    </w:p>
    <w:p w14:paraId="2517A1A3">
      <w:pPr>
        <w:spacing w:before="180" w:line="289" w:lineRule="auto"/>
        <w:ind w:lef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9.2.13  </w:t>
      </w:r>
      <w:r>
        <w:rPr>
          <w:rFonts w:ascii="宋体" w:hAnsi="宋体" w:eastAsia="宋体" w:cs="宋体"/>
          <w:color w:val="auto"/>
          <w:spacing w:val="-4"/>
          <w:sz w:val="24"/>
          <w:szCs w:val="24"/>
          <w:highlight w:val="none"/>
        </w:rPr>
        <w:t>承包人在使用施工起重机械和整体提升脚手架、模板等自升式架设设施前，应组织有关单位进行验收。</w:t>
      </w:r>
    </w:p>
    <w:p w14:paraId="465535AB">
      <w:pPr>
        <w:spacing w:before="183" w:line="220" w:lineRule="auto"/>
        <w:outlineLvl w:val="2"/>
        <w:rPr>
          <w:rFonts w:ascii="宋体" w:hAnsi="宋体" w:eastAsia="宋体" w:cs="宋体"/>
          <w:color w:val="auto"/>
          <w:sz w:val="24"/>
          <w:szCs w:val="24"/>
          <w:highlight w:val="none"/>
        </w:rPr>
      </w:pPr>
      <w:bookmarkStart w:id="462" w:name="bookmark209"/>
      <w:bookmarkEnd w:id="462"/>
      <w:bookmarkStart w:id="463" w:name="_Toc8296"/>
      <w:bookmarkStart w:id="464" w:name="_Toc22321"/>
      <w:r>
        <w:rPr>
          <w:rFonts w:ascii="Times New Roman" w:hAnsi="Times New Roman" w:eastAsia="Times New Roman" w:cs="Times New Roman"/>
          <w:b/>
          <w:bCs/>
          <w:color w:val="auto"/>
          <w:spacing w:val="-4"/>
          <w:sz w:val="24"/>
          <w:szCs w:val="24"/>
          <w:highlight w:val="none"/>
        </w:rPr>
        <w:t>9.3</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4"/>
          <w:sz w:val="24"/>
          <w:szCs w:val="24"/>
          <w:highlight w:val="none"/>
        </w:rPr>
        <w:t>治安保卫</w:t>
      </w:r>
      <w:bookmarkEnd w:id="463"/>
      <w:bookmarkEnd w:id="464"/>
    </w:p>
    <w:p w14:paraId="734D7050">
      <w:pPr>
        <w:spacing w:before="180" w:line="289" w:lineRule="auto"/>
        <w:ind w:right="101" w:firstLine="481"/>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9.3.1  </w:t>
      </w:r>
      <w:r>
        <w:rPr>
          <w:rFonts w:ascii="宋体" w:hAnsi="宋体" w:eastAsia="宋体" w:cs="宋体"/>
          <w:color w:val="auto"/>
          <w:sz w:val="24"/>
          <w:szCs w:val="24"/>
          <w:highlight w:val="none"/>
        </w:rPr>
        <w:t>除合同另有约定外，发包人应与当地公安部门协商，在现场建立治安管理</w:t>
      </w:r>
      <w:r>
        <w:rPr>
          <w:rFonts w:ascii="宋体" w:hAnsi="宋体" w:eastAsia="宋体" w:cs="宋体"/>
          <w:color w:val="auto"/>
          <w:spacing w:val="-7"/>
          <w:sz w:val="24"/>
          <w:szCs w:val="24"/>
          <w:highlight w:val="none"/>
        </w:rPr>
        <w:t>机构或联防组织，统一管理施工场地的治安保卫事项，履行合同工程的治安保卫职责。</w:t>
      </w:r>
    </w:p>
    <w:p w14:paraId="52A61098">
      <w:pPr>
        <w:spacing w:before="182" w:line="289" w:lineRule="auto"/>
        <w:ind w:right="186" w:firstLine="481"/>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9.3.2  </w:t>
      </w:r>
      <w:r>
        <w:rPr>
          <w:rFonts w:ascii="宋体" w:hAnsi="宋体" w:eastAsia="宋体" w:cs="宋体"/>
          <w:color w:val="auto"/>
          <w:sz w:val="24"/>
          <w:szCs w:val="24"/>
          <w:highlight w:val="none"/>
        </w:rPr>
        <w:t>发包人和承包人除应协助现场治安管理机构或联防组织维护施工场地的社</w:t>
      </w:r>
      <w:r>
        <w:rPr>
          <w:rFonts w:ascii="宋体" w:hAnsi="宋体" w:eastAsia="宋体" w:cs="宋体"/>
          <w:color w:val="auto"/>
          <w:spacing w:val="-2"/>
          <w:sz w:val="24"/>
          <w:szCs w:val="24"/>
          <w:highlight w:val="none"/>
        </w:rPr>
        <w:t>会治安外，还应做好包括生活区在内的各自管辖区的治安保卫工作。</w:t>
      </w:r>
    </w:p>
    <w:p w14:paraId="59397CEF">
      <w:pPr>
        <w:spacing w:before="182" w:line="331" w:lineRule="auto"/>
        <w:ind w:left="1" w:right="186"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9.3.3  </w:t>
      </w:r>
      <w:r>
        <w:rPr>
          <w:rFonts w:ascii="宋体" w:hAnsi="宋体" w:eastAsia="宋体" w:cs="宋体"/>
          <w:color w:val="auto"/>
          <w:sz w:val="24"/>
          <w:szCs w:val="24"/>
          <w:highlight w:val="none"/>
        </w:rPr>
        <w:t>除合同另有约定外，发包人和承包人应在工程开工后，共同编制施工场地</w:t>
      </w:r>
      <w:r>
        <w:rPr>
          <w:rFonts w:ascii="宋体" w:hAnsi="宋体" w:eastAsia="宋体" w:cs="宋体"/>
          <w:color w:val="auto"/>
          <w:spacing w:val="-9"/>
          <w:sz w:val="24"/>
          <w:szCs w:val="24"/>
          <w:highlight w:val="none"/>
        </w:rPr>
        <w:t>治安管理计划，并制定应对突发治安事件的紧急预案。在工程施工过程中，发生暴乱、</w:t>
      </w:r>
      <w:r>
        <w:rPr>
          <w:rFonts w:ascii="宋体" w:hAnsi="宋体" w:eastAsia="宋体" w:cs="宋体"/>
          <w:color w:val="auto"/>
          <w:spacing w:val="-6"/>
          <w:sz w:val="24"/>
          <w:szCs w:val="24"/>
          <w:highlight w:val="none"/>
        </w:rPr>
        <w:t>爆炸等恐怖事件，以及群殴、械斗等群体性突发治安事件的， 发包人和承包人应立即</w:t>
      </w:r>
      <w:r>
        <w:rPr>
          <w:rFonts w:ascii="宋体" w:hAnsi="宋体" w:eastAsia="宋体" w:cs="宋体"/>
          <w:color w:val="auto"/>
          <w:spacing w:val="-5"/>
          <w:sz w:val="24"/>
          <w:szCs w:val="24"/>
          <w:highlight w:val="none"/>
        </w:rPr>
        <w:t>向当地政府报告。发包人和承包人应积极协助当地有关部门采取措施平息</w:t>
      </w:r>
      <w:r>
        <w:rPr>
          <w:rFonts w:ascii="宋体" w:hAnsi="宋体" w:eastAsia="宋体" w:cs="宋体"/>
          <w:color w:val="auto"/>
          <w:spacing w:val="-6"/>
          <w:sz w:val="24"/>
          <w:szCs w:val="24"/>
          <w:highlight w:val="none"/>
        </w:rPr>
        <w:t>事态，</w:t>
      </w:r>
      <w:r>
        <w:rPr>
          <w:rFonts w:ascii="宋体" w:hAnsi="宋体" w:eastAsia="宋体" w:cs="宋体"/>
          <w:color w:val="auto"/>
          <w:spacing w:val="-32"/>
          <w:sz w:val="24"/>
          <w:szCs w:val="24"/>
          <w:highlight w:val="none"/>
        </w:rPr>
        <w:t xml:space="preserve"> </w:t>
      </w:r>
      <w:r>
        <w:rPr>
          <w:rFonts w:ascii="宋体" w:hAnsi="宋体" w:eastAsia="宋体" w:cs="宋体"/>
          <w:color w:val="auto"/>
          <w:spacing w:val="-6"/>
          <w:sz w:val="24"/>
          <w:szCs w:val="24"/>
          <w:highlight w:val="none"/>
        </w:rPr>
        <w:t>防止</w:t>
      </w:r>
      <w:r>
        <w:rPr>
          <w:rFonts w:ascii="宋体" w:hAnsi="宋体" w:eastAsia="宋体" w:cs="宋体"/>
          <w:color w:val="auto"/>
          <w:spacing w:val="-2"/>
          <w:sz w:val="24"/>
          <w:szCs w:val="24"/>
          <w:highlight w:val="none"/>
        </w:rPr>
        <w:t>事态扩大，尽量减少财产损失和避免人员伤</w:t>
      </w:r>
      <w:r>
        <w:rPr>
          <w:rFonts w:ascii="宋体" w:hAnsi="宋体" w:eastAsia="宋体" w:cs="宋体"/>
          <w:color w:val="auto"/>
          <w:spacing w:val="-3"/>
          <w:sz w:val="24"/>
          <w:szCs w:val="24"/>
          <w:highlight w:val="none"/>
        </w:rPr>
        <w:t>亡。</w:t>
      </w:r>
    </w:p>
    <w:p w14:paraId="24A0E54F">
      <w:pPr>
        <w:spacing w:line="331" w:lineRule="auto"/>
        <w:rPr>
          <w:rFonts w:ascii="宋体" w:hAnsi="宋体" w:eastAsia="宋体" w:cs="宋体"/>
          <w:color w:val="auto"/>
          <w:sz w:val="24"/>
          <w:szCs w:val="24"/>
          <w:highlight w:val="none"/>
        </w:rPr>
        <w:sectPr>
          <w:footerReference r:id="rId47" w:type="default"/>
          <w:pgSz w:w="11907" w:h="16841"/>
          <w:pgMar w:top="1428" w:right="1342" w:bottom="1254" w:left="1596" w:header="0" w:footer="1093" w:gutter="0"/>
          <w:pgNumType w:fmt="decimal"/>
          <w:cols w:space="720" w:num="1"/>
        </w:sectPr>
      </w:pPr>
    </w:p>
    <w:p w14:paraId="51BBD2D0">
      <w:pPr>
        <w:spacing w:before="48" w:line="220" w:lineRule="auto"/>
        <w:outlineLvl w:val="2"/>
        <w:rPr>
          <w:rFonts w:ascii="宋体" w:hAnsi="宋体" w:eastAsia="宋体" w:cs="宋体"/>
          <w:color w:val="auto"/>
          <w:sz w:val="24"/>
          <w:szCs w:val="24"/>
          <w:highlight w:val="none"/>
        </w:rPr>
      </w:pPr>
      <w:bookmarkStart w:id="465" w:name="bookmark210"/>
      <w:bookmarkEnd w:id="465"/>
      <w:bookmarkStart w:id="466" w:name="_Toc19410"/>
      <w:bookmarkStart w:id="467" w:name="_Toc18383"/>
      <w:r>
        <w:rPr>
          <w:rFonts w:ascii="Times New Roman" w:hAnsi="Times New Roman" w:eastAsia="Times New Roman" w:cs="Times New Roman"/>
          <w:b/>
          <w:bCs/>
          <w:color w:val="auto"/>
          <w:spacing w:val="-2"/>
          <w:sz w:val="24"/>
          <w:szCs w:val="24"/>
          <w:highlight w:val="none"/>
        </w:rPr>
        <w:t xml:space="preserve">9.4  </w:t>
      </w:r>
      <w:r>
        <w:rPr>
          <w:rFonts w:ascii="宋体" w:hAnsi="宋体" w:eastAsia="宋体" w:cs="宋体"/>
          <w:b/>
          <w:bCs/>
          <w:color w:val="auto"/>
          <w:spacing w:val="-2"/>
          <w:sz w:val="24"/>
          <w:szCs w:val="24"/>
          <w:highlight w:val="none"/>
        </w:rPr>
        <w:t>环境保护</w:t>
      </w:r>
      <w:bookmarkEnd w:id="466"/>
      <w:bookmarkEnd w:id="467"/>
    </w:p>
    <w:p w14:paraId="41A9CAE9">
      <w:pPr>
        <w:spacing w:before="181" w:line="313" w:lineRule="auto"/>
        <w:ind w:left="2" w:right="1"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9.4.1  </w:t>
      </w:r>
      <w:r>
        <w:rPr>
          <w:rFonts w:ascii="宋体" w:hAnsi="宋体" w:eastAsia="宋体" w:cs="宋体"/>
          <w:color w:val="auto"/>
          <w:sz w:val="24"/>
          <w:szCs w:val="24"/>
          <w:highlight w:val="none"/>
        </w:rPr>
        <w:t>承包人在施工过程中，应遵守有关环境保护的法律，履行合同约定的环境</w:t>
      </w:r>
      <w:r>
        <w:rPr>
          <w:rFonts w:ascii="宋体" w:hAnsi="宋体" w:eastAsia="宋体" w:cs="宋体"/>
          <w:color w:val="auto"/>
          <w:spacing w:val="-3"/>
          <w:sz w:val="24"/>
          <w:szCs w:val="24"/>
          <w:highlight w:val="none"/>
        </w:rPr>
        <w:t>保护义务，并对违反法律和合同约定义务所造成的环境破坏、人身伤害和财产损失负</w:t>
      </w:r>
      <w:r>
        <w:rPr>
          <w:rFonts w:ascii="宋体" w:hAnsi="宋体" w:eastAsia="宋体" w:cs="宋体"/>
          <w:color w:val="auto"/>
          <w:spacing w:val="-12"/>
          <w:sz w:val="24"/>
          <w:szCs w:val="24"/>
          <w:highlight w:val="none"/>
        </w:rPr>
        <w:t>责。</w:t>
      </w:r>
    </w:p>
    <w:p w14:paraId="575282BB">
      <w:pPr>
        <w:spacing w:before="178" w:line="290" w:lineRule="auto"/>
        <w:ind w:left="3" w:right="9"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9.4.2  </w:t>
      </w:r>
      <w:r>
        <w:rPr>
          <w:rFonts w:ascii="宋体" w:hAnsi="宋体" w:eastAsia="宋体" w:cs="宋体"/>
          <w:color w:val="auto"/>
          <w:sz w:val="24"/>
          <w:szCs w:val="24"/>
          <w:highlight w:val="none"/>
        </w:rPr>
        <w:t>承包人应按合同约定的环保工作内容，编制施工环保措施计划，报送监理</w:t>
      </w:r>
      <w:r>
        <w:rPr>
          <w:rFonts w:ascii="宋体" w:hAnsi="宋体" w:eastAsia="宋体" w:cs="宋体"/>
          <w:color w:val="auto"/>
          <w:spacing w:val="-9"/>
          <w:sz w:val="24"/>
          <w:szCs w:val="24"/>
          <w:highlight w:val="none"/>
        </w:rPr>
        <w:t>人审批。</w:t>
      </w:r>
    </w:p>
    <w:p w14:paraId="581D2C06">
      <w:pPr>
        <w:spacing w:before="181" w:line="324" w:lineRule="auto"/>
        <w:ind w:left="1" w:righ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9.4.3  </w:t>
      </w:r>
      <w:r>
        <w:rPr>
          <w:rFonts w:ascii="宋体" w:hAnsi="宋体" w:eastAsia="宋体" w:cs="宋体"/>
          <w:color w:val="auto"/>
          <w:sz w:val="24"/>
          <w:szCs w:val="24"/>
          <w:highlight w:val="none"/>
        </w:rPr>
        <w:t>承包人应按照批准的施工环保措施计划有序地堆放和处理施工废弃物，避</w:t>
      </w:r>
      <w:r>
        <w:rPr>
          <w:rFonts w:ascii="宋体" w:hAnsi="宋体" w:eastAsia="宋体" w:cs="宋体"/>
          <w:color w:val="auto"/>
          <w:spacing w:val="-3"/>
          <w:sz w:val="24"/>
          <w:szCs w:val="24"/>
          <w:highlight w:val="none"/>
        </w:rPr>
        <w:t>免对环境造成破坏。因承包人任意堆放或弃置施工废弃物造成妨碍公共交通、影响城</w:t>
      </w:r>
      <w:r>
        <w:rPr>
          <w:rFonts w:ascii="宋体" w:hAnsi="宋体" w:eastAsia="宋体" w:cs="宋体"/>
          <w:color w:val="auto"/>
          <w:spacing w:val="-6"/>
          <w:sz w:val="24"/>
          <w:szCs w:val="24"/>
          <w:highlight w:val="none"/>
        </w:rPr>
        <w:t>镇居民生活、降低河流行洪能力、危及居民安全、破坏周边环境， 或者影响其他承包</w:t>
      </w:r>
      <w:r>
        <w:rPr>
          <w:rFonts w:ascii="宋体" w:hAnsi="宋体" w:eastAsia="宋体" w:cs="宋体"/>
          <w:color w:val="auto"/>
          <w:spacing w:val="-3"/>
          <w:sz w:val="24"/>
          <w:szCs w:val="24"/>
          <w:highlight w:val="none"/>
        </w:rPr>
        <w:t>人施工等后果的，承包人应承担责任。</w:t>
      </w:r>
    </w:p>
    <w:p w14:paraId="7BA32783">
      <w:pPr>
        <w:spacing w:before="179" w:line="290" w:lineRule="auto"/>
        <w:ind w:left="2" w:right="1"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9.4.4  </w:t>
      </w:r>
      <w:r>
        <w:rPr>
          <w:rFonts w:ascii="宋体" w:hAnsi="宋体" w:eastAsia="宋体" w:cs="宋体"/>
          <w:color w:val="auto"/>
          <w:sz w:val="24"/>
          <w:szCs w:val="24"/>
          <w:highlight w:val="none"/>
        </w:rPr>
        <w:t>承包人应按合同约定采取有效措施，对施工开挖的边坡及时进行支护，维</w:t>
      </w:r>
      <w:r>
        <w:rPr>
          <w:rFonts w:ascii="宋体" w:hAnsi="宋体" w:eastAsia="宋体" w:cs="宋体"/>
          <w:color w:val="auto"/>
          <w:spacing w:val="-2"/>
          <w:sz w:val="24"/>
          <w:szCs w:val="24"/>
          <w:highlight w:val="none"/>
        </w:rPr>
        <w:t>护排水设施，并进行水土保护，避免因施工造成的地质灾害。</w:t>
      </w:r>
    </w:p>
    <w:p w14:paraId="39B71BE9">
      <w:pPr>
        <w:spacing w:before="180" w:line="290" w:lineRule="auto"/>
        <w:ind w:left="3" w:right="1"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9.4.5  </w:t>
      </w:r>
      <w:r>
        <w:rPr>
          <w:rFonts w:ascii="宋体" w:hAnsi="宋体" w:eastAsia="宋体" w:cs="宋体"/>
          <w:color w:val="auto"/>
          <w:sz w:val="24"/>
          <w:szCs w:val="24"/>
          <w:highlight w:val="none"/>
        </w:rPr>
        <w:t>承包人应按国家饮用水管理标准定期对饮用水源进行监测，防止施工活动</w:t>
      </w:r>
      <w:r>
        <w:rPr>
          <w:rFonts w:ascii="宋体" w:hAnsi="宋体" w:eastAsia="宋体" w:cs="宋体"/>
          <w:color w:val="auto"/>
          <w:spacing w:val="-6"/>
          <w:sz w:val="24"/>
          <w:szCs w:val="24"/>
          <w:highlight w:val="none"/>
        </w:rPr>
        <w:t>污染饮用水源。</w:t>
      </w:r>
    </w:p>
    <w:p w14:paraId="56E9F1A7">
      <w:pPr>
        <w:spacing w:before="180" w:line="290" w:lineRule="auto"/>
        <w:ind w:left="5" w:right="1"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9.4.6  </w:t>
      </w:r>
      <w:r>
        <w:rPr>
          <w:rFonts w:ascii="宋体" w:hAnsi="宋体" w:eastAsia="宋体" w:cs="宋体"/>
          <w:color w:val="auto"/>
          <w:sz w:val="24"/>
          <w:szCs w:val="24"/>
          <w:highlight w:val="none"/>
        </w:rPr>
        <w:t>承包人应按合同约定，加强对噪声、粉尘、废气、废水和废油的控制，努</w:t>
      </w:r>
      <w:r>
        <w:rPr>
          <w:rFonts w:ascii="宋体" w:hAnsi="宋体" w:eastAsia="宋体" w:cs="宋体"/>
          <w:color w:val="auto"/>
          <w:spacing w:val="-2"/>
          <w:sz w:val="24"/>
          <w:szCs w:val="24"/>
          <w:highlight w:val="none"/>
        </w:rPr>
        <w:t>力降低噪声，控制粉尘和废气浓度，做好废水和废油的治理和排放。</w:t>
      </w:r>
    </w:p>
    <w:p w14:paraId="72D4A67C">
      <w:pPr>
        <w:spacing w:before="183" w:line="220" w:lineRule="auto"/>
        <w:outlineLvl w:val="2"/>
        <w:rPr>
          <w:rFonts w:ascii="宋体" w:hAnsi="宋体" w:eastAsia="宋体" w:cs="宋体"/>
          <w:color w:val="auto"/>
          <w:sz w:val="24"/>
          <w:szCs w:val="24"/>
          <w:highlight w:val="none"/>
        </w:rPr>
      </w:pPr>
      <w:bookmarkStart w:id="468" w:name="bookmark211"/>
      <w:bookmarkEnd w:id="468"/>
      <w:bookmarkStart w:id="469" w:name="_Toc10313"/>
      <w:bookmarkStart w:id="470" w:name="_Toc6193"/>
      <w:r>
        <w:rPr>
          <w:rFonts w:ascii="Times New Roman" w:hAnsi="Times New Roman" w:eastAsia="Times New Roman" w:cs="Times New Roman"/>
          <w:b/>
          <w:bCs/>
          <w:color w:val="auto"/>
          <w:spacing w:val="-2"/>
          <w:sz w:val="24"/>
          <w:szCs w:val="24"/>
          <w:highlight w:val="none"/>
        </w:rPr>
        <w:t xml:space="preserve">9.5  </w:t>
      </w:r>
      <w:r>
        <w:rPr>
          <w:rFonts w:ascii="宋体" w:hAnsi="宋体" w:eastAsia="宋体" w:cs="宋体"/>
          <w:b/>
          <w:bCs/>
          <w:color w:val="auto"/>
          <w:spacing w:val="-2"/>
          <w:sz w:val="24"/>
          <w:szCs w:val="24"/>
          <w:highlight w:val="none"/>
        </w:rPr>
        <w:t>事故处理</w:t>
      </w:r>
      <w:bookmarkEnd w:id="469"/>
      <w:bookmarkEnd w:id="470"/>
    </w:p>
    <w:p w14:paraId="0256DBB0">
      <w:pPr>
        <w:spacing w:before="178" w:line="290" w:lineRule="auto"/>
        <w:ind w:left="1" w:righ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9.5.1  </w:t>
      </w:r>
      <w:r>
        <w:rPr>
          <w:rFonts w:ascii="宋体" w:hAnsi="宋体" w:eastAsia="宋体" w:cs="宋体"/>
          <w:color w:val="auto"/>
          <w:sz w:val="24"/>
          <w:szCs w:val="24"/>
          <w:highlight w:val="none"/>
        </w:rPr>
        <w:t>发包人负责组织参建单位制定本工程的质量与安全事故应急预案，建立质</w:t>
      </w:r>
      <w:r>
        <w:rPr>
          <w:rFonts w:ascii="宋体" w:hAnsi="宋体" w:eastAsia="宋体" w:cs="宋体"/>
          <w:color w:val="auto"/>
          <w:spacing w:val="-3"/>
          <w:sz w:val="24"/>
          <w:szCs w:val="24"/>
          <w:highlight w:val="none"/>
        </w:rPr>
        <w:t>量与安全事故应急处置指挥部。</w:t>
      </w:r>
    </w:p>
    <w:p w14:paraId="17430E20">
      <w:pPr>
        <w:spacing w:before="181" w:line="289" w:lineRule="auto"/>
        <w:ind w:left="1" w:righ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9.5.2  </w:t>
      </w:r>
      <w:r>
        <w:rPr>
          <w:rFonts w:ascii="宋体" w:hAnsi="宋体" w:eastAsia="宋体" w:cs="宋体"/>
          <w:color w:val="auto"/>
          <w:sz w:val="24"/>
          <w:szCs w:val="24"/>
          <w:highlight w:val="none"/>
        </w:rPr>
        <w:t>承包人应对施工现场易发生重大事故的部位、环节进行监控，配备救援器</w:t>
      </w:r>
      <w:r>
        <w:rPr>
          <w:rFonts w:ascii="宋体" w:hAnsi="宋体" w:eastAsia="宋体" w:cs="宋体"/>
          <w:color w:val="auto"/>
          <w:spacing w:val="-4"/>
          <w:sz w:val="24"/>
          <w:szCs w:val="24"/>
          <w:highlight w:val="none"/>
        </w:rPr>
        <w:t>材、设备，并定期组织演练。</w:t>
      </w:r>
    </w:p>
    <w:p w14:paraId="12D2EA2E">
      <w:pPr>
        <w:spacing w:before="181" w:line="290" w:lineRule="auto"/>
        <w:ind w:left="5" w:right="1"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9.5.3  </w:t>
      </w:r>
      <w:r>
        <w:rPr>
          <w:rFonts w:ascii="宋体" w:hAnsi="宋体" w:eastAsia="宋体" w:cs="宋体"/>
          <w:color w:val="auto"/>
          <w:sz w:val="24"/>
          <w:szCs w:val="24"/>
          <w:highlight w:val="none"/>
        </w:rPr>
        <w:t>工程开工前，承包人应根据本工程的特点制定施工现场施工质量与安全事</w:t>
      </w:r>
      <w:r>
        <w:rPr>
          <w:rFonts w:ascii="宋体" w:hAnsi="宋体" w:eastAsia="宋体" w:cs="宋体"/>
          <w:color w:val="auto"/>
          <w:spacing w:val="-4"/>
          <w:sz w:val="24"/>
          <w:szCs w:val="24"/>
          <w:highlight w:val="none"/>
        </w:rPr>
        <w:t>故应急预案，并报发包人备案。</w:t>
      </w:r>
    </w:p>
    <w:p w14:paraId="3FAA81ED">
      <w:pPr>
        <w:spacing w:before="180"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9.5.4  </w:t>
      </w:r>
      <w:r>
        <w:rPr>
          <w:rFonts w:ascii="宋体" w:hAnsi="宋体" w:eastAsia="宋体" w:cs="宋体"/>
          <w:color w:val="auto"/>
          <w:spacing w:val="-1"/>
          <w:sz w:val="24"/>
          <w:szCs w:val="24"/>
          <w:highlight w:val="none"/>
        </w:rPr>
        <w:t>施工过程中发生事故时，发包人、承包人应立即</w:t>
      </w:r>
      <w:r>
        <w:rPr>
          <w:rFonts w:ascii="宋体" w:hAnsi="宋体" w:eastAsia="宋体" w:cs="宋体"/>
          <w:color w:val="auto"/>
          <w:spacing w:val="-2"/>
          <w:sz w:val="24"/>
          <w:szCs w:val="24"/>
          <w:highlight w:val="none"/>
        </w:rPr>
        <w:t>启动应急预案。</w:t>
      </w:r>
    </w:p>
    <w:p w14:paraId="57C4A45A">
      <w:pPr>
        <w:spacing w:before="182"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9.5.5  </w:t>
      </w:r>
      <w:r>
        <w:rPr>
          <w:rFonts w:ascii="宋体" w:hAnsi="宋体" w:eastAsia="宋体" w:cs="宋体"/>
          <w:color w:val="auto"/>
          <w:spacing w:val="-1"/>
          <w:sz w:val="24"/>
          <w:szCs w:val="24"/>
          <w:highlight w:val="none"/>
        </w:rPr>
        <w:t>事故调查处理由发包人按相关规定履行手续</w:t>
      </w:r>
      <w:r>
        <w:rPr>
          <w:rFonts w:ascii="宋体" w:hAnsi="宋体" w:eastAsia="宋体" w:cs="宋体"/>
          <w:color w:val="auto"/>
          <w:spacing w:val="-2"/>
          <w:sz w:val="24"/>
          <w:szCs w:val="24"/>
          <w:highlight w:val="none"/>
        </w:rPr>
        <w:t>，承包人应配合。</w:t>
      </w:r>
    </w:p>
    <w:p w14:paraId="3CF399BF">
      <w:pPr>
        <w:spacing w:before="179" w:line="220" w:lineRule="auto"/>
        <w:outlineLvl w:val="2"/>
        <w:rPr>
          <w:rFonts w:ascii="宋体" w:hAnsi="宋体" w:eastAsia="宋体" w:cs="宋体"/>
          <w:color w:val="auto"/>
          <w:sz w:val="24"/>
          <w:szCs w:val="24"/>
          <w:highlight w:val="none"/>
        </w:rPr>
      </w:pPr>
      <w:bookmarkStart w:id="471" w:name="bookmark212"/>
      <w:bookmarkEnd w:id="471"/>
      <w:bookmarkStart w:id="472" w:name="_Toc30411"/>
      <w:bookmarkStart w:id="473" w:name="_Toc8813"/>
      <w:r>
        <w:rPr>
          <w:rFonts w:ascii="Times New Roman" w:hAnsi="Times New Roman" w:eastAsia="Times New Roman" w:cs="Times New Roman"/>
          <w:b/>
          <w:bCs/>
          <w:color w:val="auto"/>
          <w:spacing w:val="-4"/>
          <w:sz w:val="24"/>
          <w:szCs w:val="24"/>
          <w:highlight w:val="none"/>
        </w:rPr>
        <w:t>9.6</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4"/>
          <w:sz w:val="24"/>
          <w:szCs w:val="24"/>
          <w:highlight w:val="none"/>
        </w:rPr>
        <w:t>水土保持</w:t>
      </w:r>
      <w:bookmarkEnd w:id="472"/>
      <w:bookmarkEnd w:id="473"/>
    </w:p>
    <w:p w14:paraId="27956F7D">
      <w:pPr>
        <w:spacing w:before="183"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9.6.1  </w:t>
      </w:r>
      <w:r>
        <w:rPr>
          <w:rFonts w:ascii="宋体" w:hAnsi="宋体" w:eastAsia="宋体" w:cs="宋体"/>
          <w:color w:val="auto"/>
          <w:spacing w:val="-2"/>
          <w:sz w:val="24"/>
          <w:szCs w:val="24"/>
          <w:highlight w:val="none"/>
        </w:rPr>
        <w:t>发包人应及时向承包人提供水土保持方案。</w:t>
      </w:r>
    </w:p>
    <w:p w14:paraId="465358BE">
      <w:pPr>
        <w:spacing w:before="179" w:line="313" w:lineRule="auto"/>
        <w:ind w:left="1" w:righ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9.6.2  </w:t>
      </w:r>
      <w:r>
        <w:rPr>
          <w:rFonts w:ascii="宋体" w:hAnsi="宋体" w:eastAsia="宋体" w:cs="宋体"/>
          <w:color w:val="auto"/>
          <w:sz w:val="24"/>
          <w:szCs w:val="24"/>
          <w:highlight w:val="none"/>
        </w:rPr>
        <w:t>承包人在施工过程中，应遵守有关水土保持的法律法规和规章，</w:t>
      </w:r>
      <w:r>
        <w:rPr>
          <w:rFonts w:ascii="宋体" w:hAnsi="宋体" w:eastAsia="宋体" w:cs="宋体"/>
          <w:color w:val="auto"/>
          <w:spacing w:val="-1"/>
          <w:sz w:val="24"/>
          <w:szCs w:val="24"/>
          <w:highlight w:val="none"/>
        </w:rPr>
        <w:t>履行合同</w:t>
      </w:r>
      <w:r>
        <w:rPr>
          <w:rFonts w:ascii="宋体" w:hAnsi="宋体" w:eastAsia="宋体" w:cs="宋体"/>
          <w:color w:val="auto"/>
          <w:spacing w:val="-3"/>
          <w:sz w:val="24"/>
          <w:szCs w:val="24"/>
          <w:highlight w:val="none"/>
        </w:rPr>
        <w:t>约定的水土保持义务，并对其违反法律和合同约定义务所造成的水土流失灾害、人身</w:t>
      </w:r>
      <w:r>
        <w:rPr>
          <w:rFonts w:ascii="宋体" w:hAnsi="宋体" w:eastAsia="宋体" w:cs="宋体"/>
          <w:color w:val="auto"/>
          <w:spacing w:val="-4"/>
          <w:sz w:val="24"/>
          <w:szCs w:val="24"/>
          <w:highlight w:val="none"/>
        </w:rPr>
        <w:t>伤害和财产损失负责。</w:t>
      </w:r>
    </w:p>
    <w:p w14:paraId="7CCB4EE8">
      <w:pPr>
        <w:spacing w:line="313" w:lineRule="auto"/>
        <w:rPr>
          <w:rFonts w:ascii="宋体" w:hAnsi="宋体" w:eastAsia="宋体" w:cs="宋体"/>
          <w:color w:val="auto"/>
          <w:sz w:val="24"/>
          <w:szCs w:val="24"/>
          <w:highlight w:val="none"/>
        </w:rPr>
        <w:sectPr>
          <w:footerReference r:id="rId48" w:type="default"/>
          <w:pgSz w:w="11907" w:h="16841"/>
          <w:pgMar w:top="1428" w:right="1527" w:bottom="1254" w:left="1596" w:header="0" w:footer="1093" w:gutter="0"/>
          <w:pgNumType w:fmt="decimal"/>
          <w:cols w:space="720" w:num="1"/>
        </w:sectPr>
      </w:pPr>
    </w:p>
    <w:p w14:paraId="70CB0B48">
      <w:pPr>
        <w:spacing w:before="48" w:line="359" w:lineRule="auto"/>
        <w:ind w:left="7" w:right="66"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9.6.3  </w:t>
      </w:r>
      <w:r>
        <w:rPr>
          <w:rFonts w:ascii="宋体" w:hAnsi="宋体" w:eastAsia="宋体" w:cs="宋体"/>
          <w:color w:val="auto"/>
          <w:sz w:val="24"/>
          <w:szCs w:val="24"/>
          <w:highlight w:val="none"/>
        </w:rPr>
        <w:t>承包人的水土保持措施计划，应满足技术标准和要求（合同技术条款）约</w:t>
      </w:r>
      <w:r>
        <w:rPr>
          <w:rFonts w:ascii="宋体" w:hAnsi="宋体" w:eastAsia="宋体" w:cs="宋体"/>
          <w:color w:val="auto"/>
          <w:spacing w:val="-8"/>
          <w:sz w:val="24"/>
          <w:szCs w:val="24"/>
          <w:highlight w:val="none"/>
        </w:rPr>
        <w:t>定的要求。</w:t>
      </w:r>
    </w:p>
    <w:p w14:paraId="70BFE80A">
      <w:pPr>
        <w:spacing w:line="219" w:lineRule="auto"/>
        <w:outlineLvl w:val="2"/>
        <w:rPr>
          <w:rFonts w:ascii="宋体" w:hAnsi="宋体" w:eastAsia="宋体" w:cs="宋体"/>
          <w:color w:val="auto"/>
          <w:sz w:val="24"/>
          <w:szCs w:val="24"/>
          <w:highlight w:val="none"/>
        </w:rPr>
      </w:pPr>
      <w:bookmarkStart w:id="474" w:name="bookmark213"/>
      <w:bookmarkEnd w:id="474"/>
      <w:bookmarkStart w:id="475" w:name="_Toc26274"/>
      <w:bookmarkStart w:id="476" w:name="_Toc25630"/>
      <w:r>
        <w:rPr>
          <w:rFonts w:ascii="Times New Roman" w:hAnsi="Times New Roman" w:eastAsia="Times New Roman" w:cs="Times New Roman"/>
          <w:b/>
          <w:bCs/>
          <w:color w:val="auto"/>
          <w:spacing w:val="-4"/>
          <w:sz w:val="24"/>
          <w:szCs w:val="24"/>
          <w:highlight w:val="none"/>
        </w:rPr>
        <w:t>9.7</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4"/>
          <w:sz w:val="24"/>
          <w:szCs w:val="24"/>
          <w:highlight w:val="none"/>
        </w:rPr>
        <w:t>文明工地</w:t>
      </w:r>
      <w:bookmarkEnd w:id="475"/>
      <w:bookmarkEnd w:id="476"/>
    </w:p>
    <w:p w14:paraId="6C3192E1">
      <w:pPr>
        <w:spacing w:before="182" w:line="289" w:lineRule="auto"/>
        <w:ind w:left="2"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9.7.1  </w:t>
      </w:r>
      <w:r>
        <w:rPr>
          <w:rFonts w:ascii="宋体" w:hAnsi="宋体" w:eastAsia="宋体" w:cs="宋体"/>
          <w:color w:val="auto"/>
          <w:spacing w:val="-4"/>
          <w:sz w:val="24"/>
          <w:szCs w:val="24"/>
          <w:highlight w:val="none"/>
        </w:rPr>
        <w:t>发包人应按专用合同条款的约定，负责建立建设文明建设工地的组织机构，</w:t>
      </w:r>
      <w:r>
        <w:rPr>
          <w:rFonts w:ascii="宋体" w:hAnsi="宋体" w:eastAsia="宋体" w:cs="宋体"/>
          <w:color w:val="auto"/>
          <w:spacing w:val="-3"/>
          <w:sz w:val="24"/>
          <w:szCs w:val="24"/>
          <w:highlight w:val="none"/>
        </w:rPr>
        <w:t>制定建设文明建设工地的规划和办法。</w:t>
      </w:r>
    </w:p>
    <w:p w14:paraId="5ADC50D9">
      <w:pPr>
        <w:spacing w:before="182" w:line="288" w:lineRule="auto"/>
        <w:ind w:left="1" w:right="10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9.7.2  </w:t>
      </w:r>
      <w:r>
        <w:rPr>
          <w:rFonts w:ascii="宋体" w:hAnsi="宋体" w:eastAsia="宋体" w:cs="宋体"/>
          <w:color w:val="auto"/>
          <w:sz w:val="24"/>
          <w:szCs w:val="24"/>
          <w:highlight w:val="none"/>
        </w:rPr>
        <w:t>承包人应按建设文明建设工地的规</w:t>
      </w:r>
      <w:r>
        <w:rPr>
          <w:rFonts w:ascii="宋体" w:hAnsi="宋体" w:eastAsia="宋体" w:cs="宋体"/>
          <w:color w:val="auto"/>
          <w:spacing w:val="-1"/>
          <w:sz w:val="24"/>
          <w:szCs w:val="24"/>
          <w:highlight w:val="none"/>
        </w:rPr>
        <w:t>划和办法，履行职责，承担相应责任。</w:t>
      </w:r>
      <w:r>
        <w:rPr>
          <w:rFonts w:ascii="宋体" w:hAnsi="宋体" w:eastAsia="宋体" w:cs="宋体"/>
          <w:color w:val="auto"/>
          <w:spacing w:val="-3"/>
          <w:sz w:val="24"/>
          <w:szCs w:val="24"/>
          <w:highlight w:val="none"/>
        </w:rPr>
        <w:t>所需费用应含在已标价工程量清单中。</w:t>
      </w:r>
    </w:p>
    <w:p w14:paraId="5FA26195">
      <w:pPr>
        <w:spacing w:before="184" w:line="220" w:lineRule="auto"/>
        <w:outlineLvl w:val="2"/>
        <w:rPr>
          <w:rFonts w:ascii="宋体" w:hAnsi="宋体" w:eastAsia="宋体" w:cs="宋体"/>
          <w:color w:val="auto"/>
          <w:sz w:val="24"/>
          <w:szCs w:val="24"/>
          <w:highlight w:val="none"/>
        </w:rPr>
      </w:pPr>
      <w:bookmarkStart w:id="477" w:name="bookmark214"/>
      <w:bookmarkEnd w:id="477"/>
      <w:bookmarkStart w:id="478" w:name="_Toc17272"/>
      <w:bookmarkStart w:id="479" w:name="_Toc12939"/>
      <w:r>
        <w:rPr>
          <w:rFonts w:ascii="Times New Roman" w:hAnsi="Times New Roman" w:eastAsia="Times New Roman" w:cs="Times New Roman"/>
          <w:b/>
          <w:bCs/>
          <w:color w:val="auto"/>
          <w:spacing w:val="-6"/>
          <w:sz w:val="24"/>
          <w:szCs w:val="24"/>
          <w:highlight w:val="none"/>
        </w:rPr>
        <w:t>9.8</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6"/>
          <w:sz w:val="24"/>
          <w:szCs w:val="24"/>
          <w:highlight w:val="none"/>
        </w:rPr>
        <w:t>防汛度汛</w:t>
      </w:r>
      <w:bookmarkEnd w:id="478"/>
      <w:bookmarkEnd w:id="479"/>
    </w:p>
    <w:p w14:paraId="5A681C22">
      <w:pPr>
        <w:spacing w:before="179"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9.8.1  </w:t>
      </w:r>
      <w:r>
        <w:rPr>
          <w:rFonts w:ascii="宋体" w:hAnsi="宋体" w:eastAsia="宋体" w:cs="宋体"/>
          <w:color w:val="auto"/>
          <w:spacing w:val="-1"/>
          <w:sz w:val="24"/>
          <w:szCs w:val="24"/>
          <w:highlight w:val="none"/>
        </w:rPr>
        <w:t>发包人负责组织工程参建单位编制本工程的</w:t>
      </w:r>
      <w:r>
        <w:rPr>
          <w:rFonts w:ascii="宋体" w:hAnsi="宋体" w:eastAsia="宋体" w:cs="宋体"/>
          <w:color w:val="auto"/>
          <w:spacing w:val="-2"/>
          <w:sz w:val="24"/>
          <w:szCs w:val="24"/>
          <w:highlight w:val="none"/>
        </w:rPr>
        <w:t>度汛方案和措施。</w:t>
      </w:r>
    </w:p>
    <w:p w14:paraId="039A0C61">
      <w:pPr>
        <w:spacing w:before="183" w:line="289" w:lineRule="auto"/>
        <w:ind w:firstLine="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9.8.2  </w:t>
      </w:r>
      <w:r>
        <w:rPr>
          <w:rFonts w:ascii="宋体" w:hAnsi="宋体" w:eastAsia="宋体" w:cs="宋体"/>
          <w:color w:val="auto"/>
          <w:spacing w:val="-4"/>
          <w:sz w:val="24"/>
          <w:szCs w:val="24"/>
          <w:highlight w:val="none"/>
        </w:rPr>
        <w:t>承包人应根据发包人编制的本工程度汛方案和措施，制定相应的度汛方案，报发包人批准后实施。</w:t>
      </w:r>
    </w:p>
    <w:p w14:paraId="2884DC0F">
      <w:pPr>
        <w:spacing w:before="309" w:line="221" w:lineRule="auto"/>
        <w:ind w:left="11"/>
        <w:outlineLvl w:val="1"/>
        <w:rPr>
          <w:rFonts w:ascii="宋体" w:hAnsi="宋体" w:eastAsia="宋体" w:cs="宋体"/>
          <w:color w:val="auto"/>
          <w:sz w:val="28"/>
          <w:szCs w:val="28"/>
          <w:highlight w:val="none"/>
        </w:rPr>
      </w:pPr>
      <w:bookmarkStart w:id="480" w:name="bookmark216"/>
      <w:bookmarkEnd w:id="480"/>
      <w:bookmarkStart w:id="481" w:name="bookmark215"/>
      <w:bookmarkEnd w:id="481"/>
      <w:bookmarkStart w:id="482" w:name="_Toc11958"/>
      <w:bookmarkStart w:id="483" w:name="_Toc11418"/>
      <w:r>
        <w:rPr>
          <w:rFonts w:ascii="Times New Roman" w:hAnsi="Times New Roman" w:eastAsia="Times New Roman" w:cs="Times New Roman"/>
          <w:b/>
          <w:bCs/>
          <w:color w:val="auto"/>
          <w:spacing w:val="-4"/>
          <w:sz w:val="28"/>
          <w:szCs w:val="28"/>
          <w:highlight w:val="none"/>
        </w:rPr>
        <w:t xml:space="preserve">10 </w:t>
      </w:r>
      <w:r>
        <w:rPr>
          <w:rFonts w:hint="eastAsia" w:ascii="Times New Roman" w:hAnsi="Times New Roman" w:eastAsia="宋体" w:cs="Times New Roman"/>
          <w:b/>
          <w:bCs/>
          <w:color w:val="auto"/>
          <w:spacing w:val="-4"/>
          <w:sz w:val="28"/>
          <w:szCs w:val="28"/>
          <w:highlight w:val="none"/>
          <w:lang w:eastAsia="zh-CN"/>
        </w:rPr>
        <w:t>、</w:t>
      </w:r>
      <w:r>
        <w:rPr>
          <w:rFonts w:ascii="宋体" w:hAnsi="宋体" w:eastAsia="宋体" w:cs="宋体"/>
          <w:b/>
          <w:bCs/>
          <w:color w:val="auto"/>
          <w:spacing w:val="-4"/>
          <w:sz w:val="28"/>
          <w:szCs w:val="28"/>
          <w:highlight w:val="none"/>
        </w:rPr>
        <w:t>进度计划</w:t>
      </w:r>
      <w:bookmarkEnd w:id="482"/>
      <w:bookmarkEnd w:id="483"/>
    </w:p>
    <w:p w14:paraId="13FF3123">
      <w:pPr>
        <w:pStyle w:val="3"/>
        <w:spacing w:line="245" w:lineRule="auto"/>
        <w:rPr>
          <w:color w:val="auto"/>
          <w:highlight w:val="none"/>
        </w:rPr>
      </w:pPr>
    </w:p>
    <w:p w14:paraId="0C6F29BA">
      <w:pPr>
        <w:spacing w:before="78" w:line="220" w:lineRule="auto"/>
        <w:ind w:left="8"/>
        <w:outlineLvl w:val="2"/>
        <w:rPr>
          <w:rFonts w:ascii="宋体" w:hAnsi="宋体" w:eastAsia="宋体" w:cs="宋体"/>
          <w:color w:val="auto"/>
          <w:sz w:val="24"/>
          <w:szCs w:val="24"/>
          <w:highlight w:val="none"/>
        </w:rPr>
      </w:pPr>
      <w:bookmarkStart w:id="484" w:name="bookmark696"/>
      <w:bookmarkEnd w:id="484"/>
      <w:bookmarkStart w:id="485" w:name="_Toc9271"/>
      <w:bookmarkStart w:id="486" w:name="_Toc24083"/>
      <w:r>
        <w:rPr>
          <w:rFonts w:ascii="Times New Roman" w:hAnsi="Times New Roman" w:eastAsia="Times New Roman" w:cs="Times New Roman"/>
          <w:b/>
          <w:bCs/>
          <w:color w:val="auto"/>
          <w:spacing w:val="-2"/>
          <w:sz w:val="24"/>
          <w:szCs w:val="24"/>
          <w:highlight w:val="none"/>
        </w:rPr>
        <w:t xml:space="preserve">10.1  </w:t>
      </w:r>
      <w:r>
        <w:rPr>
          <w:rFonts w:ascii="宋体" w:hAnsi="宋体" w:eastAsia="宋体" w:cs="宋体"/>
          <w:b/>
          <w:bCs/>
          <w:color w:val="auto"/>
          <w:spacing w:val="-2"/>
          <w:sz w:val="24"/>
          <w:szCs w:val="24"/>
          <w:highlight w:val="none"/>
        </w:rPr>
        <w:t>合同进度计划</w:t>
      </w:r>
      <w:bookmarkEnd w:id="485"/>
      <w:bookmarkEnd w:id="486"/>
    </w:p>
    <w:p w14:paraId="23462A36">
      <w:pPr>
        <w:spacing w:before="182" w:line="359" w:lineRule="auto"/>
        <w:ind w:right="66" w:firstLine="480"/>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应按技术标准和要求（合同技术条款）约定的内容和期限以及监理人的指示，编制详细的施工总进度计划及其说明提交监理人审批。监理人应在技术标准和要求（合同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w:t>
      </w:r>
      <w:r>
        <w:rPr>
          <w:rFonts w:ascii="宋体" w:hAnsi="宋体" w:eastAsia="宋体" w:cs="宋体"/>
          <w:color w:val="auto"/>
          <w:spacing w:val="-6"/>
          <w:sz w:val="24"/>
          <w:szCs w:val="24"/>
          <w:highlight w:val="none"/>
        </w:rPr>
        <w:t>监理人审批。</w:t>
      </w:r>
    </w:p>
    <w:p w14:paraId="7F7A2DD1">
      <w:pPr>
        <w:spacing w:line="219" w:lineRule="auto"/>
        <w:ind w:left="8"/>
        <w:outlineLvl w:val="2"/>
        <w:rPr>
          <w:rFonts w:ascii="宋体" w:hAnsi="宋体" w:eastAsia="宋体" w:cs="宋体"/>
          <w:color w:val="auto"/>
          <w:sz w:val="24"/>
          <w:szCs w:val="24"/>
          <w:highlight w:val="none"/>
        </w:rPr>
      </w:pPr>
      <w:bookmarkStart w:id="487" w:name="bookmark217"/>
      <w:bookmarkEnd w:id="487"/>
      <w:bookmarkStart w:id="488" w:name="_Toc20097"/>
      <w:bookmarkStart w:id="489" w:name="_Toc5586"/>
      <w:r>
        <w:rPr>
          <w:rFonts w:ascii="Times New Roman" w:hAnsi="Times New Roman" w:eastAsia="Times New Roman" w:cs="Times New Roman"/>
          <w:b/>
          <w:bCs/>
          <w:color w:val="auto"/>
          <w:spacing w:val="-2"/>
          <w:sz w:val="24"/>
          <w:szCs w:val="24"/>
          <w:highlight w:val="none"/>
        </w:rPr>
        <w:t xml:space="preserve">10.2  </w:t>
      </w:r>
      <w:r>
        <w:rPr>
          <w:rFonts w:ascii="宋体" w:hAnsi="宋体" w:eastAsia="宋体" w:cs="宋体"/>
          <w:b/>
          <w:bCs/>
          <w:color w:val="auto"/>
          <w:spacing w:val="-2"/>
          <w:sz w:val="24"/>
          <w:szCs w:val="24"/>
          <w:highlight w:val="none"/>
        </w:rPr>
        <w:t>合同进度计划的修订</w:t>
      </w:r>
      <w:bookmarkEnd w:id="488"/>
      <w:bookmarkEnd w:id="489"/>
    </w:p>
    <w:p w14:paraId="634052B8">
      <w:pPr>
        <w:spacing w:before="181" w:line="359" w:lineRule="auto"/>
        <w:ind w:right="4" w:firstLine="485"/>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不论何种原因造成工程的实际进度与第</w:t>
      </w:r>
      <w:r>
        <w:rPr>
          <w:rFonts w:ascii="Times New Roman" w:hAnsi="Times New Roman" w:eastAsia="Times New Roman" w:cs="Times New Roman"/>
          <w:color w:val="auto"/>
          <w:spacing w:val="-1"/>
          <w:sz w:val="24"/>
          <w:szCs w:val="24"/>
          <w:highlight w:val="none"/>
        </w:rPr>
        <w:t>10.1</w:t>
      </w:r>
      <w:r>
        <w:rPr>
          <w:rFonts w:ascii="宋体" w:hAnsi="宋体" w:eastAsia="宋体" w:cs="宋体"/>
          <w:color w:val="auto"/>
          <w:spacing w:val="-1"/>
          <w:sz w:val="24"/>
          <w:szCs w:val="24"/>
          <w:highlight w:val="none"/>
        </w:rPr>
        <w:t>款的合同进度计</w:t>
      </w:r>
      <w:r>
        <w:rPr>
          <w:rFonts w:ascii="宋体" w:hAnsi="宋体" w:eastAsia="宋体" w:cs="宋体"/>
          <w:color w:val="auto"/>
          <w:spacing w:val="-2"/>
          <w:sz w:val="24"/>
          <w:szCs w:val="24"/>
          <w:highlight w:val="none"/>
        </w:rPr>
        <w:t>划不符时，承包人均</w:t>
      </w:r>
      <w:r>
        <w:rPr>
          <w:rFonts w:ascii="宋体" w:hAnsi="宋体" w:eastAsia="宋体" w:cs="宋体"/>
          <w:color w:val="auto"/>
          <w:spacing w:val="-1"/>
          <w:sz w:val="24"/>
          <w:szCs w:val="24"/>
          <w:highlight w:val="none"/>
        </w:rPr>
        <w:t>应在</w:t>
      </w:r>
      <w:r>
        <w:rPr>
          <w:rFonts w:ascii="Times New Roman" w:hAnsi="Times New Roman" w:eastAsia="Times New Roman" w:cs="Times New Roman"/>
          <w:color w:val="auto"/>
          <w:spacing w:val="-1"/>
          <w:sz w:val="24"/>
          <w:szCs w:val="24"/>
          <w:highlight w:val="none"/>
        </w:rPr>
        <w:t>14</w:t>
      </w:r>
      <w:r>
        <w:rPr>
          <w:rFonts w:ascii="宋体" w:hAnsi="宋体" w:eastAsia="宋体" w:cs="宋体"/>
          <w:color w:val="auto"/>
          <w:spacing w:val="-1"/>
          <w:sz w:val="24"/>
          <w:szCs w:val="24"/>
          <w:highlight w:val="none"/>
        </w:rPr>
        <w:t>天内向监理人提交修订合同进度计划的申请报告，并附有关措施和相关资料，</w:t>
      </w:r>
      <w:r>
        <w:rPr>
          <w:rFonts w:ascii="宋体" w:hAnsi="宋体" w:eastAsia="宋体" w:cs="宋体"/>
          <w:color w:val="auto"/>
          <w:spacing w:val="-3"/>
          <w:sz w:val="24"/>
          <w:szCs w:val="24"/>
          <w:highlight w:val="none"/>
        </w:rPr>
        <w:t>报监理人审批，监理人应在收到申请报告后的</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天内批复。当监理人认为需要修订合同进度计划时，承包人应按监理人的指示，在</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天内向监理人提交修订的合同进度计划，并附调整计划的相关资料，提交监理人审批。监理人应在收到进度计划后的</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天</w:t>
      </w:r>
      <w:r>
        <w:rPr>
          <w:rFonts w:ascii="宋体" w:hAnsi="宋体" w:eastAsia="宋体" w:cs="宋体"/>
          <w:color w:val="auto"/>
          <w:spacing w:val="-8"/>
          <w:sz w:val="24"/>
          <w:szCs w:val="24"/>
          <w:highlight w:val="none"/>
        </w:rPr>
        <w:t>内批复。</w:t>
      </w:r>
    </w:p>
    <w:p w14:paraId="47E070CF">
      <w:pPr>
        <w:spacing w:before="2" w:line="360" w:lineRule="auto"/>
        <w:ind w:left="2" w:right="64" w:firstLine="422"/>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不论何种原因造成施工进度延迟，承包人均应按监</w:t>
      </w:r>
      <w:r>
        <w:rPr>
          <w:rFonts w:ascii="宋体" w:hAnsi="宋体" w:eastAsia="宋体" w:cs="宋体"/>
          <w:color w:val="auto"/>
          <w:spacing w:val="-2"/>
          <w:sz w:val="24"/>
          <w:szCs w:val="24"/>
          <w:highlight w:val="none"/>
        </w:rPr>
        <w:t>理人的指示，采取有效措施赶</w:t>
      </w:r>
      <w:r>
        <w:rPr>
          <w:rFonts w:ascii="宋体" w:hAnsi="宋体" w:eastAsia="宋体" w:cs="宋体"/>
          <w:color w:val="auto"/>
          <w:spacing w:val="-5"/>
          <w:sz w:val="24"/>
          <w:szCs w:val="24"/>
          <w:highlight w:val="none"/>
        </w:rPr>
        <w:t>上进度。承包人应在向监理人提交修订合同进度计划的同时，</w:t>
      </w:r>
      <w:r>
        <w:rPr>
          <w:rFonts w:ascii="宋体" w:hAnsi="宋体" w:eastAsia="宋体" w:cs="宋体"/>
          <w:color w:val="auto"/>
          <w:spacing w:val="-38"/>
          <w:sz w:val="24"/>
          <w:szCs w:val="24"/>
          <w:highlight w:val="none"/>
        </w:rPr>
        <w:t xml:space="preserve"> </w:t>
      </w:r>
      <w:r>
        <w:rPr>
          <w:rFonts w:ascii="宋体" w:hAnsi="宋体" w:eastAsia="宋体" w:cs="宋体"/>
          <w:color w:val="auto"/>
          <w:spacing w:val="-5"/>
          <w:sz w:val="24"/>
          <w:szCs w:val="24"/>
          <w:highlight w:val="none"/>
        </w:rPr>
        <w:t>编制一份赶工措施报告提交监理人审批。由于发包人原因造成施工进</w:t>
      </w:r>
      <w:r>
        <w:rPr>
          <w:rFonts w:ascii="宋体" w:hAnsi="宋体" w:eastAsia="宋体" w:cs="宋体"/>
          <w:color w:val="auto"/>
          <w:spacing w:val="-6"/>
          <w:sz w:val="24"/>
          <w:szCs w:val="24"/>
          <w:highlight w:val="none"/>
        </w:rPr>
        <w:t>度延迟，</w:t>
      </w:r>
      <w:r>
        <w:rPr>
          <w:rFonts w:ascii="宋体" w:hAnsi="宋体" w:eastAsia="宋体" w:cs="宋体"/>
          <w:color w:val="auto"/>
          <w:spacing w:val="53"/>
          <w:sz w:val="24"/>
          <w:szCs w:val="24"/>
          <w:highlight w:val="none"/>
        </w:rPr>
        <w:t xml:space="preserve"> </w:t>
      </w:r>
      <w:r>
        <w:rPr>
          <w:rFonts w:ascii="宋体" w:hAnsi="宋体" w:eastAsia="宋体" w:cs="宋体"/>
          <w:color w:val="auto"/>
          <w:spacing w:val="-6"/>
          <w:sz w:val="24"/>
          <w:szCs w:val="24"/>
          <w:highlight w:val="none"/>
        </w:rPr>
        <w:t>应按第</w:t>
      </w:r>
      <w:r>
        <w:rPr>
          <w:rFonts w:ascii="Times New Roman" w:hAnsi="Times New Roman" w:eastAsia="Times New Roman" w:cs="Times New Roman"/>
          <w:color w:val="auto"/>
          <w:spacing w:val="-6"/>
          <w:sz w:val="24"/>
          <w:szCs w:val="24"/>
          <w:highlight w:val="none"/>
        </w:rPr>
        <w:t>11.3</w:t>
      </w:r>
      <w:r>
        <w:rPr>
          <w:rFonts w:ascii="宋体" w:hAnsi="宋体" w:eastAsia="宋体" w:cs="宋体"/>
          <w:color w:val="auto"/>
          <w:spacing w:val="-6"/>
          <w:sz w:val="24"/>
          <w:szCs w:val="24"/>
          <w:highlight w:val="none"/>
        </w:rPr>
        <w:t>款的约定办理；由</w:t>
      </w:r>
    </w:p>
    <w:p w14:paraId="0E95D505">
      <w:pPr>
        <w:spacing w:line="360" w:lineRule="auto"/>
        <w:rPr>
          <w:rFonts w:ascii="宋体" w:hAnsi="宋体" w:eastAsia="宋体" w:cs="宋体"/>
          <w:color w:val="auto"/>
          <w:sz w:val="24"/>
          <w:szCs w:val="24"/>
          <w:highlight w:val="none"/>
        </w:rPr>
        <w:sectPr>
          <w:footerReference r:id="rId49" w:type="default"/>
          <w:pgSz w:w="11907" w:h="16841"/>
          <w:pgMar w:top="1428" w:right="1462" w:bottom="1254" w:left="1596" w:header="0" w:footer="1093" w:gutter="0"/>
          <w:pgNumType w:fmt="decimal"/>
          <w:cols w:space="720" w:num="1"/>
        </w:sectPr>
      </w:pPr>
    </w:p>
    <w:p w14:paraId="3B582395">
      <w:pPr>
        <w:spacing w:before="47" w:line="220" w:lineRule="auto"/>
        <w:ind w:left="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于承包人原因造成施工进度延迟，应按第</w:t>
      </w:r>
      <w:r>
        <w:rPr>
          <w:rFonts w:ascii="Times New Roman" w:hAnsi="Times New Roman" w:eastAsia="Times New Roman" w:cs="Times New Roman"/>
          <w:color w:val="auto"/>
          <w:spacing w:val="-2"/>
          <w:sz w:val="24"/>
          <w:szCs w:val="24"/>
          <w:highlight w:val="none"/>
        </w:rPr>
        <w:t>11.5</w:t>
      </w:r>
      <w:r>
        <w:rPr>
          <w:rFonts w:ascii="宋体" w:hAnsi="宋体" w:eastAsia="宋体" w:cs="宋体"/>
          <w:color w:val="auto"/>
          <w:spacing w:val="-2"/>
          <w:sz w:val="24"/>
          <w:szCs w:val="24"/>
          <w:highlight w:val="none"/>
        </w:rPr>
        <w:t>款的约定办理。</w:t>
      </w:r>
    </w:p>
    <w:p w14:paraId="417079D1">
      <w:pPr>
        <w:spacing w:before="182" w:line="220" w:lineRule="auto"/>
        <w:ind w:left="7"/>
        <w:outlineLvl w:val="1"/>
        <w:rPr>
          <w:rFonts w:ascii="宋体" w:hAnsi="宋体" w:eastAsia="宋体" w:cs="宋体"/>
          <w:color w:val="auto"/>
          <w:sz w:val="24"/>
          <w:szCs w:val="24"/>
          <w:highlight w:val="none"/>
        </w:rPr>
      </w:pPr>
      <w:bookmarkStart w:id="490" w:name="bookmark218"/>
      <w:bookmarkEnd w:id="490"/>
      <w:bookmarkStart w:id="491" w:name="_Toc18623"/>
      <w:bookmarkStart w:id="492" w:name="_Toc23983"/>
      <w:r>
        <w:rPr>
          <w:rFonts w:ascii="Times New Roman" w:hAnsi="Times New Roman" w:eastAsia="Times New Roman" w:cs="Times New Roman"/>
          <w:b/>
          <w:bCs/>
          <w:color w:val="auto"/>
          <w:spacing w:val="-3"/>
          <w:sz w:val="24"/>
          <w:szCs w:val="24"/>
          <w:highlight w:val="none"/>
        </w:rPr>
        <w:t xml:space="preserve">10.3  </w:t>
      </w:r>
      <w:r>
        <w:rPr>
          <w:rFonts w:ascii="宋体" w:hAnsi="宋体" w:eastAsia="宋体" w:cs="宋体"/>
          <w:b/>
          <w:bCs/>
          <w:color w:val="auto"/>
          <w:spacing w:val="-3"/>
          <w:sz w:val="24"/>
          <w:szCs w:val="24"/>
          <w:highlight w:val="none"/>
        </w:rPr>
        <w:t>单位工程进度计划</w:t>
      </w:r>
      <w:bookmarkEnd w:id="491"/>
      <w:bookmarkEnd w:id="492"/>
    </w:p>
    <w:p w14:paraId="7958D7E4">
      <w:pPr>
        <w:spacing w:before="179" w:line="359" w:lineRule="auto"/>
        <w:ind w:right="237" w:firstLine="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监理人认为有必要时，承包人应按监理人指示的内容和期限，并根据合同进度计</w:t>
      </w:r>
      <w:r>
        <w:rPr>
          <w:rFonts w:ascii="宋体" w:hAnsi="宋体" w:eastAsia="宋体" w:cs="宋体"/>
          <w:color w:val="auto"/>
          <w:spacing w:val="-2"/>
          <w:sz w:val="24"/>
          <w:szCs w:val="24"/>
          <w:highlight w:val="none"/>
        </w:rPr>
        <w:t>划的进度控制要求，编制单位工程进度计划，提交监理人审批。</w:t>
      </w:r>
    </w:p>
    <w:p w14:paraId="56BFE78E">
      <w:pPr>
        <w:spacing w:line="218" w:lineRule="auto"/>
        <w:ind w:left="7"/>
        <w:outlineLvl w:val="1"/>
        <w:rPr>
          <w:rFonts w:ascii="宋体" w:hAnsi="宋体" w:eastAsia="宋体" w:cs="宋体"/>
          <w:color w:val="auto"/>
          <w:sz w:val="24"/>
          <w:szCs w:val="24"/>
          <w:highlight w:val="none"/>
        </w:rPr>
      </w:pPr>
      <w:bookmarkStart w:id="493" w:name="bookmark219"/>
      <w:bookmarkEnd w:id="493"/>
      <w:bookmarkStart w:id="494" w:name="_Toc24169"/>
      <w:bookmarkStart w:id="495" w:name="_Toc436"/>
      <w:r>
        <w:rPr>
          <w:rFonts w:ascii="Times New Roman" w:hAnsi="Times New Roman" w:eastAsia="Times New Roman" w:cs="Times New Roman"/>
          <w:b/>
          <w:bCs/>
          <w:color w:val="auto"/>
          <w:spacing w:val="-3"/>
          <w:sz w:val="24"/>
          <w:szCs w:val="24"/>
          <w:highlight w:val="none"/>
        </w:rPr>
        <w:t xml:space="preserve">10.4  </w:t>
      </w:r>
      <w:r>
        <w:rPr>
          <w:rFonts w:ascii="宋体" w:hAnsi="宋体" w:eastAsia="宋体" w:cs="宋体"/>
          <w:b/>
          <w:bCs/>
          <w:color w:val="auto"/>
          <w:spacing w:val="-3"/>
          <w:sz w:val="24"/>
          <w:szCs w:val="24"/>
          <w:highlight w:val="none"/>
        </w:rPr>
        <w:t>提交资金流估算表</w:t>
      </w:r>
      <w:bookmarkEnd w:id="494"/>
      <w:bookmarkEnd w:id="495"/>
    </w:p>
    <w:p w14:paraId="3815351C">
      <w:pPr>
        <w:spacing w:before="186" w:line="359" w:lineRule="auto"/>
        <w:ind w:right="237" w:firstLine="48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承包人应在按第</w:t>
      </w:r>
      <w:r>
        <w:rPr>
          <w:rFonts w:ascii="Times New Roman" w:hAnsi="Times New Roman" w:eastAsia="Times New Roman" w:cs="Times New Roman"/>
          <w:color w:val="auto"/>
          <w:spacing w:val="-1"/>
          <w:sz w:val="24"/>
          <w:szCs w:val="24"/>
          <w:highlight w:val="none"/>
        </w:rPr>
        <w:t>10.1</w:t>
      </w:r>
      <w:r>
        <w:rPr>
          <w:rFonts w:ascii="宋体" w:hAnsi="宋体" w:eastAsia="宋体" w:cs="宋体"/>
          <w:color w:val="auto"/>
          <w:spacing w:val="-1"/>
          <w:sz w:val="24"/>
          <w:szCs w:val="24"/>
          <w:highlight w:val="none"/>
        </w:rPr>
        <w:t>款约定向监理人提交施工总进度计划的同时，按</w:t>
      </w:r>
      <w:r>
        <w:rPr>
          <w:rFonts w:ascii="宋体" w:hAnsi="宋体" w:eastAsia="宋体" w:cs="宋体"/>
          <w:color w:val="auto"/>
          <w:spacing w:val="-2"/>
          <w:sz w:val="24"/>
          <w:szCs w:val="24"/>
          <w:highlight w:val="none"/>
        </w:rPr>
        <w:t>下表约定的</w:t>
      </w:r>
      <w:r>
        <w:rPr>
          <w:rFonts w:ascii="宋体" w:hAnsi="宋体" w:eastAsia="宋体" w:cs="宋体"/>
          <w:color w:val="auto"/>
          <w:spacing w:val="-3"/>
          <w:sz w:val="24"/>
          <w:szCs w:val="24"/>
          <w:highlight w:val="none"/>
        </w:rPr>
        <w:t>格式，向监理人提交按月的资金流估算表。估算表应包括承包人计划可从发包人处得</w:t>
      </w:r>
      <w:r>
        <w:rPr>
          <w:rFonts w:ascii="宋体" w:hAnsi="宋体" w:eastAsia="宋体" w:cs="宋体"/>
          <w:color w:val="auto"/>
          <w:spacing w:val="-6"/>
          <w:sz w:val="24"/>
          <w:szCs w:val="24"/>
          <w:highlight w:val="none"/>
        </w:rPr>
        <w:t>到的全部款额，以供发包人参考。此后， 当监理人提出要求时，承包人应在监理人指</w:t>
      </w:r>
      <w:r>
        <w:rPr>
          <w:rFonts w:ascii="宋体" w:hAnsi="宋体" w:eastAsia="宋体" w:cs="宋体"/>
          <w:color w:val="auto"/>
          <w:spacing w:val="-3"/>
          <w:sz w:val="24"/>
          <w:szCs w:val="24"/>
          <w:highlight w:val="none"/>
        </w:rPr>
        <w:t>定的期限内提交修订的资金流估算表。</w:t>
      </w:r>
    </w:p>
    <w:p w14:paraId="29DB08EB">
      <w:pPr>
        <w:pStyle w:val="3"/>
        <w:spacing w:line="330" w:lineRule="auto"/>
        <w:rPr>
          <w:color w:val="auto"/>
          <w:highlight w:val="none"/>
        </w:rPr>
      </w:pPr>
    </w:p>
    <w:p w14:paraId="67ABC220">
      <w:pPr>
        <w:spacing w:before="79" w:line="218" w:lineRule="auto"/>
        <w:ind w:left="2958"/>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资金流估算表（参考格式）</w:t>
      </w:r>
    </w:p>
    <w:p w14:paraId="7D3F80D1">
      <w:pPr>
        <w:spacing w:before="184" w:line="220" w:lineRule="auto"/>
        <w:ind w:left="6876"/>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金额单位：</w:t>
      </w:r>
    </w:p>
    <w:p w14:paraId="42F94B8D">
      <w:pPr>
        <w:spacing w:line="144" w:lineRule="exact"/>
        <w:rPr>
          <w:color w:val="auto"/>
          <w:highlight w:val="none"/>
        </w:rPr>
      </w:pPr>
    </w:p>
    <w:tbl>
      <w:tblPr>
        <w:tblStyle w:val="16"/>
        <w:tblW w:w="8903"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4"/>
        <w:gridCol w:w="594"/>
        <w:gridCol w:w="803"/>
        <w:gridCol w:w="1076"/>
        <w:gridCol w:w="1181"/>
        <w:gridCol w:w="884"/>
        <w:gridCol w:w="882"/>
        <w:gridCol w:w="767"/>
        <w:gridCol w:w="1037"/>
        <w:gridCol w:w="965"/>
      </w:tblGrid>
      <w:tr w14:paraId="6BC15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 w:hRule="atLeast"/>
        </w:trPr>
        <w:tc>
          <w:tcPr>
            <w:tcW w:w="714" w:type="dxa"/>
            <w:tcBorders>
              <w:top w:val="single" w:color="000000" w:sz="6" w:space="0"/>
              <w:left w:val="single" w:color="000000" w:sz="6" w:space="0"/>
            </w:tcBorders>
            <w:vAlign w:val="top"/>
          </w:tcPr>
          <w:p w14:paraId="64E29E20">
            <w:pPr>
              <w:pStyle w:val="17"/>
              <w:spacing w:before="295" w:line="221" w:lineRule="auto"/>
              <w:ind w:left="250"/>
              <w:rPr>
                <w:color w:val="auto"/>
                <w:sz w:val="21"/>
                <w:szCs w:val="21"/>
                <w:highlight w:val="none"/>
              </w:rPr>
            </w:pPr>
            <w:r>
              <w:rPr>
                <w:color w:val="auto"/>
                <w:sz w:val="21"/>
                <w:szCs w:val="21"/>
                <w:highlight w:val="none"/>
              </w:rPr>
              <w:t>年</w:t>
            </w:r>
          </w:p>
        </w:tc>
        <w:tc>
          <w:tcPr>
            <w:tcW w:w="594" w:type="dxa"/>
            <w:tcBorders>
              <w:top w:val="single" w:color="000000" w:sz="6" w:space="0"/>
            </w:tcBorders>
            <w:vAlign w:val="top"/>
          </w:tcPr>
          <w:p w14:paraId="6A5DF81C">
            <w:pPr>
              <w:pStyle w:val="17"/>
              <w:spacing w:before="295" w:line="221" w:lineRule="auto"/>
              <w:ind w:left="194"/>
              <w:rPr>
                <w:color w:val="auto"/>
                <w:sz w:val="21"/>
                <w:szCs w:val="21"/>
                <w:highlight w:val="none"/>
              </w:rPr>
            </w:pPr>
            <w:r>
              <w:rPr>
                <w:color w:val="auto"/>
                <w:sz w:val="21"/>
                <w:szCs w:val="21"/>
                <w:highlight w:val="none"/>
              </w:rPr>
              <w:t>月</w:t>
            </w:r>
          </w:p>
        </w:tc>
        <w:tc>
          <w:tcPr>
            <w:tcW w:w="803" w:type="dxa"/>
            <w:tcBorders>
              <w:top w:val="single" w:color="000000" w:sz="6" w:space="0"/>
            </w:tcBorders>
            <w:vAlign w:val="top"/>
          </w:tcPr>
          <w:p w14:paraId="5AB36667">
            <w:pPr>
              <w:pStyle w:val="17"/>
              <w:spacing w:before="162"/>
              <w:ind w:left="86" w:right="88" w:firstLine="106"/>
              <w:rPr>
                <w:color w:val="auto"/>
                <w:sz w:val="21"/>
                <w:szCs w:val="21"/>
                <w:highlight w:val="none"/>
              </w:rPr>
            </w:pPr>
            <w:r>
              <w:rPr>
                <w:color w:val="auto"/>
                <w:spacing w:val="-5"/>
                <w:sz w:val="21"/>
                <w:szCs w:val="21"/>
                <w:highlight w:val="none"/>
              </w:rPr>
              <w:t>工程</w:t>
            </w:r>
            <w:r>
              <w:rPr>
                <w:color w:val="auto"/>
                <w:spacing w:val="-3"/>
                <w:sz w:val="21"/>
                <w:szCs w:val="21"/>
                <w:highlight w:val="none"/>
              </w:rPr>
              <w:t>预付款</w:t>
            </w:r>
          </w:p>
        </w:tc>
        <w:tc>
          <w:tcPr>
            <w:tcW w:w="1076" w:type="dxa"/>
            <w:tcBorders>
              <w:top w:val="single" w:color="000000" w:sz="6" w:space="0"/>
            </w:tcBorders>
            <w:vAlign w:val="top"/>
          </w:tcPr>
          <w:p w14:paraId="28623D16">
            <w:pPr>
              <w:pStyle w:val="17"/>
              <w:spacing w:before="162"/>
              <w:ind w:left="224" w:right="115" w:hanging="101"/>
              <w:rPr>
                <w:color w:val="auto"/>
                <w:sz w:val="21"/>
                <w:szCs w:val="21"/>
                <w:highlight w:val="none"/>
              </w:rPr>
            </w:pPr>
            <w:r>
              <w:rPr>
                <w:color w:val="auto"/>
                <w:spacing w:val="-2"/>
                <w:sz w:val="21"/>
                <w:szCs w:val="21"/>
                <w:highlight w:val="none"/>
              </w:rPr>
              <w:t>完成工作量付款</w:t>
            </w:r>
          </w:p>
        </w:tc>
        <w:tc>
          <w:tcPr>
            <w:tcW w:w="1181" w:type="dxa"/>
            <w:tcBorders>
              <w:top w:val="single" w:color="000000" w:sz="6" w:space="0"/>
            </w:tcBorders>
            <w:vAlign w:val="top"/>
          </w:tcPr>
          <w:p w14:paraId="05F73DC1">
            <w:pPr>
              <w:pStyle w:val="17"/>
              <w:spacing w:before="160" w:line="241" w:lineRule="auto"/>
              <w:ind w:left="388" w:right="62" w:hanging="319"/>
              <w:rPr>
                <w:color w:val="auto"/>
                <w:sz w:val="21"/>
                <w:szCs w:val="21"/>
                <w:highlight w:val="none"/>
              </w:rPr>
            </w:pPr>
            <w:r>
              <w:rPr>
                <w:color w:val="auto"/>
                <w:spacing w:val="-2"/>
                <w:sz w:val="21"/>
                <w:szCs w:val="21"/>
                <w:highlight w:val="none"/>
              </w:rPr>
              <w:t>质量保证金</w:t>
            </w:r>
            <w:r>
              <w:rPr>
                <w:color w:val="auto"/>
                <w:spacing w:val="-3"/>
                <w:sz w:val="21"/>
                <w:szCs w:val="21"/>
                <w:highlight w:val="none"/>
              </w:rPr>
              <w:t>扣留</w:t>
            </w:r>
          </w:p>
        </w:tc>
        <w:tc>
          <w:tcPr>
            <w:tcW w:w="884" w:type="dxa"/>
            <w:tcBorders>
              <w:top w:val="single" w:color="000000" w:sz="6" w:space="0"/>
            </w:tcBorders>
            <w:vAlign w:val="top"/>
          </w:tcPr>
          <w:p w14:paraId="00F85296">
            <w:pPr>
              <w:pStyle w:val="17"/>
              <w:spacing w:before="162"/>
              <w:ind w:left="238" w:right="122" w:hanging="108"/>
              <w:rPr>
                <w:color w:val="auto"/>
                <w:sz w:val="21"/>
                <w:szCs w:val="21"/>
                <w:highlight w:val="none"/>
              </w:rPr>
            </w:pPr>
            <w:r>
              <w:rPr>
                <w:color w:val="auto"/>
                <w:spacing w:val="-2"/>
                <w:sz w:val="21"/>
                <w:szCs w:val="21"/>
                <w:highlight w:val="none"/>
              </w:rPr>
              <w:t>材料款</w:t>
            </w:r>
            <w:r>
              <w:rPr>
                <w:color w:val="auto"/>
                <w:spacing w:val="-3"/>
                <w:sz w:val="21"/>
                <w:szCs w:val="21"/>
                <w:highlight w:val="none"/>
              </w:rPr>
              <w:t>扣除</w:t>
            </w:r>
          </w:p>
        </w:tc>
        <w:tc>
          <w:tcPr>
            <w:tcW w:w="882" w:type="dxa"/>
            <w:tcBorders>
              <w:top w:val="single" w:color="000000" w:sz="6" w:space="0"/>
            </w:tcBorders>
            <w:vAlign w:val="top"/>
          </w:tcPr>
          <w:p w14:paraId="09DD3898">
            <w:pPr>
              <w:pStyle w:val="17"/>
              <w:spacing w:before="160" w:line="241" w:lineRule="auto"/>
              <w:ind w:left="241" w:right="119" w:hanging="107"/>
              <w:rPr>
                <w:color w:val="auto"/>
                <w:sz w:val="21"/>
                <w:szCs w:val="21"/>
                <w:highlight w:val="none"/>
              </w:rPr>
            </w:pPr>
            <w:r>
              <w:rPr>
                <w:color w:val="auto"/>
                <w:spacing w:val="-3"/>
                <w:sz w:val="21"/>
                <w:szCs w:val="21"/>
                <w:highlight w:val="none"/>
              </w:rPr>
              <w:t>预付款扣还</w:t>
            </w:r>
          </w:p>
        </w:tc>
        <w:tc>
          <w:tcPr>
            <w:tcW w:w="767" w:type="dxa"/>
            <w:tcBorders>
              <w:top w:val="single" w:color="000000" w:sz="6" w:space="0"/>
            </w:tcBorders>
            <w:vAlign w:val="top"/>
          </w:tcPr>
          <w:p w14:paraId="7221C59D">
            <w:pPr>
              <w:pStyle w:val="17"/>
              <w:spacing w:before="295" w:line="221" w:lineRule="auto"/>
              <w:ind w:left="182"/>
              <w:rPr>
                <w:color w:val="auto"/>
                <w:sz w:val="21"/>
                <w:szCs w:val="21"/>
                <w:highlight w:val="none"/>
              </w:rPr>
            </w:pPr>
            <w:r>
              <w:rPr>
                <w:color w:val="auto"/>
                <w:spacing w:val="-4"/>
                <w:sz w:val="21"/>
                <w:szCs w:val="21"/>
                <w:highlight w:val="none"/>
              </w:rPr>
              <w:t>其他</w:t>
            </w:r>
          </w:p>
        </w:tc>
        <w:tc>
          <w:tcPr>
            <w:tcW w:w="1037" w:type="dxa"/>
            <w:tcBorders>
              <w:top w:val="single" w:color="000000" w:sz="6" w:space="0"/>
            </w:tcBorders>
            <w:vAlign w:val="top"/>
          </w:tcPr>
          <w:p w14:paraId="1724F9BC">
            <w:pPr>
              <w:pStyle w:val="17"/>
              <w:spacing w:before="295" w:line="221" w:lineRule="auto"/>
              <w:ind w:left="211"/>
              <w:rPr>
                <w:color w:val="auto"/>
                <w:sz w:val="21"/>
                <w:szCs w:val="21"/>
                <w:highlight w:val="none"/>
              </w:rPr>
            </w:pPr>
            <w:r>
              <w:rPr>
                <w:color w:val="auto"/>
                <w:spacing w:val="-2"/>
                <w:sz w:val="21"/>
                <w:szCs w:val="21"/>
                <w:highlight w:val="none"/>
              </w:rPr>
              <w:t>应收款</w:t>
            </w:r>
          </w:p>
        </w:tc>
        <w:tc>
          <w:tcPr>
            <w:tcW w:w="965" w:type="dxa"/>
            <w:tcBorders>
              <w:top w:val="single" w:color="000000" w:sz="6" w:space="0"/>
              <w:right w:val="single" w:color="000000" w:sz="6" w:space="0"/>
            </w:tcBorders>
            <w:vAlign w:val="top"/>
          </w:tcPr>
          <w:p w14:paraId="7DE8D496">
            <w:pPr>
              <w:pStyle w:val="17"/>
              <w:spacing w:before="162"/>
              <w:ind w:left="175" w:right="154" w:firstLine="113"/>
              <w:rPr>
                <w:color w:val="auto"/>
                <w:sz w:val="21"/>
                <w:szCs w:val="21"/>
                <w:highlight w:val="none"/>
              </w:rPr>
            </w:pPr>
            <w:r>
              <w:rPr>
                <w:color w:val="auto"/>
                <w:spacing w:val="-8"/>
                <w:sz w:val="21"/>
                <w:szCs w:val="21"/>
                <w:highlight w:val="none"/>
              </w:rPr>
              <w:t>累计</w:t>
            </w:r>
            <w:r>
              <w:rPr>
                <w:color w:val="auto"/>
                <w:spacing w:val="-2"/>
                <w:sz w:val="21"/>
                <w:szCs w:val="21"/>
                <w:highlight w:val="none"/>
              </w:rPr>
              <w:t>应收款</w:t>
            </w:r>
          </w:p>
        </w:tc>
      </w:tr>
      <w:tr w14:paraId="408CA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14" w:type="dxa"/>
            <w:tcBorders>
              <w:left w:val="single" w:color="000000" w:sz="6" w:space="0"/>
            </w:tcBorders>
            <w:vAlign w:val="top"/>
          </w:tcPr>
          <w:p w14:paraId="38A74023">
            <w:pPr>
              <w:rPr>
                <w:rFonts w:ascii="Arial"/>
                <w:color w:val="auto"/>
                <w:sz w:val="21"/>
                <w:highlight w:val="none"/>
              </w:rPr>
            </w:pPr>
          </w:p>
        </w:tc>
        <w:tc>
          <w:tcPr>
            <w:tcW w:w="594" w:type="dxa"/>
            <w:vAlign w:val="top"/>
          </w:tcPr>
          <w:p w14:paraId="129039EA">
            <w:pPr>
              <w:rPr>
                <w:rFonts w:ascii="Arial"/>
                <w:color w:val="auto"/>
                <w:sz w:val="21"/>
                <w:highlight w:val="none"/>
              </w:rPr>
            </w:pPr>
          </w:p>
        </w:tc>
        <w:tc>
          <w:tcPr>
            <w:tcW w:w="803" w:type="dxa"/>
            <w:vAlign w:val="top"/>
          </w:tcPr>
          <w:p w14:paraId="308506B9">
            <w:pPr>
              <w:rPr>
                <w:rFonts w:ascii="Arial"/>
                <w:color w:val="auto"/>
                <w:sz w:val="21"/>
                <w:highlight w:val="none"/>
              </w:rPr>
            </w:pPr>
          </w:p>
        </w:tc>
        <w:tc>
          <w:tcPr>
            <w:tcW w:w="1076" w:type="dxa"/>
            <w:vAlign w:val="top"/>
          </w:tcPr>
          <w:p w14:paraId="6AC4888D">
            <w:pPr>
              <w:rPr>
                <w:rFonts w:ascii="Arial"/>
                <w:color w:val="auto"/>
                <w:sz w:val="21"/>
                <w:highlight w:val="none"/>
              </w:rPr>
            </w:pPr>
          </w:p>
        </w:tc>
        <w:tc>
          <w:tcPr>
            <w:tcW w:w="1181" w:type="dxa"/>
            <w:vAlign w:val="top"/>
          </w:tcPr>
          <w:p w14:paraId="35D3D6BF">
            <w:pPr>
              <w:rPr>
                <w:rFonts w:ascii="Arial"/>
                <w:color w:val="auto"/>
                <w:sz w:val="21"/>
                <w:highlight w:val="none"/>
              </w:rPr>
            </w:pPr>
          </w:p>
        </w:tc>
        <w:tc>
          <w:tcPr>
            <w:tcW w:w="884" w:type="dxa"/>
            <w:vAlign w:val="top"/>
          </w:tcPr>
          <w:p w14:paraId="2A4245DD">
            <w:pPr>
              <w:rPr>
                <w:rFonts w:ascii="Arial"/>
                <w:color w:val="auto"/>
                <w:sz w:val="21"/>
                <w:highlight w:val="none"/>
              </w:rPr>
            </w:pPr>
          </w:p>
        </w:tc>
        <w:tc>
          <w:tcPr>
            <w:tcW w:w="882" w:type="dxa"/>
            <w:vAlign w:val="top"/>
          </w:tcPr>
          <w:p w14:paraId="5535B025">
            <w:pPr>
              <w:rPr>
                <w:rFonts w:ascii="Arial"/>
                <w:color w:val="auto"/>
                <w:sz w:val="21"/>
                <w:highlight w:val="none"/>
              </w:rPr>
            </w:pPr>
          </w:p>
        </w:tc>
        <w:tc>
          <w:tcPr>
            <w:tcW w:w="767" w:type="dxa"/>
            <w:vAlign w:val="top"/>
          </w:tcPr>
          <w:p w14:paraId="218DBEC5">
            <w:pPr>
              <w:rPr>
                <w:rFonts w:ascii="Arial"/>
                <w:color w:val="auto"/>
                <w:sz w:val="21"/>
                <w:highlight w:val="none"/>
              </w:rPr>
            </w:pPr>
          </w:p>
        </w:tc>
        <w:tc>
          <w:tcPr>
            <w:tcW w:w="1037" w:type="dxa"/>
            <w:vAlign w:val="top"/>
          </w:tcPr>
          <w:p w14:paraId="1558CADA">
            <w:pPr>
              <w:rPr>
                <w:rFonts w:ascii="Arial"/>
                <w:color w:val="auto"/>
                <w:sz w:val="21"/>
                <w:highlight w:val="none"/>
              </w:rPr>
            </w:pPr>
          </w:p>
        </w:tc>
        <w:tc>
          <w:tcPr>
            <w:tcW w:w="965" w:type="dxa"/>
            <w:tcBorders>
              <w:right w:val="single" w:color="000000" w:sz="6" w:space="0"/>
            </w:tcBorders>
            <w:vAlign w:val="top"/>
          </w:tcPr>
          <w:p w14:paraId="06D27EE7">
            <w:pPr>
              <w:rPr>
                <w:rFonts w:ascii="Arial"/>
                <w:color w:val="auto"/>
                <w:sz w:val="21"/>
                <w:highlight w:val="none"/>
              </w:rPr>
            </w:pPr>
          </w:p>
        </w:tc>
      </w:tr>
      <w:tr w14:paraId="21E33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14" w:type="dxa"/>
            <w:tcBorders>
              <w:left w:val="single" w:color="000000" w:sz="6" w:space="0"/>
            </w:tcBorders>
            <w:vAlign w:val="top"/>
          </w:tcPr>
          <w:p w14:paraId="08C27FB1">
            <w:pPr>
              <w:rPr>
                <w:rFonts w:ascii="Arial"/>
                <w:color w:val="auto"/>
                <w:sz w:val="21"/>
                <w:highlight w:val="none"/>
              </w:rPr>
            </w:pPr>
          </w:p>
        </w:tc>
        <w:tc>
          <w:tcPr>
            <w:tcW w:w="594" w:type="dxa"/>
            <w:vAlign w:val="top"/>
          </w:tcPr>
          <w:p w14:paraId="2A6F8BB5">
            <w:pPr>
              <w:rPr>
                <w:rFonts w:ascii="Arial"/>
                <w:color w:val="auto"/>
                <w:sz w:val="21"/>
                <w:highlight w:val="none"/>
              </w:rPr>
            </w:pPr>
          </w:p>
        </w:tc>
        <w:tc>
          <w:tcPr>
            <w:tcW w:w="803" w:type="dxa"/>
            <w:vAlign w:val="top"/>
          </w:tcPr>
          <w:p w14:paraId="24D342D8">
            <w:pPr>
              <w:rPr>
                <w:rFonts w:ascii="Arial"/>
                <w:color w:val="auto"/>
                <w:sz w:val="21"/>
                <w:highlight w:val="none"/>
              </w:rPr>
            </w:pPr>
          </w:p>
        </w:tc>
        <w:tc>
          <w:tcPr>
            <w:tcW w:w="1076" w:type="dxa"/>
            <w:vAlign w:val="top"/>
          </w:tcPr>
          <w:p w14:paraId="69CFE61B">
            <w:pPr>
              <w:rPr>
                <w:rFonts w:ascii="Arial"/>
                <w:color w:val="auto"/>
                <w:sz w:val="21"/>
                <w:highlight w:val="none"/>
              </w:rPr>
            </w:pPr>
          </w:p>
        </w:tc>
        <w:tc>
          <w:tcPr>
            <w:tcW w:w="1181" w:type="dxa"/>
            <w:vAlign w:val="top"/>
          </w:tcPr>
          <w:p w14:paraId="6ED94C3A">
            <w:pPr>
              <w:rPr>
                <w:rFonts w:ascii="Arial"/>
                <w:color w:val="auto"/>
                <w:sz w:val="21"/>
                <w:highlight w:val="none"/>
              </w:rPr>
            </w:pPr>
          </w:p>
        </w:tc>
        <w:tc>
          <w:tcPr>
            <w:tcW w:w="884" w:type="dxa"/>
            <w:vAlign w:val="top"/>
          </w:tcPr>
          <w:p w14:paraId="7EDE664E">
            <w:pPr>
              <w:rPr>
                <w:rFonts w:ascii="Arial"/>
                <w:color w:val="auto"/>
                <w:sz w:val="21"/>
                <w:highlight w:val="none"/>
              </w:rPr>
            </w:pPr>
          </w:p>
        </w:tc>
        <w:tc>
          <w:tcPr>
            <w:tcW w:w="882" w:type="dxa"/>
            <w:vAlign w:val="top"/>
          </w:tcPr>
          <w:p w14:paraId="0026D0B5">
            <w:pPr>
              <w:rPr>
                <w:rFonts w:ascii="Arial"/>
                <w:color w:val="auto"/>
                <w:sz w:val="21"/>
                <w:highlight w:val="none"/>
              </w:rPr>
            </w:pPr>
          </w:p>
        </w:tc>
        <w:tc>
          <w:tcPr>
            <w:tcW w:w="767" w:type="dxa"/>
            <w:vAlign w:val="top"/>
          </w:tcPr>
          <w:p w14:paraId="22E15AA4">
            <w:pPr>
              <w:rPr>
                <w:rFonts w:ascii="Arial"/>
                <w:color w:val="auto"/>
                <w:sz w:val="21"/>
                <w:highlight w:val="none"/>
              </w:rPr>
            </w:pPr>
          </w:p>
        </w:tc>
        <w:tc>
          <w:tcPr>
            <w:tcW w:w="1037" w:type="dxa"/>
            <w:vAlign w:val="top"/>
          </w:tcPr>
          <w:p w14:paraId="1CA647DE">
            <w:pPr>
              <w:rPr>
                <w:rFonts w:ascii="Arial"/>
                <w:color w:val="auto"/>
                <w:sz w:val="21"/>
                <w:highlight w:val="none"/>
              </w:rPr>
            </w:pPr>
          </w:p>
        </w:tc>
        <w:tc>
          <w:tcPr>
            <w:tcW w:w="965" w:type="dxa"/>
            <w:tcBorders>
              <w:right w:val="single" w:color="000000" w:sz="6" w:space="0"/>
            </w:tcBorders>
            <w:vAlign w:val="top"/>
          </w:tcPr>
          <w:p w14:paraId="4AEB6E4A">
            <w:pPr>
              <w:rPr>
                <w:rFonts w:ascii="Arial"/>
                <w:color w:val="auto"/>
                <w:sz w:val="21"/>
                <w:highlight w:val="none"/>
              </w:rPr>
            </w:pPr>
          </w:p>
        </w:tc>
      </w:tr>
      <w:tr w14:paraId="192F0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14" w:type="dxa"/>
            <w:tcBorders>
              <w:left w:val="single" w:color="000000" w:sz="6" w:space="0"/>
              <w:bottom w:val="single" w:color="000000" w:sz="6" w:space="0"/>
            </w:tcBorders>
            <w:vAlign w:val="top"/>
          </w:tcPr>
          <w:p w14:paraId="03ADE5DD">
            <w:pPr>
              <w:rPr>
                <w:rFonts w:ascii="Arial"/>
                <w:color w:val="auto"/>
                <w:sz w:val="21"/>
                <w:highlight w:val="none"/>
              </w:rPr>
            </w:pPr>
          </w:p>
        </w:tc>
        <w:tc>
          <w:tcPr>
            <w:tcW w:w="594" w:type="dxa"/>
            <w:tcBorders>
              <w:bottom w:val="single" w:color="000000" w:sz="6" w:space="0"/>
            </w:tcBorders>
            <w:vAlign w:val="top"/>
          </w:tcPr>
          <w:p w14:paraId="6BAC8E54">
            <w:pPr>
              <w:rPr>
                <w:rFonts w:ascii="Arial"/>
                <w:color w:val="auto"/>
                <w:sz w:val="21"/>
                <w:highlight w:val="none"/>
              </w:rPr>
            </w:pPr>
          </w:p>
        </w:tc>
        <w:tc>
          <w:tcPr>
            <w:tcW w:w="803" w:type="dxa"/>
            <w:tcBorders>
              <w:bottom w:val="single" w:color="000000" w:sz="6" w:space="0"/>
            </w:tcBorders>
            <w:vAlign w:val="top"/>
          </w:tcPr>
          <w:p w14:paraId="7447C7E2">
            <w:pPr>
              <w:rPr>
                <w:rFonts w:ascii="Arial"/>
                <w:color w:val="auto"/>
                <w:sz w:val="21"/>
                <w:highlight w:val="none"/>
              </w:rPr>
            </w:pPr>
          </w:p>
        </w:tc>
        <w:tc>
          <w:tcPr>
            <w:tcW w:w="1076" w:type="dxa"/>
            <w:tcBorders>
              <w:bottom w:val="single" w:color="000000" w:sz="6" w:space="0"/>
            </w:tcBorders>
            <w:vAlign w:val="top"/>
          </w:tcPr>
          <w:p w14:paraId="4A75D614">
            <w:pPr>
              <w:rPr>
                <w:rFonts w:ascii="Arial"/>
                <w:color w:val="auto"/>
                <w:sz w:val="21"/>
                <w:highlight w:val="none"/>
              </w:rPr>
            </w:pPr>
          </w:p>
        </w:tc>
        <w:tc>
          <w:tcPr>
            <w:tcW w:w="1181" w:type="dxa"/>
            <w:tcBorders>
              <w:bottom w:val="single" w:color="000000" w:sz="6" w:space="0"/>
            </w:tcBorders>
            <w:vAlign w:val="top"/>
          </w:tcPr>
          <w:p w14:paraId="46094E06">
            <w:pPr>
              <w:rPr>
                <w:rFonts w:ascii="Arial"/>
                <w:color w:val="auto"/>
                <w:sz w:val="21"/>
                <w:highlight w:val="none"/>
              </w:rPr>
            </w:pPr>
          </w:p>
        </w:tc>
        <w:tc>
          <w:tcPr>
            <w:tcW w:w="884" w:type="dxa"/>
            <w:tcBorders>
              <w:bottom w:val="single" w:color="000000" w:sz="6" w:space="0"/>
            </w:tcBorders>
            <w:vAlign w:val="top"/>
          </w:tcPr>
          <w:p w14:paraId="69CB1451">
            <w:pPr>
              <w:rPr>
                <w:rFonts w:ascii="Arial"/>
                <w:color w:val="auto"/>
                <w:sz w:val="21"/>
                <w:highlight w:val="none"/>
              </w:rPr>
            </w:pPr>
          </w:p>
        </w:tc>
        <w:tc>
          <w:tcPr>
            <w:tcW w:w="882" w:type="dxa"/>
            <w:tcBorders>
              <w:bottom w:val="single" w:color="000000" w:sz="6" w:space="0"/>
            </w:tcBorders>
            <w:vAlign w:val="top"/>
          </w:tcPr>
          <w:p w14:paraId="0AAB19C2">
            <w:pPr>
              <w:rPr>
                <w:rFonts w:ascii="Arial"/>
                <w:color w:val="auto"/>
                <w:sz w:val="21"/>
                <w:highlight w:val="none"/>
              </w:rPr>
            </w:pPr>
          </w:p>
        </w:tc>
        <w:tc>
          <w:tcPr>
            <w:tcW w:w="767" w:type="dxa"/>
            <w:tcBorders>
              <w:bottom w:val="single" w:color="000000" w:sz="6" w:space="0"/>
            </w:tcBorders>
            <w:vAlign w:val="top"/>
          </w:tcPr>
          <w:p w14:paraId="22846FE6">
            <w:pPr>
              <w:rPr>
                <w:rFonts w:ascii="Arial"/>
                <w:color w:val="auto"/>
                <w:sz w:val="21"/>
                <w:highlight w:val="none"/>
              </w:rPr>
            </w:pPr>
          </w:p>
        </w:tc>
        <w:tc>
          <w:tcPr>
            <w:tcW w:w="1037" w:type="dxa"/>
            <w:tcBorders>
              <w:bottom w:val="single" w:color="000000" w:sz="6" w:space="0"/>
            </w:tcBorders>
            <w:vAlign w:val="top"/>
          </w:tcPr>
          <w:p w14:paraId="2FCDE0F9">
            <w:pPr>
              <w:rPr>
                <w:rFonts w:ascii="Arial"/>
                <w:color w:val="auto"/>
                <w:sz w:val="21"/>
                <w:highlight w:val="none"/>
              </w:rPr>
            </w:pPr>
          </w:p>
        </w:tc>
        <w:tc>
          <w:tcPr>
            <w:tcW w:w="965" w:type="dxa"/>
            <w:tcBorders>
              <w:bottom w:val="single" w:color="000000" w:sz="6" w:space="0"/>
              <w:right w:val="single" w:color="000000" w:sz="6" w:space="0"/>
            </w:tcBorders>
            <w:vAlign w:val="top"/>
          </w:tcPr>
          <w:p w14:paraId="70B2AF71">
            <w:pPr>
              <w:rPr>
                <w:rFonts w:ascii="Arial"/>
                <w:color w:val="auto"/>
                <w:sz w:val="21"/>
                <w:highlight w:val="none"/>
              </w:rPr>
            </w:pPr>
          </w:p>
        </w:tc>
      </w:tr>
    </w:tbl>
    <w:p w14:paraId="1C113100">
      <w:pPr>
        <w:pStyle w:val="3"/>
        <w:spacing w:line="241" w:lineRule="auto"/>
        <w:rPr>
          <w:color w:val="auto"/>
          <w:highlight w:val="none"/>
        </w:rPr>
      </w:pPr>
    </w:p>
    <w:p w14:paraId="4F23D0D7">
      <w:pPr>
        <w:pStyle w:val="3"/>
        <w:spacing w:line="242" w:lineRule="auto"/>
        <w:rPr>
          <w:color w:val="auto"/>
          <w:highlight w:val="none"/>
        </w:rPr>
      </w:pPr>
    </w:p>
    <w:p w14:paraId="10901720">
      <w:pPr>
        <w:spacing w:before="91" w:line="220" w:lineRule="auto"/>
        <w:ind w:left="10"/>
        <w:outlineLvl w:val="0"/>
        <w:rPr>
          <w:rFonts w:ascii="宋体" w:hAnsi="宋体" w:eastAsia="宋体" w:cs="宋体"/>
          <w:color w:val="auto"/>
          <w:sz w:val="28"/>
          <w:szCs w:val="28"/>
          <w:highlight w:val="none"/>
        </w:rPr>
      </w:pPr>
      <w:bookmarkStart w:id="496" w:name="bookmark221"/>
      <w:bookmarkEnd w:id="496"/>
      <w:bookmarkStart w:id="497" w:name="bookmark220"/>
      <w:bookmarkEnd w:id="497"/>
      <w:bookmarkStart w:id="498" w:name="_Toc28137"/>
      <w:bookmarkStart w:id="499" w:name="_Toc6986"/>
      <w:r>
        <w:rPr>
          <w:rFonts w:ascii="Times New Roman" w:hAnsi="Times New Roman" w:eastAsia="Times New Roman" w:cs="Times New Roman"/>
          <w:b/>
          <w:bCs/>
          <w:color w:val="auto"/>
          <w:spacing w:val="-3"/>
          <w:sz w:val="28"/>
          <w:szCs w:val="28"/>
          <w:highlight w:val="none"/>
        </w:rPr>
        <w:t>11</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开工和完工</w:t>
      </w:r>
      <w:bookmarkEnd w:id="498"/>
      <w:bookmarkEnd w:id="499"/>
    </w:p>
    <w:p w14:paraId="6FBF483A">
      <w:pPr>
        <w:pStyle w:val="3"/>
        <w:spacing w:line="245" w:lineRule="auto"/>
        <w:rPr>
          <w:color w:val="auto"/>
          <w:highlight w:val="none"/>
        </w:rPr>
      </w:pPr>
    </w:p>
    <w:p w14:paraId="25777A7B">
      <w:pPr>
        <w:spacing w:before="79" w:line="221" w:lineRule="auto"/>
        <w:ind w:left="7"/>
        <w:outlineLvl w:val="1"/>
        <w:rPr>
          <w:rFonts w:ascii="宋体" w:hAnsi="宋体" w:eastAsia="宋体" w:cs="宋体"/>
          <w:color w:val="auto"/>
          <w:sz w:val="24"/>
          <w:szCs w:val="24"/>
          <w:highlight w:val="none"/>
        </w:rPr>
      </w:pPr>
      <w:bookmarkStart w:id="500" w:name="bookmark697"/>
      <w:bookmarkEnd w:id="500"/>
      <w:bookmarkStart w:id="501" w:name="_Toc3964"/>
      <w:bookmarkStart w:id="502" w:name="_Toc31149"/>
      <w:r>
        <w:rPr>
          <w:rFonts w:ascii="Times New Roman" w:hAnsi="Times New Roman" w:eastAsia="Times New Roman" w:cs="Times New Roman"/>
          <w:b/>
          <w:bCs/>
          <w:color w:val="auto"/>
          <w:spacing w:val="-5"/>
          <w:sz w:val="24"/>
          <w:szCs w:val="24"/>
          <w:highlight w:val="none"/>
        </w:rPr>
        <w:t>11.1</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5"/>
          <w:sz w:val="24"/>
          <w:szCs w:val="24"/>
          <w:highlight w:val="none"/>
        </w:rPr>
        <w:t>开工</w:t>
      </w:r>
      <w:bookmarkEnd w:id="501"/>
      <w:bookmarkEnd w:id="502"/>
    </w:p>
    <w:p w14:paraId="619D6C59">
      <w:pPr>
        <w:spacing w:before="178" w:line="313" w:lineRule="auto"/>
        <w:ind w:right="237"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11.1.1  </w:t>
      </w:r>
      <w:r>
        <w:rPr>
          <w:rFonts w:ascii="宋体" w:hAnsi="宋体" w:eastAsia="宋体" w:cs="宋体"/>
          <w:color w:val="auto"/>
          <w:spacing w:val="-3"/>
          <w:sz w:val="24"/>
          <w:szCs w:val="24"/>
          <w:highlight w:val="none"/>
        </w:rPr>
        <w:t>监理人应在开工日期</w:t>
      </w:r>
      <w:r>
        <w:rPr>
          <w:rFonts w:ascii="Times New Roman" w:hAnsi="Times New Roman" w:eastAsia="Times New Roman" w:cs="Times New Roman"/>
          <w:color w:val="auto"/>
          <w:spacing w:val="-3"/>
          <w:sz w:val="24"/>
          <w:szCs w:val="24"/>
          <w:highlight w:val="none"/>
        </w:rPr>
        <w:t xml:space="preserve">7  </w:t>
      </w:r>
      <w:r>
        <w:rPr>
          <w:rFonts w:ascii="宋体" w:hAnsi="宋体" w:eastAsia="宋体" w:cs="宋体"/>
          <w:color w:val="auto"/>
          <w:spacing w:val="-3"/>
          <w:sz w:val="24"/>
          <w:szCs w:val="24"/>
          <w:highlight w:val="none"/>
        </w:rPr>
        <w:t>天前向承包人发出开工通知。监理人在发出开工通知前应获得发包人同意。工期自监理人发出的开工通知中载明的开工日期起计算。承包人应在开工日期后尽快施工。</w:t>
      </w:r>
    </w:p>
    <w:p w14:paraId="773187E6">
      <w:pPr>
        <w:spacing w:before="183" w:line="312" w:lineRule="auto"/>
        <w:ind w:left="2" w:right="51"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11.1.2  </w:t>
      </w:r>
      <w:r>
        <w:rPr>
          <w:rFonts w:ascii="宋体" w:hAnsi="宋体" w:eastAsia="宋体" w:cs="宋体"/>
          <w:color w:val="auto"/>
          <w:spacing w:val="-2"/>
          <w:sz w:val="24"/>
          <w:szCs w:val="24"/>
          <w:highlight w:val="none"/>
        </w:rPr>
        <w:t>承包人应按第</w:t>
      </w:r>
      <w:r>
        <w:rPr>
          <w:rFonts w:ascii="Times New Roman" w:hAnsi="Times New Roman" w:eastAsia="Times New Roman" w:cs="Times New Roman"/>
          <w:color w:val="auto"/>
          <w:spacing w:val="-2"/>
          <w:sz w:val="24"/>
          <w:szCs w:val="24"/>
          <w:highlight w:val="none"/>
        </w:rPr>
        <w:t>10.1</w:t>
      </w:r>
      <w:r>
        <w:rPr>
          <w:rFonts w:ascii="宋体" w:hAnsi="宋体" w:eastAsia="宋体" w:cs="宋体"/>
          <w:color w:val="auto"/>
          <w:spacing w:val="-2"/>
          <w:sz w:val="24"/>
          <w:szCs w:val="24"/>
          <w:highlight w:val="none"/>
        </w:rPr>
        <w:t>款约定的合同进</w:t>
      </w:r>
      <w:r>
        <w:rPr>
          <w:rFonts w:ascii="宋体" w:hAnsi="宋体" w:eastAsia="宋体" w:cs="宋体"/>
          <w:color w:val="auto"/>
          <w:spacing w:val="-3"/>
          <w:sz w:val="24"/>
          <w:szCs w:val="24"/>
          <w:highlight w:val="none"/>
        </w:rPr>
        <w:t>度计划，向监理人提交工程开工报审表，经监理人审批后执行。开工报审表应详细说明按合同进度计划正常施工所需的施工道</w:t>
      </w:r>
      <w:r>
        <w:rPr>
          <w:rFonts w:ascii="宋体" w:hAnsi="宋体" w:eastAsia="宋体" w:cs="宋体"/>
          <w:color w:val="auto"/>
          <w:spacing w:val="-10"/>
          <w:sz w:val="24"/>
          <w:szCs w:val="24"/>
          <w:highlight w:val="none"/>
        </w:rPr>
        <w:t>路、临时设施、材料设备、施工人员等施工组织措施的落实情况以及工程的进度安排。</w:t>
      </w:r>
    </w:p>
    <w:p w14:paraId="39252DDD">
      <w:pPr>
        <w:spacing w:before="180" w:line="313" w:lineRule="auto"/>
        <w:ind w:left="1" w:right="237"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11.1.3  </w:t>
      </w:r>
      <w:r>
        <w:rPr>
          <w:rFonts w:ascii="宋体" w:hAnsi="宋体" w:eastAsia="宋体" w:cs="宋体"/>
          <w:color w:val="auto"/>
          <w:spacing w:val="-3"/>
          <w:sz w:val="24"/>
          <w:szCs w:val="24"/>
          <w:highlight w:val="none"/>
        </w:rPr>
        <w:t>若发包人未能按合同约定向承包人提供开工的必要条件，承包人有权要求</w:t>
      </w:r>
      <w:r>
        <w:rPr>
          <w:rFonts w:ascii="宋体" w:hAnsi="宋体" w:eastAsia="宋体" w:cs="宋体"/>
          <w:color w:val="auto"/>
          <w:spacing w:val="-6"/>
          <w:sz w:val="24"/>
          <w:szCs w:val="24"/>
          <w:highlight w:val="none"/>
        </w:rPr>
        <w:t>延长工期。监理人应在收到承包人的书面要求后，</w:t>
      </w:r>
      <w:r>
        <w:rPr>
          <w:rFonts w:ascii="宋体" w:hAnsi="宋体" w:eastAsia="宋体" w:cs="宋体"/>
          <w:color w:val="auto"/>
          <w:spacing w:val="-49"/>
          <w:sz w:val="24"/>
          <w:szCs w:val="24"/>
          <w:highlight w:val="none"/>
        </w:rPr>
        <w:t xml:space="preserve"> </w:t>
      </w:r>
      <w:r>
        <w:rPr>
          <w:rFonts w:ascii="宋体" w:hAnsi="宋体" w:eastAsia="宋体" w:cs="宋体"/>
          <w:color w:val="auto"/>
          <w:spacing w:val="-6"/>
          <w:sz w:val="24"/>
          <w:szCs w:val="24"/>
          <w:highlight w:val="none"/>
        </w:rPr>
        <w:t>按第</w:t>
      </w:r>
      <w:r>
        <w:rPr>
          <w:rFonts w:ascii="Times New Roman" w:hAnsi="Times New Roman" w:eastAsia="Times New Roman" w:cs="Times New Roman"/>
          <w:color w:val="auto"/>
          <w:spacing w:val="-6"/>
          <w:sz w:val="24"/>
          <w:szCs w:val="24"/>
          <w:highlight w:val="none"/>
        </w:rPr>
        <w:t>3.5</w:t>
      </w:r>
      <w:r>
        <w:rPr>
          <w:rFonts w:ascii="宋体" w:hAnsi="宋体" w:eastAsia="宋体" w:cs="宋体"/>
          <w:color w:val="auto"/>
          <w:spacing w:val="-6"/>
          <w:sz w:val="24"/>
          <w:szCs w:val="24"/>
          <w:highlight w:val="none"/>
        </w:rPr>
        <w:t>款的约定，与合同双方商定</w:t>
      </w:r>
      <w:r>
        <w:rPr>
          <w:rFonts w:ascii="宋体" w:hAnsi="宋体" w:eastAsia="宋体" w:cs="宋体"/>
          <w:color w:val="auto"/>
          <w:spacing w:val="-3"/>
          <w:sz w:val="24"/>
          <w:szCs w:val="24"/>
          <w:highlight w:val="none"/>
        </w:rPr>
        <w:t>或确定增加的费用和延长的工期。</w:t>
      </w:r>
    </w:p>
    <w:p w14:paraId="511D8AF2">
      <w:pPr>
        <w:spacing w:before="181"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11.1.4  </w:t>
      </w:r>
      <w:r>
        <w:rPr>
          <w:rFonts w:ascii="宋体" w:hAnsi="宋体" w:eastAsia="宋体" w:cs="宋体"/>
          <w:color w:val="auto"/>
          <w:spacing w:val="-2"/>
          <w:sz w:val="24"/>
          <w:szCs w:val="24"/>
          <w:highlight w:val="none"/>
        </w:rPr>
        <w:t>承包人在接到开工通知后</w:t>
      </w:r>
      <w:r>
        <w:rPr>
          <w:rFonts w:ascii="Times New Roman" w:hAnsi="Times New Roman" w:eastAsia="Times New Roman" w:cs="Times New Roman"/>
          <w:color w:val="auto"/>
          <w:spacing w:val="-2"/>
          <w:sz w:val="24"/>
          <w:szCs w:val="24"/>
          <w:highlight w:val="none"/>
        </w:rPr>
        <w:t>14</w:t>
      </w:r>
      <w:r>
        <w:rPr>
          <w:rFonts w:ascii="宋体" w:hAnsi="宋体" w:eastAsia="宋体" w:cs="宋体"/>
          <w:color w:val="auto"/>
          <w:spacing w:val="-2"/>
          <w:sz w:val="24"/>
          <w:szCs w:val="24"/>
          <w:highlight w:val="none"/>
        </w:rPr>
        <w:t>天</w:t>
      </w:r>
      <w:r>
        <w:rPr>
          <w:rFonts w:ascii="宋体" w:hAnsi="宋体" w:eastAsia="宋体" w:cs="宋体"/>
          <w:color w:val="auto"/>
          <w:spacing w:val="-3"/>
          <w:sz w:val="24"/>
          <w:szCs w:val="24"/>
          <w:highlight w:val="none"/>
        </w:rPr>
        <w:t>内未按进度计划要求及时进场组织施工，监</w:t>
      </w:r>
    </w:p>
    <w:p w14:paraId="44ADDAAC">
      <w:pPr>
        <w:spacing w:line="220" w:lineRule="auto"/>
        <w:rPr>
          <w:rFonts w:ascii="宋体" w:hAnsi="宋体" w:eastAsia="宋体" w:cs="宋体"/>
          <w:color w:val="auto"/>
          <w:sz w:val="24"/>
          <w:szCs w:val="24"/>
          <w:highlight w:val="none"/>
        </w:rPr>
        <w:sectPr>
          <w:footerReference r:id="rId50" w:type="default"/>
          <w:pgSz w:w="11907" w:h="16841"/>
          <w:pgMar w:top="1428" w:right="1291" w:bottom="1254" w:left="1597" w:header="0" w:footer="1093" w:gutter="0"/>
          <w:pgNumType w:fmt="decimal"/>
          <w:cols w:space="720" w:num="1"/>
        </w:sectPr>
      </w:pPr>
    </w:p>
    <w:p w14:paraId="533B0757">
      <w:pPr>
        <w:spacing w:before="49" w:line="359" w:lineRule="auto"/>
        <w:ind w:left="2" w:right="1"/>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理人可通知承包人在接到通知后</w:t>
      </w:r>
      <w:r>
        <w:rPr>
          <w:rFonts w:ascii="Times New Roman" w:hAnsi="Times New Roman" w:eastAsia="Times New Roman" w:cs="Times New Roman"/>
          <w:color w:val="auto"/>
          <w:sz w:val="24"/>
          <w:szCs w:val="24"/>
          <w:highlight w:val="none"/>
        </w:rPr>
        <w:t>7</w:t>
      </w:r>
      <w:r>
        <w:rPr>
          <w:rFonts w:ascii="宋体" w:hAnsi="宋体" w:eastAsia="宋体" w:cs="宋体"/>
          <w:color w:val="auto"/>
          <w:sz w:val="24"/>
          <w:szCs w:val="24"/>
          <w:highlight w:val="none"/>
        </w:rPr>
        <w:t>天内提交一份说明其进场延误的书面报告，报送监</w:t>
      </w:r>
      <w:r>
        <w:rPr>
          <w:rFonts w:ascii="宋体" w:hAnsi="宋体" w:eastAsia="宋体" w:cs="宋体"/>
          <w:color w:val="auto"/>
          <w:spacing w:val="-6"/>
          <w:sz w:val="24"/>
          <w:szCs w:val="24"/>
          <w:highlight w:val="none"/>
        </w:rPr>
        <w:t>理人。书面报告应说明不能及时进场的原因和补救措施， 由此增加的费用和工期延误</w:t>
      </w:r>
      <w:r>
        <w:rPr>
          <w:rFonts w:ascii="宋体" w:hAnsi="宋体" w:eastAsia="宋体" w:cs="宋体"/>
          <w:color w:val="auto"/>
          <w:spacing w:val="-5"/>
          <w:sz w:val="24"/>
          <w:szCs w:val="24"/>
          <w:highlight w:val="none"/>
        </w:rPr>
        <w:t>责任由承包人承担。</w:t>
      </w:r>
    </w:p>
    <w:p w14:paraId="7E19AFE5">
      <w:pPr>
        <w:spacing w:line="219" w:lineRule="auto"/>
        <w:ind w:left="6"/>
        <w:outlineLvl w:val="1"/>
        <w:rPr>
          <w:rFonts w:ascii="宋体" w:hAnsi="宋体" w:eastAsia="宋体" w:cs="宋体"/>
          <w:color w:val="auto"/>
          <w:sz w:val="24"/>
          <w:szCs w:val="24"/>
          <w:highlight w:val="none"/>
        </w:rPr>
      </w:pPr>
      <w:bookmarkStart w:id="503" w:name="bookmark222"/>
      <w:bookmarkEnd w:id="503"/>
      <w:bookmarkStart w:id="504" w:name="_Toc6569"/>
      <w:bookmarkStart w:id="505" w:name="_Toc1303"/>
      <w:r>
        <w:rPr>
          <w:rFonts w:ascii="Times New Roman" w:hAnsi="Times New Roman" w:eastAsia="Times New Roman" w:cs="Times New Roman"/>
          <w:b/>
          <w:bCs/>
          <w:color w:val="auto"/>
          <w:spacing w:val="-5"/>
          <w:sz w:val="24"/>
          <w:szCs w:val="24"/>
          <w:highlight w:val="none"/>
        </w:rPr>
        <w:t>11.2</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5"/>
          <w:sz w:val="24"/>
          <w:szCs w:val="24"/>
          <w:highlight w:val="none"/>
        </w:rPr>
        <w:t>完工</w:t>
      </w:r>
      <w:bookmarkEnd w:id="504"/>
      <w:bookmarkEnd w:id="505"/>
    </w:p>
    <w:p w14:paraId="4F21911B">
      <w:pPr>
        <w:spacing w:before="180" w:line="359" w:lineRule="auto"/>
        <w:ind w:left="23" w:right="1" w:firstLine="45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承包人应在第</w:t>
      </w:r>
      <w:r>
        <w:rPr>
          <w:color w:val="auto"/>
          <w:highlight w:val="none"/>
        </w:rPr>
        <w:fldChar w:fldCharType="begin"/>
      </w:r>
      <w:r>
        <w:rPr>
          <w:color w:val="auto"/>
          <w:highlight w:val="none"/>
        </w:rPr>
        <w:instrText xml:space="preserve"> HYPERLINK "1.1.4.3" </w:instrText>
      </w:r>
      <w:r>
        <w:rPr>
          <w:color w:val="auto"/>
          <w:highlight w:val="none"/>
        </w:rPr>
        <w:fldChar w:fldCharType="separate"/>
      </w:r>
      <w:r>
        <w:rPr>
          <w:rFonts w:ascii="Times New Roman" w:hAnsi="Times New Roman" w:eastAsia="Times New Roman" w:cs="Times New Roman"/>
          <w:color w:val="auto"/>
          <w:spacing w:val="-3"/>
          <w:sz w:val="24"/>
          <w:szCs w:val="24"/>
          <w:highlight w:val="none"/>
        </w:rPr>
        <w:t>1.1.4.3</w:t>
      </w:r>
      <w:r>
        <w:rPr>
          <w:rFonts w:ascii="Times New Roman" w:hAnsi="Times New Roman" w:eastAsia="Times New Roman" w:cs="Times New Roman"/>
          <w:color w:val="auto"/>
          <w:spacing w:val="-3"/>
          <w:sz w:val="24"/>
          <w:szCs w:val="24"/>
          <w:highlight w:val="none"/>
        </w:rPr>
        <w:fldChar w:fldCharType="end"/>
      </w:r>
      <w:r>
        <w:rPr>
          <w:rFonts w:ascii="Times New Roman" w:hAnsi="Times New Roman" w:eastAsia="Times New Roman" w:cs="Times New Roman"/>
          <w:color w:val="auto"/>
          <w:spacing w:val="-3"/>
          <w:sz w:val="24"/>
          <w:szCs w:val="24"/>
          <w:highlight w:val="none"/>
        </w:rPr>
        <w:t xml:space="preserve"> </w:t>
      </w:r>
      <w:r>
        <w:rPr>
          <w:rFonts w:ascii="宋体" w:hAnsi="宋体" w:eastAsia="宋体" w:cs="宋体"/>
          <w:color w:val="auto"/>
          <w:spacing w:val="-3"/>
          <w:sz w:val="24"/>
          <w:szCs w:val="24"/>
          <w:highlight w:val="none"/>
        </w:rPr>
        <w:t>目约定的期限内完成合同工程。合同工程实际完工日期在合</w:t>
      </w:r>
      <w:r>
        <w:rPr>
          <w:rFonts w:ascii="宋体" w:hAnsi="宋体" w:eastAsia="宋体" w:cs="宋体"/>
          <w:color w:val="auto"/>
          <w:spacing w:val="-6"/>
          <w:sz w:val="24"/>
          <w:szCs w:val="24"/>
          <w:highlight w:val="none"/>
        </w:rPr>
        <w:t>同工程完工证书中明确。</w:t>
      </w:r>
    </w:p>
    <w:p w14:paraId="51103737">
      <w:pPr>
        <w:spacing w:line="220" w:lineRule="auto"/>
        <w:ind w:left="6"/>
        <w:outlineLvl w:val="1"/>
        <w:rPr>
          <w:rFonts w:ascii="宋体" w:hAnsi="宋体" w:eastAsia="宋体" w:cs="宋体"/>
          <w:color w:val="auto"/>
          <w:sz w:val="24"/>
          <w:szCs w:val="24"/>
          <w:highlight w:val="none"/>
        </w:rPr>
      </w:pPr>
      <w:bookmarkStart w:id="506" w:name="bookmark223"/>
      <w:bookmarkEnd w:id="506"/>
      <w:bookmarkStart w:id="507" w:name="_Toc30114"/>
      <w:bookmarkStart w:id="508" w:name="_Toc4748"/>
      <w:r>
        <w:rPr>
          <w:rFonts w:ascii="Times New Roman" w:hAnsi="Times New Roman" w:eastAsia="Times New Roman" w:cs="Times New Roman"/>
          <w:b/>
          <w:bCs/>
          <w:color w:val="auto"/>
          <w:spacing w:val="-3"/>
          <w:sz w:val="24"/>
          <w:szCs w:val="24"/>
          <w:highlight w:val="none"/>
        </w:rPr>
        <w:t xml:space="preserve">11.3  </w:t>
      </w:r>
      <w:r>
        <w:rPr>
          <w:rFonts w:ascii="宋体" w:hAnsi="宋体" w:eastAsia="宋体" w:cs="宋体"/>
          <w:b/>
          <w:bCs/>
          <w:color w:val="auto"/>
          <w:spacing w:val="-3"/>
          <w:sz w:val="24"/>
          <w:szCs w:val="24"/>
          <w:highlight w:val="none"/>
        </w:rPr>
        <w:t>发包人的工期延误</w:t>
      </w:r>
      <w:bookmarkEnd w:id="507"/>
      <w:bookmarkEnd w:id="508"/>
    </w:p>
    <w:p w14:paraId="0DA32F1E">
      <w:pPr>
        <w:spacing w:before="180" w:line="359" w:lineRule="auto"/>
        <w:ind w:right="1" w:firstLine="479"/>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在履行合同过程中，由于发包人的下列原因造成工期延误的，承包人有权要求发</w:t>
      </w:r>
      <w:r>
        <w:rPr>
          <w:rFonts w:ascii="宋体" w:hAnsi="宋体" w:eastAsia="宋体" w:cs="宋体"/>
          <w:color w:val="auto"/>
          <w:spacing w:val="-6"/>
          <w:sz w:val="24"/>
          <w:szCs w:val="24"/>
          <w:highlight w:val="none"/>
        </w:rPr>
        <w:t>包人延长工期和（或）增加费用，并支付合理利润。需要修订合同进度计划的， 按照</w:t>
      </w:r>
      <w:r>
        <w:rPr>
          <w:rFonts w:ascii="宋体" w:hAnsi="宋体" w:eastAsia="宋体" w:cs="宋体"/>
          <w:color w:val="auto"/>
          <w:spacing w:val="-4"/>
          <w:sz w:val="24"/>
          <w:szCs w:val="24"/>
          <w:highlight w:val="none"/>
        </w:rPr>
        <w:t>第</w:t>
      </w:r>
      <w:r>
        <w:rPr>
          <w:rFonts w:ascii="Times New Roman" w:hAnsi="Times New Roman" w:eastAsia="Times New Roman" w:cs="Times New Roman"/>
          <w:color w:val="auto"/>
          <w:spacing w:val="-4"/>
          <w:sz w:val="24"/>
          <w:szCs w:val="24"/>
          <w:highlight w:val="none"/>
        </w:rPr>
        <w:t>10.2</w:t>
      </w:r>
      <w:r>
        <w:rPr>
          <w:rFonts w:ascii="宋体" w:hAnsi="宋体" w:eastAsia="宋体" w:cs="宋体"/>
          <w:color w:val="auto"/>
          <w:spacing w:val="-4"/>
          <w:sz w:val="24"/>
          <w:szCs w:val="24"/>
          <w:highlight w:val="none"/>
        </w:rPr>
        <w:t>款的约定办理。</w:t>
      </w:r>
    </w:p>
    <w:p w14:paraId="3509EE6E">
      <w:pPr>
        <w:spacing w:before="1" w:line="219" w:lineRule="auto"/>
        <w:ind w:left="48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l</w:t>
      </w:r>
      <w:r>
        <w:rPr>
          <w:rFonts w:ascii="宋体" w:hAnsi="宋体" w:eastAsia="宋体" w:cs="宋体"/>
          <w:color w:val="auto"/>
          <w:spacing w:val="-4"/>
          <w:sz w:val="24"/>
          <w:szCs w:val="24"/>
          <w:highlight w:val="none"/>
        </w:rPr>
        <w:t>）增加合同工作内容。</w:t>
      </w:r>
    </w:p>
    <w:p w14:paraId="3751F0EC">
      <w:pPr>
        <w:spacing w:before="182" w:line="220"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）改变合同中任何一项工作的质量要求或其他特性。</w:t>
      </w:r>
    </w:p>
    <w:p w14:paraId="12308FE0">
      <w:pPr>
        <w:spacing w:before="180" w:line="219"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）发包人迟延提供材料、工程设备或变更交货地点的。</w:t>
      </w:r>
    </w:p>
    <w:p w14:paraId="34198FDF">
      <w:pPr>
        <w:spacing w:before="184" w:line="220" w:lineRule="auto"/>
        <w:ind w:left="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4</w:t>
      </w:r>
      <w:r>
        <w:rPr>
          <w:rFonts w:ascii="宋体" w:hAnsi="宋体" w:eastAsia="宋体" w:cs="宋体"/>
          <w:color w:val="auto"/>
          <w:spacing w:val="-3"/>
          <w:sz w:val="24"/>
          <w:szCs w:val="24"/>
          <w:highlight w:val="none"/>
        </w:rPr>
        <w:t>）因发包人原因导致的暂停施工。</w:t>
      </w:r>
    </w:p>
    <w:p w14:paraId="00725A59">
      <w:pPr>
        <w:spacing w:before="179" w:line="219" w:lineRule="auto"/>
        <w:ind w:left="48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5</w:t>
      </w:r>
      <w:r>
        <w:rPr>
          <w:rFonts w:ascii="宋体" w:hAnsi="宋体" w:eastAsia="宋体" w:cs="宋体"/>
          <w:color w:val="auto"/>
          <w:spacing w:val="-5"/>
          <w:sz w:val="24"/>
          <w:szCs w:val="24"/>
          <w:highlight w:val="none"/>
        </w:rPr>
        <w:t>）提供图纸延误。</w:t>
      </w:r>
    </w:p>
    <w:p w14:paraId="59796C08">
      <w:pPr>
        <w:spacing w:before="183" w:line="220" w:lineRule="auto"/>
        <w:ind w:left="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6</w:t>
      </w:r>
      <w:r>
        <w:rPr>
          <w:rFonts w:ascii="宋体" w:hAnsi="宋体" w:eastAsia="宋体" w:cs="宋体"/>
          <w:color w:val="auto"/>
          <w:spacing w:val="-3"/>
          <w:sz w:val="24"/>
          <w:szCs w:val="24"/>
          <w:highlight w:val="none"/>
        </w:rPr>
        <w:t>）未按合同约定及时支付预付款、进度款。</w:t>
      </w:r>
    </w:p>
    <w:p w14:paraId="7B153FA3">
      <w:pPr>
        <w:spacing w:before="183" w:line="220" w:lineRule="auto"/>
        <w:ind w:left="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7</w:t>
      </w:r>
      <w:r>
        <w:rPr>
          <w:rFonts w:ascii="宋体" w:hAnsi="宋体" w:eastAsia="宋体" w:cs="宋体"/>
          <w:color w:val="auto"/>
          <w:spacing w:val="-3"/>
          <w:sz w:val="24"/>
          <w:szCs w:val="24"/>
          <w:highlight w:val="none"/>
        </w:rPr>
        <w:t>）发包人造成工期延误的其他原因。</w:t>
      </w:r>
    </w:p>
    <w:p w14:paraId="1910F921">
      <w:pPr>
        <w:spacing w:before="178" w:line="220" w:lineRule="auto"/>
        <w:ind w:left="6"/>
        <w:outlineLvl w:val="1"/>
        <w:rPr>
          <w:rFonts w:ascii="宋体" w:hAnsi="宋体" w:eastAsia="宋体" w:cs="宋体"/>
          <w:color w:val="auto"/>
          <w:sz w:val="24"/>
          <w:szCs w:val="24"/>
          <w:highlight w:val="none"/>
        </w:rPr>
      </w:pPr>
      <w:bookmarkStart w:id="509" w:name="bookmark224"/>
      <w:bookmarkEnd w:id="509"/>
      <w:bookmarkStart w:id="510" w:name="_Toc6173"/>
      <w:bookmarkStart w:id="511" w:name="_Toc30035"/>
      <w:r>
        <w:rPr>
          <w:rFonts w:ascii="Times New Roman" w:hAnsi="Times New Roman" w:eastAsia="Times New Roman" w:cs="Times New Roman"/>
          <w:b/>
          <w:bCs/>
          <w:color w:val="auto"/>
          <w:spacing w:val="-2"/>
          <w:sz w:val="24"/>
          <w:szCs w:val="24"/>
          <w:highlight w:val="none"/>
        </w:rPr>
        <w:t xml:space="preserve">11.4  </w:t>
      </w:r>
      <w:r>
        <w:rPr>
          <w:rFonts w:ascii="宋体" w:hAnsi="宋体" w:eastAsia="宋体" w:cs="宋体"/>
          <w:b/>
          <w:bCs/>
          <w:color w:val="auto"/>
          <w:spacing w:val="-2"/>
          <w:sz w:val="24"/>
          <w:szCs w:val="24"/>
          <w:highlight w:val="none"/>
        </w:rPr>
        <w:t>异常恶劣的气候条件</w:t>
      </w:r>
      <w:bookmarkEnd w:id="510"/>
      <w:bookmarkEnd w:id="511"/>
    </w:p>
    <w:p w14:paraId="6B09D332">
      <w:pPr>
        <w:spacing w:before="181" w:line="313" w:lineRule="auto"/>
        <w:ind w:right="1"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11.4.1  </w:t>
      </w:r>
      <w:r>
        <w:rPr>
          <w:rFonts w:ascii="宋体" w:hAnsi="宋体" w:eastAsia="宋体" w:cs="宋体"/>
          <w:color w:val="auto"/>
          <w:spacing w:val="-3"/>
          <w:sz w:val="24"/>
          <w:szCs w:val="24"/>
          <w:highlight w:val="none"/>
        </w:rPr>
        <w:t>当工程所在地发生危及施工安全的异常恶劣气候时，发包人和承包人应按本合同通用合同条款第</w:t>
      </w:r>
      <w:r>
        <w:rPr>
          <w:rFonts w:ascii="Times New Roman" w:hAnsi="Times New Roman" w:eastAsia="Times New Roman" w:cs="Times New Roman"/>
          <w:color w:val="auto"/>
          <w:spacing w:val="-3"/>
          <w:sz w:val="24"/>
          <w:szCs w:val="24"/>
          <w:highlight w:val="none"/>
        </w:rPr>
        <w:t>12</w:t>
      </w:r>
      <w:r>
        <w:rPr>
          <w:rFonts w:ascii="宋体" w:hAnsi="宋体" w:eastAsia="宋体" w:cs="宋体"/>
          <w:color w:val="auto"/>
          <w:spacing w:val="-3"/>
          <w:sz w:val="24"/>
          <w:szCs w:val="24"/>
          <w:highlight w:val="none"/>
        </w:rPr>
        <w:t>条的约定，及时采取暂停施工或部分暂停施工措施。异常恶劣气候条件解除后，承包人应及时安排复工。</w:t>
      </w:r>
    </w:p>
    <w:p w14:paraId="156C10AE">
      <w:pPr>
        <w:spacing w:before="181" w:line="289" w:lineRule="auto"/>
        <w:ind w:right="1"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11.4.2  </w:t>
      </w:r>
      <w:r>
        <w:rPr>
          <w:rFonts w:ascii="宋体" w:hAnsi="宋体" w:eastAsia="宋体" w:cs="宋体"/>
          <w:color w:val="auto"/>
          <w:spacing w:val="-3"/>
          <w:sz w:val="24"/>
          <w:szCs w:val="24"/>
          <w:highlight w:val="none"/>
        </w:rPr>
        <w:t>异常恶劣气候条件造成的工期延误和工程损坏，应由发包人与承包人参照</w:t>
      </w:r>
      <w:r>
        <w:rPr>
          <w:rFonts w:ascii="宋体" w:hAnsi="宋体" w:eastAsia="宋体" w:cs="宋体"/>
          <w:color w:val="auto"/>
          <w:spacing w:val="-2"/>
          <w:sz w:val="24"/>
          <w:szCs w:val="24"/>
          <w:highlight w:val="none"/>
        </w:rPr>
        <w:t>本合同通用合同条款第</w:t>
      </w:r>
      <w:r>
        <w:rPr>
          <w:rFonts w:ascii="Times New Roman" w:hAnsi="Times New Roman" w:eastAsia="Times New Roman" w:cs="Times New Roman"/>
          <w:color w:val="auto"/>
          <w:spacing w:val="-2"/>
          <w:sz w:val="24"/>
          <w:szCs w:val="24"/>
          <w:highlight w:val="none"/>
        </w:rPr>
        <w:t>21.3</w:t>
      </w:r>
      <w:r>
        <w:rPr>
          <w:rFonts w:ascii="宋体" w:hAnsi="宋体" w:eastAsia="宋体" w:cs="宋体"/>
          <w:color w:val="auto"/>
          <w:spacing w:val="-2"/>
          <w:sz w:val="24"/>
          <w:szCs w:val="24"/>
          <w:highlight w:val="none"/>
        </w:rPr>
        <w:t>款的约定协商处理。</w:t>
      </w:r>
    </w:p>
    <w:p w14:paraId="4F73669E">
      <w:pPr>
        <w:spacing w:before="181" w:line="219"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11.4.3  </w:t>
      </w:r>
      <w:r>
        <w:rPr>
          <w:rFonts w:ascii="宋体" w:hAnsi="宋体" w:eastAsia="宋体" w:cs="宋体"/>
          <w:color w:val="auto"/>
          <w:spacing w:val="-1"/>
          <w:sz w:val="24"/>
          <w:szCs w:val="24"/>
          <w:highlight w:val="none"/>
        </w:rPr>
        <w:t>本合同工程界定异常恶劣气候条件</w:t>
      </w:r>
      <w:r>
        <w:rPr>
          <w:rFonts w:ascii="宋体" w:hAnsi="宋体" w:eastAsia="宋体" w:cs="宋体"/>
          <w:color w:val="auto"/>
          <w:spacing w:val="-2"/>
          <w:sz w:val="24"/>
          <w:szCs w:val="24"/>
          <w:highlight w:val="none"/>
        </w:rPr>
        <w:t>的范围在专用合同条款中约定。</w:t>
      </w:r>
    </w:p>
    <w:p w14:paraId="0C37154F">
      <w:pPr>
        <w:spacing w:before="183" w:line="220" w:lineRule="auto"/>
        <w:ind w:left="6"/>
        <w:outlineLvl w:val="1"/>
        <w:rPr>
          <w:rFonts w:ascii="宋体" w:hAnsi="宋体" w:eastAsia="宋体" w:cs="宋体"/>
          <w:color w:val="auto"/>
          <w:sz w:val="24"/>
          <w:szCs w:val="24"/>
          <w:highlight w:val="none"/>
        </w:rPr>
      </w:pPr>
      <w:bookmarkStart w:id="512" w:name="bookmark225"/>
      <w:bookmarkEnd w:id="512"/>
      <w:bookmarkStart w:id="513" w:name="_Toc23498"/>
      <w:bookmarkStart w:id="514" w:name="_Toc7389"/>
      <w:r>
        <w:rPr>
          <w:rFonts w:ascii="Times New Roman" w:hAnsi="Times New Roman" w:eastAsia="Times New Roman" w:cs="Times New Roman"/>
          <w:b/>
          <w:bCs/>
          <w:color w:val="auto"/>
          <w:spacing w:val="-3"/>
          <w:sz w:val="24"/>
          <w:szCs w:val="24"/>
          <w:highlight w:val="none"/>
        </w:rPr>
        <w:t xml:space="preserve">11.5  </w:t>
      </w:r>
      <w:r>
        <w:rPr>
          <w:rFonts w:ascii="宋体" w:hAnsi="宋体" w:eastAsia="宋体" w:cs="宋体"/>
          <w:b/>
          <w:bCs/>
          <w:color w:val="auto"/>
          <w:spacing w:val="-3"/>
          <w:sz w:val="24"/>
          <w:szCs w:val="24"/>
          <w:highlight w:val="none"/>
        </w:rPr>
        <w:t>承包人的工期延误</w:t>
      </w:r>
      <w:bookmarkEnd w:id="513"/>
      <w:bookmarkEnd w:id="514"/>
    </w:p>
    <w:p w14:paraId="4EA0599F">
      <w:pPr>
        <w:spacing w:before="180" w:line="360" w:lineRule="auto"/>
        <w:ind w:left="1" w:right="1" w:firstLine="507"/>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由于承包人原因，未能按合同进度计划完成工作，或监理人认为承包人施工进度</w:t>
      </w:r>
      <w:r>
        <w:rPr>
          <w:rFonts w:ascii="宋体" w:hAnsi="宋体" w:eastAsia="宋体" w:cs="宋体"/>
          <w:color w:val="auto"/>
          <w:spacing w:val="-3"/>
          <w:sz w:val="24"/>
          <w:szCs w:val="24"/>
          <w:highlight w:val="none"/>
        </w:rPr>
        <w:t>不能满足合同工期要求的，承包人应采取措施加快进度，并承担加快进度所增加的费</w:t>
      </w:r>
      <w:r>
        <w:rPr>
          <w:rFonts w:ascii="宋体" w:hAnsi="宋体" w:eastAsia="宋体" w:cs="宋体"/>
          <w:color w:val="auto"/>
          <w:spacing w:val="-6"/>
          <w:sz w:val="24"/>
          <w:szCs w:val="24"/>
          <w:highlight w:val="none"/>
        </w:rPr>
        <w:t>用。由于承包人原因造成工期延误， 承包人应支付逾期完工违约金。逾期完工违约金</w:t>
      </w:r>
      <w:r>
        <w:rPr>
          <w:rFonts w:ascii="宋体" w:hAnsi="宋体" w:eastAsia="宋体" w:cs="宋体"/>
          <w:color w:val="auto"/>
          <w:spacing w:val="-5"/>
          <w:sz w:val="24"/>
          <w:szCs w:val="24"/>
          <w:highlight w:val="none"/>
        </w:rPr>
        <w:t>的计算方法在专用合同条款中约定。承包人支付逾期完工违约金，</w:t>
      </w:r>
      <w:r>
        <w:rPr>
          <w:rFonts w:ascii="宋体" w:hAnsi="宋体" w:eastAsia="宋体" w:cs="宋体"/>
          <w:color w:val="auto"/>
          <w:spacing w:val="-39"/>
          <w:sz w:val="24"/>
          <w:szCs w:val="24"/>
          <w:highlight w:val="none"/>
        </w:rPr>
        <w:t xml:space="preserve"> </w:t>
      </w:r>
      <w:r>
        <w:rPr>
          <w:rFonts w:ascii="宋体" w:hAnsi="宋体" w:eastAsia="宋体" w:cs="宋体"/>
          <w:color w:val="auto"/>
          <w:spacing w:val="-5"/>
          <w:sz w:val="24"/>
          <w:szCs w:val="24"/>
          <w:highlight w:val="none"/>
        </w:rPr>
        <w:t>不免除承包人完成</w:t>
      </w:r>
      <w:r>
        <w:rPr>
          <w:rFonts w:ascii="宋体" w:hAnsi="宋体" w:eastAsia="宋体" w:cs="宋体"/>
          <w:color w:val="auto"/>
          <w:spacing w:val="-4"/>
          <w:sz w:val="24"/>
          <w:szCs w:val="24"/>
          <w:highlight w:val="none"/>
        </w:rPr>
        <w:t>工程及修补缺陷的义务。</w:t>
      </w:r>
    </w:p>
    <w:p w14:paraId="722793DC">
      <w:pPr>
        <w:spacing w:line="360" w:lineRule="auto"/>
        <w:rPr>
          <w:rFonts w:ascii="宋体" w:hAnsi="宋体" w:eastAsia="宋体" w:cs="宋体"/>
          <w:color w:val="auto"/>
          <w:sz w:val="24"/>
          <w:szCs w:val="24"/>
          <w:highlight w:val="none"/>
        </w:rPr>
        <w:sectPr>
          <w:footerReference r:id="rId51" w:type="default"/>
          <w:pgSz w:w="11907" w:h="16841"/>
          <w:pgMar w:top="1428" w:right="1527" w:bottom="1254" w:left="1598" w:header="0" w:footer="1093" w:gutter="0"/>
          <w:pgNumType w:fmt="decimal"/>
          <w:cols w:space="720" w:num="1"/>
        </w:sectPr>
      </w:pPr>
    </w:p>
    <w:p w14:paraId="1580F996">
      <w:pPr>
        <w:spacing w:before="48" w:line="220" w:lineRule="auto"/>
        <w:ind w:left="4"/>
        <w:outlineLvl w:val="1"/>
        <w:rPr>
          <w:rFonts w:ascii="宋体" w:hAnsi="宋体" w:eastAsia="宋体" w:cs="宋体"/>
          <w:color w:val="auto"/>
          <w:sz w:val="24"/>
          <w:szCs w:val="24"/>
          <w:highlight w:val="none"/>
        </w:rPr>
      </w:pPr>
      <w:bookmarkStart w:id="515" w:name="bookmark226"/>
      <w:bookmarkEnd w:id="515"/>
      <w:bookmarkStart w:id="516" w:name="_Toc19984"/>
      <w:bookmarkStart w:id="517" w:name="_Toc14613"/>
      <w:r>
        <w:rPr>
          <w:rFonts w:ascii="Times New Roman" w:hAnsi="Times New Roman" w:eastAsia="Times New Roman" w:cs="Times New Roman"/>
          <w:b/>
          <w:bCs/>
          <w:color w:val="auto"/>
          <w:spacing w:val="-5"/>
          <w:sz w:val="24"/>
          <w:szCs w:val="24"/>
          <w:highlight w:val="none"/>
        </w:rPr>
        <w:t>11.6</w:t>
      </w:r>
      <w:r>
        <w:rPr>
          <w:rFonts w:ascii="Times New Roman" w:hAnsi="Times New Roman" w:eastAsia="Times New Roman" w:cs="Times New Roman"/>
          <w:b/>
          <w:bCs/>
          <w:color w:val="auto"/>
          <w:spacing w:val="8"/>
          <w:sz w:val="24"/>
          <w:szCs w:val="24"/>
          <w:highlight w:val="none"/>
        </w:rPr>
        <w:t xml:space="preserve">  </w:t>
      </w:r>
      <w:r>
        <w:rPr>
          <w:rFonts w:ascii="宋体" w:hAnsi="宋体" w:eastAsia="宋体" w:cs="宋体"/>
          <w:b/>
          <w:bCs/>
          <w:color w:val="auto"/>
          <w:spacing w:val="-5"/>
          <w:sz w:val="24"/>
          <w:szCs w:val="24"/>
          <w:highlight w:val="none"/>
        </w:rPr>
        <w:t>工期提前</w:t>
      </w:r>
      <w:bookmarkEnd w:id="516"/>
      <w:bookmarkEnd w:id="517"/>
    </w:p>
    <w:p w14:paraId="2E986BDB">
      <w:pPr>
        <w:spacing w:before="180" w:line="359" w:lineRule="auto"/>
        <w:ind w:firstLine="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发包人要求承包人提前完工，或承包人提出提前完工的建议能够给发包人带来效</w:t>
      </w:r>
      <w:r>
        <w:rPr>
          <w:rFonts w:ascii="宋体" w:hAnsi="宋体" w:eastAsia="宋体" w:cs="宋体"/>
          <w:color w:val="auto"/>
          <w:spacing w:val="-1"/>
          <w:sz w:val="24"/>
          <w:szCs w:val="24"/>
          <w:highlight w:val="none"/>
        </w:rPr>
        <w:t>益的，应由监理人与承包人共同协商采取加快工程进度的措施和修订合同进度计划。</w:t>
      </w:r>
      <w:r>
        <w:rPr>
          <w:rFonts w:ascii="宋体" w:hAnsi="宋体" w:eastAsia="宋体" w:cs="宋体"/>
          <w:color w:val="auto"/>
          <w:spacing w:val="-4"/>
          <w:sz w:val="24"/>
          <w:szCs w:val="24"/>
          <w:highlight w:val="none"/>
        </w:rPr>
        <w:t>发包人应承担承包人由此增加的费用，并向承包人支付专用合同条款约定的相应奖金。</w:t>
      </w:r>
    </w:p>
    <w:p w14:paraId="3FB41DAB">
      <w:pPr>
        <w:spacing w:line="219"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发包人要求提前完工的，双方协商一致后应签订提前完工协议，协议内容包括：</w:t>
      </w:r>
    </w:p>
    <w:p w14:paraId="3BD2746E">
      <w:pPr>
        <w:spacing w:before="182" w:line="220" w:lineRule="auto"/>
        <w:ind w:left="48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）提前的时间和修订后的进度计划。</w:t>
      </w:r>
    </w:p>
    <w:p w14:paraId="50334D3E">
      <w:pPr>
        <w:spacing w:before="179" w:line="220" w:lineRule="auto"/>
        <w:ind w:left="48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）承包人的赶工措施。</w:t>
      </w:r>
    </w:p>
    <w:p w14:paraId="5410A3BE">
      <w:pPr>
        <w:spacing w:before="182" w:line="219" w:lineRule="auto"/>
        <w:ind w:left="48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）发包人为赶工提供的条件。</w:t>
      </w:r>
    </w:p>
    <w:p w14:paraId="5B98937F">
      <w:pPr>
        <w:spacing w:before="182" w:line="220" w:lineRule="auto"/>
        <w:ind w:left="48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4</w:t>
      </w:r>
      <w:r>
        <w:rPr>
          <w:rFonts w:ascii="宋体" w:hAnsi="宋体" w:eastAsia="宋体" w:cs="宋体"/>
          <w:color w:val="auto"/>
          <w:spacing w:val="-3"/>
          <w:sz w:val="24"/>
          <w:szCs w:val="24"/>
          <w:highlight w:val="none"/>
        </w:rPr>
        <w:t>）赶工费用（包括利润和奖金）。</w:t>
      </w:r>
    </w:p>
    <w:p w14:paraId="33353A93">
      <w:pPr>
        <w:spacing w:before="307" w:line="221" w:lineRule="auto"/>
        <w:ind w:left="7"/>
        <w:outlineLvl w:val="0"/>
        <w:rPr>
          <w:rFonts w:ascii="宋体" w:hAnsi="宋体" w:eastAsia="宋体" w:cs="宋体"/>
          <w:color w:val="auto"/>
          <w:sz w:val="28"/>
          <w:szCs w:val="28"/>
          <w:highlight w:val="none"/>
        </w:rPr>
      </w:pPr>
      <w:bookmarkStart w:id="518" w:name="bookmark227"/>
      <w:bookmarkEnd w:id="518"/>
      <w:bookmarkStart w:id="519" w:name="bookmark228"/>
      <w:bookmarkEnd w:id="519"/>
      <w:bookmarkStart w:id="520" w:name="_Toc15536"/>
      <w:bookmarkStart w:id="521" w:name="_Toc27433"/>
      <w:r>
        <w:rPr>
          <w:rFonts w:ascii="Times New Roman" w:hAnsi="Times New Roman" w:eastAsia="Times New Roman" w:cs="Times New Roman"/>
          <w:b/>
          <w:bCs/>
          <w:color w:val="auto"/>
          <w:spacing w:val="-8"/>
          <w:sz w:val="28"/>
          <w:szCs w:val="28"/>
          <w:highlight w:val="none"/>
        </w:rPr>
        <w:t>12</w:t>
      </w:r>
      <w:r>
        <w:rPr>
          <w:rFonts w:hint="eastAsia" w:ascii="Times New Roman" w:hAnsi="Times New Roman" w:eastAsia="宋体" w:cs="Times New Roman"/>
          <w:b/>
          <w:bCs/>
          <w:color w:val="auto"/>
          <w:spacing w:val="11"/>
          <w:sz w:val="28"/>
          <w:szCs w:val="28"/>
          <w:highlight w:val="none"/>
          <w:lang w:eastAsia="zh-CN"/>
        </w:rPr>
        <w:t>、</w:t>
      </w:r>
      <w:r>
        <w:rPr>
          <w:rFonts w:ascii="宋体" w:hAnsi="宋体" w:eastAsia="宋体" w:cs="宋体"/>
          <w:b/>
          <w:bCs/>
          <w:color w:val="auto"/>
          <w:spacing w:val="-8"/>
          <w:sz w:val="28"/>
          <w:szCs w:val="28"/>
          <w:highlight w:val="none"/>
        </w:rPr>
        <w:t>暂停施工</w:t>
      </w:r>
      <w:bookmarkEnd w:id="520"/>
      <w:bookmarkEnd w:id="521"/>
    </w:p>
    <w:p w14:paraId="19A3C3BC">
      <w:pPr>
        <w:pStyle w:val="3"/>
        <w:spacing w:line="244" w:lineRule="auto"/>
        <w:rPr>
          <w:color w:val="auto"/>
          <w:highlight w:val="none"/>
        </w:rPr>
      </w:pPr>
    </w:p>
    <w:p w14:paraId="1FC61FAD">
      <w:pPr>
        <w:spacing w:before="78" w:line="220" w:lineRule="auto"/>
        <w:ind w:left="4"/>
        <w:outlineLvl w:val="1"/>
        <w:rPr>
          <w:rFonts w:ascii="宋体" w:hAnsi="宋体" w:eastAsia="宋体" w:cs="宋体"/>
          <w:color w:val="auto"/>
          <w:sz w:val="24"/>
          <w:szCs w:val="24"/>
          <w:highlight w:val="none"/>
        </w:rPr>
      </w:pPr>
      <w:bookmarkStart w:id="522" w:name="bookmark698"/>
      <w:bookmarkEnd w:id="522"/>
      <w:bookmarkStart w:id="523" w:name="_Toc28227"/>
      <w:bookmarkStart w:id="524" w:name="_Toc15641"/>
      <w:r>
        <w:rPr>
          <w:rFonts w:ascii="Times New Roman" w:hAnsi="Times New Roman" w:eastAsia="Times New Roman" w:cs="Times New Roman"/>
          <w:b/>
          <w:bCs/>
          <w:color w:val="auto"/>
          <w:spacing w:val="-2"/>
          <w:sz w:val="24"/>
          <w:szCs w:val="24"/>
          <w:highlight w:val="none"/>
        </w:rPr>
        <w:t xml:space="preserve">12.1  </w:t>
      </w:r>
      <w:r>
        <w:rPr>
          <w:rFonts w:ascii="宋体" w:hAnsi="宋体" w:eastAsia="宋体" w:cs="宋体"/>
          <w:b/>
          <w:bCs/>
          <w:color w:val="auto"/>
          <w:spacing w:val="-2"/>
          <w:sz w:val="24"/>
          <w:szCs w:val="24"/>
          <w:highlight w:val="none"/>
        </w:rPr>
        <w:t>承包人暂停施工的责任</w:t>
      </w:r>
      <w:bookmarkEnd w:id="523"/>
      <w:bookmarkEnd w:id="524"/>
    </w:p>
    <w:p w14:paraId="24B1F64C">
      <w:pPr>
        <w:spacing w:before="179" w:line="220" w:lineRule="auto"/>
        <w:ind w:left="49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因下列暂停施工增加的费用和（或）工期延误由承包人承担：</w:t>
      </w:r>
    </w:p>
    <w:p w14:paraId="4CC62785">
      <w:pPr>
        <w:spacing w:before="182" w:line="220" w:lineRule="auto"/>
        <w:ind w:left="48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）承包人违约引起的暂停施工。</w:t>
      </w:r>
    </w:p>
    <w:p w14:paraId="7325C451">
      <w:pPr>
        <w:spacing w:before="180" w:line="220" w:lineRule="auto"/>
        <w:ind w:left="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）由于承包人原因为工程合理施工和安全保障所必需的暂停施工。</w:t>
      </w:r>
    </w:p>
    <w:p w14:paraId="7CF6F0D0">
      <w:pPr>
        <w:spacing w:before="182" w:line="220" w:lineRule="auto"/>
        <w:ind w:left="48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）承包人擅自暂停施工。</w:t>
      </w:r>
    </w:p>
    <w:p w14:paraId="51870D86">
      <w:pPr>
        <w:spacing w:before="180" w:line="220" w:lineRule="auto"/>
        <w:ind w:left="48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4</w:t>
      </w:r>
      <w:r>
        <w:rPr>
          <w:rFonts w:ascii="宋体" w:hAnsi="宋体" w:eastAsia="宋体" w:cs="宋体"/>
          <w:color w:val="auto"/>
          <w:spacing w:val="-3"/>
          <w:sz w:val="24"/>
          <w:szCs w:val="24"/>
          <w:highlight w:val="none"/>
        </w:rPr>
        <w:t>）承包人其他原因引起的暂停施工。</w:t>
      </w:r>
    </w:p>
    <w:p w14:paraId="53BF1F33">
      <w:pPr>
        <w:spacing w:before="182" w:line="220" w:lineRule="auto"/>
        <w:ind w:left="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5</w:t>
      </w:r>
      <w:r>
        <w:rPr>
          <w:rFonts w:ascii="宋体" w:hAnsi="宋体" w:eastAsia="宋体" w:cs="宋体"/>
          <w:color w:val="auto"/>
          <w:spacing w:val="-2"/>
          <w:sz w:val="24"/>
          <w:szCs w:val="24"/>
          <w:highlight w:val="none"/>
        </w:rPr>
        <w:t>）专用合同条款约定由承包人承担的其他暂停施工。</w:t>
      </w:r>
    </w:p>
    <w:p w14:paraId="7853FA9B">
      <w:pPr>
        <w:spacing w:before="179" w:line="220" w:lineRule="auto"/>
        <w:ind w:left="4"/>
        <w:outlineLvl w:val="1"/>
        <w:rPr>
          <w:rFonts w:ascii="宋体" w:hAnsi="宋体" w:eastAsia="宋体" w:cs="宋体"/>
          <w:color w:val="auto"/>
          <w:sz w:val="24"/>
          <w:szCs w:val="24"/>
          <w:highlight w:val="none"/>
        </w:rPr>
      </w:pPr>
      <w:bookmarkStart w:id="525" w:name="bookmark229"/>
      <w:bookmarkEnd w:id="525"/>
      <w:bookmarkStart w:id="526" w:name="_Toc29544"/>
      <w:bookmarkStart w:id="527" w:name="_Toc7732"/>
      <w:r>
        <w:rPr>
          <w:rFonts w:ascii="Times New Roman" w:hAnsi="Times New Roman" w:eastAsia="Times New Roman" w:cs="Times New Roman"/>
          <w:b/>
          <w:bCs/>
          <w:color w:val="auto"/>
          <w:spacing w:val="-2"/>
          <w:sz w:val="24"/>
          <w:szCs w:val="24"/>
          <w:highlight w:val="none"/>
        </w:rPr>
        <w:t xml:space="preserve">12.2  </w:t>
      </w:r>
      <w:r>
        <w:rPr>
          <w:rFonts w:ascii="宋体" w:hAnsi="宋体" w:eastAsia="宋体" w:cs="宋体"/>
          <w:b/>
          <w:bCs/>
          <w:color w:val="auto"/>
          <w:spacing w:val="-2"/>
          <w:sz w:val="24"/>
          <w:szCs w:val="24"/>
          <w:highlight w:val="none"/>
        </w:rPr>
        <w:t>发包人暂停施工的责任</w:t>
      </w:r>
      <w:bookmarkEnd w:id="526"/>
      <w:bookmarkEnd w:id="527"/>
    </w:p>
    <w:p w14:paraId="7E01FA88">
      <w:pPr>
        <w:spacing w:before="183" w:line="359" w:lineRule="auto"/>
        <w:ind w:right="205" w:firstLine="50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由于发包人原因引起的暂停施工造成工期延误的，承包人有权要求发包人延长工</w:t>
      </w:r>
      <w:r>
        <w:rPr>
          <w:rFonts w:ascii="宋体" w:hAnsi="宋体" w:eastAsia="宋体" w:cs="宋体"/>
          <w:color w:val="auto"/>
          <w:spacing w:val="-3"/>
          <w:sz w:val="24"/>
          <w:szCs w:val="24"/>
          <w:highlight w:val="none"/>
        </w:rPr>
        <w:t>期和（或）增加费用，并支付合理利润。</w:t>
      </w:r>
    </w:p>
    <w:p w14:paraId="67592918">
      <w:pPr>
        <w:spacing w:before="1" w:line="219" w:lineRule="auto"/>
        <w:ind w:left="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属于下列任何一种情况引起的暂停施工，均为发包人的责任：</w:t>
      </w:r>
    </w:p>
    <w:p w14:paraId="40D50CCE">
      <w:pPr>
        <w:spacing w:before="183" w:line="220" w:lineRule="auto"/>
        <w:ind w:left="48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）由于发包人违约引起的暂停施工。</w:t>
      </w:r>
    </w:p>
    <w:p w14:paraId="19127800">
      <w:pPr>
        <w:spacing w:before="179" w:line="219" w:lineRule="auto"/>
        <w:ind w:left="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）由于不可抗力的自然或社会因素引起的暂停施工。</w:t>
      </w:r>
    </w:p>
    <w:p w14:paraId="4E782B70">
      <w:pPr>
        <w:spacing w:before="183" w:line="220" w:lineRule="auto"/>
        <w:ind w:left="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）专用合同条款中约定的其他由于发包人原因引起的暂停施工。</w:t>
      </w:r>
    </w:p>
    <w:p w14:paraId="4B546FAB">
      <w:pPr>
        <w:spacing w:before="180" w:line="220" w:lineRule="auto"/>
        <w:ind w:left="4"/>
        <w:outlineLvl w:val="1"/>
        <w:rPr>
          <w:rFonts w:ascii="宋体" w:hAnsi="宋体" w:eastAsia="宋体" w:cs="宋体"/>
          <w:color w:val="auto"/>
          <w:sz w:val="24"/>
          <w:szCs w:val="24"/>
          <w:highlight w:val="none"/>
        </w:rPr>
      </w:pPr>
      <w:bookmarkStart w:id="528" w:name="bookmark230"/>
      <w:bookmarkEnd w:id="528"/>
      <w:bookmarkStart w:id="529" w:name="_Toc26955"/>
      <w:bookmarkStart w:id="530" w:name="_Toc15948"/>
      <w:r>
        <w:rPr>
          <w:rFonts w:ascii="Times New Roman" w:hAnsi="Times New Roman" w:eastAsia="Times New Roman" w:cs="Times New Roman"/>
          <w:b/>
          <w:bCs/>
          <w:color w:val="auto"/>
          <w:spacing w:val="-2"/>
          <w:sz w:val="24"/>
          <w:szCs w:val="24"/>
          <w:highlight w:val="none"/>
        </w:rPr>
        <w:t xml:space="preserve">12.3  </w:t>
      </w:r>
      <w:r>
        <w:rPr>
          <w:rFonts w:ascii="宋体" w:hAnsi="宋体" w:eastAsia="宋体" w:cs="宋体"/>
          <w:b/>
          <w:bCs/>
          <w:color w:val="auto"/>
          <w:spacing w:val="-2"/>
          <w:sz w:val="24"/>
          <w:szCs w:val="24"/>
          <w:highlight w:val="none"/>
        </w:rPr>
        <w:t>监理人暂停施工指示</w:t>
      </w:r>
      <w:bookmarkEnd w:id="529"/>
      <w:bookmarkEnd w:id="530"/>
    </w:p>
    <w:p w14:paraId="23888853">
      <w:pPr>
        <w:spacing w:before="183" w:line="312" w:lineRule="auto"/>
        <w:ind w:right="205"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12.3.1  </w:t>
      </w:r>
      <w:r>
        <w:rPr>
          <w:rFonts w:ascii="宋体" w:hAnsi="宋体" w:eastAsia="宋体" w:cs="宋体"/>
          <w:color w:val="auto"/>
          <w:spacing w:val="-3"/>
          <w:sz w:val="24"/>
          <w:szCs w:val="24"/>
          <w:highlight w:val="none"/>
        </w:rPr>
        <w:t>监理人认为有必要时，可向承包人作出暂停施工的指示，承包人应按监理</w:t>
      </w:r>
      <w:r>
        <w:rPr>
          <w:rFonts w:ascii="宋体" w:hAnsi="宋体" w:eastAsia="宋体" w:cs="宋体"/>
          <w:color w:val="auto"/>
          <w:spacing w:val="-5"/>
          <w:sz w:val="24"/>
          <w:szCs w:val="24"/>
          <w:highlight w:val="none"/>
        </w:rPr>
        <w:t>人指示暂停施工。不论由于何种原因引起的暂停施工，</w:t>
      </w:r>
      <w:r>
        <w:rPr>
          <w:rFonts w:ascii="宋体" w:hAnsi="宋体" w:eastAsia="宋体" w:cs="宋体"/>
          <w:color w:val="auto"/>
          <w:spacing w:val="-39"/>
          <w:sz w:val="24"/>
          <w:szCs w:val="24"/>
          <w:highlight w:val="none"/>
        </w:rPr>
        <w:t xml:space="preserve"> </w:t>
      </w:r>
      <w:r>
        <w:rPr>
          <w:rFonts w:ascii="宋体" w:hAnsi="宋体" w:eastAsia="宋体" w:cs="宋体"/>
          <w:color w:val="auto"/>
          <w:spacing w:val="-5"/>
          <w:sz w:val="24"/>
          <w:szCs w:val="24"/>
          <w:highlight w:val="none"/>
        </w:rPr>
        <w:t>暂停施工期间承包人应负责妥</w:t>
      </w:r>
      <w:r>
        <w:rPr>
          <w:rFonts w:ascii="宋体" w:hAnsi="宋体" w:eastAsia="宋体" w:cs="宋体"/>
          <w:color w:val="auto"/>
          <w:spacing w:val="-4"/>
          <w:sz w:val="24"/>
          <w:szCs w:val="24"/>
          <w:highlight w:val="none"/>
        </w:rPr>
        <w:t>善保护工程并提供安全保障。</w:t>
      </w:r>
    </w:p>
    <w:p w14:paraId="575EF74A">
      <w:pPr>
        <w:spacing w:before="181" w:line="220" w:lineRule="auto"/>
        <w:ind w:left="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12.3.2</w:t>
      </w:r>
      <w:r>
        <w:rPr>
          <w:rFonts w:ascii="Times New Roman" w:hAnsi="Times New Roman" w:eastAsia="Times New Roman" w:cs="Times New Roman"/>
          <w:b/>
          <w:bCs/>
          <w:color w:val="auto"/>
          <w:spacing w:val="21"/>
          <w:sz w:val="24"/>
          <w:szCs w:val="24"/>
          <w:highlight w:val="none"/>
        </w:rPr>
        <w:t xml:space="preserve">  </w:t>
      </w:r>
      <w:r>
        <w:rPr>
          <w:rFonts w:ascii="宋体" w:hAnsi="宋体" w:eastAsia="宋体" w:cs="宋体"/>
          <w:color w:val="auto"/>
          <w:spacing w:val="-4"/>
          <w:sz w:val="24"/>
          <w:szCs w:val="24"/>
          <w:highlight w:val="none"/>
        </w:rPr>
        <w:t>由于发包人的原因发生暂停施工的紧急情况，且监理人未及时下达暂停施</w:t>
      </w:r>
    </w:p>
    <w:p w14:paraId="3AA34C99">
      <w:pPr>
        <w:spacing w:line="220" w:lineRule="auto"/>
        <w:rPr>
          <w:rFonts w:ascii="宋体" w:hAnsi="宋体" w:eastAsia="宋体" w:cs="宋体"/>
          <w:color w:val="auto"/>
          <w:sz w:val="24"/>
          <w:szCs w:val="24"/>
          <w:highlight w:val="none"/>
        </w:rPr>
        <w:sectPr>
          <w:footerReference r:id="rId52" w:type="default"/>
          <w:pgSz w:w="11907" w:h="16841"/>
          <w:pgMar w:top="1428" w:right="1323" w:bottom="1254" w:left="1600" w:header="0" w:footer="1093" w:gutter="0"/>
          <w:pgNumType w:fmt="decimal"/>
          <w:cols w:space="720" w:num="1"/>
        </w:sectPr>
      </w:pPr>
    </w:p>
    <w:p w14:paraId="6E5EDB31">
      <w:pPr>
        <w:spacing w:before="49" w:line="359" w:lineRule="auto"/>
        <w:ind w:right="183" w:firstLine="2"/>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工指示的，承包人可先暂停施工，并及时向监理人提出暂停施工的书面请求。监理人应在接到书面请求后的</w:t>
      </w:r>
      <w:r>
        <w:rPr>
          <w:rFonts w:ascii="Times New Roman" w:hAnsi="Times New Roman" w:eastAsia="Times New Roman" w:cs="Times New Roman"/>
          <w:color w:val="auto"/>
          <w:spacing w:val="-3"/>
          <w:sz w:val="24"/>
          <w:szCs w:val="24"/>
          <w:highlight w:val="none"/>
        </w:rPr>
        <w:t>24</w:t>
      </w:r>
      <w:r>
        <w:rPr>
          <w:rFonts w:ascii="宋体" w:hAnsi="宋体" w:eastAsia="宋体" w:cs="宋体"/>
          <w:color w:val="auto"/>
          <w:spacing w:val="-3"/>
          <w:sz w:val="24"/>
          <w:szCs w:val="24"/>
          <w:highlight w:val="none"/>
        </w:rPr>
        <w:t>小时内予以答复，逾期未答复的，视为同意承包人的暂停施</w:t>
      </w:r>
      <w:r>
        <w:rPr>
          <w:rFonts w:ascii="宋体" w:hAnsi="宋体" w:eastAsia="宋体" w:cs="宋体"/>
          <w:color w:val="auto"/>
          <w:spacing w:val="-9"/>
          <w:sz w:val="24"/>
          <w:szCs w:val="24"/>
          <w:highlight w:val="none"/>
        </w:rPr>
        <w:t>工请求。</w:t>
      </w:r>
    </w:p>
    <w:p w14:paraId="4923B861">
      <w:pPr>
        <w:spacing w:line="220" w:lineRule="auto"/>
        <w:ind w:left="7"/>
        <w:outlineLvl w:val="1"/>
        <w:rPr>
          <w:rFonts w:ascii="宋体" w:hAnsi="宋体" w:eastAsia="宋体" w:cs="宋体"/>
          <w:color w:val="auto"/>
          <w:sz w:val="24"/>
          <w:szCs w:val="24"/>
          <w:highlight w:val="none"/>
        </w:rPr>
      </w:pPr>
      <w:bookmarkStart w:id="531" w:name="bookmark231"/>
      <w:bookmarkEnd w:id="531"/>
      <w:bookmarkStart w:id="532" w:name="_Toc5244"/>
      <w:bookmarkStart w:id="533" w:name="_Toc9627"/>
      <w:r>
        <w:rPr>
          <w:rFonts w:ascii="Times New Roman" w:hAnsi="Times New Roman" w:eastAsia="Times New Roman" w:cs="Times New Roman"/>
          <w:b/>
          <w:bCs/>
          <w:color w:val="auto"/>
          <w:spacing w:val="-3"/>
          <w:sz w:val="24"/>
          <w:szCs w:val="24"/>
          <w:highlight w:val="none"/>
        </w:rPr>
        <w:t xml:space="preserve">12.4  </w:t>
      </w:r>
      <w:r>
        <w:rPr>
          <w:rFonts w:ascii="宋体" w:hAnsi="宋体" w:eastAsia="宋体" w:cs="宋体"/>
          <w:b/>
          <w:bCs/>
          <w:color w:val="auto"/>
          <w:spacing w:val="-3"/>
          <w:sz w:val="24"/>
          <w:szCs w:val="24"/>
          <w:highlight w:val="none"/>
        </w:rPr>
        <w:t>暂停施工后的复工</w:t>
      </w:r>
      <w:bookmarkEnd w:id="532"/>
      <w:bookmarkEnd w:id="533"/>
    </w:p>
    <w:p w14:paraId="26DEE68B">
      <w:pPr>
        <w:spacing w:before="177" w:line="313" w:lineRule="auto"/>
        <w:ind w:left="1" w:right="186"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12.4.1  </w:t>
      </w:r>
      <w:r>
        <w:rPr>
          <w:rFonts w:ascii="宋体" w:hAnsi="宋体" w:eastAsia="宋体" w:cs="宋体"/>
          <w:color w:val="auto"/>
          <w:spacing w:val="-3"/>
          <w:sz w:val="24"/>
          <w:szCs w:val="24"/>
          <w:highlight w:val="none"/>
        </w:rPr>
        <w:t>暂停施工后，监理人应与发包人和承包人协商，采取有效措施积极消除暂</w:t>
      </w:r>
      <w:r>
        <w:rPr>
          <w:rFonts w:ascii="宋体" w:hAnsi="宋体" w:eastAsia="宋体" w:cs="宋体"/>
          <w:color w:val="auto"/>
          <w:spacing w:val="-6"/>
          <w:sz w:val="24"/>
          <w:szCs w:val="24"/>
          <w:highlight w:val="none"/>
        </w:rPr>
        <w:t>停施工的影响。当工程具备复工条件时， 监理人应立即向承包人发出复工通知。承包</w:t>
      </w:r>
      <w:r>
        <w:rPr>
          <w:rFonts w:ascii="宋体" w:hAnsi="宋体" w:eastAsia="宋体" w:cs="宋体"/>
          <w:color w:val="auto"/>
          <w:spacing w:val="-2"/>
          <w:sz w:val="24"/>
          <w:szCs w:val="24"/>
          <w:highlight w:val="none"/>
        </w:rPr>
        <w:t>人收到复工通知后，应在监理人指定的期限内复工。</w:t>
      </w:r>
    </w:p>
    <w:p w14:paraId="79F4010C">
      <w:pPr>
        <w:spacing w:before="180" w:line="313" w:lineRule="auto"/>
        <w:ind w:left="6" w:firstLine="483"/>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12.4.2  </w:t>
      </w:r>
      <w:r>
        <w:rPr>
          <w:rFonts w:ascii="宋体" w:hAnsi="宋体" w:eastAsia="宋体" w:cs="宋体"/>
          <w:color w:val="auto"/>
          <w:spacing w:val="-4"/>
          <w:sz w:val="24"/>
          <w:szCs w:val="24"/>
          <w:highlight w:val="none"/>
        </w:rPr>
        <w:t>承包人无故拖延和拒绝复工的，由此增加的费用和工期延误由承包人</w:t>
      </w:r>
      <w:r>
        <w:rPr>
          <w:rFonts w:ascii="宋体" w:hAnsi="宋体" w:eastAsia="宋体" w:cs="宋体"/>
          <w:color w:val="auto"/>
          <w:spacing w:val="-5"/>
          <w:sz w:val="24"/>
          <w:szCs w:val="24"/>
          <w:highlight w:val="none"/>
        </w:rPr>
        <w:t>承担；</w:t>
      </w:r>
      <w:r>
        <w:rPr>
          <w:rFonts w:ascii="宋体" w:hAnsi="宋体" w:eastAsia="宋体" w:cs="宋体"/>
          <w:color w:val="auto"/>
          <w:sz w:val="24"/>
          <w:szCs w:val="24"/>
          <w:highlight w:val="none"/>
        </w:rPr>
        <w:t>因发包人原因无法按时复工的，承包人有权要求发包人延长工期和（或）增加费用，</w:t>
      </w:r>
      <w:r>
        <w:rPr>
          <w:rFonts w:ascii="宋体" w:hAnsi="宋体" w:eastAsia="宋体" w:cs="宋体"/>
          <w:color w:val="auto"/>
          <w:spacing w:val="-6"/>
          <w:sz w:val="24"/>
          <w:szCs w:val="24"/>
          <w:highlight w:val="none"/>
        </w:rPr>
        <w:t>并支付合理利润。</w:t>
      </w:r>
    </w:p>
    <w:p w14:paraId="7DC73BC2">
      <w:pPr>
        <w:spacing w:before="179" w:line="220" w:lineRule="auto"/>
        <w:ind w:left="7"/>
        <w:outlineLvl w:val="1"/>
        <w:rPr>
          <w:rFonts w:ascii="宋体" w:hAnsi="宋体" w:eastAsia="宋体" w:cs="宋体"/>
          <w:color w:val="auto"/>
          <w:sz w:val="24"/>
          <w:szCs w:val="24"/>
          <w:highlight w:val="none"/>
        </w:rPr>
      </w:pPr>
      <w:bookmarkStart w:id="534" w:name="bookmark232"/>
      <w:bookmarkEnd w:id="534"/>
      <w:bookmarkStart w:id="535" w:name="_Toc11382"/>
      <w:bookmarkStart w:id="536" w:name="_Toc19700"/>
      <w:r>
        <w:rPr>
          <w:rFonts w:ascii="Times New Roman" w:hAnsi="Times New Roman" w:eastAsia="Times New Roman" w:cs="Times New Roman"/>
          <w:b/>
          <w:bCs/>
          <w:color w:val="auto"/>
          <w:spacing w:val="-2"/>
          <w:sz w:val="24"/>
          <w:szCs w:val="24"/>
          <w:highlight w:val="none"/>
        </w:rPr>
        <w:t xml:space="preserve">12.5  </w:t>
      </w:r>
      <w:r>
        <w:rPr>
          <w:rFonts w:ascii="宋体" w:hAnsi="宋体" w:eastAsia="宋体" w:cs="宋体"/>
          <w:b/>
          <w:bCs/>
          <w:color w:val="auto"/>
          <w:spacing w:val="-2"/>
          <w:sz w:val="24"/>
          <w:szCs w:val="24"/>
          <w:highlight w:val="none"/>
        </w:rPr>
        <w:t>暂停施工持续</w:t>
      </w:r>
      <w:r>
        <w:rPr>
          <w:rFonts w:ascii="Times New Roman" w:hAnsi="Times New Roman" w:eastAsia="Times New Roman" w:cs="Times New Roman"/>
          <w:b/>
          <w:bCs/>
          <w:color w:val="auto"/>
          <w:spacing w:val="-2"/>
          <w:sz w:val="24"/>
          <w:szCs w:val="24"/>
          <w:highlight w:val="none"/>
        </w:rPr>
        <w:t>56</w:t>
      </w:r>
      <w:r>
        <w:rPr>
          <w:rFonts w:ascii="宋体" w:hAnsi="宋体" w:eastAsia="宋体" w:cs="宋体"/>
          <w:b/>
          <w:bCs/>
          <w:color w:val="auto"/>
          <w:spacing w:val="-2"/>
          <w:sz w:val="24"/>
          <w:szCs w:val="24"/>
          <w:highlight w:val="none"/>
        </w:rPr>
        <w:t>天以上</w:t>
      </w:r>
      <w:bookmarkEnd w:id="535"/>
      <w:bookmarkEnd w:id="536"/>
    </w:p>
    <w:p w14:paraId="4CAE9890">
      <w:pPr>
        <w:spacing w:before="184" w:line="331" w:lineRule="auto"/>
        <w:ind w:right="96" w:firstLine="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12.5.1  </w:t>
      </w:r>
      <w:r>
        <w:rPr>
          <w:rFonts w:ascii="宋体" w:hAnsi="宋体" w:eastAsia="宋体" w:cs="宋体"/>
          <w:color w:val="auto"/>
          <w:spacing w:val="-3"/>
          <w:sz w:val="24"/>
          <w:szCs w:val="24"/>
          <w:highlight w:val="none"/>
        </w:rPr>
        <w:t>监理人发出暂停施工指示后</w:t>
      </w:r>
      <w:r>
        <w:rPr>
          <w:rFonts w:ascii="Times New Roman" w:hAnsi="Times New Roman" w:eastAsia="Times New Roman" w:cs="Times New Roman"/>
          <w:color w:val="auto"/>
          <w:spacing w:val="-3"/>
          <w:sz w:val="24"/>
          <w:szCs w:val="24"/>
          <w:highlight w:val="none"/>
        </w:rPr>
        <w:t>56</w:t>
      </w:r>
      <w:r>
        <w:rPr>
          <w:rFonts w:ascii="宋体" w:hAnsi="宋体" w:eastAsia="宋体" w:cs="宋体"/>
          <w:color w:val="auto"/>
          <w:spacing w:val="-3"/>
          <w:sz w:val="24"/>
          <w:szCs w:val="24"/>
          <w:highlight w:val="none"/>
        </w:rPr>
        <w:t>天内未向承包人发出复工通知，除了该项停</w:t>
      </w:r>
      <w:r>
        <w:rPr>
          <w:rFonts w:ascii="宋体" w:hAnsi="宋体" w:eastAsia="宋体" w:cs="宋体"/>
          <w:color w:val="auto"/>
          <w:spacing w:val="-1"/>
          <w:sz w:val="24"/>
          <w:szCs w:val="24"/>
          <w:highlight w:val="none"/>
        </w:rPr>
        <w:t>工属于第</w:t>
      </w:r>
      <w:r>
        <w:rPr>
          <w:rFonts w:ascii="Times New Roman" w:hAnsi="Times New Roman" w:eastAsia="Times New Roman" w:cs="Times New Roman"/>
          <w:color w:val="auto"/>
          <w:spacing w:val="-1"/>
          <w:sz w:val="24"/>
          <w:szCs w:val="24"/>
          <w:highlight w:val="none"/>
        </w:rPr>
        <w:t>12.1</w:t>
      </w:r>
      <w:r>
        <w:rPr>
          <w:rFonts w:ascii="宋体" w:hAnsi="宋体" w:eastAsia="宋体" w:cs="宋体"/>
          <w:color w:val="auto"/>
          <w:spacing w:val="-1"/>
          <w:sz w:val="24"/>
          <w:szCs w:val="24"/>
          <w:highlight w:val="none"/>
        </w:rPr>
        <w:t>款的情况外，承包人可向监理人提交书面通知，要求监理人在</w:t>
      </w:r>
      <w:r>
        <w:rPr>
          <w:rFonts w:ascii="宋体" w:hAnsi="宋体" w:eastAsia="宋体" w:cs="宋体"/>
          <w:color w:val="auto"/>
          <w:spacing w:val="-2"/>
          <w:sz w:val="24"/>
          <w:szCs w:val="24"/>
          <w:highlight w:val="none"/>
        </w:rPr>
        <w:t>收到书面</w:t>
      </w:r>
      <w:r>
        <w:rPr>
          <w:rFonts w:ascii="宋体" w:hAnsi="宋体" w:eastAsia="宋体" w:cs="宋体"/>
          <w:color w:val="auto"/>
          <w:spacing w:val="-3"/>
          <w:sz w:val="24"/>
          <w:szCs w:val="24"/>
          <w:highlight w:val="none"/>
        </w:rPr>
        <w:t>通知后</w:t>
      </w:r>
      <w:r>
        <w:rPr>
          <w:rFonts w:ascii="Times New Roman" w:hAnsi="Times New Roman" w:eastAsia="Times New Roman" w:cs="Times New Roman"/>
          <w:color w:val="auto"/>
          <w:spacing w:val="-3"/>
          <w:sz w:val="24"/>
          <w:szCs w:val="24"/>
          <w:highlight w:val="none"/>
        </w:rPr>
        <w:t>28</w:t>
      </w:r>
      <w:r>
        <w:rPr>
          <w:rFonts w:ascii="宋体" w:hAnsi="宋体" w:eastAsia="宋体" w:cs="宋体"/>
          <w:color w:val="auto"/>
          <w:spacing w:val="-3"/>
          <w:sz w:val="24"/>
          <w:szCs w:val="24"/>
          <w:highlight w:val="none"/>
        </w:rPr>
        <w:t>天内准许已暂停施工的工程或其中一部分工程继续施工。如监理人逾期不予批准，则承包人可以通知监理人，将工程受影响的部分视为按第</w:t>
      </w:r>
      <w:r>
        <w:rPr>
          <w:rFonts w:ascii="Times New Roman" w:hAnsi="Times New Roman" w:eastAsia="Times New Roman" w:cs="Times New Roman"/>
          <w:color w:val="auto"/>
          <w:spacing w:val="-3"/>
          <w:sz w:val="24"/>
          <w:szCs w:val="24"/>
          <w:highlight w:val="none"/>
        </w:rPr>
        <w:t>15.1</w:t>
      </w: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l</w:t>
      </w:r>
      <w:r>
        <w:rPr>
          <w:rFonts w:ascii="宋体" w:hAnsi="宋体" w:eastAsia="宋体" w:cs="宋体"/>
          <w:color w:val="auto"/>
          <w:spacing w:val="-3"/>
          <w:sz w:val="24"/>
          <w:szCs w:val="24"/>
          <w:highlight w:val="none"/>
        </w:rPr>
        <w:t>）项的可取消</w:t>
      </w:r>
      <w:r>
        <w:rPr>
          <w:rFonts w:ascii="宋体" w:hAnsi="宋体" w:eastAsia="宋体" w:cs="宋体"/>
          <w:color w:val="auto"/>
          <w:spacing w:val="1"/>
          <w:sz w:val="24"/>
          <w:szCs w:val="24"/>
          <w:highlight w:val="none"/>
        </w:rPr>
        <w:t>工作。如暂停施工影响到整个工程，可视为发包人违约，应按第</w:t>
      </w:r>
      <w:r>
        <w:rPr>
          <w:rFonts w:ascii="Times New Roman" w:hAnsi="Times New Roman" w:eastAsia="Times New Roman" w:cs="Times New Roman"/>
          <w:color w:val="auto"/>
          <w:spacing w:val="1"/>
          <w:sz w:val="24"/>
          <w:szCs w:val="24"/>
          <w:highlight w:val="none"/>
        </w:rPr>
        <w:t>22.2</w:t>
      </w:r>
      <w:r>
        <w:rPr>
          <w:rFonts w:ascii="宋体" w:hAnsi="宋体" w:eastAsia="宋体" w:cs="宋体"/>
          <w:color w:val="auto"/>
          <w:spacing w:val="1"/>
          <w:sz w:val="24"/>
          <w:szCs w:val="24"/>
          <w:highlight w:val="none"/>
        </w:rPr>
        <w:t>款的约定办理。</w:t>
      </w:r>
    </w:p>
    <w:p w14:paraId="696445DB">
      <w:pPr>
        <w:spacing w:before="181" w:line="313" w:lineRule="auto"/>
        <w:ind w:left="1" w:right="183"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12.5.2</w:t>
      </w:r>
      <w:r>
        <w:rPr>
          <w:rFonts w:ascii="Times New Roman" w:hAnsi="Times New Roman" w:eastAsia="Times New Roman" w:cs="Times New Roman"/>
          <w:b/>
          <w:bCs/>
          <w:color w:val="auto"/>
          <w:spacing w:val="20"/>
          <w:w w:val="101"/>
          <w:sz w:val="24"/>
          <w:szCs w:val="24"/>
          <w:highlight w:val="none"/>
        </w:rPr>
        <w:t xml:space="preserve">  </w:t>
      </w:r>
      <w:r>
        <w:rPr>
          <w:rFonts w:ascii="宋体" w:hAnsi="宋体" w:eastAsia="宋体" w:cs="宋体"/>
          <w:color w:val="auto"/>
          <w:spacing w:val="-4"/>
          <w:sz w:val="24"/>
          <w:szCs w:val="24"/>
          <w:highlight w:val="none"/>
        </w:rPr>
        <w:t>由于承包人责任引起的暂停施工，如承包人在收到监理人暂停施工指示后</w:t>
      </w:r>
      <w:r>
        <w:rPr>
          <w:rFonts w:ascii="Times New Roman" w:hAnsi="Times New Roman" w:eastAsia="Times New Roman" w:cs="Times New Roman"/>
          <w:color w:val="auto"/>
          <w:spacing w:val="-4"/>
          <w:sz w:val="24"/>
          <w:szCs w:val="24"/>
          <w:highlight w:val="none"/>
        </w:rPr>
        <w:t xml:space="preserve">56  </w:t>
      </w:r>
      <w:r>
        <w:rPr>
          <w:rFonts w:ascii="宋体" w:hAnsi="宋体" w:eastAsia="宋体" w:cs="宋体"/>
          <w:color w:val="auto"/>
          <w:spacing w:val="-4"/>
          <w:sz w:val="24"/>
          <w:szCs w:val="24"/>
          <w:highlight w:val="none"/>
        </w:rPr>
        <w:t>天内不认真采取有效的复工措施，造成工期延误，可视为承包人违约，应按第</w:t>
      </w:r>
      <w:r>
        <w:rPr>
          <w:rFonts w:ascii="Times New Roman" w:hAnsi="Times New Roman" w:eastAsia="Times New Roman" w:cs="Times New Roman"/>
          <w:color w:val="auto"/>
          <w:spacing w:val="-4"/>
          <w:sz w:val="24"/>
          <w:szCs w:val="24"/>
          <w:highlight w:val="none"/>
        </w:rPr>
        <w:t>22.1</w:t>
      </w:r>
      <w:r>
        <w:rPr>
          <w:rFonts w:ascii="宋体" w:hAnsi="宋体" w:eastAsia="宋体" w:cs="宋体"/>
          <w:color w:val="auto"/>
          <w:spacing w:val="-6"/>
          <w:sz w:val="24"/>
          <w:szCs w:val="24"/>
          <w:highlight w:val="none"/>
        </w:rPr>
        <w:t>款的约定办理。</w:t>
      </w:r>
    </w:p>
    <w:p w14:paraId="47D1D2F0">
      <w:pPr>
        <w:spacing w:before="306" w:line="221" w:lineRule="auto"/>
        <w:ind w:left="10"/>
        <w:outlineLvl w:val="0"/>
        <w:rPr>
          <w:rFonts w:ascii="宋体" w:hAnsi="宋体" w:eastAsia="宋体" w:cs="宋体"/>
          <w:color w:val="auto"/>
          <w:sz w:val="28"/>
          <w:szCs w:val="28"/>
          <w:highlight w:val="none"/>
        </w:rPr>
      </w:pPr>
      <w:bookmarkStart w:id="537" w:name="bookmark234"/>
      <w:bookmarkEnd w:id="537"/>
      <w:bookmarkStart w:id="538" w:name="bookmark233"/>
      <w:bookmarkEnd w:id="538"/>
      <w:bookmarkStart w:id="539" w:name="_Toc6934"/>
      <w:bookmarkStart w:id="540" w:name="_Toc30155"/>
      <w:r>
        <w:rPr>
          <w:rFonts w:ascii="Times New Roman" w:hAnsi="Times New Roman" w:eastAsia="Times New Roman" w:cs="Times New Roman"/>
          <w:b/>
          <w:bCs/>
          <w:color w:val="auto"/>
          <w:spacing w:val="-7"/>
          <w:sz w:val="28"/>
          <w:szCs w:val="28"/>
          <w:highlight w:val="none"/>
        </w:rPr>
        <w:t>13</w:t>
      </w:r>
      <w:r>
        <w:rPr>
          <w:rFonts w:hint="eastAsia" w:ascii="Times New Roman" w:hAnsi="Times New Roman" w:eastAsia="宋体" w:cs="Times New Roman"/>
          <w:b/>
          <w:bCs/>
          <w:color w:val="auto"/>
          <w:spacing w:val="8"/>
          <w:sz w:val="28"/>
          <w:szCs w:val="28"/>
          <w:highlight w:val="none"/>
          <w:lang w:eastAsia="zh-CN"/>
        </w:rPr>
        <w:t>、</w:t>
      </w:r>
      <w:r>
        <w:rPr>
          <w:rFonts w:ascii="宋体" w:hAnsi="宋体" w:eastAsia="宋体" w:cs="宋体"/>
          <w:b/>
          <w:bCs/>
          <w:color w:val="auto"/>
          <w:spacing w:val="-7"/>
          <w:sz w:val="28"/>
          <w:szCs w:val="28"/>
          <w:highlight w:val="none"/>
        </w:rPr>
        <w:t>工程质量</w:t>
      </w:r>
      <w:bookmarkEnd w:id="539"/>
      <w:bookmarkEnd w:id="540"/>
    </w:p>
    <w:p w14:paraId="3A2F935F">
      <w:pPr>
        <w:pStyle w:val="3"/>
        <w:spacing w:line="245" w:lineRule="auto"/>
        <w:rPr>
          <w:color w:val="auto"/>
          <w:highlight w:val="none"/>
        </w:rPr>
      </w:pPr>
    </w:p>
    <w:p w14:paraId="3DD77DE6">
      <w:pPr>
        <w:spacing w:before="78" w:line="220" w:lineRule="auto"/>
        <w:ind w:left="7"/>
        <w:outlineLvl w:val="1"/>
        <w:rPr>
          <w:rFonts w:ascii="宋体" w:hAnsi="宋体" w:eastAsia="宋体" w:cs="宋体"/>
          <w:color w:val="auto"/>
          <w:sz w:val="24"/>
          <w:szCs w:val="24"/>
          <w:highlight w:val="none"/>
        </w:rPr>
      </w:pPr>
      <w:bookmarkStart w:id="541" w:name="bookmark699"/>
      <w:bookmarkEnd w:id="541"/>
      <w:bookmarkStart w:id="542" w:name="_Toc22785"/>
      <w:bookmarkStart w:id="543" w:name="_Toc21007"/>
      <w:r>
        <w:rPr>
          <w:rFonts w:ascii="Times New Roman" w:hAnsi="Times New Roman" w:eastAsia="Times New Roman" w:cs="Times New Roman"/>
          <w:b/>
          <w:bCs/>
          <w:color w:val="auto"/>
          <w:spacing w:val="-2"/>
          <w:sz w:val="24"/>
          <w:szCs w:val="24"/>
          <w:highlight w:val="none"/>
        </w:rPr>
        <w:t xml:space="preserve">13.1  </w:t>
      </w:r>
      <w:r>
        <w:rPr>
          <w:rFonts w:ascii="宋体" w:hAnsi="宋体" w:eastAsia="宋体" w:cs="宋体"/>
          <w:b/>
          <w:bCs/>
          <w:color w:val="auto"/>
          <w:spacing w:val="-2"/>
          <w:sz w:val="24"/>
          <w:szCs w:val="24"/>
          <w:highlight w:val="none"/>
        </w:rPr>
        <w:t>工程质量要求</w:t>
      </w:r>
      <w:bookmarkEnd w:id="542"/>
      <w:bookmarkEnd w:id="543"/>
    </w:p>
    <w:p w14:paraId="15A59A64">
      <w:pPr>
        <w:spacing w:before="181"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13.1.1  </w:t>
      </w:r>
      <w:r>
        <w:rPr>
          <w:rFonts w:ascii="宋体" w:hAnsi="宋体" w:eastAsia="宋体" w:cs="宋体"/>
          <w:color w:val="auto"/>
          <w:spacing w:val="-2"/>
          <w:sz w:val="24"/>
          <w:szCs w:val="24"/>
          <w:highlight w:val="none"/>
        </w:rPr>
        <w:t>工程质量验收按合同约定验收标准执行。</w:t>
      </w:r>
    </w:p>
    <w:p w14:paraId="0EF945EE">
      <w:pPr>
        <w:spacing w:before="178" w:line="313" w:lineRule="auto"/>
        <w:ind w:right="183"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13.1.2</w:t>
      </w:r>
      <w:r>
        <w:rPr>
          <w:rFonts w:ascii="Times New Roman" w:hAnsi="Times New Roman" w:eastAsia="Times New Roman" w:cs="Times New Roman"/>
          <w:b/>
          <w:bCs/>
          <w:color w:val="auto"/>
          <w:spacing w:val="20"/>
          <w:w w:val="101"/>
          <w:sz w:val="24"/>
          <w:szCs w:val="24"/>
          <w:highlight w:val="none"/>
        </w:rPr>
        <w:t xml:space="preserve">  </w:t>
      </w:r>
      <w:r>
        <w:rPr>
          <w:rFonts w:ascii="宋体" w:hAnsi="宋体" w:eastAsia="宋体" w:cs="宋体"/>
          <w:color w:val="auto"/>
          <w:spacing w:val="-4"/>
          <w:sz w:val="24"/>
          <w:szCs w:val="24"/>
          <w:highlight w:val="none"/>
        </w:rPr>
        <w:t>因承包人原因造成工程质量达不到合同约定验收标准的，监理人有权要求</w:t>
      </w:r>
      <w:r>
        <w:rPr>
          <w:rFonts w:ascii="宋体" w:hAnsi="宋体" w:eastAsia="宋体" w:cs="宋体"/>
          <w:color w:val="auto"/>
          <w:spacing w:val="-3"/>
          <w:sz w:val="24"/>
          <w:szCs w:val="24"/>
          <w:highlight w:val="none"/>
        </w:rPr>
        <w:t>承包人返工直至符合合同要求为止，由此造成的费用增加和（或）工期延误由承包人</w:t>
      </w:r>
      <w:r>
        <w:rPr>
          <w:rFonts w:ascii="宋体" w:hAnsi="宋体" w:eastAsia="宋体" w:cs="宋体"/>
          <w:color w:val="auto"/>
          <w:spacing w:val="-10"/>
          <w:sz w:val="24"/>
          <w:szCs w:val="24"/>
          <w:highlight w:val="none"/>
        </w:rPr>
        <w:t>承担。</w:t>
      </w:r>
    </w:p>
    <w:p w14:paraId="7D3C1C83">
      <w:pPr>
        <w:spacing w:before="182" w:line="289" w:lineRule="auto"/>
        <w:ind w:left="4" w:right="183" w:firstLine="485"/>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13.1.3</w:t>
      </w:r>
      <w:r>
        <w:rPr>
          <w:rFonts w:ascii="Times New Roman" w:hAnsi="Times New Roman" w:eastAsia="Times New Roman" w:cs="Times New Roman"/>
          <w:b/>
          <w:bCs/>
          <w:color w:val="auto"/>
          <w:spacing w:val="20"/>
          <w:w w:val="101"/>
          <w:sz w:val="24"/>
          <w:szCs w:val="24"/>
          <w:highlight w:val="none"/>
        </w:rPr>
        <w:t xml:space="preserve">  </w:t>
      </w:r>
      <w:r>
        <w:rPr>
          <w:rFonts w:ascii="宋体" w:hAnsi="宋体" w:eastAsia="宋体" w:cs="宋体"/>
          <w:color w:val="auto"/>
          <w:spacing w:val="-4"/>
          <w:sz w:val="24"/>
          <w:szCs w:val="24"/>
          <w:highlight w:val="none"/>
        </w:rPr>
        <w:t>因发包人原因造成工程质量达不到合同约定验收标准的，发包人应承担由</w:t>
      </w:r>
      <w:r>
        <w:rPr>
          <w:rFonts w:ascii="宋体" w:hAnsi="宋体" w:eastAsia="宋体" w:cs="宋体"/>
          <w:color w:val="auto"/>
          <w:spacing w:val="-2"/>
          <w:sz w:val="24"/>
          <w:szCs w:val="24"/>
          <w:highlight w:val="none"/>
        </w:rPr>
        <w:t>于承包人返工造成的费用增加和（或）工期延误，并支付承包人合理利润。</w:t>
      </w:r>
    </w:p>
    <w:p w14:paraId="7332C28A">
      <w:pPr>
        <w:spacing w:before="182" w:line="220" w:lineRule="auto"/>
        <w:ind w:left="7"/>
        <w:outlineLvl w:val="1"/>
        <w:rPr>
          <w:rFonts w:ascii="宋体" w:hAnsi="宋体" w:eastAsia="宋体" w:cs="宋体"/>
          <w:color w:val="auto"/>
          <w:sz w:val="24"/>
          <w:szCs w:val="24"/>
          <w:highlight w:val="none"/>
        </w:rPr>
      </w:pPr>
      <w:bookmarkStart w:id="544" w:name="bookmark235"/>
      <w:bookmarkEnd w:id="544"/>
      <w:bookmarkStart w:id="545" w:name="_Toc14737"/>
      <w:bookmarkStart w:id="546" w:name="_Toc25980"/>
      <w:r>
        <w:rPr>
          <w:rFonts w:ascii="Times New Roman" w:hAnsi="Times New Roman" w:eastAsia="Times New Roman" w:cs="Times New Roman"/>
          <w:b/>
          <w:bCs/>
          <w:color w:val="auto"/>
          <w:spacing w:val="-3"/>
          <w:sz w:val="24"/>
          <w:szCs w:val="24"/>
          <w:highlight w:val="none"/>
        </w:rPr>
        <w:t xml:space="preserve">13.2  </w:t>
      </w:r>
      <w:r>
        <w:rPr>
          <w:rFonts w:ascii="宋体" w:hAnsi="宋体" w:eastAsia="宋体" w:cs="宋体"/>
          <w:b/>
          <w:bCs/>
          <w:color w:val="auto"/>
          <w:spacing w:val="-3"/>
          <w:sz w:val="24"/>
          <w:szCs w:val="24"/>
          <w:highlight w:val="none"/>
        </w:rPr>
        <w:t>承包人的质量管理</w:t>
      </w:r>
      <w:bookmarkEnd w:id="545"/>
      <w:bookmarkEnd w:id="546"/>
    </w:p>
    <w:p w14:paraId="4AE97BC7">
      <w:pPr>
        <w:spacing w:before="180" w:line="219"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13.2.1  </w:t>
      </w:r>
      <w:r>
        <w:rPr>
          <w:rFonts w:ascii="宋体" w:hAnsi="宋体" w:eastAsia="宋体" w:cs="宋体"/>
          <w:color w:val="auto"/>
          <w:spacing w:val="-1"/>
          <w:sz w:val="24"/>
          <w:szCs w:val="24"/>
          <w:highlight w:val="none"/>
        </w:rPr>
        <w:t>承包人应在施工场地设置专门的质量检查机构，配备专职质量检查人员，</w:t>
      </w:r>
    </w:p>
    <w:p w14:paraId="0B7419B3">
      <w:pPr>
        <w:spacing w:line="219" w:lineRule="auto"/>
        <w:rPr>
          <w:rFonts w:ascii="宋体" w:hAnsi="宋体" w:eastAsia="宋体" w:cs="宋体"/>
          <w:color w:val="auto"/>
          <w:sz w:val="24"/>
          <w:szCs w:val="24"/>
          <w:highlight w:val="none"/>
        </w:rPr>
        <w:sectPr>
          <w:footerReference r:id="rId53" w:type="default"/>
          <w:pgSz w:w="11907" w:h="16841"/>
          <w:pgMar w:top="1428" w:right="1344" w:bottom="1254" w:left="1597" w:header="0" w:footer="1093" w:gutter="0"/>
          <w:pgNumType w:fmt="decimal"/>
          <w:cols w:space="720" w:num="1"/>
        </w:sectPr>
      </w:pPr>
    </w:p>
    <w:p w14:paraId="6F016B4A">
      <w:pPr>
        <w:spacing w:before="48" w:line="359" w:lineRule="auto"/>
        <w:ind w:left="2" w:right="87" w:firstLine="1"/>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建立完善的质量检查制度。承包人应按技术标准和要求（合同技术条款）约定的内容和期限，编制工程质量保证措施文件，包括质量检查机构的组织和岗位责任、质量检</w:t>
      </w:r>
      <w:r>
        <w:rPr>
          <w:rFonts w:ascii="宋体" w:hAnsi="宋体" w:eastAsia="宋体" w:cs="宋体"/>
          <w:color w:val="auto"/>
          <w:spacing w:val="-6"/>
          <w:sz w:val="24"/>
          <w:szCs w:val="24"/>
          <w:highlight w:val="none"/>
        </w:rPr>
        <w:t>查人员的组成、质量检查程序和实施细则等， 提交监理人审批。监理人应在技术标准</w:t>
      </w:r>
      <w:r>
        <w:rPr>
          <w:rFonts w:ascii="宋体" w:hAnsi="宋体" w:eastAsia="宋体" w:cs="宋体"/>
          <w:color w:val="auto"/>
          <w:spacing w:val="-2"/>
          <w:sz w:val="24"/>
          <w:szCs w:val="24"/>
          <w:highlight w:val="none"/>
        </w:rPr>
        <w:t>和要求（合同技术条款）约定的期限内批复承包人。</w:t>
      </w:r>
    </w:p>
    <w:p w14:paraId="1954E799">
      <w:pPr>
        <w:spacing w:line="359" w:lineRule="auto"/>
        <w:ind w:left="2" w:right="85"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13.2.2  </w:t>
      </w:r>
      <w:r>
        <w:rPr>
          <w:rFonts w:ascii="宋体" w:hAnsi="宋体" w:eastAsia="宋体" w:cs="宋体"/>
          <w:color w:val="auto"/>
          <w:spacing w:val="-3"/>
          <w:sz w:val="24"/>
          <w:szCs w:val="24"/>
          <w:highlight w:val="none"/>
        </w:rPr>
        <w:t>承包人应加强对施工人员的质量教育和技术培训，定期考核施工人员的劳动技能，严格执行规范和操作规程。</w:t>
      </w:r>
    </w:p>
    <w:p w14:paraId="0A1D48CA">
      <w:pPr>
        <w:spacing w:line="219" w:lineRule="auto"/>
        <w:ind w:left="8"/>
        <w:outlineLvl w:val="1"/>
        <w:rPr>
          <w:rFonts w:ascii="宋体" w:hAnsi="宋体" w:eastAsia="宋体" w:cs="宋体"/>
          <w:color w:val="auto"/>
          <w:sz w:val="24"/>
          <w:szCs w:val="24"/>
          <w:highlight w:val="none"/>
        </w:rPr>
      </w:pPr>
      <w:bookmarkStart w:id="547" w:name="bookmark236"/>
      <w:bookmarkEnd w:id="547"/>
      <w:bookmarkStart w:id="548" w:name="_Toc9950"/>
      <w:bookmarkStart w:id="549" w:name="_Toc25052"/>
      <w:r>
        <w:rPr>
          <w:rFonts w:ascii="Times New Roman" w:hAnsi="Times New Roman" w:eastAsia="Times New Roman" w:cs="Times New Roman"/>
          <w:b/>
          <w:bCs/>
          <w:color w:val="auto"/>
          <w:spacing w:val="-3"/>
          <w:sz w:val="24"/>
          <w:szCs w:val="24"/>
          <w:highlight w:val="none"/>
        </w:rPr>
        <w:t xml:space="preserve">13.3  </w:t>
      </w:r>
      <w:r>
        <w:rPr>
          <w:rFonts w:ascii="宋体" w:hAnsi="宋体" w:eastAsia="宋体" w:cs="宋体"/>
          <w:b/>
          <w:bCs/>
          <w:color w:val="auto"/>
          <w:spacing w:val="-3"/>
          <w:sz w:val="24"/>
          <w:szCs w:val="24"/>
          <w:highlight w:val="none"/>
        </w:rPr>
        <w:t>承包人的质量检查</w:t>
      </w:r>
      <w:bookmarkEnd w:id="548"/>
      <w:bookmarkEnd w:id="549"/>
    </w:p>
    <w:p w14:paraId="5891862D">
      <w:pPr>
        <w:spacing w:before="182" w:line="359" w:lineRule="auto"/>
        <w:ind w:left="2" w:right="85"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承包人应按合同约定对材料、工程设备以及工程的所有部位及其施工工艺进行全</w:t>
      </w:r>
      <w:r>
        <w:rPr>
          <w:rFonts w:ascii="宋体" w:hAnsi="宋体" w:eastAsia="宋体" w:cs="宋体"/>
          <w:color w:val="auto"/>
          <w:spacing w:val="-1"/>
          <w:sz w:val="24"/>
          <w:szCs w:val="24"/>
          <w:highlight w:val="none"/>
        </w:rPr>
        <w:t>过程的质量检查和检验，并作详细记录，编制工程质量报</w:t>
      </w:r>
      <w:r>
        <w:rPr>
          <w:rFonts w:ascii="宋体" w:hAnsi="宋体" w:eastAsia="宋体" w:cs="宋体"/>
          <w:color w:val="auto"/>
          <w:spacing w:val="-2"/>
          <w:sz w:val="24"/>
          <w:szCs w:val="24"/>
          <w:highlight w:val="none"/>
        </w:rPr>
        <w:t>表，报送监理人审查。</w:t>
      </w:r>
    </w:p>
    <w:p w14:paraId="65616819">
      <w:pPr>
        <w:spacing w:line="219" w:lineRule="auto"/>
        <w:ind w:left="8"/>
        <w:outlineLvl w:val="1"/>
        <w:rPr>
          <w:rFonts w:ascii="宋体" w:hAnsi="宋体" w:eastAsia="宋体" w:cs="宋体"/>
          <w:color w:val="auto"/>
          <w:sz w:val="24"/>
          <w:szCs w:val="24"/>
          <w:highlight w:val="none"/>
        </w:rPr>
      </w:pPr>
      <w:bookmarkStart w:id="550" w:name="bookmark237"/>
      <w:bookmarkEnd w:id="550"/>
      <w:bookmarkStart w:id="551" w:name="_Toc3578"/>
      <w:bookmarkStart w:id="552" w:name="_Toc57"/>
      <w:r>
        <w:rPr>
          <w:rFonts w:ascii="Times New Roman" w:hAnsi="Times New Roman" w:eastAsia="Times New Roman" w:cs="Times New Roman"/>
          <w:b/>
          <w:bCs/>
          <w:color w:val="auto"/>
          <w:spacing w:val="-3"/>
          <w:sz w:val="24"/>
          <w:szCs w:val="24"/>
          <w:highlight w:val="none"/>
        </w:rPr>
        <w:t xml:space="preserve">13.4  </w:t>
      </w:r>
      <w:r>
        <w:rPr>
          <w:rFonts w:ascii="宋体" w:hAnsi="宋体" w:eastAsia="宋体" w:cs="宋体"/>
          <w:b/>
          <w:bCs/>
          <w:color w:val="auto"/>
          <w:spacing w:val="-3"/>
          <w:sz w:val="24"/>
          <w:szCs w:val="24"/>
          <w:highlight w:val="none"/>
        </w:rPr>
        <w:t>监理人的质量检查</w:t>
      </w:r>
      <w:bookmarkEnd w:id="551"/>
      <w:bookmarkEnd w:id="552"/>
    </w:p>
    <w:p w14:paraId="6F661F36">
      <w:pPr>
        <w:spacing w:before="184" w:line="359" w:lineRule="auto"/>
        <w:ind w:firstLine="482"/>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监理人有权对工程的所有部位及其施工工艺、材料和工程设备进行检查和检验。</w:t>
      </w:r>
      <w:r>
        <w:rPr>
          <w:rFonts w:ascii="宋体" w:hAnsi="宋体" w:eastAsia="宋体" w:cs="宋体"/>
          <w:color w:val="auto"/>
          <w:spacing w:val="-3"/>
          <w:sz w:val="24"/>
          <w:szCs w:val="24"/>
          <w:highlight w:val="none"/>
        </w:rPr>
        <w:t>承包人应为监理人的检查和检验提供方便，包括监理人到施工场地，或制造、加工地</w:t>
      </w:r>
      <w:r>
        <w:rPr>
          <w:rFonts w:ascii="宋体" w:hAnsi="宋体" w:eastAsia="宋体" w:cs="宋体"/>
          <w:color w:val="auto"/>
          <w:spacing w:val="-7"/>
          <w:sz w:val="24"/>
          <w:szCs w:val="24"/>
          <w:highlight w:val="none"/>
        </w:rPr>
        <w:t>点，或合同约定的其他地方进行察看和查阅施工原始记录。承包人还</w:t>
      </w:r>
      <w:r>
        <w:rPr>
          <w:rFonts w:ascii="宋体" w:hAnsi="宋体" w:eastAsia="宋体" w:cs="宋体"/>
          <w:color w:val="auto"/>
          <w:spacing w:val="-8"/>
          <w:sz w:val="24"/>
          <w:szCs w:val="24"/>
          <w:highlight w:val="none"/>
        </w:rPr>
        <w:t>应按监理人指示，</w:t>
      </w:r>
      <w:r>
        <w:rPr>
          <w:rFonts w:ascii="宋体" w:hAnsi="宋体" w:eastAsia="宋体" w:cs="宋体"/>
          <w:color w:val="auto"/>
          <w:spacing w:val="-6"/>
          <w:sz w:val="24"/>
          <w:szCs w:val="24"/>
          <w:highlight w:val="none"/>
        </w:rPr>
        <w:t>进行施工场地取样试验、工程复核测量和设备性能检测， 提供试验样品、提交试验报</w:t>
      </w:r>
      <w:r>
        <w:rPr>
          <w:rFonts w:ascii="宋体" w:hAnsi="宋体" w:eastAsia="宋体" w:cs="宋体"/>
          <w:color w:val="auto"/>
          <w:spacing w:val="-5"/>
          <w:sz w:val="24"/>
          <w:szCs w:val="24"/>
          <w:highlight w:val="none"/>
        </w:rPr>
        <w:t>告和测量成果以及监理人要求进行的其他工作。监理人的检查和检验，</w:t>
      </w:r>
      <w:r>
        <w:rPr>
          <w:rFonts w:ascii="宋体" w:hAnsi="宋体" w:eastAsia="宋体" w:cs="宋体"/>
          <w:color w:val="auto"/>
          <w:spacing w:val="-35"/>
          <w:sz w:val="24"/>
          <w:szCs w:val="24"/>
          <w:highlight w:val="none"/>
        </w:rPr>
        <w:t xml:space="preserve"> </w:t>
      </w:r>
      <w:r>
        <w:rPr>
          <w:rFonts w:ascii="宋体" w:hAnsi="宋体" w:eastAsia="宋体" w:cs="宋体"/>
          <w:color w:val="auto"/>
          <w:spacing w:val="-5"/>
          <w:sz w:val="24"/>
          <w:szCs w:val="24"/>
          <w:highlight w:val="none"/>
        </w:rPr>
        <w:t>不免除承包人</w:t>
      </w:r>
      <w:r>
        <w:rPr>
          <w:rFonts w:ascii="宋体" w:hAnsi="宋体" w:eastAsia="宋体" w:cs="宋体"/>
          <w:color w:val="auto"/>
          <w:spacing w:val="-4"/>
          <w:sz w:val="24"/>
          <w:szCs w:val="24"/>
          <w:highlight w:val="none"/>
        </w:rPr>
        <w:t>按合同约定应负的责任。</w:t>
      </w:r>
    </w:p>
    <w:p w14:paraId="1CA903C5">
      <w:pPr>
        <w:spacing w:line="219" w:lineRule="auto"/>
        <w:ind w:left="8"/>
        <w:outlineLvl w:val="1"/>
        <w:rPr>
          <w:rFonts w:ascii="宋体" w:hAnsi="宋体" w:eastAsia="宋体" w:cs="宋体"/>
          <w:color w:val="auto"/>
          <w:sz w:val="24"/>
          <w:szCs w:val="24"/>
          <w:highlight w:val="none"/>
        </w:rPr>
      </w:pPr>
      <w:bookmarkStart w:id="553" w:name="bookmark238"/>
      <w:bookmarkEnd w:id="553"/>
      <w:bookmarkStart w:id="554" w:name="_Toc16344"/>
      <w:bookmarkStart w:id="555" w:name="_Toc6925"/>
      <w:r>
        <w:rPr>
          <w:rFonts w:ascii="Times New Roman" w:hAnsi="Times New Roman" w:eastAsia="Times New Roman" w:cs="Times New Roman"/>
          <w:b/>
          <w:bCs/>
          <w:color w:val="auto"/>
          <w:spacing w:val="-2"/>
          <w:sz w:val="24"/>
          <w:szCs w:val="24"/>
          <w:highlight w:val="none"/>
        </w:rPr>
        <w:t xml:space="preserve">13.5  </w:t>
      </w:r>
      <w:r>
        <w:rPr>
          <w:rFonts w:ascii="宋体" w:hAnsi="宋体" w:eastAsia="宋体" w:cs="宋体"/>
          <w:b/>
          <w:bCs/>
          <w:color w:val="auto"/>
          <w:spacing w:val="-2"/>
          <w:sz w:val="24"/>
          <w:szCs w:val="24"/>
          <w:highlight w:val="none"/>
        </w:rPr>
        <w:t>工程隐蔽部位覆盖前的检查</w:t>
      </w:r>
      <w:bookmarkEnd w:id="554"/>
      <w:bookmarkEnd w:id="555"/>
    </w:p>
    <w:p w14:paraId="2295D885">
      <w:pPr>
        <w:spacing w:before="180" w:line="220" w:lineRule="auto"/>
        <w:ind w:left="490"/>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13.5.1  </w:t>
      </w:r>
      <w:r>
        <w:rPr>
          <w:rFonts w:ascii="宋体" w:hAnsi="宋体" w:eastAsia="宋体" w:cs="宋体"/>
          <w:color w:val="auto"/>
          <w:spacing w:val="-1"/>
          <w:sz w:val="24"/>
          <w:szCs w:val="24"/>
          <w:highlight w:val="none"/>
        </w:rPr>
        <w:t>通知监理人检查</w:t>
      </w:r>
    </w:p>
    <w:p w14:paraId="27E0034C">
      <w:pPr>
        <w:spacing w:before="182" w:line="359" w:lineRule="auto"/>
        <w:ind w:left="1" w:right="18" w:firstLine="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经承包人自检确认的工程隐蔽部位具备覆盖条件后，承包人应通知监理人在约定的期限内检查。承包人的通知应附有自检记录和必要的检查资料。监理人应按时到场</w:t>
      </w:r>
      <w:r>
        <w:rPr>
          <w:rFonts w:ascii="宋体" w:hAnsi="宋体" w:eastAsia="宋体" w:cs="宋体"/>
          <w:color w:val="auto"/>
          <w:spacing w:val="-6"/>
          <w:sz w:val="24"/>
          <w:szCs w:val="24"/>
          <w:highlight w:val="none"/>
        </w:rPr>
        <w:t>检查。经监理人检查确认质量符合隐蔽要求， 并在检查记录上签字后，承包人才能进</w:t>
      </w:r>
      <w:r>
        <w:rPr>
          <w:rFonts w:ascii="宋体" w:hAnsi="宋体" w:eastAsia="宋体" w:cs="宋体"/>
          <w:color w:val="auto"/>
          <w:spacing w:val="-7"/>
          <w:sz w:val="24"/>
          <w:szCs w:val="24"/>
          <w:highlight w:val="none"/>
        </w:rPr>
        <w:t>行覆盖。监理人检查确认质量不合格的，承包人应在监理人指示</w:t>
      </w:r>
      <w:r>
        <w:rPr>
          <w:rFonts w:ascii="宋体" w:hAnsi="宋体" w:eastAsia="宋体" w:cs="宋体"/>
          <w:color w:val="auto"/>
          <w:spacing w:val="-8"/>
          <w:sz w:val="24"/>
          <w:szCs w:val="24"/>
          <w:highlight w:val="none"/>
        </w:rPr>
        <w:t>的时间内修整返工后，</w:t>
      </w:r>
      <w:r>
        <w:rPr>
          <w:rFonts w:ascii="宋体" w:hAnsi="宋体" w:eastAsia="宋体" w:cs="宋体"/>
          <w:color w:val="auto"/>
          <w:spacing w:val="-5"/>
          <w:sz w:val="24"/>
          <w:szCs w:val="24"/>
          <w:highlight w:val="none"/>
        </w:rPr>
        <w:t>由监理人重新检查。</w:t>
      </w:r>
    </w:p>
    <w:p w14:paraId="425C69F9">
      <w:pPr>
        <w:spacing w:line="219" w:lineRule="auto"/>
        <w:ind w:left="490"/>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13.5.2  </w:t>
      </w:r>
      <w:r>
        <w:rPr>
          <w:rFonts w:ascii="宋体" w:hAnsi="宋体" w:eastAsia="宋体" w:cs="宋体"/>
          <w:color w:val="auto"/>
          <w:spacing w:val="-1"/>
          <w:sz w:val="24"/>
          <w:szCs w:val="24"/>
          <w:highlight w:val="none"/>
        </w:rPr>
        <w:t>监理人未到场检查</w:t>
      </w:r>
    </w:p>
    <w:p w14:paraId="15C21D14">
      <w:pPr>
        <w:spacing w:before="182" w:line="359" w:lineRule="auto"/>
        <w:ind w:right="85" w:firstLine="48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监理人未按第</w:t>
      </w:r>
      <w:r>
        <w:rPr>
          <w:rFonts w:ascii="Times New Roman" w:hAnsi="Times New Roman" w:eastAsia="Times New Roman" w:cs="Times New Roman"/>
          <w:color w:val="auto"/>
          <w:spacing w:val="-4"/>
          <w:sz w:val="24"/>
          <w:szCs w:val="24"/>
          <w:highlight w:val="none"/>
        </w:rPr>
        <w:t>13.5.l</w:t>
      </w:r>
      <w:r>
        <w:rPr>
          <w:rFonts w:ascii="宋体" w:hAnsi="宋体" w:eastAsia="宋体" w:cs="宋体"/>
          <w:color w:val="auto"/>
          <w:spacing w:val="-4"/>
          <w:sz w:val="24"/>
          <w:szCs w:val="24"/>
          <w:highlight w:val="none"/>
        </w:rPr>
        <w:t>项约定的时间进行检查的，除</w:t>
      </w:r>
      <w:r>
        <w:rPr>
          <w:rFonts w:ascii="宋体" w:hAnsi="宋体" w:eastAsia="宋体" w:cs="宋体"/>
          <w:color w:val="auto"/>
          <w:spacing w:val="-5"/>
          <w:sz w:val="24"/>
          <w:szCs w:val="24"/>
          <w:highlight w:val="none"/>
        </w:rPr>
        <w:t>监理人另有指示外，承包人可自</w:t>
      </w:r>
      <w:r>
        <w:rPr>
          <w:rFonts w:ascii="宋体" w:hAnsi="宋体" w:eastAsia="宋体" w:cs="宋体"/>
          <w:color w:val="auto"/>
          <w:spacing w:val="-3"/>
          <w:sz w:val="24"/>
          <w:szCs w:val="24"/>
          <w:highlight w:val="none"/>
        </w:rPr>
        <w:t>行完成覆盖工作，并作相应记录报送监理人，监理人应签字确认。监理人事后对检查</w:t>
      </w:r>
      <w:r>
        <w:rPr>
          <w:rFonts w:ascii="宋体" w:hAnsi="宋体" w:eastAsia="宋体" w:cs="宋体"/>
          <w:color w:val="auto"/>
          <w:spacing w:val="-2"/>
          <w:sz w:val="24"/>
          <w:szCs w:val="24"/>
          <w:highlight w:val="none"/>
        </w:rPr>
        <w:t>记录有疑问的，可按第</w:t>
      </w:r>
      <w:r>
        <w:rPr>
          <w:rFonts w:ascii="Times New Roman" w:hAnsi="Times New Roman" w:eastAsia="Times New Roman" w:cs="Times New Roman"/>
          <w:color w:val="auto"/>
          <w:spacing w:val="-2"/>
          <w:sz w:val="24"/>
          <w:szCs w:val="24"/>
          <w:highlight w:val="none"/>
        </w:rPr>
        <w:t>13.5.3</w:t>
      </w:r>
      <w:r>
        <w:rPr>
          <w:rFonts w:ascii="宋体" w:hAnsi="宋体" w:eastAsia="宋体" w:cs="宋体"/>
          <w:color w:val="auto"/>
          <w:spacing w:val="-2"/>
          <w:sz w:val="24"/>
          <w:szCs w:val="24"/>
          <w:highlight w:val="none"/>
        </w:rPr>
        <w:t>项的约定重新检查。</w:t>
      </w:r>
    </w:p>
    <w:p w14:paraId="28E1E70B">
      <w:pPr>
        <w:spacing w:before="1" w:line="219" w:lineRule="auto"/>
        <w:ind w:left="490"/>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13.5.3  </w:t>
      </w:r>
      <w:r>
        <w:rPr>
          <w:rFonts w:ascii="宋体" w:hAnsi="宋体" w:eastAsia="宋体" w:cs="宋体"/>
          <w:color w:val="auto"/>
          <w:spacing w:val="-1"/>
          <w:sz w:val="24"/>
          <w:szCs w:val="24"/>
          <w:highlight w:val="none"/>
        </w:rPr>
        <w:t>监理人重新检查</w:t>
      </w:r>
    </w:p>
    <w:p w14:paraId="2173C84B">
      <w:pPr>
        <w:spacing w:before="183" w:line="360" w:lineRule="auto"/>
        <w:ind w:left="3" w:right="21" w:firstLine="4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承包人按第</w:t>
      </w:r>
      <w:r>
        <w:rPr>
          <w:rFonts w:ascii="Times New Roman" w:hAnsi="Times New Roman" w:eastAsia="Times New Roman" w:cs="Times New Roman"/>
          <w:color w:val="auto"/>
          <w:spacing w:val="-1"/>
          <w:sz w:val="24"/>
          <w:szCs w:val="24"/>
          <w:highlight w:val="none"/>
        </w:rPr>
        <w:t>13.5.1</w:t>
      </w:r>
      <w:r>
        <w:rPr>
          <w:rFonts w:ascii="宋体" w:hAnsi="宋体" w:eastAsia="宋体" w:cs="宋体"/>
          <w:color w:val="auto"/>
          <w:spacing w:val="-1"/>
          <w:sz w:val="24"/>
          <w:szCs w:val="24"/>
          <w:highlight w:val="none"/>
        </w:rPr>
        <w:t>项或第</w:t>
      </w:r>
      <w:r>
        <w:rPr>
          <w:rFonts w:ascii="Times New Roman" w:hAnsi="Times New Roman" w:eastAsia="Times New Roman" w:cs="Times New Roman"/>
          <w:color w:val="auto"/>
          <w:spacing w:val="-1"/>
          <w:sz w:val="24"/>
          <w:szCs w:val="24"/>
          <w:highlight w:val="none"/>
        </w:rPr>
        <w:t>13.5.2</w:t>
      </w:r>
      <w:r>
        <w:rPr>
          <w:rFonts w:ascii="宋体" w:hAnsi="宋体" w:eastAsia="宋体" w:cs="宋体"/>
          <w:color w:val="auto"/>
          <w:spacing w:val="-1"/>
          <w:sz w:val="24"/>
          <w:szCs w:val="24"/>
          <w:highlight w:val="none"/>
        </w:rPr>
        <w:t>项覆盖工程隐蔽部位后，监理人对质量有疑问的，</w:t>
      </w:r>
      <w:r>
        <w:rPr>
          <w:rFonts w:ascii="宋体" w:hAnsi="宋体" w:eastAsia="宋体" w:cs="宋体"/>
          <w:color w:val="auto"/>
          <w:spacing w:val="-2"/>
          <w:sz w:val="24"/>
          <w:szCs w:val="24"/>
          <w:highlight w:val="none"/>
        </w:rPr>
        <w:t>可要求承包人对已覆盖的部位进行钻孔探测或揭开</w:t>
      </w:r>
      <w:r>
        <w:rPr>
          <w:rFonts w:ascii="宋体" w:hAnsi="宋体" w:eastAsia="宋体" w:cs="宋体"/>
          <w:color w:val="auto"/>
          <w:spacing w:val="-3"/>
          <w:sz w:val="24"/>
          <w:szCs w:val="24"/>
          <w:highlight w:val="none"/>
        </w:rPr>
        <w:t>重新检验，承包人应遵照执行，并</w:t>
      </w:r>
    </w:p>
    <w:p w14:paraId="639FBFE8">
      <w:pPr>
        <w:spacing w:line="360" w:lineRule="auto"/>
        <w:rPr>
          <w:rFonts w:ascii="宋体" w:hAnsi="宋体" w:eastAsia="宋体" w:cs="宋体"/>
          <w:color w:val="auto"/>
          <w:sz w:val="24"/>
          <w:szCs w:val="24"/>
          <w:highlight w:val="none"/>
        </w:rPr>
        <w:sectPr>
          <w:footerReference r:id="rId54" w:type="default"/>
          <w:pgSz w:w="11907" w:h="16841"/>
          <w:pgMar w:top="1428" w:right="1443" w:bottom="1254" w:left="1596" w:header="0" w:footer="1093" w:gutter="0"/>
          <w:pgNumType w:fmt="decimal"/>
          <w:cols w:space="720" w:num="1"/>
        </w:sectPr>
      </w:pPr>
    </w:p>
    <w:p w14:paraId="104FECE7">
      <w:pPr>
        <w:spacing w:before="49" w:line="359" w:lineRule="auto"/>
        <w:ind w:left="1" w:right="205" w:hanging="1"/>
        <w:jc w:val="both"/>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在检验后重新覆盖恢复原状。经检验证明工程质量符合合同要求的， 由发包人承担由</w:t>
      </w:r>
      <w:r>
        <w:rPr>
          <w:rFonts w:ascii="宋体" w:hAnsi="宋体" w:eastAsia="宋体" w:cs="宋体"/>
          <w:color w:val="auto"/>
          <w:spacing w:val="-3"/>
          <w:sz w:val="24"/>
          <w:szCs w:val="24"/>
          <w:highlight w:val="none"/>
        </w:rPr>
        <w:t>此增加的费用和（或）工期延误，并支付承包人合理利润；经检验证明工程质量不符</w:t>
      </w:r>
      <w:r>
        <w:rPr>
          <w:rFonts w:ascii="宋体" w:hAnsi="宋体" w:eastAsia="宋体" w:cs="宋体"/>
          <w:color w:val="auto"/>
          <w:spacing w:val="-2"/>
          <w:sz w:val="24"/>
          <w:szCs w:val="24"/>
          <w:highlight w:val="none"/>
        </w:rPr>
        <w:t>合合同要求的，由此增加的费用和（或）工期延误由承包人承担。</w:t>
      </w:r>
    </w:p>
    <w:p w14:paraId="6C4B7AAD">
      <w:pPr>
        <w:spacing w:line="219"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13.5.4  </w:t>
      </w:r>
      <w:r>
        <w:rPr>
          <w:rFonts w:ascii="宋体" w:hAnsi="宋体" w:eastAsia="宋体" w:cs="宋体"/>
          <w:color w:val="auto"/>
          <w:spacing w:val="-1"/>
          <w:sz w:val="24"/>
          <w:szCs w:val="24"/>
          <w:highlight w:val="none"/>
        </w:rPr>
        <w:t>承包人私自覆盖</w:t>
      </w:r>
    </w:p>
    <w:p w14:paraId="23E86D39">
      <w:pPr>
        <w:spacing w:before="180" w:line="359" w:lineRule="auto"/>
        <w:ind w:right="205"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承包人未通知监理人到场检查，私自将工程隐蔽部位覆盖的，监理人有权指示承</w:t>
      </w:r>
      <w:r>
        <w:rPr>
          <w:rFonts w:ascii="宋体" w:hAnsi="宋体" w:eastAsia="宋体" w:cs="宋体"/>
          <w:color w:val="auto"/>
          <w:spacing w:val="-1"/>
          <w:sz w:val="24"/>
          <w:szCs w:val="24"/>
          <w:highlight w:val="none"/>
        </w:rPr>
        <w:t>包人钻孔探测或揭开检查，由此增加的费用和（或）工</w:t>
      </w:r>
      <w:r>
        <w:rPr>
          <w:rFonts w:ascii="宋体" w:hAnsi="宋体" w:eastAsia="宋体" w:cs="宋体"/>
          <w:color w:val="auto"/>
          <w:spacing w:val="-2"/>
          <w:sz w:val="24"/>
          <w:szCs w:val="24"/>
          <w:highlight w:val="none"/>
        </w:rPr>
        <w:t>期延误由承包人承担。</w:t>
      </w:r>
    </w:p>
    <w:p w14:paraId="3235222C">
      <w:pPr>
        <w:spacing w:line="219" w:lineRule="auto"/>
        <w:ind w:left="7"/>
        <w:outlineLvl w:val="1"/>
        <w:rPr>
          <w:rFonts w:ascii="宋体" w:hAnsi="宋体" w:eastAsia="宋体" w:cs="宋体"/>
          <w:color w:val="auto"/>
          <w:sz w:val="24"/>
          <w:szCs w:val="24"/>
          <w:highlight w:val="none"/>
        </w:rPr>
      </w:pPr>
      <w:bookmarkStart w:id="556" w:name="bookmark239"/>
      <w:bookmarkEnd w:id="556"/>
      <w:bookmarkStart w:id="557" w:name="_Toc8210"/>
      <w:bookmarkStart w:id="558" w:name="_Toc20355"/>
      <w:r>
        <w:rPr>
          <w:rFonts w:ascii="Times New Roman" w:hAnsi="Times New Roman" w:eastAsia="Times New Roman" w:cs="Times New Roman"/>
          <w:b/>
          <w:bCs/>
          <w:color w:val="auto"/>
          <w:spacing w:val="-3"/>
          <w:sz w:val="24"/>
          <w:szCs w:val="24"/>
          <w:highlight w:val="none"/>
        </w:rPr>
        <w:t xml:space="preserve">13.6  </w:t>
      </w:r>
      <w:r>
        <w:rPr>
          <w:rFonts w:ascii="宋体" w:hAnsi="宋体" w:eastAsia="宋体" w:cs="宋体"/>
          <w:b/>
          <w:bCs/>
          <w:color w:val="auto"/>
          <w:spacing w:val="-3"/>
          <w:sz w:val="24"/>
          <w:szCs w:val="24"/>
          <w:highlight w:val="none"/>
        </w:rPr>
        <w:t>清除不合格工程</w:t>
      </w:r>
      <w:bookmarkEnd w:id="557"/>
      <w:bookmarkEnd w:id="558"/>
    </w:p>
    <w:p w14:paraId="0FC0F3A8">
      <w:pPr>
        <w:spacing w:before="181" w:line="313" w:lineRule="auto"/>
        <w:ind w:left="2" w:right="205"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6"/>
          <w:sz w:val="24"/>
          <w:szCs w:val="24"/>
          <w:highlight w:val="none"/>
        </w:rPr>
        <w:t xml:space="preserve">13.6.1  </w:t>
      </w:r>
      <w:r>
        <w:rPr>
          <w:rFonts w:ascii="宋体" w:hAnsi="宋体" w:eastAsia="宋体" w:cs="宋体"/>
          <w:color w:val="auto"/>
          <w:spacing w:val="-6"/>
          <w:sz w:val="24"/>
          <w:szCs w:val="24"/>
          <w:highlight w:val="none"/>
        </w:rPr>
        <w:t>承包人使用不合格材料、工程设备， 或采用不适当的施工工艺，或施工不</w:t>
      </w:r>
      <w:r>
        <w:rPr>
          <w:rFonts w:ascii="宋体" w:hAnsi="宋体" w:eastAsia="宋体" w:cs="宋体"/>
          <w:color w:val="auto"/>
          <w:spacing w:val="-3"/>
          <w:sz w:val="24"/>
          <w:szCs w:val="24"/>
          <w:highlight w:val="none"/>
        </w:rPr>
        <w:t>当，造成工程不合格的，监理人可以随时发出指示，要求承包人立即采取措施进行补</w:t>
      </w:r>
      <w:r>
        <w:rPr>
          <w:rFonts w:ascii="宋体" w:hAnsi="宋体" w:eastAsia="宋体" w:cs="宋体"/>
          <w:color w:val="auto"/>
          <w:spacing w:val="-10"/>
          <w:sz w:val="24"/>
          <w:szCs w:val="24"/>
          <w:highlight w:val="none"/>
        </w:rPr>
        <w:t>救，直至达到合同要求的质量标准，由此增加的费用和（或）工期延误由承包人承担。</w:t>
      </w:r>
    </w:p>
    <w:p w14:paraId="275F929C">
      <w:pPr>
        <w:spacing w:before="179" w:line="313" w:lineRule="auto"/>
        <w:ind w:right="205" w:firstLine="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13.6.2</w:t>
      </w:r>
      <w:r>
        <w:rPr>
          <w:rFonts w:ascii="Times New Roman" w:hAnsi="Times New Roman" w:eastAsia="Times New Roman" w:cs="Times New Roman"/>
          <w:b/>
          <w:bCs/>
          <w:color w:val="auto"/>
          <w:spacing w:val="20"/>
          <w:w w:val="101"/>
          <w:sz w:val="24"/>
          <w:szCs w:val="24"/>
          <w:highlight w:val="none"/>
        </w:rPr>
        <w:t xml:space="preserve">  </w:t>
      </w:r>
      <w:r>
        <w:rPr>
          <w:rFonts w:ascii="宋体" w:hAnsi="宋体" w:eastAsia="宋体" w:cs="宋体"/>
          <w:color w:val="auto"/>
          <w:spacing w:val="-4"/>
          <w:sz w:val="24"/>
          <w:szCs w:val="24"/>
          <w:highlight w:val="none"/>
        </w:rPr>
        <w:t>由于发包人提供的材料或工程设备不合格造成的工程不合格，需要承包人</w:t>
      </w:r>
      <w:r>
        <w:rPr>
          <w:rFonts w:ascii="宋体" w:hAnsi="宋体" w:eastAsia="宋体" w:cs="宋体"/>
          <w:color w:val="auto"/>
          <w:spacing w:val="-3"/>
          <w:sz w:val="24"/>
          <w:szCs w:val="24"/>
          <w:highlight w:val="none"/>
        </w:rPr>
        <w:t>采取措施补救的，发包人应承担由此增加的费用和（或）工期延误，并支付承包人合</w:t>
      </w:r>
      <w:r>
        <w:rPr>
          <w:rFonts w:ascii="宋体" w:hAnsi="宋体" w:eastAsia="宋体" w:cs="宋体"/>
          <w:color w:val="auto"/>
          <w:spacing w:val="-9"/>
          <w:sz w:val="24"/>
          <w:szCs w:val="24"/>
          <w:highlight w:val="none"/>
        </w:rPr>
        <w:t>理利润。</w:t>
      </w:r>
    </w:p>
    <w:p w14:paraId="34448357">
      <w:pPr>
        <w:spacing w:before="181" w:line="220" w:lineRule="auto"/>
        <w:ind w:left="7"/>
        <w:outlineLvl w:val="1"/>
        <w:rPr>
          <w:rFonts w:ascii="宋体" w:hAnsi="宋体" w:eastAsia="宋体" w:cs="宋体"/>
          <w:color w:val="auto"/>
          <w:sz w:val="24"/>
          <w:szCs w:val="24"/>
          <w:highlight w:val="none"/>
        </w:rPr>
      </w:pPr>
      <w:bookmarkStart w:id="559" w:name="bookmark240"/>
      <w:bookmarkEnd w:id="559"/>
      <w:bookmarkStart w:id="560" w:name="_Toc29177"/>
      <w:bookmarkStart w:id="561" w:name="_Toc6362"/>
      <w:r>
        <w:rPr>
          <w:rFonts w:ascii="Times New Roman" w:hAnsi="Times New Roman" w:eastAsia="Times New Roman" w:cs="Times New Roman"/>
          <w:b/>
          <w:bCs/>
          <w:color w:val="auto"/>
          <w:spacing w:val="-2"/>
          <w:sz w:val="24"/>
          <w:szCs w:val="24"/>
          <w:highlight w:val="none"/>
        </w:rPr>
        <w:t xml:space="preserve">13.7  </w:t>
      </w:r>
      <w:r>
        <w:rPr>
          <w:rFonts w:ascii="宋体" w:hAnsi="宋体" w:eastAsia="宋体" w:cs="宋体"/>
          <w:b/>
          <w:bCs/>
          <w:color w:val="auto"/>
          <w:spacing w:val="-2"/>
          <w:sz w:val="24"/>
          <w:szCs w:val="24"/>
          <w:highlight w:val="none"/>
        </w:rPr>
        <w:t>质量验收与质量评定</w:t>
      </w:r>
      <w:bookmarkEnd w:id="560"/>
      <w:bookmarkEnd w:id="561"/>
    </w:p>
    <w:p w14:paraId="108B688F">
      <w:pPr>
        <w:spacing w:before="180" w:line="290" w:lineRule="auto"/>
        <w:ind w:left="1" w:right="205"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13.7.1  </w:t>
      </w:r>
      <w:r>
        <w:rPr>
          <w:rFonts w:ascii="宋体" w:hAnsi="宋体" w:eastAsia="宋体" w:cs="宋体"/>
          <w:color w:val="auto"/>
          <w:spacing w:val="-3"/>
          <w:sz w:val="24"/>
          <w:szCs w:val="24"/>
          <w:highlight w:val="none"/>
        </w:rPr>
        <w:t>发包人应组织承包人进行工程项目划分，并确定单位工程、分部工程、重要隐蔽单元工程和关键部位单元工程。</w:t>
      </w:r>
    </w:p>
    <w:p w14:paraId="2E6462F7">
      <w:pPr>
        <w:spacing w:before="184" w:line="288" w:lineRule="auto"/>
        <w:ind w:left="2" w:right="205"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13.7.2  </w:t>
      </w:r>
      <w:r>
        <w:rPr>
          <w:rFonts w:ascii="宋体" w:hAnsi="宋体" w:eastAsia="宋体" w:cs="宋体"/>
          <w:color w:val="auto"/>
          <w:spacing w:val="-3"/>
          <w:sz w:val="24"/>
          <w:szCs w:val="24"/>
          <w:highlight w:val="none"/>
        </w:rPr>
        <w:t>工程实施过程中，单位工程、分部工程、重要隐蔽单元工程和关键部位单</w:t>
      </w:r>
      <w:r>
        <w:rPr>
          <w:rFonts w:ascii="宋体" w:hAnsi="宋体" w:eastAsia="宋体" w:cs="宋体"/>
          <w:color w:val="auto"/>
          <w:spacing w:val="-2"/>
          <w:sz w:val="24"/>
          <w:szCs w:val="24"/>
          <w:highlight w:val="none"/>
        </w:rPr>
        <w:t>元工程的项目划分需要调整时，发包人应重新报质量监督机构。</w:t>
      </w:r>
    </w:p>
    <w:p w14:paraId="515BD1E0">
      <w:pPr>
        <w:spacing w:before="183"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9"/>
          <w:sz w:val="24"/>
          <w:szCs w:val="24"/>
          <w:highlight w:val="none"/>
        </w:rPr>
        <w:t xml:space="preserve">13.7.3  </w:t>
      </w:r>
      <w:r>
        <w:rPr>
          <w:rFonts w:ascii="宋体" w:hAnsi="宋体" w:eastAsia="宋体" w:cs="宋体"/>
          <w:color w:val="auto"/>
          <w:spacing w:val="-9"/>
          <w:sz w:val="24"/>
          <w:szCs w:val="24"/>
          <w:highlight w:val="none"/>
        </w:rPr>
        <w:t>承包人应在单元（工序）工程质量自检合格后</w:t>
      </w:r>
      <w:r>
        <w:rPr>
          <w:rFonts w:ascii="宋体" w:hAnsi="宋体" w:eastAsia="宋体" w:cs="宋体"/>
          <w:color w:val="auto"/>
          <w:spacing w:val="-10"/>
          <w:sz w:val="24"/>
          <w:szCs w:val="24"/>
          <w:highlight w:val="none"/>
        </w:rPr>
        <w:t>，报监理人申请验收并签证。</w:t>
      </w:r>
    </w:p>
    <w:p w14:paraId="609731CF">
      <w:pPr>
        <w:spacing w:before="178" w:line="313" w:lineRule="auto"/>
        <w:ind w:left="2" w:right="205"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13.7.4  </w:t>
      </w:r>
      <w:r>
        <w:rPr>
          <w:rFonts w:ascii="宋体" w:hAnsi="宋体" w:eastAsia="宋体" w:cs="宋体"/>
          <w:color w:val="auto"/>
          <w:spacing w:val="-3"/>
          <w:sz w:val="24"/>
          <w:szCs w:val="24"/>
          <w:highlight w:val="none"/>
        </w:rPr>
        <w:t>除专用合同条款另有约定外，承包人应在重要隐蔽单元工程和关键部位单元工程质量自检合格以及监理人验收签证后，由发包人组织承包人等单位组成的联合小组，共同验收签证并填写质量验收签证表。</w:t>
      </w:r>
    </w:p>
    <w:p w14:paraId="6FD07CAE">
      <w:pPr>
        <w:spacing w:before="184" w:line="312" w:lineRule="auto"/>
        <w:ind w:left="4" w:firstLine="485"/>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13.7.5  </w:t>
      </w:r>
      <w:r>
        <w:rPr>
          <w:rFonts w:ascii="宋体" w:hAnsi="宋体" w:eastAsia="宋体" w:cs="宋体"/>
          <w:color w:val="auto"/>
          <w:spacing w:val="-4"/>
          <w:sz w:val="24"/>
          <w:szCs w:val="24"/>
          <w:highlight w:val="none"/>
        </w:rPr>
        <w:t>承包人应在分部工程质量自检合格后，通过监理人向发包人提交验收申请，由发包人、承包人等单位组成的验收工作组共同验收签证并填写分部工程验收鉴定书。</w:t>
      </w:r>
      <w:r>
        <w:rPr>
          <w:rFonts w:ascii="宋体" w:hAnsi="宋体" w:eastAsia="宋体" w:cs="宋体"/>
          <w:color w:val="auto"/>
          <w:spacing w:val="-2"/>
          <w:sz w:val="24"/>
          <w:szCs w:val="24"/>
          <w:highlight w:val="none"/>
        </w:rPr>
        <w:t>发包人负责按有关规定将分部工程质量结论报工程质量监督机构。</w:t>
      </w:r>
    </w:p>
    <w:p w14:paraId="3032C203">
      <w:pPr>
        <w:spacing w:before="182" w:line="312" w:lineRule="auto"/>
        <w:ind w:left="4" w:firstLine="485"/>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13.7.6  </w:t>
      </w:r>
      <w:r>
        <w:rPr>
          <w:rFonts w:ascii="宋体" w:hAnsi="宋体" w:eastAsia="宋体" w:cs="宋体"/>
          <w:color w:val="auto"/>
          <w:spacing w:val="-4"/>
          <w:sz w:val="24"/>
          <w:szCs w:val="24"/>
          <w:highlight w:val="none"/>
        </w:rPr>
        <w:t>承包人应在单位工程质量自检合格后，通过监理人向发包人提交验收申请，由发包人、承包人等单位组成的验收工作组共同验收签证并填写单位工程验收鉴定书。</w:t>
      </w:r>
      <w:r>
        <w:rPr>
          <w:rFonts w:ascii="宋体" w:hAnsi="宋体" w:eastAsia="宋体" w:cs="宋体"/>
          <w:color w:val="auto"/>
          <w:spacing w:val="-2"/>
          <w:sz w:val="24"/>
          <w:szCs w:val="24"/>
          <w:highlight w:val="none"/>
        </w:rPr>
        <w:t>发包人负责按有关规定将分部工程质量结论报工程质量监督机构。</w:t>
      </w:r>
    </w:p>
    <w:p w14:paraId="7811EBCF">
      <w:pPr>
        <w:spacing w:before="184" w:line="289" w:lineRule="auto"/>
        <w:ind w:left="6" w:right="207"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5"/>
          <w:sz w:val="24"/>
          <w:szCs w:val="24"/>
          <w:highlight w:val="none"/>
        </w:rPr>
        <w:t xml:space="preserve">13.7.7  </w:t>
      </w:r>
      <w:r>
        <w:rPr>
          <w:rFonts w:ascii="宋体" w:hAnsi="宋体" w:eastAsia="宋体" w:cs="宋体"/>
          <w:b/>
          <w:bCs/>
          <w:color w:val="auto"/>
          <w:spacing w:val="-5"/>
          <w:sz w:val="24"/>
          <w:szCs w:val="24"/>
          <w:highlight w:val="none"/>
        </w:rPr>
        <w:t>除专用合同条款另有约定外，工程质量等级分为合格和优良，应分别达到</w:t>
      </w:r>
      <w:r>
        <w:rPr>
          <w:rFonts w:ascii="宋体" w:hAnsi="宋体" w:eastAsia="宋体" w:cs="宋体"/>
          <w:b/>
          <w:bCs/>
          <w:color w:val="auto"/>
          <w:spacing w:val="-4"/>
          <w:sz w:val="24"/>
          <w:szCs w:val="24"/>
          <w:highlight w:val="none"/>
        </w:rPr>
        <w:t>约定的标准</w:t>
      </w:r>
      <w:r>
        <w:rPr>
          <w:rFonts w:ascii="宋体" w:hAnsi="宋体" w:eastAsia="宋体" w:cs="宋体"/>
          <w:color w:val="auto"/>
          <w:spacing w:val="-4"/>
          <w:sz w:val="24"/>
          <w:szCs w:val="24"/>
          <w:highlight w:val="none"/>
        </w:rPr>
        <w:t>。</w:t>
      </w:r>
    </w:p>
    <w:p w14:paraId="308FF6E2">
      <w:pPr>
        <w:spacing w:line="289" w:lineRule="auto"/>
        <w:rPr>
          <w:rFonts w:ascii="宋体" w:hAnsi="宋体" w:eastAsia="宋体" w:cs="宋体"/>
          <w:color w:val="auto"/>
          <w:sz w:val="24"/>
          <w:szCs w:val="24"/>
          <w:highlight w:val="none"/>
        </w:rPr>
        <w:sectPr>
          <w:footerReference r:id="rId55" w:type="default"/>
          <w:pgSz w:w="11907" w:h="16841"/>
          <w:pgMar w:top="1428" w:right="1323" w:bottom="1254" w:left="1597" w:header="0" w:footer="1093" w:gutter="0"/>
          <w:pgNumType w:fmt="decimal"/>
          <w:cols w:space="720" w:num="1"/>
        </w:sectPr>
      </w:pPr>
    </w:p>
    <w:p w14:paraId="7AB64ED0">
      <w:pPr>
        <w:spacing w:before="48" w:line="220" w:lineRule="auto"/>
        <w:ind w:left="7"/>
        <w:outlineLvl w:val="1"/>
        <w:rPr>
          <w:rFonts w:ascii="宋体" w:hAnsi="宋体" w:eastAsia="宋体" w:cs="宋体"/>
          <w:color w:val="auto"/>
          <w:sz w:val="24"/>
          <w:szCs w:val="24"/>
          <w:highlight w:val="none"/>
        </w:rPr>
      </w:pPr>
      <w:bookmarkStart w:id="562" w:name="bookmark241"/>
      <w:bookmarkEnd w:id="562"/>
      <w:bookmarkStart w:id="563" w:name="_Toc26704"/>
      <w:bookmarkStart w:id="564" w:name="_Toc26623"/>
      <w:r>
        <w:rPr>
          <w:rFonts w:ascii="Times New Roman" w:hAnsi="Times New Roman" w:eastAsia="Times New Roman" w:cs="Times New Roman"/>
          <w:b/>
          <w:bCs/>
          <w:color w:val="auto"/>
          <w:spacing w:val="-2"/>
          <w:sz w:val="24"/>
          <w:szCs w:val="24"/>
          <w:highlight w:val="none"/>
        </w:rPr>
        <w:t xml:space="preserve">13.8  </w:t>
      </w:r>
      <w:r>
        <w:rPr>
          <w:rFonts w:ascii="宋体" w:hAnsi="宋体" w:eastAsia="宋体" w:cs="宋体"/>
          <w:b/>
          <w:bCs/>
          <w:color w:val="auto"/>
          <w:spacing w:val="-2"/>
          <w:sz w:val="24"/>
          <w:szCs w:val="24"/>
          <w:highlight w:val="none"/>
        </w:rPr>
        <w:t>质量事故处理</w:t>
      </w:r>
      <w:bookmarkEnd w:id="563"/>
      <w:bookmarkEnd w:id="564"/>
    </w:p>
    <w:p w14:paraId="3F639443">
      <w:pPr>
        <w:spacing w:before="181" w:line="218"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13.8.1  </w:t>
      </w:r>
      <w:r>
        <w:rPr>
          <w:rFonts w:ascii="宋体" w:hAnsi="宋体" w:eastAsia="宋体" w:cs="宋体"/>
          <w:color w:val="auto"/>
          <w:spacing w:val="-2"/>
          <w:sz w:val="24"/>
          <w:szCs w:val="24"/>
          <w:highlight w:val="none"/>
        </w:rPr>
        <w:t>发生质量事故时，承包人应及时向发包人和监理人报告。</w:t>
      </w:r>
    </w:p>
    <w:p w14:paraId="17B73BB4">
      <w:pPr>
        <w:spacing w:before="181"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13.8.2  </w:t>
      </w:r>
      <w:r>
        <w:rPr>
          <w:rFonts w:ascii="宋体" w:hAnsi="宋体" w:eastAsia="宋体" w:cs="宋体"/>
          <w:color w:val="auto"/>
          <w:spacing w:val="-1"/>
          <w:sz w:val="24"/>
          <w:szCs w:val="24"/>
          <w:highlight w:val="none"/>
        </w:rPr>
        <w:t>质量事故调查处理由发包人按相关</w:t>
      </w:r>
      <w:r>
        <w:rPr>
          <w:rFonts w:ascii="宋体" w:hAnsi="宋体" w:eastAsia="宋体" w:cs="宋体"/>
          <w:color w:val="auto"/>
          <w:spacing w:val="-2"/>
          <w:sz w:val="24"/>
          <w:szCs w:val="24"/>
          <w:highlight w:val="none"/>
        </w:rPr>
        <w:t>规定履行手续，承包人应配合。</w:t>
      </w:r>
    </w:p>
    <w:p w14:paraId="1E19F7F3">
      <w:pPr>
        <w:spacing w:before="182" w:line="331" w:lineRule="auto"/>
        <w:ind w:left="1" w:right="80"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13.8.3  </w:t>
      </w:r>
      <w:r>
        <w:rPr>
          <w:rFonts w:ascii="宋体" w:hAnsi="宋体" w:eastAsia="宋体" w:cs="宋体"/>
          <w:color w:val="auto"/>
          <w:spacing w:val="-3"/>
          <w:sz w:val="24"/>
          <w:szCs w:val="24"/>
          <w:highlight w:val="none"/>
        </w:rPr>
        <w:t>在施工过程中，因特殊原因使得工程个别部位或局部发生达不到技术标准</w:t>
      </w:r>
      <w:r>
        <w:rPr>
          <w:rFonts w:ascii="宋体" w:hAnsi="宋体" w:eastAsia="宋体" w:cs="宋体"/>
          <w:color w:val="auto"/>
          <w:spacing w:val="-2"/>
          <w:sz w:val="24"/>
          <w:szCs w:val="24"/>
          <w:highlight w:val="none"/>
        </w:rPr>
        <w:t>和设计要求（但不影响使用</w:t>
      </w:r>
      <w:r>
        <w:rPr>
          <w:rFonts w:ascii="宋体" w:hAnsi="宋体" w:eastAsia="宋体" w:cs="宋体"/>
          <w:color w:val="auto"/>
          <w:spacing w:val="-23"/>
          <w:sz w:val="24"/>
          <w:szCs w:val="24"/>
          <w:highlight w:val="none"/>
        </w:rPr>
        <w:t>），</w:t>
      </w:r>
      <w:r>
        <w:rPr>
          <w:rFonts w:ascii="宋体" w:hAnsi="宋体" w:eastAsia="宋体" w:cs="宋体"/>
          <w:color w:val="auto"/>
          <w:spacing w:val="-2"/>
          <w:sz w:val="24"/>
          <w:szCs w:val="24"/>
          <w:highlight w:val="none"/>
        </w:rPr>
        <w:t>且未能及时进行处理的工程质量缺陷问题</w:t>
      </w:r>
      <w:r>
        <w:rPr>
          <w:rFonts w:ascii="宋体" w:hAnsi="宋体" w:eastAsia="宋体" w:cs="宋体"/>
          <w:color w:val="auto"/>
          <w:spacing w:val="-3"/>
          <w:sz w:val="24"/>
          <w:szCs w:val="24"/>
          <w:highlight w:val="none"/>
        </w:rPr>
        <w:t>（质量评定</w:t>
      </w:r>
      <w:r>
        <w:rPr>
          <w:rFonts w:ascii="宋体" w:hAnsi="宋体" w:eastAsia="宋体" w:cs="宋体"/>
          <w:color w:val="auto"/>
          <w:spacing w:val="-1"/>
          <w:sz w:val="24"/>
          <w:szCs w:val="24"/>
          <w:highlight w:val="none"/>
        </w:rPr>
        <w:t>仍定为合格</w:t>
      </w:r>
      <w:r>
        <w:rPr>
          <w:rFonts w:ascii="宋体" w:hAnsi="宋体" w:eastAsia="宋体" w:cs="宋体"/>
          <w:color w:val="auto"/>
          <w:spacing w:val="-27"/>
          <w:sz w:val="24"/>
          <w:szCs w:val="24"/>
          <w:highlight w:val="none"/>
        </w:rPr>
        <w:t>），</w:t>
      </w:r>
      <w:r>
        <w:rPr>
          <w:rFonts w:ascii="宋体" w:hAnsi="宋体" w:eastAsia="宋体" w:cs="宋体"/>
          <w:color w:val="auto"/>
          <w:spacing w:val="-1"/>
          <w:sz w:val="24"/>
          <w:szCs w:val="24"/>
          <w:highlight w:val="none"/>
        </w:rPr>
        <w:t>应以工程质量缺陷备案形式进行记</w:t>
      </w:r>
      <w:r>
        <w:rPr>
          <w:rFonts w:ascii="宋体" w:hAnsi="宋体" w:eastAsia="宋体" w:cs="宋体"/>
          <w:color w:val="auto"/>
          <w:spacing w:val="-2"/>
          <w:sz w:val="24"/>
          <w:szCs w:val="24"/>
          <w:highlight w:val="none"/>
        </w:rPr>
        <w:t>录备案。质量缺陷备案表由监理人</w:t>
      </w:r>
      <w:r>
        <w:rPr>
          <w:rFonts w:ascii="宋体" w:hAnsi="宋体" w:eastAsia="宋体" w:cs="宋体"/>
          <w:color w:val="auto"/>
          <w:spacing w:val="-3"/>
          <w:sz w:val="24"/>
          <w:szCs w:val="24"/>
          <w:highlight w:val="none"/>
        </w:rPr>
        <w:t>组织填写，内容应真实、准确、完整。各工程参建单位代表应在质量缺陷备案表上签</w:t>
      </w:r>
      <w:r>
        <w:rPr>
          <w:rFonts w:ascii="宋体" w:hAnsi="宋体" w:eastAsia="宋体" w:cs="宋体"/>
          <w:color w:val="auto"/>
          <w:spacing w:val="-1"/>
          <w:sz w:val="24"/>
          <w:szCs w:val="24"/>
          <w:highlight w:val="none"/>
        </w:rPr>
        <w:t>字，若有不同意见应明确记载。质量缺陷备案表应及时报工程</w:t>
      </w:r>
      <w:r>
        <w:rPr>
          <w:rFonts w:ascii="宋体" w:hAnsi="宋体" w:eastAsia="宋体" w:cs="宋体"/>
          <w:color w:val="auto"/>
          <w:spacing w:val="-2"/>
          <w:sz w:val="24"/>
          <w:szCs w:val="24"/>
          <w:highlight w:val="none"/>
        </w:rPr>
        <w:t>质量监督机构备案。</w:t>
      </w:r>
    </w:p>
    <w:p w14:paraId="58F80871">
      <w:pPr>
        <w:spacing w:before="181" w:line="290" w:lineRule="auto"/>
        <w:ind w:left="3" w:right="80"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13.8.4  </w:t>
      </w:r>
      <w:r>
        <w:rPr>
          <w:rFonts w:ascii="宋体" w:hAnsi="宋体" w:eastAsia="宋体" w:cs="宋体"/>
          <w:color w:val="auto"/>
          <w:spacing w:val="-3"/>
          <w:sz w:val="24"/>
          <w:szCs w:val="24"/>
          <w:highlight w:val="none"/>
        </w:rPr>
        <w:t>工程竣工验收时，发包人负责向竣工验收委员会汇报并提交历次质量缺陷</w:t>
      </w:r>
      <w:r>
        <w:rPr>
          <w:rFonts w:ascii="宋体" w:hAnsi="宋体" w:eastAsia="宋体" w:cs="宋体"/>
          <w:color w:val="auto"/>
          <w:spacing w:val="-8"/>
          <w:sz w:val="24"/>
          <w:szCs w:val="24"/>
          <w:highlight w:val="none"/>
        </w:rPr>
        <w:t>备案资料。</w:t>
      </w:r>
    </w:p>
    <w:p w14:paraId="3E07A5DB">
      <w:pPr>
        <w:spacing w:before="305" w:line="220" w:lineRule="auto"/>
        <w:ind w:left="10"/>
        <w:outlineLvl w:val="0"/>
        <w:rPr>
          <w:rFonts w:ascii="宋体" w:hAnsi="宋体" w:eastAsia="宋体" w:cs="宋体"/>
          <w:color w:val="auto"/>
          <w:sz w:val="28"/>
          <w:szCs w:val="28"/>
          <w:highlight w:val="none"/>
        </w:rPr>
      </w:pPr>
      <w:bookmarkStart w:id="565" w:name="bookmark243"/>
      <w:bookmarkEnd w:id="565"/>
      <w:bookmarkStart w:id="566" w:name="bookmark242"/>
      <w:bookmarkEnd w:id="566"/>
      <w:bookmarkStart w:id="567" w:name="_Toc21593"/>
      <w:bookmarkStart w:id="568" w:name="_Toc31875"/>
      <w:r>
        <w:rPr>
          <w:rFonts w:ascii="Times New Roman" w:hAnsi="Times New Roman" w:eastAsia="Times New Roman" w:cs="Times New Roman"/>
          <w:b/>
          <w:bCs/>
          <w:color w:val="auto"/>
          <w:spacing w:val="-3"/>
          <w:sz w:val="28"/>
          <w:szCs w:val="28"/>
          <w:highlight w:val="none"/>
        </w:rPr>
        <w:t>14</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试验和检验</w:t>
      </w:r>
      <w:bookmarkEnd w:id="567"/>
      <w:bookmarkEnd w:id="568"/>
    </w:p>
    <w:p w14:paraId="7A4F3BBE">
      <w:pPr>
        <w:pStyle w:val="3"/>
        <w:spacing w:line="245" w:lineRule="auto"/>
        <w:rPr>
          <w:color w:val="auto"/>
          <w:highlight w:val="none"/>
        </w:rPr>
      </w:pPr>
    </w:p>
    <w:p w14:paraId="3A4262DC">
      <w:pPr>
        <w:spacing w:before="79" w:line="219" w:lineRule="auto"/>
        <w:ind w:left="7"/>
        <w:outlineLvl w:val="1"/>
        <w:rPr>
          <w:rFonts w:ascii="宋体" w:hAnsi="宋体" w:eastAsia="宋体" w:cs="宋体"/>
          <w:color w:val="auto"/>
          <w:sz w:val="24"/>
          <w:szCs w:val="24"/>
          <w:highlight w:val="none"/>
        </w:rPr>
      </w:pPr>
      <w:bookmarkStart w:id="569" w:name="bookmark700"/>
      <w:bookmarkEnd w:id="569"/>
      <w:bookmarkStart w:id="570" w:name="_Toc10626"/>
      <w:bookmarkStart w:id="571" w:name="_Toc28370"/>
      <w:r>
        <w:rPr>
          <w:rFonts w:ascii="Times New Roman" w:hAnsi="Times New Roman" w:eastAsia="Times New Roman" w:cs="Times New Roman"/>
          <w:b/>
          <w:bCs/>
          <w:color w:val="auto"/>
          <w:spacing w:val="-2"/>
          <w:sz w:val="24"/>
          <w:szCs w:val="24"/>
          <w:highlight w:val="none"/>
        </w:rPr>
        <w:t xml:space="preserve">14.1  </w:t>
      </w:r>
      <w:r>
        <w:rPr>
          <w:rFonts w:ascii="宋体" w:hAnsi="宋体" w:eastAsia="宋体" w:cs="宋体"/>
          <w:b/>
          <w:bCs/>
          <w:color w:val="auto"/>
          <w:spacing w:val="-2"/>
          <w:sz w:val="24"/>
          <w:szCs w:val="24"/>
          <w:highlight w:val="none"/>
        </w:rPr>
        <w:t>材料、工程设备和工程的试验和检验</w:t>
      </w:r>
      <w:bookmarkEnd w:id="570"/>
      <w:bookmarkEnd w:id="571"/>
    </w:p>
    <w:p w14:paraId="41EDABFB">
      <w:pPr>
        <w:spacing w:before="185" w:line="324" w:lineRule="auto"/>
        <w:ind w:left="1" w:right="80"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5"/>
          <w:sz w:val="24"/>
          <w:szCs w:val="24"/>
          <w:highlight w:val="none"/>
        </w:rPr>
        <w:t xml:space="preserve">14.1.1  </w:t>
      </w:r>
      <w:r>
        <w:rPr>
          <w:rFonts w:ascii="宋体" w:hAnsi="宋体" w:eastAsia="宋体" w:cs="宋体"/>
          <w:color w:val="auto"/>
          <w:spacing w:val="-5"/>
          <w:sz w:val="24"/>
          <w:szCs w:val="24"/>
          <w:highlight w:val="none"/>
        </w:rPr>
        <w:t>承包人应按合同约定进行材料、工程设备和工程的试验和检验，</w:t>
      </w:r>
      <w:r>
        <w:rPr>
          <w:rFonts w:ascii="宋体" w:hAnsi="宋体" w:eastAsia="宋体" w:cs="宋体"/>
          <w:color w:val="auto"/>
          <w:spacing w:val="-33"/>
          <w:sz w:val="24"/>
          <w:szCs w:val="24"/>
          <w:highlight w:val="none"/>
        </w:rPr>
        <w:t xml:space="preserve"> </w:t>
      </w:r>
      <w:r>
        <w:rPr>
          <w:rFonts w:ascii="宋体" w:hAnsi="宋体" w:eastAsia="宋体" w:cs="宋体"/>
          <w:color w:val="auto"/>
          <w:spacing w:val="-5"/>
          <w:sz w:val="24"/>
          <w:szCs w:val="24"/>
          <w:highlight w:val="none"/>
        </w:rPr>
        <w:t>并为监理</w:t>
      </w:r>
      <w:r>
        <w:rPr>
          <w:rFonts w:ascii="宋体" w:hAnsi="宋体" w:eastAsia="宋体" w:cs="宋体"/>
          <w:color w:val="auto"/>
          <w:spacing w:val="-3"/>
          <w:sz w:val="24"/>
          <w:szCs w:val="24"/>
          <w:highlight w:val="none"/>
        </w:rPr>
        <w:t>人对上述材料、工程设备和工程的质量检查提供必要的试验资料和原始记录。按合同约定应由监理人与承包人共同进行试验和检验的，由承包人负责提供必要的试验资料</w:t>
      </w:r>
      <w:r>
        <w:rPr>
          <w:rFonts w:ascii="宋体" w:hAnsi="宋体" w:eastAsia="宋体" w:cs="宋体"/>
          <w:color w:val="auto"/>
          <w:spacing w:val="-7"/>
          <w:sz w:val="24"/>
          <w:szCs w:val="24"/>
          <w:highlight w:val="none"/>
        </w:rPr>
        <w:t>和原始记录。</w:t>
      </w:r>
    </w:p>
    <w:p w14:paraId="54D9A22B">
      <w:pPr>
        <w:spacing w:before="181" w:line="289" w:lineRule="auto"/>
        <w:ind w:left="2"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14.1.2  </w:t>
      </w:r>
      <w:r>
        <w:rPr>
          <w:rFonts w:ascii="宋体" w:hAnsi="宋体" w:eastAsia="宋体" w:cs="宋体"/>
          <w:color w:val="auto"/>
          <w:spacing w:val="-3"/>
          <w:sz w:val="24"/>
          <w:szCs w:val="24"/>
          <w:highlight w:val="none"/>
        </w:rPr>
        <w:t>监理人未按合同约定派员参加试验和检验的，除监理人另有指示外，承包</w:t>
      </w:r>
      <w:r>
        <w:rPr>
          <w:rFonts w:ascii="宋体" w:hAnsi="宋体" w:eastAsia="宋体" w:cs="宋体"/>
          <w:color w:val="auto"/>
          <w:spacing w:val="-1"/>
          <w:sz w:val="24"/>
          <w:szCs w:val="24"/>
          <w:highlight w:val="none"/>
        </w:rPr>
        <w:t>人可自行试验和检验，并应立即将试验和检验结果报送监理人，监理人应签字确认。</w:t>
      </w:r>
    </w:p>
    <w:p w14:paraId="76D6DA27">
      <w:pPr>
        <w:spacing w:before="182" w:line="336" w:lineRule="auto"/>
        <w:ind w:left="1" w:right="13"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14.1.3  </w:t>
      </w:r>
      <w:r>
        <w:rPr>
          <w:rFonts w:ascii="宋体" w:hAnsi="宋体" w:eastAsia="宋体" w:cs="宋体"/>
          <w:color w:val="auto"/>
          <w:spacing w:val="-3"/>
          <w:sz w:val="24"/>
          <w:szCs w:val="24"/>
          <w:highlight w:val="none"/>
        </w:rPr>
        <w:t>监理人对承包人的试验和检验结果有疑问的，或为查清承包人试验和检验成果的可靠性要求承包人重新试验和检验的，可按合同约定由监理人与承包人共同进</w:t>
      </w:r>
      <w:r>
        <w:rPr>
          <w:rFonts w:ascii="宋体" w:hAnsi="宋体" w:eastAsia="宋体" w:cs="宋体"/>
          <w:color w:val="auto"/>
          <w:spacing w:val="-7"/>
          <w:sz w:val="24"/>
          <w:szCs w:val="24"/>
          <w:highlight w:val="none"/>
        </w:rPr>
        <w:t>行。重新试验和检验的结果证明该项材料、工程设备或工程的</w:t>
      </w:r>
      <w:r>
        <w:rPr>
          <w:rFonts w:ascii="宋体" w:hAnsi="宋体" w:eastAsia="宋体" w:cs="宋体"/>
          <w:color w:val="auto"/>
          <w:spacing w:val="-8"/>
          <w:sz w:val="24"/>
          <w:szCs w:val="24"/>
          <w:highlight w:val="none"/>
        </w:rPr>
        <w:t>质量不符合合同要求的，</w:t>
      </w:r>
      <w:r>
        <w:rPr>
          <w:rFonts w:ascii="宋体" w:hAnsi="宋体" w:eastAsia="宋体" w:cs="宋体"/>
          <w:color w:val="auto"/>
          <w:spacing w:val="-9"/>
          <w:sz w:val="24"/>
          <w:szCs w:val="24"/>
          <w:highlight w:val="none"/>
        </w:rPr>
        <w:t>由此增加的费用和（或）工期延误由承包人承担；重新试验和检验结果证明该项材料、</w:t>
      </w:r>
      <w:r>
        <w:rPr>
          <w:rFonts w:ascii="宋体" w:hAnsi="宋体" w:eastAsia="宋体" w:cs="宋体"/>
          <w:color w:val="auto"/>
          <w:spacing w:val="-3"/>
          <w:sz w:val="24"/>
          <w:szCs w:val="24"/>
          <w:highlight w:val="none"/>
        </w:rPr>
        <w:t>工程设备和工程符合合同要求，由发包人承担由此增加的费用和（或）工期延误，并</w:t>
      </w:r>
      <w:r>
        <w:rPr>
          <w:rFonts w:ascii="宋体" w:hAnsi="宋体" w:eastAsia="宋体" w:cs="宋体"/>
          <w:color w:val="auto"/>
          <w:spacing w:val="-5"/>
          <w:sz w:val="24"/>
          <w:szCs w:val="24"/>
          <w:highlight w:val="none"/>
        </w:rPr>
        <w:t>支付承包人合理利润。</w:t>
      </w:r>
    </w:p>
    <w:p w14:paraId="54C78006">
      <w:pPr>
        <w:spacing w:before="180" w:line="290" w:lineRule="auto"/>
        <w:ind w:right="80" w:firstLine="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14.1.4  </w:t>
      </w:r>
      <w:r>
        <w:rPr>
          <w:rFonts w:ascii="宋体" w:hAnsi="宋体" w:eastAsia="宋体" w:cs="宋体"/>
          <w:color w:val="auto"/>
          <w:spacing w:val="-3"/>
          <w:sz w:val="24"/>
          <w:szCs w:val="24"/>
          <w:highlight w:val="none"/>
        </w:rPr>
        <w:t>承包人应按相关规定和标准对水泥、钢材等原材料与中间产品质量进行检</w:t>
      </w:r>
      <w:r>
        <w:rPr>
          <w:rFonts w:ascii="宋体" w:hAnsi="宋体" w:eastAsia="宋体" w:cs="宋体"/>
          <w:color w:val="auto"/>
          <w:spacing w:val="-4"/>
          <w:sz w:val="24"/>
          <w:szCs w:val="24"/>
          <w:highlight w:val="none"/>
        </w:rPr>
        <w:t>验，并报监理人复核。</w:t>
      </w:r>
    </w:p>
    <w:p w14:paraId="13F25B20">
      <w:pPr>
        <w:spacing w:before="181" w:line="312" w:lineRule="auto"/>
        <w:ind w:left="1" w:right="13" w:firstLine="485"/>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14.1.5  </w:t>
      </w:r>
      <w:r>
        <w:rPr>
          <w:rFonts w:ascii="宋体" w:hAnsi="宋体" w:eastAsia="宋体" w:cs="宋体"/>
          <w:color w:val="auto"/>
          <w:spacing w:val="-1"/>
          <w:sz w:val="24"/>
          <w:szCs w:val="24"/>
          <w:highlight w:val="none"/>
        </w:rPr>
        <w:t>除专用合同条款另有约定外，水工金属结构、启闭机及机电产品进场</w:t>
      </w:r>
      <w:r>
        <w:rPr>
          <w:rFonts w:ascii="宋体" w:hAnsi="宋体" w:eastAsia="宋体" w:cs="宋体"/>
          <w:color w:val="auto"/>
          <w:spacing w:val="-2"/>
          <w:sz w:val="24"/>
          <w:szCs w:val="24"/>
          <w:highlight w:val="none"/>
        </w:rPr>
        <w:t>后，</w:t>
      </w:r>
      <w:r>
        <w:rPr>
          <w:rFonts w:ascii="宋体" w:hAnsi="宋体" w:eastAsia="宋体" w:cs="宋体"/>
          <w:color w:val="auto"/>
          <w:spacing w:val="-5"/>
          <w:sz w:val="24"/>
          <w:szCs w:val="24"/>
          <w:highlight w:val="none"/>
        </w:rPr>
        <w:t>监理人组织发包人按合同进行交货检查和验收。安装前，</w:t>
      </w:r>
      <w:r>
        <w:rPr>
          <w:rFonts w:ascii="宋体" w:hAnsi="宋体" w:eastAsia="宋体" w:cs="宋体"/>
          <w:color w:val="auto"/>
          <w:spacing w:val="-38"/>
          <w:sz w:val="24"/>
          <w:szCs w:val="24"/>
          <w:highlight w:val="none"/>
        </w:rPr>
        <w:t xml:space="preserve"> </w:t>
      </w:r>
      <w:r>
        <w:rPr>
          <w:rFonts w:ascii="宋体" w:hAnsi="宋体" w:eastAsia="宋体" w:cs="宋体"/>
          <w:color w:val="auto"/>
          <w:spacing w:val="-5"/>
          <w:sz w:val="24"/>
          <w:szCs w:val="24"/>
          <w:highlight w:val="none"/>
        </w:rPr>
        <w:t>承包人应检查产品是否有出</w:t>
      </w:r>
      <w:r>
        <w:rPr>
          <w:rFonts w:ascii="宋体" w:hAnsi="宋体" w:eastAsia="宋体" w:cs="宋体"/>
          <w:color w:val="auto"/>
          <w:spacing w:val="-6"/>
          <w:sz w:val="24"/>
          <w:szCs w:val="24"/>
          <w:highlight w:val="none"/>
        </w:rPr>
        <w:t>厂合格证、设备安装说明书及有关技术文件， 对在运输和存放过程中发生的变形、受</w:t>
      </w:r>
    </w:p>
    <w:p w14:paraId="2AD275C2">
      <w:pPr>
        <w:spacing w:line="312" w:lineRule="auto"/>
        <w:rPr>
          <w:rFonts w:ascii="宋体" w:hAnsi="宋体" w:eastAsia="宋体" w:cs="宋体"/>
          <w:color w:val="auto"/>
          <w:sz w:val="24"/>
          <w:szCs w:val="24"/>
          <w:highlight w:val="none"/>
        </w:rPr>
        <w:sectPr>
          <w:footerReference r:id="rId56" w:type="default"/>
          <w:pgSz w:w="11907" w:h="16841"/>
          <w:pgMar w:top="1428" w:right="1448" w:bottom="1254" w:left="1597" w:header="0" w:footer="1093" w:gutter="0"/>
          <w:pgNumType w:fmt="decimal"/>
          <w:cols w:space="720" w:num="1"/>
        </w:sectPr>
      </w:pPr>
    </w:p>
    <w:p w14:paraId="7DFCD054">
      <w:pPr>
        <w:spacing w:before="47" w:line="220" w:lineRule="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潮、损坏等问题应作好记录，并进行妥善处理。</w:t>
      </w:r>
    </w:p>
    <w:p w14:paraId="6C7EC3CE">
      <w:pPr>
        <w:spacing w:before="181" w:line="359" w:lineRule="auto"/>
        <w:ind w:right="66" w:firstLine="488"/>
        <w:jc w:val="both"/>
        <w:rPr>
          <w:rFonts w:ascii="宋体" w:hAnsi="宋体" w:eastAsia="宋体" w:cs="宋体"/>
          <w:color w:val="auto"/>
          <w:sz w:val="24"/>
          <w:szCs w:val="24"/>
          <w:highlight w:val="none"/>
        </w:rPr>
      </w:pPr>
      <w:r>
        <w:rPr>
          <w:rFonts w:ascii="Times New Roman" w:hAnsi="Times New Roman" w:eastAsia="Times New Roman" w:cs="Times New Roman"/>
          <w:b/>
          <w:bCs/>
          <w:color w:val="auto"/>
          <w:spacing w:val="-6"/>
          <w:sz w:val="24"/>
          <w:szCs w:val="24"/>
          <w:highlight w:val="none"/>
        </w:rPr>
        <w:t xml:space="preserve">14.1.6  </w:t>
      </w:r>
      <w:r>
        <w:rPr>
          <w:rFonts w:ascii="宋体" w:hAnsi="宋体" w:eastAsia="宋体" w:cs="宋体"/>
          <w:color w:val="auto"/>
          <w:spacing w:val="-6"/>
          <w:sz w:val="24"/>
          <w:szCs w:val="24"/>
          <w:highlight w:val="none"/>
        </w:rPr>
        <w:t>对专用合同条款约定的试块、试件及有关材料， 监理人实行见证取样。见</w:t>
      </w:r>
      <w:r>
        <w:rPr>
          <w:rFonts w:ascii="宋体" w:hAnsi="宋体" w:eastAsia="宋体" w:cs="宋体"/>
          <w:color w:val="auto"/>
          <w:spacing w:val="-3"/>
          <w:sz w:val="24"/>
          <w:szCs w:val="24"/>
          <w:highlight w:val="none"/>
        </w:rPr>
        <w:t>证取样资料由承包人制备，记录应真实齐全，监理人、承包人等参与见证取样人员均</w:t>
      </w:r>
      <w:r>
        <w:rPr>
          <w:rFonts w:ascii="宋体" w:hAnsi="宋体" w:eastAsia="宋体" w:cs="宋体"/>
          <w:color w:val="auto"/>
          <w:spacing w:val="-4"/>
          <w:sz w:val="24"/>
          <w:szCs w:val="24"/>
          <w:highlight w:val="none"/>
        </w:rPr>
        <w:t>应在相关文件上签字。</w:t>
      </w:r>
    </w:p>
    <w:p w14:paraId="06A59C21">
      <w:pPr>
        <w:spacing w:before="1" w:line="218" w:lineRule="auto"/>
        <w:ind w:left="7"/>
        <w:outlineLvl w:val="1"/>
        <w:rPr>
          <w:rFonts w:ascii="宋体" w:hAnsi="宋体" w:eastAsia="宋体" w:cs="宋体"/>
          <w:color w:val="auto"/>
          <w:sz w:val="24"/>
          <w:szCs w:val="24"/>
          <w:highlight w:val="none"/>
        </w:rPr>
      </w:pPr>
      <w:bookmarkStart w:id="572" w:name="bookmark244"/>
      <w:bookmarkEnd w:id="572"/>
      <w:bookmarkStart w:id="573" w:name="_Toc2796"/>
      <w:bookmarkStart w:id="574" w:name="_Toc10051"/>
      <w:r>
        <w:rPr>
          <w:rFonts w:ascii="Times New Roman" w:hAnsi="Times New Roman" w:eastAsia="Times New Roman" w:cs="Times New Roman"/>
          <w:b/>
          <w:bCs/>
          <w:color w:val="auto"/>
          <w:spacing w:val="-2"/>
          <w:sz w:val="24"/>
          <w:szCs w:val="24"/>
          <w:highlight w:val="none"/>
        </w:rPr>
        <w:t xml:space="preserve">14.2  </w:t>
      </w:r>
      <w:r>
        <w:rPr>
          <w:rFonts w:ascii="宋体" w:hAnsi="宋体" w:eastAsia="宋体" w:cs="宋体"/>
          <w:b/>
          <w:bCs/>
          <w:color w:val="auto"/>
          <w:spacing w:val="-2"/>
          <w:sz w:val="24"/>
          <w:szCs w:val="24"/>
          <w:highlight w:val="none"/>
        </w:rPr>
        <w:t>现场材料试验</w:t>
      </w:r>
      <w:bookmarkEnd w:id="573"/>
      <w:bookmarkEnd w:id="574"/>
    </w:p>
    <w:p w14:paraId="4422497D">
      <w:pPr>
        <w:spacing w:before="184" w:line="288" w:lineRule="auto"/>
        <w:ind w:right="66"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14.2.1  </w:t>
      </w:r>
      <w:r>
        <w:rPr>
          <w:rFonts w:ascii="宋体" w:hAnsi="宋体" w:eastAsia="宋体" w:cs="宋体"/>
          <w:color w:val="auto"/>
          <w:spacing w:val="-3"/>
          <w:sz w:val="24"/>
          <w:szCs w:val="24"/>
          <w:highlight w:val="none"/>
        </w:rPr>
        <w:t>承包人根据合同约定或监理人指示进行的现场材料试验，应由承包人提供</w:t>
      </w:r>
      <w:r>
        <w:rPr>
          <w:rFonts w:ascii="宋体" w:hAnsi="宋体" w:eastAsia="宋体" w:cs="宋体"/>
          <w:color w:val="auto"/>
          <w:spacing w:val="-2"/>
          <w:sz w:val="24"/>
          <w:szCs w:val="24"/>
          <w:highlight w:val="none"/>
        </w:rPr>
        <w:t>试验场所、试验人员、试验设备器材以及其他必要的试验条件。</w:t>
      </w:r>
    </w:p>
    <w:p w14:paraId="63A11092">
      <w:pPr>
        <w:spacing w:before="184" w:line="288" w:lineRule="auto"/>
        <w:ind w:left="2" w:right="66"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14.2.2  </w:t>
      </w:r>
      <w:r>
        <w:rPr>
          <w:rFonts w:ascii="宋体" w:hAnsi="宋体" w:eastAsia="宋体" w:cs="宋体"/>
          <w:color w:val="auto"/>
          <w:spacing w:val="-3"/>
          <w:sz w:val="24"/>
          <w:szCs w:val="24"/>
          <w:highlight w:val="none"/>
        </w:rPr>
        <w:t>监理人在必要时可以使用承包人的试验场所、试验设备器材以及其他试验</w:t>
      </w:r>
      <w:r>
        <w:rPr>
          <w:rFonts w:ascii="宋体" w:hAnsi="宋体" w:eastAsia="宋体" w:cs="宋体"/>
          <w:color w:val="auto"/>
          <w:spacing w:val="-1"/>
          <w:sz w:val="24"/>
          <w:szCs w:val="24"/>
          <w:highlight w:val="none"/>
        </w:rPr>
        <w:t>条件，进行以工程质量检查为目的的复核性材</w:t>
      </w:r>
      <w:r>
        <w:rPr>
          <w:rFonts w:ascii="宋体" w:hAnsi="宋体" w:eastAsia="宋体" w:cs="宋体"/>
          <w:color w:val="auto"/>
          <w:spacing w:val="-2"/>
          <w:sz w:val="24"/>
          <w:szCs w:val="24"/>
          <w:highlight w:val="none"/>
        </w:rPr>
        <w:t>料试验，承包人应予以协助。</w:t>
      </w:r>
    </w:p>
    <w:p w14:paraId="037BC109">
      <w:pPr>
        <w:spacing w:before="184" w:line="220" w:lineRule="auto"/>
        <w:ind w:left="7"/>
        <w:outlineLvl w:val="1"/>
        <w:rPr>
          <w:rFonts w:ascii="宋体" w:hAnsi="宋体" w:eastAsia="宋体" w:cs="宋体"/>
          <w:color w:val="auto"/>
          <w:sz w:val="24"/>
          <w:szCs w:val="24"/>
          <w:highlight w:val="none"/>
        </w:rPr>
      </w:pPr>
      <w:bookmarkStart w:id="575" w:name="bookmark245"/>
      <w:bookmarkEnd w:id="575"/>
      <w:bookmarkStart w:id="576" w:name="_Toc32236"/>
      <w:bookmarkStart w:id="577" w:name="_Toc13059"/>
      <w:r>
        <w:rPr>
          <w:rFonts w:ascii="Times New Roman" w:hAnsi="Times New Roman" w:eastAsia="Times New Roman" w:cs="Times New Roman"/>
          <w:b/>
          <w:bCs/>
          <w:color w:val="auto"/>
          <w:spacing w:val="-2"/>
          <w:sz w:val="24"/>
          <w:szCs w:val="24"/>
          <w:highlight w:val="none"/>
        </w:rPr>
        <w:t xml:space="preserve">14.3  </w:t>
      </w:r>
      <w:r>
        <w:rPr>
          <w:rFonts w:ascii="宋体" w:hAnsi="宋体" w:eastAsia="宋体" w:cs="宋体"/>
          <w:b/>
          <w:bCs/>
          <w:color w:val="auto"/>
          <w:spacing w:val="-2"/>
          <w:sz w:val="24"/>
          <w:szCs w:val="24"/>
          <w:highlight w:val="none"/>
        </w:rPr>
        <w:t>现场工艺试验</w:t>
      </w:r>
      <w:bookmarkEnd w:id="576"/>
      <w:bookmarkEnd w:id="577"/>
    </w:p>
    <w:p w14:paraId="10539431">
      <w:pPr>
        <w:spacing w:before="181" w:line="360" w:lineRule="auto"/>
        <w:ind w:firstLine="48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承包人应按合同约定或监理人指示进行现场工艺试验。对大型的现场工艺试验，</w:t>
      </w:r>
      <w:r>
        <w:rPr>
          <w:rFonts w:ascii="宋体" w:hAnsi="宋体" w:eastAsia="宋体" w:cs="宋体"/>
          <w:color w:val="auto"/>
          <w:spacing w:val="-3"/>
          <w:sz w:val="24"/>
          <w:szCs w:val="24"/>
          <w:highlight w:val="none"/>
        </w:rPr>
        <w:t>监理人认为必要时，应由承包人根据监理人提出的工艺试验要求，编制工艺试验措施</w:t>
      </w:r>
      <w:r>
        <w:rPr>
          <w:rFonts w:ascii="宋体" w:hAnsi="宋体" w:eastAsia="宋体" w:cs="宋体"/>
          <w:color w:val="auto"/>
          <w:spacing w:val="-4"/>
          <w:sz w:val="24"/>
          <w:szCs w:val="24"/>
          <w:highlight w:val="none"/>
        </w:rPr>
        <w:t>计划，报送监理人审批。</w:t>
      </w:r>
    </w:p>
    <w:p w14:paraId="506524FF">
      <w:pPr>
        <w:spacing w:before="122" w:line="221" w:lineRule="auto"/>
        <w:ind w:left="10"/>
        <w:outlineLvl w:val="0"/>
        <w:rPr>
          <w:rFonts w:ascii="宋体" w:hAnsi="宋体" w:eastAsia="宋体" w:cs="宋体"/>
          <w:color w:val="auto"/>
          <w:sz w:val="28"/>
          <w:szCs w:val="28"/>
          <w:highlight w:val="none"/>
        </w:rPr>
      </w:pPr>
      <w:bookmarkStart w:id="578" w:name="bookmark247"/>
      <w:bookmarkEnd w:id="578"/>
      <w:bookmarkStart w:id="579" w:name="bookmark246"/>
      <w:bookmarkEnd w:id="579"/>
      <w:bookmarkStart w:id="580" w:name="_Toc1787"/>
      <w:bookmarkStart w:id="581" w:name="_Toc29024"/>
      <w:r>
        <w:rPr>
          <w:rFonts w:ascii="Times New Roman" w:hAnsi="Times New Roman" w:eastAsia="Times New Roman" w:cs="Times New Roman"/>
          <w:b/>
          <w:bCs/>
          <w:color w:val="auto"/>
          <w:spacing w:val="-7"/>
          <w:sz w:val="28"/>
          <w:szCs w:val="28"/>
          <w:highlight w:val="none"/>
        </w:rPr>
        <w:t>15</w:t>
      </w:r>
      <w:r>
        <w:rPr>
          <w:rFonts w:ascii="Times New Roman" w:hAnsi="Times New Roman" w:eastAsia="Times New Roman" w:cs="Times New Roman"/>
          <w:b/>
          <w:bCs/>
          <w:color w:val="auto"/>
          <w:spacing w:val="5"/>
          <w:sz w:val="28"/>
          <w:szCs w:val="28"/>
          <w:highlight w:val="none"/>
        </w:rPr>
        <w:t xml:space="preserve"> </w:t>
      </w:r>
      <w:r>
        <w:rPr>
          <w:rFonts w:hint="eastAsia" w:ascii="Times New Roman" w:hAnsi="Times New Roman" w:eastAsia="宋体" w:cs="Times New Roman"/>
          <w:b/>
          <w:bCs/>
          <w:color w:val="auto"/>
          <w:spacing w:val="5"/>
          <w:sz w:val="28"/>
          <w:szCs w:val="28"/>
          <w:highlight w:val="none"/>
          <w:lang w:eastAsia="zh-CN"/>
        </w:rPr>
        <w:t>、</w:t>
      </w:r>
      <w:r>
        <w:rPr>
          <w:rFonts w:ascii="宋体" w:hAnsi="宋体" w:eastAsia="宋体" w:cs="宋体"/>
          <w:b/>
          <w:bCs/>
          <w:color w:val="auto"/>
          <w:spacing w:val="-7"/>
          <w:sz w:val="28"/>
          <w:szCs w:val="28"/>
          <w:highlight w:val="none"/>
        </w:rPr>
        <w:t>变更</w:t>
      </w:r>
      <w:bookmarkEnd w:id="580"/>
      <w:bookmarkEnd w:id="581"/>
    </w:p>
    <w:p w14:paraId="6E6E6C54">
      <w:pPr>
        <w:pStyle w:val="3"/>
        <w:spacing w:line="242" w:lineRule="auto"/>
        <w:rPr>
          <w:color w:val="auto"/>
          <w:highlight w:val="none"/>
        </w:rPr>
      </w:pPr>
    </w:p>
    <w:p w14:paraId="5A6BCCB9">
      <w:pPr>
        <w:spacing w:before="80" w:line="220" w:lineRule="auto"/>
        <w:ind w:left="7"/>
        <w:outlineLvl w:val="1"/>
        <w:rPr>
          <w:rFonts w:ascii="宋体" w:hAnsi="宋体" w:eastAsia="宋体" w:cs="宋体"/>
          <w:color w:val="auto"/>
          <w:sz w:val="24"/>
          <w:szCs w:val="24"/>
          <w:highlight w:val="none"/>
        </w:rPr>
      </w:pPr>
      <w:bookmarkStart w:id="582" w:name="bookmark701"/>
      <w:bookmarkEnd w:id="582"/>
      <w:bookmarkStart w:id="583" w:name="_Toc15130"/>
      <w:bookmarkStart w:id="584" w:name="_Toc8732"/>
      <w:r>
        <w:rPr>
          <w:rFonts w:ascii="Times New Roman" w:hAnsi="Times New Roman" w:eastAsia="Times New Roman" w:cs="Times New Roman"/>
          <w:b/>
          <w:bCs/>
          <w:color w:val="auto"/>
          <w:spacing w:val="-3"/>
          <w:sz w:val="24"/>
          <w:szCs w:val="24"/>
          <w:highlight w:val="none"/>
        </w:rPr>
        <w:t xml:space="preserve">15.1  </w:t>
      </w:r>
      <w:r>
        <w:rPr>
          <w:rFonts w:ascii="宋体" w:hAnsi="宋体" w:eastAsia="宋体" w:cs="宋体"/>
          <w:b/>
          <w:bCs/>
          <w:color w:val="auto"/>
          <w:spacing w:val="-3"/>
          <w:sz w:val="24"/>
          <w:szCs w:val="24"/>
          <w:highlight w:val="none"/>
        </w:rPr>
        <w:t>变更的范围和内容</w:t>
      </w:r>
      <w:bookmarkEnd w:id="583"/>
      <w:bookmarkEnd w:id="584"/>
    </w:p>
    <w:p w14:paraId="3E965557">
      <w:pPr>
        <w:spacing w:before="179" w:line="219" w:lineRule="auto"/>
        <w:ind w:left="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在履行合同中发生以下情形之一，应按照本款规定进行变更。</w:t>
      </w:r>
    </w:p>
    <w:p w14:paraId="59102A14">
      <w:pPr>
        <w:spacing w:before="183" w:line="220" w:lineRule="auto"/>
        <w:ind w:left="487"/>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w:t>
      </w:r>
      <w:r>
        <w:rPr>
          <w:rFonts w:ascii="Times New Roman" w:hAnsi="Times New Roman" w:eastAsia="Times New Roman" w:cs="Times New Roman"/>
          <w:color w:val="auto"/>
          <w:spacing w:val="-7"/>
          <w:sz w:val="24"/>
          <w:szCs w:val="24"/>
          <w:highlight w:val="none"/>
        </w:rPr>
        <w:t>1</w:t>
      </w:r>
      <w:r>
        <w:rPr>
          <w:rFonts w:ascii="宋体" w:hAnsi="宋体" w:eastAsia="宋体" w:cs="宋体"/>
          <w:color w:val="auto"/>
          <w:spacing w:val="-7"/>
          <w:sz w:val="24"/>
          <w:szCs w:val="24"/>
          <w:highlight w:val="none"/>
        </w:rPr>
        <w:t>）取消合同中任何一项工作，但被取消的工作不能转由发包人或其他人</w:t>
      </w:r>
      <w:r>
        <w:rPr>
          <w:rFonts w:ascii="宋体" w:hAnsi="宋体" w:eastAsia="宋体" w:cs="宋体"/>
          <w:color w:val="auto"/>
          <w:spacing w:val="-8"/>
          <w:sz w:val="24"/>
          <w:szCs w:val="24"/>
          <w:highlight w:val="none"/>
        </w:rPr>
        <w:t>实施。</w:t>
      </w:r>
    </w:p>
    <w:p w14:paraId="14F42846">
      <w:pPr>
        <w:spacing w:before="180" w:line="220"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）改变合同中任何一项工作的质量或其他特性。</w:t>
      </w:r>
    </w:p>
    <w:p w14:paraId="56DA0D09">
      <w:pPr>
        <w:spacing w:before="182" w:line="219" w:lineRule="auto"/>
        <w:ind w:left="48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）改变合同工程的基线、标高、位置或尺寸。</w:t>
      </w:r>
    </w:p>
    <w:p w14:paraId="451930CC">
      <w:pPr>
        <w:spacing w:before="183" w:line="220"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）改变合同中任何一项工作的施工时间或改变已批准的施工工艺或顺序。</w:t>
      </w:r>
    </w:p>
    <w:p w14:paraId="06614727">
      <w:pPr>
        <w:spacing w:before="180" w:line="220" w:lineRule="auto"/>
        <w:ind w:left="48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5</w:t>
      </w:r>
      <w:r>
        <w:rPr>
          <w:rFonts w:ascii="宋体" w:hAnsi="宋体" w:eastAsia="宋体" w:cs="宋体"/>
          <w:color w:val="auto"/>
          <w:spacing w:val="-3"/>
          <w:sz w:val="24"/>
          <w:szCs w:val="24"/>
          <w:highlight w:val="none"/>
        </w:rPr>
        <w:t>）为完成工程需要追加的额外工作。</w:t>
      </w:r>
    </w:p>
    <w:p w14:paraId="2BABBB96">
      <w:pPr>
        <w:spacing w:before="182" w:line="289" w:lineRule="auto"/>
        <w:ind w:left="2" w:right="66"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6</w:t>
      </w:r>
      <w:r>
        <w:rPr>
          <w:rFonts w:ascii="宋体" w:hAnsi="宋体" w:eastAsia="宋体" w:cs="宋体"/>
          <w:color w:val="auto"/>
          <w:sz w:val="24"/>
          <w:szCs w:val="24"/>
          <w:highlight w:val="none"/>
        </w:rPr>
        <w:t>）增加或减少专用合同条款中约定的关键项目工程量超过其工程总量的一定</w:t>
      </w:r>
      <w:r>
        <w:rPr>
          <w:rFonts w:ascii="宋体" w:hAnsi="宋体" w:eastAsia="宋体" w:cs="宋体"/>
          <w:color w:val="auto"/>
          <w:spacing w:val="-7"/>
          <w:sz w:val="24"/>
          <w:szCs w:val="24"/>
          <w:highlight w:val="none"/>
        </w:rPr>
        <w:t>数量百分比。</w:t>
      </w:r>
    </w:p>
    <w:p w14:paraId="0FC969D5">
      <w:pPr>
        <w:spacing w:before="182" w:line="359" w:lineRule="auto"/>
        <w:ind w:left="1" w:right="83" w:firstLine="48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上述第（</w:t>
      </w: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28"/>
          <w:sz w:val="24"/>
          <w:szCs w:val="24"/>
          <w:highlight w:val="none"/>
        </w:rPr>
        <w:t>）～（</w:t>
      </w:r>
      <w:r>
        <w:rPr>
          <w:rFonts w:ascii="Times New Roman" w:hAnsi="Times New Roman" w:eastAsia="Times New Roman" w:cs="Times New Roman"/>
          <w:color w:val="auto"/>
          <w:spacing w:val="-1"/>
          <w:sz w:val="24"/>
          <w:szCs w:val="24"/>
          <w:highlight w:val="none"/>
        </w:rPr>
        <w:t>5</w:t>
      </w:r>
      <w:r>
        <w:rPr>
          <w:rFonts w:ascii="宋体" w:hAnsi="宋体" w:eastAsia="宋体" w:cs="宋体"/>
          <w:color w:val="auto"/>
          <w:spacing w:val="-1"/>
          <w:sz w:val="24"/>
          <w:szCs w:val="24"/>
          <w:highlight w:val="none"/>
        </w:rPr>
        <w:t>）目的变更内容引起工程施工组织和进度计划发生</w:t>
      </w:r>
      <w:r>
        <w:rPr>
          <w:rFonts w:ascii="宋体" w:hAnsi="宋体" w:eastAsia="宋体" w:cs="宋体"/>
          <w:color w:val="auto"/>
          <w:spacing w:val="-2"/>
          <w:sz w:val="24"/>
          <w:szCs w:val="24"/>
          <w:highlight w:val="none"/>
        </w:rPr>
        <w:t>实质性变动</w:t>
      </w:r>
      <w:r>
        <w:rPr>
          <w:rFonts w:ascii="宋体" w:hAnsi="宋体" w:eastAsia="宋体" w:cs="宋体"/>
          <w:color w:val="auto"/>
          <w:sz w:val="24"/>
          <w:szCs w:val="24"/>
          <w:highlight w:val="none"/>
        </w:rPr>
        <w:t>和影响其原定的价格时，才予调整该项目的单价。第（</w:t>
      </w:r>
      <w:r>
        <w:rPr>
          <w:rFonts w:ascii="Times New Roman" w:hAnsi="Times New Roman" w:eastAsia="Times New Roman" w:cs="Times New Roman"/>
          <w:color w:val="auto"/>
          <w:sz w:val="24"/>
          <w:szCs w:val="24"/>
          <w:highlight w:val="none"/>
        </w:rPr>
        <w:t>6</w:t>
      </w:r>
      <w:r>
        <w:rPr>
          <w:rFonts w:ascii="宋体" w:hAnsi="宋体" w:eastAsia="宋体" w:cs="宋体"/>
          <w:color w:val="auto"/>
          <w:sz w:val="24"/>
          <w:szCs w:val="24"/>
          <w:highlight w:val="none"/>
        </w:rPr>
        <w:t>）目情形下单价调整方式在</w:t>
      </w:r>
      <w:r>
        <w:rPr>
          <w:rFonts w:ascii="宋体" w:hAnsi="宋体" w:eastAsia="宋体" w:cs="宋体"/>
          <w:color w:val="auto"/>
          <w:spacing w:val="-5"/>
          <w:sz w:val="24"/>
          <w:szCs w:val="24"/>
          <w:highlight w:val="none"/>
        </w:rPr>
        <w:t>专用合同条款中约定。</w:t>
      </w:r>
    </w:p>
    <w:p w14:paraId="4CF3E243">
      <w:pPr>
        <w:spacing w:before="1" w:line="219" w:lineRule="auto"/>
        <w:ind w:left="7"/>
        <w:outlineLvl w:val="1"/>
        <w:rPr>
          <w:rFonts w:ascii="宋体" w:hAnsi="宋体" w:eastAsia="宋体" w:cs="宋体"/>
          <w:color w:val="auto"/>
          <w:sz w:val="24"/>
          <w:szCs w:val="24"/>
          <w:highlight w:val="none"/>
        </w:rPr>
      </w:pPr>
      <w:bookmarkStart w:id="585" w:name="bookmark248"/>
      <w:bookmarkEnd w:id="585"/>
      <w:bookmarkStart w:id="586" w:name="_Toc21901"/>
      <w:bookmarkStart w:id="587" w:name="_Toc5469"/>
      <w:r>
        <w:rPr>
          <w:rFonts w:ascii="Times New Roman" w:hAnsi="Times New Roman" w:eastAsia="Times New Roman" w:cs="Times New Roman"/>
          <w:b/>
          <w:bCs/>
          <w:color w:val="auto"/>
          <w:spacing w:val="-5"/>
          <w:sz w:val="24"/>
          <w:szCs w:val="24"/>
          <w:highlight w:val="none"/>
        </w:rPr>
        <w:t>15.2</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5"/>
          <w:sz w:val="24"/>
          <w:szCs w:val="24"/>
          <w:highlight w:val="none"/>
        </w:rPr>
        <w:t>变更权</w:t>
      </w:r>
      <w:bookmarkEnd w:id="586"/>
      <w:bookmarkEnd w:id="587"/>
    </w:p>
    <w:p w14:paraId="58418A03">
      <w:pPr>
        <w:spacing w:before="183" w:line="360" w:lineRule="auto"/>
        <w:ind w:left="2" w:right="68" w:firstLine="47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在履行合同过程中，经发包人同意，监理人可按第</w:t>
      </w:r>
      <w:r>
        <w:rPr>
          <w:rFonts w:ascii="Times New Roman" w:hAnsi="Times New Roman" w:eastAsia="Times New Roman" w:cs="Times New Roman"/>
          <w:color w:val="auto"/>
          <w:spacing w:val="-1"/>
          <w:sz w:val="24"/>
          <w:szCs w:val="24"/>
          <w:highlight w:val="none"/>
        </w:rPr>
        <w:t>15.3</w:t>
      </w:r>
      <w:r>
        <w:rPr>
          <w:rFonts w:ascii="宋体" w:hAnsi="宋体" w:eastAsia="宋体" w:cs="宋体"/>
          <w:color w:val="auto"/>
          <w:spacing w:val="-1"/>
          <w:sz w:val="24"/>
          <w:szCs w:val="24"/>
          <w:highlight w:val="none"/>
        </w:rPr>
        <w:t>款约定的变</w:t>
      </w:r>
      <w:r>
        <w:rPr>
          <w:rFonts w:ascii="宋体" w:hAnsi="宋体" w:eastAsia="宋体" w:cs="宋体"/>
          <w:color w:val="auto"/>
          <w:spacing w:val="-2"/>
          <w:sz w:val="24"/>
          <w:szCs w:val="24"/>
          <w:highlight w:val="none"/>
        </w:rPr>
        <w:t>更程序向承包</w:t>
      </w:r>
      <w:r>
        <w:rPr>
          <w:rFonts w:ascii="宋体" w:hAnsi="宋体" w:eastAsia="宋体" w:cs="宋体"/>
          <w:color w:val="auto"/>
          <w:spacing w:val="-10"/>
          <w:sz w:val="24"/>
          <w:szCs w:val="24"/>
          <w:highlight w:val="none"/>
        </w:rPr>
        <w:t>人作出变更指示，承包人应遵照执行。没有监理人的变更指示，承包人不得擅自变更。</w:t>
      </w:r>
    </w:p>
    <w:p w14:paraId="07368269">
      <w:pPr>
        <w:spacing w:line="360" w:lineRule="auto"/>
        <w:rPr>
          <w:rFonts w:ascii="宋体" w:hAnsi="宋体" w:eastAsia="宋体" w:cs="宋体"/>
          <w:color w:val="auto"/>
          <w:sz w:val="24"/>
          <w:szCs w:val="24"/>
          <w:highlight w:val="none"/>
        </w:rPr>
        <w:sectPr>
          <w:footerReference r:id="rId57" w:type="default"/>
          <w:pgSz w:w="11907" w:h="16841"/>
          <w:pgMar w:top="1428" w:right="1462" w:bottom="1254" w:left="1597" w:header="0" w:footer="1093" w:gutter="0"/>
          <w:pgNumType w:fmt="decimal"/>
          <w:cols w:space="720" w:num="1"/>
        </w:sectPr>
      </w:pPr>
    </w:p>
    <w:p w14:paraId="3A8ED3B6">
      <w:pPr>
        <w:spacing w:before="48" w:line="220" w:lineRule="auto"/>
        <w:ind w:left="7"/>
        <w:outlineLvl w:val="1"/>
        <w:rPr>
          <w:rFonts w:ascii="宋体" w:hAnsi="宋体" w:eastAsia="宋体" w:cs="宋体"/>
          <w:color w:val="auto"/>
          <w:sz w:val="24"/>
          <w:szCs w:val="24"/>
          <w:highlight w:val="none"/>
        </w:rPr>
      </w:pPr>
      <w:bookmarkStart w:id="588" w:name="bookmark249"/>
      <w:bookmarkEnd w:id="588"/>
      <w:bookmarkStart w:id="589" w:name="_Toc13618"/>
      <w:bookmarkStart w:id="590" w:name="_Toc3825"/>
      <w:r>
        <w:rPr>
          <w:rFonts w:ascii="Times New Roman" w:hAnsi="Times New Roman" w:eastAsia="Times New Roman" w:cs="Times New Roman"/>
          <w:b/>
          <w:bCs/>
          <w:color w:val="auto"/>
          <w:spacing w:val="-3"/>
          <w:sz w:val="24"/>
          <w:szCs w:val="24"/>
          <w:highlight w:val="none"/>
        </w:rPr>
        <w:t xml:space="preserve">15.3  </w:t>
      </w:r>
      <w:r>
        <w:rPr>
          <w:rFonts w:ascii="宋体" w:hAnsi="宋体" w:eastAsia="宋体" w:cs="宋体"/>
          <w:b/>
          <w:bCs/>
          <w:color w:val="auto"/>
          <w:spacing w:val="-3"/>
          <w:sz w:val="24"/>
          <w:szCs w:val="24"/>
          <w:highlight w:val="none"/>
        </w:rPr>
        <w:t>变更程序</w:t>
      </w:r>
      <w:bookmarkEnd w:id="589"/>
      <w:bookmarkEnd w:id="590"/>
    </w:p>
    <w:p w14:paraId="25872270">
      <w:pPr>
        <w:spacing w:before="182"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15.3.1  </w:t>
      </w:r>
      <w:r>
        <w:rPr>
          <w:rFonts w:ascii="宋体" w:hAnsi="宋体" w:eastAsia="宋体" w:cs="宋体"/>
          <w:color w:val="auto"/>
          <w:spacing w:val="-2"/>
          <w:sz w:val="24"/>
          <w:szCs w:val="24"/>
          <w:highlight w:val="none"/>
        </w:rPr>
        <w:t>变更的提出</w:t>
      </w:r>
    </w:p>
    <w:p w14:paraId="4C7AB698">
      <w:pPr>
        <w:spacing w:before="180" w:line="331" w:lineRule="auto"/>
        <w:ind w:right="80" w:firstLine="48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）在合同履行过程中，可能发生第</w:t>
      </w:r>
      <w:r>
        <w:rPr>
          <w:rFonts w:ascii="Times New Roman" w:hAnsi="Times New Roman" w:eastAsia="Times New Roman" w:cs="Times New Roman"/>
          <w:color w:val="auto"/>
          <w:spacing w:val="-4"/>
          <w:sz w:val="24"/>
          <w:szCs w:val="24"/>
          <w:highlight w:val="none"/>
        </w:rPr>
        <w:t>15.1</w:t>
      </w:r>
      <w:r>
        <w:rPr>
          <w:rFonts w:ascii="宋体" w:hAnsi="宋体" w:eastAsia="宋体" w:cs="宋体"/>
          <w:color w:val="auto"/>
          <w:spacing w:val="-5"/>
          <w:sz w:val="24"/>
          <w:szCs w:val="24"/>
          <w:highlight w:val="none"/>
        </w:rPr>
        <w:t>款约定情形的，监理人可向承包人发出变更意向书。变更意向书应说明变更的具体内容和发包人对变更的时间要求，</w:t>
      </w:r>
      <w:r>
        <w:rPr>
          <w:rFonts w:ascii="宋体" w:hAnsi="宋体" w:eastAsia="宋体" w:cs="宋体"/>
          <w:color w:val="auto"/>
          <w:spacing w:val="-36"/>
          <w:sz w:val="24"/>
          <w:szCs w:val="24"/>
          <w:highlight w:val="none"/>
        </w:rPr>
        <w:t xml:space="preserve"> </w:t>
      </w:r>
      <w:r>
        <w:rPr>
          <w:rFonts w:ascii="宋体" w:hAnsi="宋体" w:eastAsia="宋体" w:cs="宋体"/>
          <w:color w:val="auto"/>
          <w:spacing w:val="-5"/>
          <w:sz w:val="24"/>
          <w:szCs w:val="24"/>
          <w:highlight w:val="none"/>
        </w:rPr>
        <w:t>并附必</w:t>
      </w:r>
      <w:r>
        <w:rPr>
          <w:rFonts w:ascii="宋体" w:hAnsi="宋体" w:eastAsia="宋体" w:cs="宋体"/>
          <w:color w:val="auto"/>
          <w:spacing w:val="-3"/>
          <w:sz w:val="24"/>
          <w:szCs w:val="24"/>
          <w:highlight w:val="none"/>
        </w:rPr>
        <w:t>要的图纸和相关资料。变更意向书应要求承包人提交包括拟实施变更工作的计划、措施和完工时间等内容的实施方案。发包人同意承包人根据变更意向书要求提交的变更</w:t>
      </w:r>
      <w:r>
        <w:rPr>
          <w:rFonts w:ascii="宋体" w:hAnsi="宋体" w:eastAsia="宋体" w:cs="宋体"/>
          <w:color w:val="auto"/>
          <w:spacing w:val="-2"/>
          <w:sz w:val="24"/>
          <w:szCs w:val="24"/>
          <w:highlight w:val="none"/>
        </w:rPr>
        <w:t>实施方案的，由监理人按第</w:t>
      </w:r>
      <w:r>
        <w:rPr>
          <w:rFonts w:ascii="Times New Roman" w:hAnsi="Times New Roman" w:eastAsia="Times New Roman" w:cs="Times New Roman"/>
          <w:color w:val="auto"/>
          <w:spacing w:val="-2"/>
          <w:sz w:val="24"/>
          <w:szCs w:val="24"/>
          <w:highlight w:val="none"/>
        </w:rPr>
        <w:t>15.3.3</w:t>
      </w:r>
      <w:r>
        <w:rPr>
          <w:rFonts w:ascii="宋体" w:hAnsi="宋体" w:eastAsia="宋体" w:cs="宋体"/>
          <w:color w:val="auto"/>
          <w:spacing w:val="-2"/>
          <w:sz w:val="24"/>
          <w:szCs w:val="24"/>
          <w:highlight w:val="none"/>
        </w:rPr>
        <w:t>项约定发出变更指示。</w:t>
      </w:r>
    </w:p>
    <w:p w14:paraId="5EF58FEA">
      <w:pPr>
        <w:spacing w:before="182" w:line="289" w:lineRule="auto"/>
        <w:ind w:left="6" w:right="78" w:firstLine="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）在合同履行过程中，发生第</w:t>
      </w:r>
      <w:r>
        <w:rPr>
          <w:rFonts w:ascii="Times New Roman" w:hAnsi="Times New Roman" w:eastAsia="Times New Roman" w:cs="Times New Roman"/>
          <w:color w:val="auto"/>
          <w:spacing w:val="-1"/>
          <w:sz w:val="24"/>
          <w:szCs w:val="24"/>
          <w:highlight w:val="none"/>
        </w:rPr>
        <w:t>15.1</w:t>
      </w:r>
      <w:r>
        <w:rPr>
          <w:rFonts w:ascii="宋体" w:hAnsi="宋体" w:eastAsia="宋体" w:cs="宋体"/>
          <w:color w:val="auto"/>
          <w:spacing w:val="-1"/>
          <w:sz w:val="24"/>
          <w:szCs w:val="24"/>
          <w:highlight w:val="none"/>
        </w:rPr>
        <w:t>款约定情形的，监理人应按照第</w:t>
      </w:r>
      <w:r>
        <w:rPr>
          <w:rFonts w:ascii="Times New Roman" w:hAnsi="Times New Roman" w:eastAsia="Times New Roman" w:cs="Times New Roman"/>
          <w:color w:val="auto"/>
          <w:spacing w:val="-1"/>
          <w:sz w:val="24"/>
          <w:szCs w:val="24"/>
          <w:highlight w:val="none"/>
        </w:rPr>
        <w:t>15.</w:t>
      </w:r>
      <w:r>
        <w:rPr>
          <w:rFonts w:ascii="Times New Roman" w:hAnsi="Times New Roman" w:eastAsia="Times New Roman" w:cs="Times New Roman"/>
          <w:color w:val="auto"/>
          <w:spacing w:val="-2"/>
          <w:sz w:val="24"/>
          <w:szCs w:val="24"/>
          <w:highlight w:val="none"/>
        </w:rPr>
        <w:t>3.3</w:t>
      </w:r>
      <w:r>
        <w:rPr>
          <w:rFonts w:ascii="宋体" w:hAnsi="宋体" w:eastAsia="宋体" w:cs="宋体"/>
          <w:color w:val="auto"/>
          <w:spacing w:val="-2"/>
          <w:sz w:val="24"/>
          <w:szCs w:val="24"/>
          <w:highlight w:val="none"/>
        </w:rPr>
        <w:t>项约</w:t>
      </w:r>
      <w:r>
        <w:rPr>
          <w:rFonts w:ascii="宋体" w:hAnsi="宋体" w:eastAsia="宋体" w:cs="宋体"/>
          <w:color w:val="auto"/>
          <w:spacing w:val="-4"/>
          <w:sz w:val="24"/>
          <w:szCs w:val="24"/>
          <w:highlight w:val="none"/>
        </w:rPr>
        <w:t>定向承包人发出变更指示。</w:t>
      </w:r>
    </w:p>
    <w:p w14:paraId="7CD77CE7">
      <w:pPr>
        <w:spacing w:before="182" w:line="331" w:lineRule="auto"/>
        <w:ind w:right="16" w:firstLine="487"/>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）承包人收到监理人按合同约定发出的图纸和文件，经检查认为其中存在第</w:t>
      </w:r>
      <w:r>
        <w:rPr>
          <w:rFonts w:ascii="Times New Roman" w:hAnsi="Times New Roman" w:eastAsia="Times New Roman" w:cs="Times New Roman"/>
          <w:color w:val="auto"/>
          <w:spacing w:val="-5"/>
          <w:sz w:val="24"/>
          <w:szCs w:val="24"/>
          <w:highlight w:val="none"/>
        </w:rPr>
        <w:t>15.1</w:t>
      </w:r>
      <w:r>
        <w:rPr>
          <w:rFonts w:ascii="宋体" w:hAnsi="宋体" w:eastAsia="宋体" w:cs="宋体"/>
          <w:color w:val="auto"/>
          <w:spacing w:val="-5"/>
          <w:sz w:val="24"/>
          <w:szCs w:val="24"/>
          <w:highlight w:val="none"/>
        </w:rPr>
        <w:t>款约定情形的，可向监理人提出书面变更建</w:t>
      </w:r>
      <w:r>
        <w:rPr>
          <w:rFonts w:ascii="宋体" w:hAnsi="宋体" w:eastAsia="宋体" w:cs="宋体"/>
          <w:color w:val="auto"/>
          <w:spacing w:val="-6"/>
          <w:sz w:val="24"/>
          <w:szCs w:val="24"/>
          <w:highlight w:val="none"/>
        </w:rPr>
        <w:t>议。变更建议应阐明要求变更的依据，并附必要的图纸和说明。监理人收到承包人书面建议后， 应与发包人共同研究，确认</w:t>
      </w:r>
      <w:r>
        <w:rPr>
          <w:rFonts w:ascii="宋体" w:hAnsi="宋体" w:eastAsia="宋体" w:cs="宋体"/>
          <w:color w:val="auto"/>
          <w:spacing w:val="-3"/>
          <w:sz w:val="24"/>
          <w:szCs w:val="24"/>
          <w:highlight w:val="none"/>
        </w:rPr>
        <w:t>存在变更的，应在收到承包人书面建议后的</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天内作出变更指示。经研究后不同意作为变更的，应由监理人书面答复承包人。</w:t>
      </w:r>
    </w:p>
    <w:p w14:paraId="22BC0A27">
      <w:pPr>
        <w:spacing w:before="180" w:line="313" w:lineRule="auto"/>
        <w:ind w:left="1" w:right="82" w:firstLine="485"/>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4</w:t>
      </w:r>
      <w:r>
        <w:rPr>
          <w:rFonts w:ascii="宋体" w:hAnsi="宋体" w:eastAsia="宋体" w:cs="宋体"/>
          <w:color w:val="auto"/>
          <w:sz w:val="24"/>
          <w:szCs w:val="24"/>
          <w:highlight w:val="none"/>
        </w:rPr>
        <w:t>）若承包人收到监理人的变更意向书后认为难以实施此项变更，应立即通知</w:t>
      </w:r>
      <w:r>
        <w:rPr>
          <w:rFonts w:ascii="宋体" w:hAnsi="宋体" w:eastAsia="宋体" w:cs="宋体"/>
          <w:color w:val="auto"/>
          <w:spacing w:val="-3"/>
          <w:sz w:val="24"/>
          <w:szCs w:val="24"/>
          <w:highlight w:val="none"/>
        </w:rPr>
        <w:t>监理人，说明原因并附详细依据。监理人与承包人和发包人协商后确定撤销、改变或</w:t>
      </w:r>
      <w:r>
        <w:rPr>
          <w:rFonts w:ascii="宋体" w:hAnsi="宋体" w:eastAsia="宋体" w:cs="宋体"/>
          <w:color w:val="auto"/>
          <w:spacing w:val="-5"/>
          <w:sz w:val="24"/>
          <w:szCs w:val="24"/>
          <w:highlight w:val="none"/>
        </w:rPr>
        <w:t>不改变原变更意向书。</w:t>
      </w:r>
    </w:p>
    <w:p w14:paraId="2163145A">
      <w:pPr>
        <w:spacing w:before="181" w:line="218"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15.3.2  </w:t>
      </w:r>
      <w:r>
        <w:rPr>
          <w:rFonts w:ascii="宋体" w:hAnsi="宋体" w:eastAsia="宋体" w:cs="宋体"/>
          <w:color w:val="auto"/>
          <w:spacing w:val="-2"/>
          <w:sz w:val="24"/>
          <w:szCs w:val="24"/>
          <w:highlight w:val="none"/>
        </w:rPr>
        <w:t>变更估价</w:t>
      </w:r>
    </w:p>
    <w:p w14:paraId="2159CE51">
      <w:pPr>
        <w:spacing w:before="184" w:line="359" w:lineRule="auto"/>
        <w:ind w:left="5" w:firstLine="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l</w:t>
      </w:r>
      <w:r>
        <w:rPr>
          <w:rFonts w:ascii="宋体" w:hAnsi="宋体" w:eastAsia="宋体" w:cs="宋体"/>
          <w:color w:val="auto"/>
          <w:spacing w:val="1"/>
          <w:sz w:val="24"/>
          <w:szCs w:val="24"/>
          <w:highlight w:val="none"/>
        </w:rPr>
        <w:t>）除专用合同条款对期限另有约定外，承包人应在收到变更指示或变更意向</w:t>
      </w:r>
      <w:r>
        <w:rPr>
          <w:rFonts w:ascii="宋体" w:hAnsi="宋体" w:eastAsia="宋体" w:cs="宋体"/>
          <w:color w:val="auto"/>
          <w:spacing w:val="2"/>
          <w:sz w:val="24"/>
          <w:szCs w:val="24"/>
          <w:highlight w:val="none"/>
        </w:rPr>
        <w:t>书后的</w:t>
      </w:r>
      <w:r>
        <w:rPr>
          <w:rFonts w:ascii="Times New Roman" w:hAnsi="Times New Roman" w:eastAsia="Times New Roman" w:cs="Times New Roman"/>
          <w:color w:val="auto"/>
          <w:spacing w:val="2"/>
          <w:sz w:val="24"/>
          <w:szCs w:val="24"/>
          <w:highlight w:val="none"/>
        </w:rPr>
        <w:t xml:space="preserve">14  </w:t>
      </w:r>
      <w:r>
        <w:rPr>
          <w:rFonts w:ascii="宋体" w:hAnsi="宋体" w:eastAsia="宋体" w:cs="宋体"/>
          <w:color w:val="auto"/>
          <w:spacing w:val="2"/>
          <w:sz w:val="24"/>
          <w:szCs w:val="24"/>
          <w:highlight w:val="none"/>
        </w:rPr>
        <w:t>天内，向监理人提交变更报价书，报价内容应根据第</w:t>
      </w:r>
      <w:r>
        <w:rPr>
          <w:rFonts w:ascii="Times New Roman" w:hAnsi="Times New Roman" w:eastAsia="Times New Roman" w:cs="Times New Roman"/>
          <w:color w:val="auto"/>
          <w:spacing w:val="1"/>
          <w:sz w:val="24"/>
          <w:szCs w:val="24"/>
          <w:highlight w:val="none"/>
        </w:rPr>
        <w:t>15.4</w:t>
      </w:r>
      <w:r>
        <w:rPr>
          <w:rFonts w:ascii="宋体" w:hAnsi="宋体" w:eastAsia="宋体" w:cs="宋体"/>
          <w:color w:val="auto"/>
          <w:spacing w:val="1"/>
          <w:sz w:val="24"/>
          <w:szCs w:val="24"/>
          <w:highlight w:val="none"/>
        </w:rPr>
        <w:t>款约定的估价原</w:t>
      </w:r>
      <w:r>
        <w:rPr>
          <w:rFonts w:ascii="宋体" w:hAnsi="宋体" w:eastAsia="宋体" w:cs="宋体"/>
          <w:color w:val="auto"/>
          <w:spacing w:val="-1"/>
          <w:sz w:val="24"/>
          <w:szCs w:val="24"/>
          <w:highlight w:val="none"/>
        </w:rPr>
        <w:t>则，详细开列变更工作的价格组成及其依据，并附必要的施工方法说明和有关图纸。</w:t>
      </w:r>
    </w:p>
    <w:p w14:paraId="0587E51F">
      <w:pPr>
        <w:spacing w:before="3" w:line="312" w:lineRule="auto"/>
        <w:ind w:left="1" w:right="80" w:firstLine="485"/>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）变更工作影响工期的，承包人应提出调整工期的具体细节。监理人认为有</w:t>
      </w:r>
      <w:r>
        <w:rPr>
          <w:rFonts w:ascii="宋体" w:hAnsi="宋体" w:eastAsia="宋体" w:cs="宋体"/>
          <w:color w:val="auto"/>
          <w:spacing w:val="-3"/>
          <w:sz w:val="24"/>
          <w:szCs w:val="24"/>
          <w:highlight w:val="none"/>
        </w:rPr>
        <w:t>必要时，可要求承包人提交要求提前或延长工期的施工进度计划及相应施工措施等详</w:t>
      </w:r>
      <w:r>
        <w:rPr>
          <w:rFonts w:ascii="宋体" w:hAnsi="宋体" w:eastAsia="宋体" w:cs="宋体"/>
          <w:color w:val="auto"/>
          <w:spacing w:val="-9"/>
          <w:sz w:val="24"/>
          <w:szCs w:val="24"/>
          <w:highlight w:val="none"/>
        </w:rPr>
        <w:t>细资料。</w:t>
      </w:r>
    </w:p>
    <w:p w14:paraId="39FA403C">
      <w:pPr>
        <w:spacing w:before="182" w:line="288" w:lineRule="auto"/>
        <w:ind w:left="5" w:right="80" w:firstLine="481"/>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）除专用合同条款对期限另有约定外，监理人收到承包人变更报价书后的</w:t>
      </w:r>
      <w:r>
        <w:rPr>
          <w:rFonts w:ascii="Times New Roman" w:hAnsi="Times New Roman" w:eastAsia="Times New Roman" w:cs="Times New Roman"/>
          <w:color w:val="auto"/>
          <w:sz w:val="24"/>
          <w:szCs w:val="24"/>
          <w:highlight w:val="none"/>
        </w:rPr>
        <w:t>14</w:t>
      </w:r>
      <w:r>
        <w:rPr>
          <w:rFonts w:ascii="宋体" w:hAnsi="宋体" w:eastAsia="宋体" w:cs="宋体"/>
          <w:color w:val="auto"/>
          <w:spacing w:val="-1"/>
          <w:sz w:val="24"/>
          <w:szCs w:val="24"/>
          <w:highlight w:val="none"/>
        </w:rPr>
        <w:t>天内，根据第</w:t>
      </w:r>
      <w:r>
        <w:rPr>
          <w:rFonts w:ascii="Times New Roman" w:hAnsi="Times New Roman" w:eastAsia="Times New Roman" w:cs="Times New Roman"/>
          <w:color w:val="auto"/>
          <w:spacing w:val="-1"/>
          <w:sz w:val="24"/>
          <w:szCs w:val="24"/>
          <w:highlight w:val="none"/>
        </w:rPr>
        <w:t>15.4</w:t>
      </w:r>
      <w:r>
        <w:rPr>
          <w:rFonts w:ascii="宋体" w:hAnsi="宋体" w:eastAsia="宋体" w:cs="宋体"/>
          <w:color w:val="auto"/>
          <w:spacing w:val="-1"/>
          <w:sz w:val="24"/>
          <w:szCs w:val="24"/>
          <w:highlight w:val="none"/>
        </w:rPr>
        <w:t>款约定的估价原则，按照第</w:t>
      </w:r>
      <w:r>
        <w:rPr>
          <w:rFonts w:ascii="Times New Roman" w:hAnsi="Times New Roman" w:eastAsia="Times New Roman" w:cs="Times New Roman"/>
          <w:color w:val="auto"/>
          <w:spacing w:val="-1"/>
          <w:sz w:val="24"/>
          <w:szCs w:val="24"/>
          <w:highlight w:val="none"/>
        </w:rPr>
        <w:t>3.5</w:t>
      </w:r>
      <w:r>
        <w:rPr>
          <w:rFonts w:ascii="宋体" w:hAnsi="宋体" w:eastAsia="宋体" w:cs="宋体"/>
          <w:color w:val="auto"/>
          <w:spacing w:val="-2"/>
          <w:sz w:val="24"/>
          <w:szCs w:val="24"/>
          <w:highlight w:val="none"/>
        </w:rPr>
        <w:t>款商定或确定变更价格。</w:t>
      </w:r>
    </w:p>
    <w:p w14:paraId="1347708B">
      <w:pPr>
        <w:spacing w:before="184" w:line="221"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15.3.3  </w:t>
      </w:r>
      <w:r>
        <w:rPr>
          <w:rFonts w:ascii="宋体" w:hAnsi="宋体" w:eastAsia="宋体" w:cs="宋体"/>
          <w:color w:val="auto"/>
          <w:spacing w:val="-2"/>
          <w:sz w:val="24"/>
          <w:szCs w:val="24"/>
          <w:highlight w:val="none"/>
        </w:rPr>
        <w:t>变更指示</w:t>
      </w:r>
    </w:p>
    <w:p w14:paraId="288AA0B0">
      <w:pPr>
        <w:spacing w:before="179" w:line="220" w:lineRule="auto"/>
        <w:ind w:left="48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）变更指示只能由监理人发出。</w:t>
      </w:r>
    </w:p>
    <w:p w14:paraId="11B7B4BF">
      <w:pPr>
        <w:spacing w:before="183" w:line="288" w:lineRule="auto"/>
        <w:ind w:left="1" w:right="82" w:firstLine="485"/>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）变更指示应说明变更的目的、范围、变更内容以及变更的工程量及其进度</w:t>
      </w:r>
      <w:r>
        <w:rPr>
          <w:rFonts w:ascii="宋体" w:hAnsi="宋体" w:eastAsia="宋体" w:cs="宋体"/>
          <w:color w:val="auto"/>
          <w:spacing w:val="-6"/>
          <w:sz w:val="24"/>
          <w:szCs w:val="24"/>
          <w:highlight w:val="none"/>
        </w:rPr>
        <w:t>和技术要求，并附有关图纸和文件。承包人收到变更指示后， 应按变更指示进行变更</w:t>
      </w:r>
    </w:p>
    <w:p w14:paraId="2E555363">
      <w:pPr>
        <w:spacing w:line="288" w:lineRule="auto"/>
        <w:rPr>
          <w:rFonts w:ascii="宋体" w:hAnsi="宋体" w:eastAsia="宋体" w:cs="宋体"/>
          <w:color w:val="auto"/>
          <w:sz w:val="24"/>
          <w:szCs w:val="24"/>
          <w:highlight w:val="none"/>
        </w:rPr>
        <w:sectPr>
          <w:footerReference r:id="rId58" w:type="default"/>
          <w:pgSz w:w="11907" w:h="16841"/>
          <w:pgMar w:top="1428" w:right="1448" w:bottom="1254" w:left="1597" w:header="0" w:footer="1093" w:gutter="0"/>
          <w:pgNumType w:fmt="decimal"/>
          <w:cols w:space="720" w:num="1"/>
        </w:sectPr>
      </w:pPr>
    </w:p>
    <w:p w14:paraId="69110825">
      <w:pPr>
        <w:spacing w:before="48" w:line="220" w:lineRule="auto"/>
        <w:ind w:left="1"/>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工作。</w:t>
      </w:r>
    </w:p>
    <w:p w14:paraId="33BBCB3A">
      <w:pPr>
        <w:spacing w:before="181" w:line="218" w:lineRule="auto"/>
        <w:ind w:left="5"/>
        <w:outlineLvl w:val="1"/>
        <w:rPr>
          <w:rFonts w:ascii="宋体" w:hAnsi="宋体" w:eastAsia="宋体" w:cs="宋体"/>
          <w:color w:val="auto"/>
          <w:sz w:val="24"/>
          <w:szCs w:val="24"/>
          <w:highlight w:val="none"/>
        </w:rPr>
      </w:pPr>
      <w:bookmarkStart w:id="591" w:name="bookmark250"/>
      <w:bookmarkEnd w:id="591"/>
      <w:bookmarkStart w:id="592" w:name="_Toc268"/>
      <w:bookmarkStart w:id="593" w:name="_Toc2823"/>
      <w:r>
        <w:rPr>
          <w:rFonts w:ascii="Times New Roman" w:hAnsi="Times New Roman" w:eastAsia="Times New Roman" w:cs="Times New Roman"/>
          <w:b/>
          <w:bCs/>
          <w:color w:val="auto"/>
          <w:spacing w:val="-3"/>
          <w:sz w:val="24"/>
          <w:szCs w:val="24"/>
          <w:highlight w:val="none"/>
        </w:rPr>
        <w:t xml:space="preserve">15.4  </w:t>
      </w:r>
      <w:r>
        <w:rPr>
          <w:rFonts w:ascii="宋体" w:hAnsi="宋体" w:eastAsia="宋体" w:cs="宋体"/>
          <w:b/>
          <w:bCs/>
          <w:color w:val="auto"/>
          <w:spacing w:val="-3"/>
          <w:sz w:val="24"/>
          <w:szCs w:val="24"/>
          <w:highlight w:val="none"/>
        </w:rPr>
        <w:t>变更的估价原则</w:t>
      </w:r>
      <w:bookmarkEnd w:id="592"/>
      <w:bookmarkEnd w:id="593"/>
    </w:p>
    <w:p w14:paraId="65D0F2D9">
      <w:pPr>
        <w:spacing w:before="182" w:line="218" w:lineRule="auto"/>
        <w:ind w:left="49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除专用合同条款另有约定外，因变更引起的价格调整按照本款约定处理。</w:t>
      </w:r>
    </w:p>
    <w:p w14:paraId="58A5F6BA">
      <w:pPr>
        <w:spacing w:before="184" w:line="218" w:lineRule="auto"/>
        <w:ind w:left="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15.4.1</w:t>
      </w:r>
      <w:r>
        <w:rPr>
          <w:rFonts w:ascii="Times New Roman" w:hAnsi="Times New Roman" w:eastAsia="Times New Roman" w:cs="Times New Roman"/>
          <w:b/>
          <w:bCs/>
          <w:color w:val="auto"/>
          <w:spacing w:val="17"/>
          <w:w w:val="101"/>
          <w:sz w:val="24"/>
          <w:szCs w:val="24"/>
          <w:highlight w:val="none"/>
        </w:rPr>
        <w:t xml:space="preserve">  </w:t>
      </w:r>
      <w:r>
        <w:rPr>
          <w:rFonts w:ascii="宋体" w:hAnsi="宋体" w:eastAsia="宋体" w:cs="宋体"/>
          <w:color w:val="auto"/>
          <w:spacing w:val="-2"/>
          <w:sz w:val="24"/>
          <w:szCs w:val="24"/>
          <w:highlight w:val="none"/>
        </w:rPr>
        <w:t>已标价工程量清单中有适用于变更工作的子目</w:t>
      </w:r>
      <w:r>
        <w:rPr>
          <w:rFonts w:ascii="宋体" w:hAnsi="宋体" w:eastAsia="宋体" w:cs="宋体"/>
          <w:color w:val="auto"/>
          <w:spacing w:val="-3"/>
          <w:sz w:val="24"/>
          <w:szCs w:val="24"/>
          <w:highlight w:val="none"/>
        </w:rPr>
        <w:t>的，采用该子目的单价。</w:t>
      </w:r>
    </w:p>
    <w:p w14:paraId="58F8A174">
      <w:pPr>
        <w:spacing w:before="182" w:line="289" w:lineRule="auto"/>
        <w:ind w:left="1" w:right="188"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15.4.2</w:t>
      </w:r>
      <w:r>
        <w:rPr>
          <w:rFonts w:ascii="Times New Roman" w:hAnsi="Times New Roman" w:eastAsia="Times New Roman" w:cs="Times New Roman"/>
          <w:b/>
          <w:bCs/>
          <w:color w:val="auto"/>
          <w:spacing w:val="19"/>
          <w:sz w:val="24"/>
          <w:szCs w:val="24"/>
          <w:highlight w:val="none"/>
        </w:rPr>
        <w:t xml:space="preserve">  </w:t>
      </w:r>
      <w:r>
        <w:rPr>
          <w:rFonts w:ascii="宋体" w:hAnsi="宋体" w:eastAsia="宋体" w:cs="宋体"/>
          <w:color w:val="auto"/>
          <w:spacing w:val="-4"/>
          <w:sz w:val="24"/>
          <w:szCs w:val="24"/>
          <w:highlight w:val="none"/>
        </w:rPr>
        <w:t>已标价工程量清单中无适用于变更工作的子目，但有类似子目的，可在合</w:t>
      </w:r>
      <w:r>
        <w:rPr>
          <w:rFonts w:ascii="宋体" w:hAnsi="宋体" w:eastAsia="宋体" w:cs="宋体"/>
          <w:color w:val="auto"/>
          <w:spacing w:val="-1"/>
          <w:sz w:val="24"/>
          <w:szCs w:val="24"/>
          <w:highlight w:val="none"/>
        </w:rPr>
        <w:t>理范围内参照类似子目的单价，由监理人按第</w:t>
      </w:r>
      <w:r>
        <w:rPr>
          <w:rFonts w:ascii="Times New Roman" w:hAnsi="Times New Roman" w:eastAsia="Times New Roman" w:cs="Times New Roman"/>
          <w:color w:val="auto"/>
          <w:spacing w:val="-1"/>
          <w:sz w:val="24"/>
          <w:szCs w:val="24"/>
          <w:highlight w:val="none"/>
        </w:rPr>
        <w:t>3.5</w:t>
      </w:r>
      <w:r>
        <w:rPr>
          <w:rFonts w:ascii="宋体" w:hAnsi="宋体" w:eastAsia="宋体" w:cs="宋体"/>
          <w:color w:val="auto"/>
          <w:spacing w:val="-1"/>
          <w:sz w:val="24"/>
          <w:szCs w:val="24"/>
          <w:highlight w:val="none"/>
        </w:rPr>
        <w:t>款商定或确</w:t>
      </w:r>
      <w:r>
        <w:rPr>
          <w:rFonts w:ascii="宋体" w:hAnsi="宋体" w:eastAsia="宋体" w:cs="宋体"/>
          <w:color w:val="auto"/>
          <w:spacing w:val="-2"/>
          <w:sz w:val="24"/>
          <w:szCs w:val="24"/>
          <w:highlight w:val="none"/>
        </w:rPr>
        <w:t>定变更工作的单价。</w:t>
      </w:r>
    </w:p>
    <w:p w14:paraId="079F24BA">
      <w:pPr>
        <w:spacing w:before="182" w:line="289" w:lineRule="auto"/>
        <w:ind w:left="28" w:firstLine="459"/>
        <w:rPr>
          <w:rFonts w:ascii="宋体" w:hAnsi="宋体" w:eastAsia="宋体" w:cs="宋体"/>
          <w:color w:val="auto"/>
          <w:sz w:val="24"/>
          <w:szCs w:val="24"/>
          <w:highlight w:val="none"/>
        </w:rPr>
      </w:pPr>
      <w:r>
        <w:rPr>
          <w:rFonts w:ascii="Times New Roman" w:hAnsi="Times New Roman" w:eastAsia="Times New Roman" w:cs="Times New Roman"/>
          <w:b/>
          <w:bCs/>
          <w:color w:val="auto"/>
          <w:spacing w:val="-5"/>
          <w:sz w:val="24"/>
          <w:szCs w:val="24"/>
          <w:highlight w:val="none"/>
        </w:rPr>
        <w:t>15.4.3</w:t>
      </w:r>
      <w:r>
        <w:rPr>
          <w:rFonts w:ascii="Times New Roman" w:hAnsi="Times New Roman" w:eastAsia="Times New Roman" w:cs="Times New Roman"/>
          <w:b/>
          <w:bCs/>
          <w:color w:val="auto"/>
          <w:spacing w:val="18"/>
          <w:sz w:val="24"/>
          <w:szCs w:val="24"/>
          <w:highlight w:val="none"/>
        </w:rPr>
        <w:t xml:space="preserve">  </w:t>
      </w:r>
      <w:r>
        <w:rPr>
          <w:rFonts w:ascii="宋体" w:hAnsi="宋体" w:eastAsia="宋体" w:cs="宋体"/>
          <w:color w:val="auto"/>
          <w:spacing w:val="-5"/>
          <w:sz w:val="24"/>
          <w:szCs w:val="24"/>
          <w:highlight w:val="none"/>
        </w:rPr>
        <w:t>已标价工程量清单中无适用或类似子目的单价，可按照成本加利</w:t>
      </w:r>
      <w:r>
        <w:rPr>
          <w:rFonts w:ascii="宋体" w:hAnsi="宋体" w:eastAsia="宋体" w:cs="宋体"/>
          <w:color w:val="auto"/>
          <w:spacing w:val="-6"/>
          <w:sz w:val="24"/>
          <w:szCs w:val="24"/>
          <w:highlight w:val="none"/>
        </w:rPr>
        <w:t>润的原则，</w:t>
      </w:r>
      <w:r>
        <w:rPr>
          <w:rFonts w:ascii="宋体" w:hAnsi="宋体" w:eastAsia="宋体" w:cs="宋体"/>
          <w:color w:val="auto"/>
          <w:spacing w:val="-3"/>
          <w:sz w:val="24"/>
          <w:szCs w:val="24"/>
          <w:highlight w:val="none"/>
        </w:rPr>
        <w:t>由监理人按第</w:t>
      </w:r>
      <w:r>
        <w:rPr>
          <w:rFonts w:ascii="Times New Roman" w:hAnsi="Times New Roman" w:eastAsia="Times New Roman" w:cs="Times New Roman"/>
          <w:color w:val="auto"/>
          <w:spacing w:val="-3"/>
          <w:sz w:val="24"/>
          <w:szCs w:val="24"/>
          <w:highlight w:val="none"/>
        </w:rPr>
        <w:t>3.5</w:t>
      </w:r>
      <w:r>
        <w:rPr>
          <w:rFonts w:ascii="宋体" w:hAnsi="宋体" w:eastAsia="宋体" w:cs="宋体"/>
          <w:color w:val="auto"/>
          <w:spacing w:val="-3"/>
          <w:sz w:val="24"/>
          <w:szCs w:val="24"/>
          <w:highlight w:val="none"/>
        </w:rPr>
        <w:t>款商定或确定变更工作的</w:t>
      </w:r>
      <w:r>
        <w:rPr>
          <w:rFonts w:ascii="宋体" w:hAnsi="宋体" w:eastAsia="宋体" w:cs="宋体"/>
          <w:color w:val="auto"/>
          <w:spacing w:val="-4"/>
          <w:sz w:val="24"/>
          <w:szCs w:val="24"/>
          <w:highlight w:val="none"/>
        </w:rPr>
        <w:t>单价。</w:t>
      </w:r>
    </w:p>
    <w:p w14:paraId="1C4268FD">
      <w:pPr>
        <w:spacing w:before="181" w:line="220" w:lineRule="auto"/>
        <w:ind w:left="5"/>
        <w:outlineLvl w:val="1"/>
        <w:rPr>
          <w:rFonts w:ascii="宋体" w:hAnsi="宋体" w:eastAsia="宋体" w:cs="宋体"/>
          <w:color w:val="auto"/>
          <w:sz w:val="24"/>
          <w:szCs w:val="24"/>
          <w:highlight w:val="none"/>
        </w:rPr>
      </w:pPr>
      <w:bookmarkStart w:id="594" w:name="bookmark251"/>
      <w:bookmarkEnd w:id="594"/>
      <w:bookmarkStart w:id="595" w:name="_Toc26107"/>
      <w:bookmarkStart w:id="596" w:name="_Toc17296"/>
      <w:r>
        <w:rPr>
          <w:rFonts w:ascii="Times New Roman" w:hAnsi="Times New Roman" w:eastAsia="Times New Roman" w:cs="Times New Roman"/>
          <w:b/>
          <w:bCs/>
          <w:color w:val="auto"/>
          <w:spacing w:val="-2"/>
          <w:sz w:val="24"/>
          <w:szCs w:val="24"/>
          <w:highlight w:val="none"/>
        </w:rPr>
        <w:t xml:space="preserve">15.5  </w:t>
      </w:r>
      <w:r>
        <w:rPr>
          <w:rFonts w:ascii="宋体" w:hAnsi="宋体" w:eastAsia="宋体" w:cs="宋体"/>
          <w:b/>
          <w:bCs/>
          <w:color w:val="auto"/>
          <w:spacing w:val="-2"/>
          <w:sz w:val="24"/>
          <w:szCs w:val="24"/>
          <w:highlight w:val="none"/>
        </w:rPr>
        <w:t>承包人的合理化建议</w:t>
      </w:r>
      <w:bookmarkEnd w:id="595"/>
      <w:bookmarkEnd w:id="596"/>
    </w:p>
    <w:p w14:paraId="727798A3">
      <w:pPr>
        <w:spacing w:before="184" w:line="331" w:lineRule="auto"/>
        <w:ind w:right="186"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15.5.1  </w:t>
      </w:r>
      <w:r>
        <w:rPr>
          <w:rFonts w:ascii="宋体" w:hAnsi="宋体" w:eastAsia="宋体" w:cs="宋体"/>
          <w:color w:val="auto"/>
          <w:spacing w:val="-3"/>
          <w:sz w:val="24"/>
          <w:szCs w:val="24"/>
          <w:highlight w:val="none"/>
        </w:rPr>
        <w:t>在履行合同过程中，承包人对发包人提供的图纸、技术要求以及其他方面提出的合理化建议，均应以书面形式提交监理人。合理化建议书的内容应包括建议工</w:t>
      </w:r>
      <w:r>
        <w:rPr>
          <w:rFonts w:ascii="宋体" w:hAnsi="宋体" w:eastAsia="宋体" w:cs="宋体"/>
          <w:color w:val="auto"/>
          <w:spacing w:val="-6"/>
          <w:sz w:val="24"/>
          <w:szCs w:val="24"/>
          <w:highlight w:val="none"/>
        </w:rPr>
        <w:t>作的详细说明、进度计划和效益以及与其他工作的协调等， 并附必要的设计文件。监</w:t>
      </w:r>
      <w:r>
        <w:rPr>
          <w:rFonts w:ascii="宋体" w:hAnsi="宋体" w:eastAsia="宋体" w:cs="宋体"/>
          <w:color w:val="auto"/>
          <w:sz w:val="24"/>
          <w:szCs w:val="24"/>
          <w:highlight w:val="none"/>
        </w:rPr>
        <w:t>理人应与发包人协商是否采纳建议。建议被采纳并构成变更的，应按第</w:t>
      </w:r>
      <w:r>
        <w:rPr>
          <w:rFonts w:ascii="Times New Roman" w:hAnsi="Times New Roman" w:eastAsia="Times New Roman" w:cs="Times New Roman"/>
          <w:color w:val="auto"/>
          <w:sz w:val="24"/>
          <w:szCs w:val="24"/>
          <w:highlight w:val="none"/>
        </w:rPr>
        <w:t>15.3.3</w:t>
      </w:r>
      <w:r>
        <w:rPr>
          <w:rFonts w:ascii="宋体" w:hAnsi="宋体" w:eastAsia="宋体" w:cs="宋体"/>
          <w:color w:val="auto"/>
          <w:sz w:val="24"/>
          <w:szCs w:val="24"/>
          <w:highlight w:val="none"/>
        </w:rPr>
        <w:t>项约定</w:t>
      </w:r>
      <w:r>
        <w:rPr>
          <w:rFonts w:ascii="宋体" w:hAnsi="宋体" w:eastAsia="宋体" w:cs="宋体"/>
          <w:color w:val="auto"/>
          <w:spacing w:val="-4"/>
          <w:sz w:val="24"/>
          <w:szCs w:val="24"/>
          <w:highlight w:val="none"/>
        </w:rPr>
        <w:t>向承包人发出变更指示。</w:t>
      </w:r>
    </w:p>
    <w:p w14:paraId="13440BE2">
      <w:pPr>
        <w:spacing w:before="180" w:line="290" w:lineRule="auto"/>
        <w:ind w:right="186"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15.5.2  </w:t>
      </w:r>
      <w:r>
        <w:rPr>
          <w:rFonts w:ascii="宋体" w:hAnsi="宋体" w:eastAsia="宋体" w:cs="宋体"/>
          <w:color w:val="auto"/>
          <w:spacing w:val="-3"/>
          <w:sz w:val="24"/>
          <w:szCs w:val="24"/>
          <w:highlight w:val="none"/>
        </w:rPr>
        <w:t>承包人提出的合理化建议降低了合同价格、缩短了工期或者提高了工程经</w:t>
      </w:r>
      <w:r>
        <w:rPr>
          <w:rFonts w:ascii="宋体" w:hAnsi="宋体" w:eastAsia="宋体" w:cs="宋体"/>
          <w:color w:val="auto"/>
          <w:spacing w:val="-2"/>
          <w:sz w:val="24"/>
          <w:szCs w:val="24"/>
          <w:highlight w:val="none"/>
        </w:rPr>
        <w:t>济效益的，发包人可按国家有关规定在专用合同条款中约定给予奖励。</w:t>
      </w:r>
    </w:p>
    <w:p w14:paraId="7336877E">
      <w:pPr>
        <w:spacing w:before="183" w:line="220" w:lineRule="auto"/>
        <w:ind w:left="5"/>
        <w:outlineLvl w:val="1"/>
        <w:rPr>
          <w:rFonts w:ascii="宋体" w:hAnsi="宋体" w:eastAsia="宋体" w:cs="宋体"/>
          <w:color w:val="auto"/>
          <w:sz w:val="24"/>
          <w:szCs w:val="24"/>
          <w:highlight w:val="none"/>
        </w:rPr>
      </w:pPr>
      <w:bookmarkStart w:id="597" w:name="bookmark252"/>
      <w:bookmarkEnd w:id="597"/>
      <w:bookmarkStart w:id="598" w:name="_Toc5751"/>
      <w:bookmarkStart w:id="599" w:name="_Toc2677"/>
      <w:r>
        <w:rPr>
          <w:rFonts w:ascii="Times New Roman" w:hAnsi="Times New Roman" w:eastAsia="Times New Roman" w:cs="Times New Roman"/>
          <w:b/>
          <w:bCs/>
          <w:color w:val="auto"/>
          <w:spacing w:val="-5"/>
          <w:sz w:val="24"/>
          <w:szCs w:val="24"/>
          <w:highlight w:val="none"/>
        </w:rPr>
        <w:t>15.6</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5"/>
          <w:sz w:val="24"/>
          <w:szCs w:val="24"/>
          <w:highlight w:val="none"/>
        </w:rPr>
        <w:t>预留金</w:t>
      </w:r>
      <w:bookmarkEnd w:id="598"/>
      <w:bookmarkEnd w:id="599"/>
    </w:p>
    <w:p w14:paraId="547E3BC2">
      <w:pPr>
        <w:spacing w:before="179" w:line="218" w:lineRule="auto"/>
        <w:ind w:left="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预留金只能按照监理人的指示使用，并对合同价格进行相应调整。</w:t>
      </w:r>
    </w:p>
    <w:p w14:paraId="6705328E">
      <w:pPr>
        <w:spacing w:before="184" w:line="221" w:lineRule="auto"/>
        <w:ind w:left="5"/>
        <w:outlineLvl w:val="1"/>
        <w:rPr>
          <w:rFonts w:ascii="宋体" w:hAnsi="宋体" w:eastAsia="宋体" w:cs="宋体"/>
          <w:color w:val="auto"/>
          <w:sz w:val="24"/>
          <w:szCs w:val="24"/>
          <w:highlight w:val="none"/>
        </w:rPr>
      </w:pPr>
      <w:bookmarkStart w:id="600" w:name="bookmark253"/>
      <w:bookmarkEnd w:id="600"/>
      <w:bookmarkStart w:id="601" w:name="_Toc24476"/>
      <w:bookmarkStart w:id="602" w:name="_Toc23795"/>
      <w:r>
        <w:rPr>
          <w:rFonts w:ascii="Times New Roman" w:hAnsi="Times New Roman" w:eastAsia="Times New Roman" w:cs="Times New Roman"/>
          <w:b/>
          <w:bCs/>
          <w:color w:val="auto"/>
          <w:spacing w:val="-5"/>
          <w:sz w:val="24"/>
          <w:szCs w:val="24"/>
          <w:highlight w:val="none"/>
        </w:rPr>
        <w:t>15.7</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5"/>
          <w:sz w:val="24"/>
          <w:szCs w:val="24"/>
          <w:highlight w:val="none"/>
        </w:rPr>
        <w:t>计日工</w:t>
      </w:r>
      <w:bookmarkEnd w:id="601"/>
      <w:bookmarkEnd w:id="602"/>
    </w:p>
    <w:p w14:paraId="20778BD2">
      <w:pPr>
        <w:spacing w:before="179" w:line="289" w:lineRule="auto"/>
        <w:ind w:left="1" w:right="186"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15.7.1  </w:t>
      </w:r>
      <w:r>
        <w:rPr>
          <w:rFonts w:ascii="宋体" w:hAnsi="宋体" w:eastAsia="宋体" w:cs="宋体"/>
          <w:color w:val="auto"/>
          <w:spacing w:val="-3"/>
          <w:sz w:val="24"/>
          <w:szCs w:val="24"/>
          <w:highlight w:val="none"/>
        </w:rPr>
        <w:t>发包人认为有必要时，由监理人通知承包人以计日工方式实施变更的零星</w:t>
      </w:r>
      <w:r>
        <w:rPr>
          <w:rFonts w:ascii="宋体" w:hAnsi="宋体" w:eastAsia="宋体" w:cs="宋体"/>
          <w:color w:val="auto"/>
          <w:spacing w:val="-1"/>
          <w:sz w:val="24"/>
          <w:szCs w:val="24"/>
          <w:highlight w:val="none"/>
        </w:rPr>
        <w:t>工作。其价款按列入已标价工程量清单中的计日工计</w:t>
      </w:r>
      <w:r>
        <w:rPr>
          <w:rFonts w:ascii="宋体" w:hAnsi="宋体" w:eastAsia="宋体" w:cs="宋体"/>
          <w:color w:val="auto"/>
          <w:spacing w:val="-2"/>
          <w:sz w:val="24"/>
          <w:szCs w:val="24"/>
          <w:highlight w:val="none"/>
        </w:rPr>
        <w:t>价子目及其单价进行计算。</w:t>
      </w:r>
    </w:p>
    <w:p w14:paraId="7F37FAFD">
      <w:pPr>
        <w:spacing w:before="181" w:line="290" w:lineRule="auto"/>
        <w:ind w:left="2" w:right="188" w:firstLine="485"/>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15.7.2  </w:t>
      </w:r>
      <w:r>
        <w:rPr>
          <w:rFonts w:ascii="宋体" w:hAnsi="宋体" w:eastAsia="宋体" w:cs="宋体"/>
          <w:color w:val="auto"/>
          <w:spacing w:val="-3"/>
          <w:sz w:val="24"/>
          <w:szCs w:val="24"/>
          <w:highlight w:val="none"/>
        </w:rPr>
        <w:t>采用计日工计价的任何一项变更工作，应从预留金中支付，承包人应在该</w:t>
      </w:r>
      <w:r>
        <w:rPr>
          <w:rFonts w:ascii="宋体" w:hAnsi="宋体" w:eastAsia="宋体" w:cs="宋体"/>
          <w:color w:val="auto"/>
          <w:spacing w:val="-2"/>
          <w:sz w:val="24"/>
          <w:szCs w:val="24"/>
          <w:highlight w:val="none"/>
        </w:rPr>
        <w:t>项变更的实施过程中，每天提交以下报表和有关凭证报送</w:t>
      </w:r>
      <w:r>
        <w:rPr>
          <w:rFonts w:ascii="宋体" w:hAnsi="宋体" w:eastAsia="宋体" w:cs="宋体"/>
          <w:color w:val="auto"/>
          <w:spacing w:val="-3"/>
          <w:sz w:val="24"/>
          <w:szCs w:val="24"/>
          <w:highlight w:val="none"/>
        </w:rPr>
        <w:t>监理人审批：</w:t>
      </w:r>
    </w:p>
    <w:p w14:paraId="73F7DD8D">
      <w:pPr>
        <w:spacing w:before="180" w:line="220" w:lineRule="auto"/>
        <w:ind w:left="48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l</w:t>
      </w:r>
      <w:r>
        <w:rPr>
          <w:rFonts w:ascii="宋体" w:hAnsi="宋体" w:eastAsia="宋体" w:cs="宋体"/>
          <w:color w:val="auto"/>
          <w:spacing w:val="-4"/>
          <w:sz w:val="24"/>
          <w:szCs w:val="24"/>
          <w:highlight w:val="none"/>
        </w:rPr>
        <w:t>）工作名称、内容和数量。</w:t>
      </w:r>
    </w:p>
    <w:p w14:paraId="6F80BE35">
      <w:pPr>
        <w:spacing w:before="182" w:line="220" w:lineRule="auto"/>
        <w:ind w:left="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）投入该工作所有人员的姓名、工种、级别和耗用工时。</w:t>
      </w:r>
    </w:p>
    <w:p w14:paraId="32E0E453">
      <w:pPr>
        <w:spacing w:before="180" w:line="219" w:lineRule="auto"/>
        <w:ind w:left="48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）投入该工作的材料类别和数量。</w:t>
      </w:r>
    </w:p>
    <w:p w14:paraId="3BAA9201">
      <w:pPr>
        <w:spacing w:before="183" w:line="220"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）投入该工作的施工设备型号、台数和耗用台班。</w:t>
      </w:r>
    </w:p>
    <w:p w14:paraId="4FAE44AA">
      <w:pPr>
        <w:spacing w:before="179" w:line="220" w:lineRule="auto"/>
        <w:ind w:left="48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5</w:t>
      </w:r>
      <w:r>
        <w:rPr>
          <w:rFonts w:ascii="宋体" w:hAnsi="宋体" w:eastAsia="宋体" w:cs="宋体"/>
          <w:color w:val="auto"/>
          <w:spacing w:val="-3"/>
          <w:sz w:val="24"/>
          <w:szCs w:val="24"/>
          <w:highlight w:val="none"/>
        </w:rPr>
        <w:t>）监理人要求提交的其他资料和凭证。</w:t>
      </w:r>
    </w:p>
    <w:p w14:paraId="3AEDB264">
      <w:pPr>
        <w:spacing w:before="184" w:line="360" w:lineRule="auto"/>
        <w:ind w:left="1" w:right="186"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15.7.3  </w:t>
      </w:r>
      <w:r>
        <w:rPr>
          <w:rFonts w:ascii="宋体" w:hAnsi="宋体" w:eastAsia="宋体" w:cs="宋体"/>
          <w:color w:val="auto"/>
          <w:sz w:val="24"/>
          <w:szCs w:val="24"/>
          <w:highlight w:val="none"/>
        </w:rPr>
        <w:t>计日工由承包人汇总后，按第</w:t>
      </w:r>
      <w:r>
        <w:rPr>
          <w:rFonts w:ascii="Times New Roman" w:hAnsi="Times New Roman" w:eastAsia="Times New Roman" w:cs="Times New Roman"/>
          <w:color w:val="auto"/>
          <w:sz w:val="24"/>
          <w:szCs w:val="24"/>
          <w:highlight w:val="none"/>
        </w:rPr>
        <w:t>17.3.2</w:t>
      </w:r>
      <w:r>
        <w:rPr>
          <w:rFonts w:ascii="宋体" w:hAnsi="宋体" w:eastAsia="宋体" w:cs="宋体"/>
          <w:color w:val="auto"/>
          <w:sz w:val="24"/>
          <w:szCs w:val="24"/>
          <w:highlight w:val="none"/>
        </w:rPr>
        <w:t>项的约定列入进度付款申请单，由监</w:t>
      </w:r>
      <w:r>
        <w:rPr>
          <w:rFonts w:ascii="宋体" w:hAnsi="宋体" w:eastAsia="宋体" w:cs="宋体"/>
          <w:color w:val="auto"/>
          <w:spacing w:val="-3"/>
          <w:sz w:val="24"/>
          <w:szCs w:val="24"/>
          <w:highlight w:val="none"/>
        </w:rPr>
        <w:t>理人复核并经发包人同意后列入进度付款。</w:t>
      </w:r>
    </w:p>
    <w:p w14:paraId="7E6A9EB5">
      <w:pPr>
        <w:spacing w:line="360" w:lineRule="auto"/>
        <w:rPr>
          <w:rFonts w:ascii="宋体" w:hAnsi="宋体" w:eastAsia="宋体" w:cs="宋体"/>
          <w:color w:val="auto"/>
          <w:sz w:val="24"/>
          <w:szCs w:val="24"/>
          <w:highlight w:val="none"/>
        </w:rPr>
        <w:sectPr>
          <w:footerReference r:id="rId59" w:type="default"/>
          <w:pgSz w:w="11907" w:h="16841"/>
          <w:pgMar w:top="1428" w:right="1342" w:bottom="1254" w:left="1599" w:header="0" w:footer="1093" w:gutter="0"/>
          <w:pgNumType w:fmt="decimal"/>
          <w:cols w:space="720" w:num="1"/>
        </w:sectPr>
      </w:pPr>
    </w:p>
    <w:p w14:paraId="7F3F90D6">
      <w:pPr>
        <w:spacing w:before="48" w:line="218" w:lineRule="auto"/>
        <w:ind w:left="7"/>
        <w:outlineLvl w:val="1"/>
        <w:rPr>
          <w:rFonts w:ascii="宋体" w:hAnsi="宋体" w:eastAsia="宋体" w:cs="宋体"/>
          <w:color w:val="auto"/>
          <w:sz w:val="24"/>
          <w:szCs w:val="24"/>
          <w:highlight w:val="none"/>
        </w:rPr>
      </w:pPr>
      <w:bookmarkStart w:id="603" w:name="bookmark254"/>
      <w:bookmarkEnd w:id="603"/>
      <w:bookmarkStart w:id="604" w:name="_Toc19220"/>
      <w:bookmarkStart w:id="605" w:name="_Toc17898"/>
      <w:r>
        <w:rPr>
          <w:rFonts w:ascii="Times New Roman" w:hAnsi="Times New Roman" w:eastAsia="Times New Roman" w:cs="Times New Roman"/>
          <w:b/>
          <w:bCs/>
          <w:color w:val="auto"/>
          <w:spacing w:val="-6"/>
          <w:sz w:val="24"/>
          <w:szCs w:val="24"/>
          <w:highlight w:val="none"/>
        </w:rPr>
        <w:t>15.8</w:t>
      </w:r>
      <w:r>
        <w:rPr>
          <w:rFonts w:ascii="Times New Roman" w:hAnsi="Times New Roman" w:eastAsia="Times New Roman" w:cs="Times New Roman"/>
          <w:b/>
          <w:bCs/>
          <w:color w:val="auto"/>
          <w:spacing w:val="9"/>
          <w:sz w:val="24"/>
          <w:szCs w:val="24"/>
          <w:highlight w:val="none"/>
        </w:rPr>
        <w:t xml:space="preserve">  </w:t>
      </w:r>
      <w:r>
        <w:rPr>
          <w:rFonts w:ascii="宋体" w:hAnsi="宋体" w:eastAsia="宋体" w:cs="宋体"/>
          <w:b/>
          <w:bCs/>
          <w:color w:val="auto"/>
          <w:spacing w:val="-6"/>
          <w:sz w:val="24"/>
          <w:szCs w:val="24"/>
          <w:highlight w:val="none"/>
        </w:rPr>
        <w:t>暂估价</w:t>
      </w:r>
      <w:bookmarkEnd w:id="604"/>
      <w:bookmarkEnd w:id="605"/>
    </w:p>
    <w:p w14:paraId="6BE1B228">
      <w:pPr>
        <w:spacing w:before="185" w:line="339" w:lineRule="auto"/>
        <w:ind w:right="1"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15.8.1  </w:t>
      </w:r>
      <w:r>
        <w:rPr>
          <w:rFonts w:ascii="宋体" w:hAnsi="宋体" w:eastAsia="宋体" w:cs="宋体"/>
          <w:color w:val="auto"/>
          <w:spacing w:val="-3"/>
          <w:sz w:val="24"/>
          <w:szCs w:val="24"/>
          <w:highlight w:val="none"/>
        </w:rPr>
        <w:t>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量清单中所列金额差以及相应的税金等其他费用列入合同价格。必须招标的暂估价项目招标组织形式、发包人和承包人组织招标时双方的权利义务关系在</w:t>
      </w:r>
      <w:r>
        <w:rPr>
          <w:rFonts w:ascii="宋体" w:hAnsi="宋体" w:eastAsia="宋体" w:cs="宋体"/>
          <w:color w:val="auto"/>
          <w:spacing w:val="-4"/>
          <w:sz w:val="24"/>
          <w:szCs w:val="24"/>
          <w:highlight w:val="none"/>
        </w:rPr>
        <w:t>专用合同条款中约定。</w:t>
      </w:r>
    </w:p>
    <w:p w14:paraId="7EA99A7E">
      <w:pPr>
        <w:spacing w:before="180" w:line="324" w:lineRule="auto"/>
        <w:ind w:right="1"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15.8.2  </w:t>
      </w:r>
      <w:r>
        <w:rPr>
          <w:rFonts w:ascii="宋体" w:hAnsi="宋体" w:eastAsia="宋体" w:cs="宋体"/>
          <w:color w:val="auto"/>
          <w:spacing w:val="3"/>
          <w:sz w:val="24"/>
          <w:szCs w:val="24"/>
          <w:highlight w:val="none"/>
        </w:rPr>
        <w:t>发包人在工程量清单中给定暂估价的材料和工程设备不属于依法必须招</w:t>
      </w:r>
      <w:r>
        <w:rPr>
          <w:rFonts w:ascii="宋体" w:hAnsi="宋体" w:eastAsia="宋体" w:cs="宋体"/>
          <w:color w:val="auto"/>
          <w:spacing w:val="-4"/>
          <w:sz w:val="24"/>
          <w:szCs w:val="24"/>
          <w:highlight w:val="none"/>
        </w:rPr>
        <w:t>标的范围或未达到规定的规模标准的，应由承包人按第</w:t>
      </w:r>
      <w:r>
        <w:rPr>
          <w:rFonts w:ascii="Times New Roman" w:hAnsi="Times New Roman" w:eastAsia="Times New Roman" w:cs="Times New Roman"/>
          <w:color w:val="auto"/>
          <w:spacing w:val="-4"/>
          <w:sz w:val="24"/>
          <w:szCs w:val="24"/>
          <w:highlight w:val="none"/>
        </w:rPr>
        <w:t>5.1</w:t>
      </w:r>
      <w:r>
        <w:rPr>
          <w:rFonts w:ascii="宋体" w:hAnsi="宋体" w:eastAsia="宋体" w:cs="宋体"/>
          <w:color w:val="auto"/>
          <w:spacing w:val="-4"/>
          <w:sz w:val="24"/>
          <w:szCs w:val="24"/>
          <w:highlight w:val="none"/>
        </w:rPr>
        <w:t>款的约定</w:t>
      </w:r>
      <w:r>
        <w:rPr>
          <w:rFonts w:ascii="宋体" w:hAnsi="宋体" w:eastAsia="宋体" w:cs="宋体"/>
          <w:color w:val="auto"/>
          <w:spacing w:val="-5"/>
          <w:sz w:val="24"/>
          <w:szCs w:val="24"/>
          <w:highlight w:val="none"/>
        </w:rPr>
        <w:t>提供。经监理人确</w:t>
      </w:r>
      <w:r>
        <w:rPr>
          <w:rFonts w:ascii="宋体" w:hAnsi="宋体" w:eastAsia="宋体" w:cs="宋体"/>
          <w:color w:val="auto"/>
          <w:spacing w:val="-3"/>
          <w:sz w:val="24"/>
          <w:szCs w:val="24"/>
          <w:highlight w:val="none"/>
        </w:rPr>
        <w:t>认的材料、工程设备的价格与工程量清单中所列的暂估价的金额差以及相应的税金等</w:t>
      </w:r>
      <w:r>
        <w:rPr>
          <w:rFonts w:ascii="宋体" w:hAnsi="宋体" w:eastAsia="宋体" w:cs="宋体"/>
          <w:color w:val="auto"/>
          <w:spacing w:val="-4"/>
          <w:sz w:val="24"/>
          <w:szCs w:val="24"/>
          <w:highlight w:val="none"/>
        </w:rPr>
        <w:t>其他费用列入合同价格。</w:t>
      </w:r>
    </w:p>
    <w:p w14:paraId="4B3649AF">
      <w:pPr>
        <w:spacing w:before="182" w:line="324" w:lineRule="auto"/>
        <w:ind w:right="1" w:firstLine="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15.8.3  </w:t>
      </w:r>
      <w:r>
        <w:rPr>
          <w:rFonts w:ascii="宋体" w:hAnsi="宋体" w:eastAsia="宋体" w:cs="宋体"/>
          <w:color w:val="auto"/>
          <w:spacing w:val="3"/>
          <w:sz w:val="24"/>
          <w:szCs w:val="24"/>
          <w:highlight w:val="none"/>
        </w:rPr>
        <w:t>发包人在工程量清单中给定暂估价的专业工程不属于依法必须招标的范</w:t>
      </w:r>
      <w:r>
        <w:rPr>
          <w:rFonts w:ascii="宋体" w:hAnsi="宋体" w:eastAsia="宋体" w:cs="宋体"/>
          <w:color w:val="auto"/>
          <w:spacing w:val="-1"/>
          <w:sz w:val="24"/>
          <w:szCs w:val="24"/>
          <w:highlight w:val="none"/>
        </w:rPr>
        <w:t>围或未达到规定的规模标准的，由监理人按照第</w:t>
      </w:r>
      <w:r>
        <w:rPr>
          <w:rFonts w:ascii="Times New Roman" w:hAnsi="Times New Roman" w:eastAsia="Times New Roman" w:cs="Times New Roman"/>
          <w:color w:val="auto"/>
          <w:spacing w:val="-1"/>
          <w:sz w:val="24"/>
          <w:szCs w:val="24"/>
          <w:highlight w:val="none"/>
        </w:rPr>
        <w:t>15.4</w:t>
      </w:r>
      <w:r>
        <w:rPr>
          <w:rFonts w:ascii="宋体" w:hAnsi="宋体" w:eastAsia="宋体" w:cs="宋体"/>
          <w:color w:val="auto"/>
          <w:spacing w:val="-1"/>
          <w:sz w:val="24"/>
          <w:szCs w:val="24"/>
          <w:highlight w:val="none"/>
        </w:rPr>
        <w:t>款进行估价，但专用</w:t>
      </w:r>
      <w:r>
        <w:rPr>
          <w:rFonts w:ascii="宋体" w:hAnsi="宋体" w:eastAsia="宋体" w:cs="宋体"/>
          <w:color w:val="auto"/>
          <w:spacing w:val="-2"/>
          <w:sz w:val="24"/>
          <w:szCs w:val="24"/>
          <w:highlight w:val="none"/>
        </w:rPr>
        <w:t>合同条款另</w:t>
      </w:r>
      <w:r>
        <w:rPr>
          <w:rFonts w:ascii="宋体" w:hAnsi="宋体" w:eastAsia="宋体" w:cs="宋体"/>
          <w:color w:val="auto"/>
          <w:spacing w:val="-3"/>
          <w:sz w:val="24"/>
          <w:szCs w:val="24"/>
          <w:highlight w:val="none"/>
        </w:rPr>
        <w:t>有约定的除外。经估价的专业工程与工程量清单中所列的暂估价的金额差以及相应的税金等其他费用列入合同价格。</w:t>
      </w:r>
    </w:p>
    <w:p w14:paraId="168D5618">
      <w:pPr>
        <w:spacing w:before="309" w:line="219" w:lineRule="auto"/>
        <w:ind w:left="10"/>
        <w:outlineLvl w:val="0"/>
        <w:rPr>
          <w:rFonts w:ascii="宋体" w:hAnsi="宋体" w:eastAsia="宋体" w:cs="宋体"/>
          <w:color w:val="auto"/>
          <w:sz w:val="28"/>
          <w:szCs w:val="28"/>
          <w:highlight w:val="none"/>
        </w:rPr>
      </w:pPr>
      <w:bookmarkStart w:id="606" w:name="bookmark255"/>
      <w:bookmarkEnd w:id="606"/>
      <w:bookmarkStart w:id="607" w:name="bookmark256"/>
      <w:bookmarkEnd w:id="607"/>
      <w:bookmarkStart w:id="608" w:name="_Toc20134"/>
      <w:bookmarkStart w:id="609" w:name="_Toc18720"/>
      <w:r>
        <w:rPr>
          <w:rFonts w:ascii="Times New Roman" w:hAnsi="Times New Roman" w:eastAsia="Times New Roman" w:cs="Times New Roman"/>
          <w:b/>
          <w:bCs/>
          <w:color w:val="auto"/>
          <w:spacing w:val="-4"/>
          <w:sz w:val="28"/>
          <w:szCs w:val="28"/>
          <w:highlight w:val="none"/>
        </w:rPr>
        <w:t>16</w:t>
      </w:r>
      <w:r>
        <w:rPr>
          <w:rFonts w:hint="eastAsia" w:ascii="Times New Roman" w:hAnsi="Times New Roman" w:eastAsia="宋体" w:cs="Times New Roman"/>
          <w:b/>
          <w:bCs/>
          <w:color w:val="auto"/>
          <w:spacing w:val="-4"/>
          <w:sz w:val="28"/>
          <w:szCs w:val="28"/>
          <w:highlight w:val="none"/>
          <w:lang w:eastAsia="zh-CN"/>
        </w:rPr>
        <w:t>、</w:t>
      </w:r>
      <w:r>
        <w:rPr>
          <w:rFonts w:ascii="宋体" w:hAnsi="宋体" w:eastAsia="宋体" w:cs="宋体"/>
          <w:b/>
          <w:bCs/>
          <w:color w:val="auto"/>
          <w:spacing w:val="-4"/>
          <w:sz w:val="28"/>
          <w:szCs w:val="28"/>
          <w:highlight w:val="none"/>
        </w:rPr>
        <w:t>价格调整</w:t>
      </w:r>
      <w:bookmarkEnd w:id="608"/>
      <w:bookmarkEnd w:id="609"/>
    </w:p>
    <w:p w14:paraId="73A157FA">
      <w:pPr>
        <w:pStyle w:val="3"/>
        <w:spacing w:line="245" w:lineRule="auto"/>
        <w:rPr>
          <w:color w:val="auto"/>
          <w:highlight w:val="none"/>
        </w:rPr>
      </w:pPr>
    </w:p>
    <w:p w14:paraId="401005BA">
      <w:pPr>
        <w:spacing w:before="79" w:line="218" w:lineRule="auto"/>
        <w:ind w:left="7"/>
        <w:outlineLvl w:val="1"/>
        <w:rPr>
          <w:rFonts w:ascii="宋体" w:hAnsi="宋体" w:eastAsia="宋体" w:cs="宋体"/>
          <w:color w:val="auto"/>
          <w:sz w:val="24"/>
          <w:szCs w:val="24"/>
          <w:highlight w:val="none"/>
        </w:rPr>
      </w:pPr>
      <w:bookmarkStart w:id="610" w:name="bookmark702"/>
      <w:bookmarkEnd w:id="610"/>
      <w:bookmarkStart w:id="611" w:name="_Toc25070"/>
      <w:bookmarkStart w:id="612" w:name="_Toc9945"/>
      <w:r>
        <w:rPr>
          <w:rFonts w:ascii="Times New Roman" w:hAnsi="Times New Roman" w:eastAsia="Times New Roman" w:cs="Times New Roman"/>
          <w:b/>
          <w:bCs/>
          <w:color w:val="auto"/>
          <w:spacing w:val="-2"/>
          <w:sz w:val="24"/>
          <w:szCs w:val="24"/>
          <w:highlight w:val="none"/>
        </w:rPr>
        <w:t xml:space="preserve">16.1  </w:t>
      </w:r>
      <w:r>
        <w:rPr>
          <w:rFonts w:ascii="宋体" w:hAnsi="宋体" w:eastAsia="宋体" w:cs="宋体"/>
          <w:b/>
          <w:bCs/>
          <w:color w:val="auto"/>
          <w:spacing w:val="-2"/>
          <w:sz w:val="24"/>
          <w:szCs w:val="24"/>
          <w:highlight w:val="none"/>
        </w:rPr>
        <w:t>物价波动引起的价格调整</w:t>
      </w:r>
      <w:bookmarkEnd w:id="611"/>
      <w:bookmarkEnd w:id="612"/>
    </w:p>
    <w:p w14:paraId="5D1B0C7D">
      <w:pPr>
        <w:spacing w:before="184" w:line="359" w:lineRule="auto"/>
        <w:ind w:left="6" w:right="1" w:firstLine="50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由于物价波动原因引起合同价格需要调整的，其价格调整方式在专用合同条款中</w:t>
      </w:r>
      <w:r>
        <w:rPr>
          <w:rFonts w:ascii="宋体" w:hAnsi="宋体" w:eastAsia="宋体" w:cs="宋体"/>
          <w:color w:val="auto"/>
          <w:spacing w:val="-12"/>
          <w:sz w:val="24"/>
          <w:szCs w:val="24"/>
          <w:highlight w:val="none"/>
        </w:rPr>
        <w:t>约定。</w:t>
      </w:r>
    </w:p>
    <w:p w14:paraId="61ACC106">
      <w:pPr>
        <w:spacing w:line="218"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16.1.1  </w:t>
      </w:r>
      <w:r>
        <w:rPr>
          <w:rFonts w:ascii="宋体" w:hAnsi="宋体" w:eastAsia="宋体" w:cs="宋体"/>
          <w:color w:val="auto"/>
          <w:spacing w:val="-1"/>
          <w:sz w:val="24"/>
          <w:szCs w:val="24"/>
          <w:highlight w:val="none"/>
        </w:rPr>
        <w:t>采用价格指数调整价格差额</w:t>
      </w:r>
    </w:p>
    <w:p w14:paraId="7FB00FBF">
      <w:pPr>
        <w:spacing w:before="185" w:line="218" w:lineRule="auto"/>
        <w:ind w:left="499"/>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"16.1.1.1" </w:instrText>
      </w:r>
      <w:r>
        <w:rPr>
          <w:color w:val="auto"/>
          <w:highlight w:val="none"/>
        </w:rPr>
        <w:fldChar w:fldCharType="separate"/>
      </w:r>
      <w:r>
        <w:rPr>
          <w:rFonts w:ascii="Times New Roman" w:hAnsi="Times New Roman" w:eastAsia="Times New Roman" w:cs="Times New Roman"/>
          <w:color w:val="auto"/>
          <w:spacing w:val="-2"/>
          <w:sz w:val="24"/>
          <w:szCs w:val="24"/>
          <w:highlight w:val="none"/>
        </w:rPr>
        <w:t>16.1.1.1</w:t>
      </w:r>
      <w:r>
        <w:rPr>
          <w:rFonts w:ascii="Times New Roman" w:hAnsi="Times New Roman" w:eastAsia="Times New Roman" w:cs="Times New Roman"/>
          <w:color w:val="auto"/>
          <w:spacing w:val="-2"/>
          <w:sz w:val="24"/>
          <w:szCs w:val="24"/>
          <w:highlight w:val="none"/>
        </w:rPr>
        <w:fldChar w:fldCharType="end"/>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2"/>
          <w:sz w:val="24"/>
          <w:szCs w:val="24"/>
          <w:highlight w:val="none"/>
        </w:rPr>
        <w:t>价格调整公式</w:t>
      </w:r>
    </w:p>
    <w:p w14:paraId="344C2B94">
      <w:pPr>
        <w:spacing w:before="183" w:line="357" w:lineRule="auto"/>
        <w:ind w:left="1" w:right="1" w:firstLine="497"/>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因人工、材料和设备等价格波动影响合同价格时，</w:t>
      </w:r>
      <w:r>
        <w:rPr>
          <w:rFonts w:ascii="宋体" w:hAnsi="宋体" w:eastAsia="宋体" w:cs="宋体"/>
          <w:color w:val="auto"/>
          <w:spacing w:val="-31"/>
          <w:sz w:val="24"/>
          <w:szCs w:val="24"/>
          <w:highlight w:val="none"/>
        </w:rPr>
        <w:t xml:space="preserve"> </w:t>
      </w:r>
      <w:r>
        <w:rPr>
          <w:rFonts w:ascii="宋体" w:hAnsi="宋体" w:eastAsia="宋体" w:cs="宋体"/>
          <w:color w:val="auto"/>
          <w:spacing w:val="-6"/>
          <w:sz w:val="24"/>
          <w:szCs w:val="24"/>
          <w:highlight w:val="none"/>
        </w:rPr>
        <w:t>根据投标函附录中的价格指数</w:t>
      </w:r>
      <w:r>
        <w:rPr>
          <w:rFonts w:ascii="宋体" w:hAnsi="宋体" w:eastAsia="宋体" w:cs="宋体"/>
          <w:color w:val="auto"/>
          <w:spacing w:val="-2"/>
          <w:sz w:val="24"/>
          <w:szCs w:val="24"/>
          <w:highlight w:val="none"/>
        </w:rPr>
        <w:t>和权重表约定的数据，按以下公式计算差额并调整合同价格。</w:t>
      </w:r>
    </w:p>
    <w:p w14:paraId="660F2D04">
      <w:pPr>
        <w:spacing w:line="555" w:lineRule="exact"/>
        <w:ind w:left="923"/>
        <w:rPr>
          <w:color w:val="auto"/>
          <w:highlight w:val="none"/>
        </w:rPr>
      </w:pPr>
      <w:r>
        <w:rPr>
          <w:color w:val="auto"/>
          <w:position w:val="-11"/>
          <w:highlight w:val="none"/>
        </w:rPr>
        <w:drawing>
          <wp:inline distT="0" distB="0" distL="0" distR="0">
            <wp:extent cx="4398645" cy="3524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84"/>
                    <a:stretch>
                      <a:fillRect/>
                    </a:stretch>
                  </pic:blipFill>
                  <pic:spPr>
                    <a:xfrm>
                      <a:off x="0" y="0"/>
                      <a:ext cx="4398873" cy="352560"/>
                    </a:xfrm>
                    <a:prstGeom prst="rect">
                      <a:avLst/>
                    </a:prstGeom>
                  </pic:spPr>
                </pic:pic>
              </a:graphicData>
            </a:graphic>
          </wp:inline>
        </w:drawing>
      </w:r>
    </w:p>
    <w:p w14:paraId="28678935">
      <w:pPr>
        <w:spacing w:before="179" w:line="218" w:lineRule="auto"/>
        <w:ind w:left="48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式中：</w:t>
      </w:r>
      <w:r>
        <w:rPr>
          <w:rFonts w:ascii="Cambria Math" w:hAnsi="Cambria Math" w:eastAsia="Cambria Math" w:cs="Cambria Math"/>
          <w:color w:val="auto"/>
          <w:spacing w:val="-5"/>
          <w:sz w:val="24"/>
          <w:szCs w:val="24"/>
          <w:highlight w:val="none"/>
        </w:rPr>
        <w:t>ΔP</w:t>
      </w:r>
      <w:r>
        <w:rPr>
          <w:rFonts w:ascii="宋体" w:hAnsi="宋体" w:eastAsia="宋体" w:cs="宋体"/>
          <w:color w:val="auto"/>
          <w:spacing w:val="-5"/>
          <w:sz w:val="24"/>
          <w:szCs w:val="24"/>
          <w:highlight w:val="none"/>
        </w:rPr>
        <w:t>——需调整的价格差额；</w:t>
      </w:r>
    </w:p>
    <w:p w14:paraId="35029F9D">
      <w:pPr>
        <w:spacing w:before="183" w:line="361" w:lineRule="auto"/>
        <w:ind w:right="1" w:firstLine="1194"/>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P</w:t>
      </w:r>
      <w:r>
        <w:rPr>
          <w:rFonts w:ascii="Times New Roman" w:hAnsi="Times New Roman" w:eastAsia="Times New Roman" w:cs="Times New Roman"/>
          <w:color w:val="auto"/>
          <w:position w:val="-1"/>
          <w:sz w:val="16"/>
          <w:szCs w:val="16"/>
          <w:highlight w:val="none"/>
        </w:rPr>
        <w:t>O</w:t>
      </w:r>
      <w:r>
        <w:rPr>
          <w:rFonts w:ascii="宋体" w:hAnsi="宋体" w:eastAsia="宋体" w:cs="宋体"/>
          <w:color w:val="auto"/>
          <w:sz w:val="24"/>
          <w:szCs w:val="24"/>
          <w:highlight w:val="none"/>
        </w:rPr>
        <w:t>——本章第</w:t>
      </w:r>
      <w:r>
        <w:rPr>
          <w:rFonts w:ascii="Times New Roman" w:hAnsi="Times New Roman" w:eastAsia="Times New Roman" w:cs="Times New Roman"/>
          <w:color w:val="auto"/>
          <w:sz w:val="24"/>
          <w:szCs w:val="24"/>
          <w:highlight w:val="none"/>
        </w:rPr>
        <w:t>17.3.3</w:t>
      </w:r>
      <w:r>
        <w:rPr>
          <w:rFonts w:ascii="宋体" w:hAnsi="宋体" w:eastAsia="宋体" w:cs="宋体"/>
          <w:color w:val="auto"/>
          <w:sz w:val="24"/>
          <w:szCs w:val="24"/>
          <w:highlight w:val="none"/>
        </w:rPr>
        <w:t>项、第</w:t>
      </w:r>
      <w:r>
        <w:rPr>
          <w:rFonts w:ascii="Times New Roman" w:hAnsi="Times New Roman" w:eastAsia="Times New Roman" w:cs="Times New Roman"/>
          <w:color w:val="auto"/>
          <w:sz w:val="24"/>
          <w:szCs w:val="24"/>
          <w:highlight w:val="none"/>
        </w:rPr>
        <w:t>17.5.2</w:t>
      </w:r>
      <w:r>
        <w:rPr>
          <w:rFonts w:ascii="宋体" w:hAnsi="宋体" w:eastAsia="宋体" w:cs="宋体"/>
          <w:color w:val="auto"/>
          <w:sz w:val="24"/>
          <w:szCs w:val="24"/>
          <w:highlight w:val="none"/>
        </w:rPr>
        <w:t>项和第</w:t>
      </w:r>
      <w:r>
        <w:rPr>
          <w:rFonts w:ascii="Times New Roman" w:hAnsi="Times New Roman" w:eastAsia="Times New Roman" w:cs="Times New Roman"/>
          <w:color w:val="auto"/>
          <w:sz w:val="24"/>
          <w:szCs w:val="24"/>
          <w:highlight w:val="none"/>
        </w:rPr>
        <w:t>17.6.2</w:t>
      </w:r>
      <w:r>
        <w:rPr>
          <w:rFonts w:ascii="宋体" w:hAnsi="宋体" w:eastAsia="宋体" w:cs="宋体"/>
          <w:color w:val="auto"/>
          <w:sz w:val="24"/>
          <w:szCs w:val="24"/>
          <w:highlight w:val="none"/>
        </w:rPr>
        <w:t>项约定的付款证书中承包人</w:t>
      </w:r>
      <w:r>
        <w:rPr>
          <w:rFonts w:ascii="宋体" w:hAnsi="宋体" w:eastAsia="宋体" w:cs="宋体"/>
          <w:color w:val="auto"/>
          <w:spacing w:val="-3"/>
          <w:sz w:val="24"/>
          <w:szCs w:val="24"/>
          <w:highlight w:val="none"/>
        </w:rPr>
        <w:t>应得到的已完成工程量的金额。此项金额应不包括价格调整、不计质量保证金的扣留</w:t>
      </w:r>
    </w:p>
    <w:p w14:paraId="39DD18B9">
      <w:pPr>
        <w:spacing w:line="361" w:lineRule="auto"/>
        <w:rPr>
          <w:rFonts w:ascii="宋体" w:hAnsi="宋体" w:eastAsia="宋体" w:cs="宋体"/>
          <w:color w:val="auto"/>
          <w:sz w:val="24"/>
          <w:szCs w:val="24"/>
          <w:highlight w:val="none"/>
        </w:rPr>
        <w:sectPr>
          <w:footerReference r:id="rId60" w:type="default"/>
          <w:pgSz w:w="11907" w:h="16841"/>
          <w:pgMar w:top="1428" w:right="1527" w:bottom="1254" w:left="1597" w:header="0" w:footer="1093" w:gutter="0"/>
          <w:pgNumType w:fmt="decimal"/>
          <w:cols w:space="720" w:num="1"/>
        </w:sectPr>
      </w:pPr>
    </w:p>
    <w:p w14:paraId="7A04968B">
      <w:pPr>
        <w:spacing w:before="48" w:line="359" w:lineRule="auto"/>
        <w:ind w:left="19" w:right="66" w:hanging="1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和支付、预付款的支付和扣回，</w:t>
      </w:r>
      <w:r>
        <w:rPr>
          <w:rFonts w:ascii="宋体" w:hAnsi="宋体" w:eastAsia="宋体" w:cs="宋体"/>
          <w:color w:val="auto"/>
          <w:spacing w:val="-33"/>
          <w:sz w:val="24"/>
          <w:szCs w:val="24"/>
          <w:highlight w:val="none"/>
        </w:rPr>
        <w:t xml:space="preserve"> </w:t>
      </w:r>
      <w:r>
        <w:rPr>
          <w:rFonts w:ascii="宋体" w:hAnsi="宋体" w:eastAsia="宋体" w:cs="宋体"/>
          <w:color w:val="auto"/>
          <w:spacing w:val="-5"/>
          <w:sz w:val="24"/>
          <w:szCs w:val="24"/>
          <w:highlight w:val="none"/>
        </w:rPr>
        <w:t>本章第</w:t>
      </w:r>
      <w:r>
        <w:rPr>
          <w:rFonts w:ascii="Times New Roman" w:hAnsi="Times New Roman" w:eastAsia="Times New Roman" w:cs="Times New Roman"/>
          <w:color w:val="auto"/>
          <w:spacing w:val="-5"/>
          <w:sz w:val="24"/>
          <w:szCs w:val="24"/>
          <w:highlight w:val="none"/>
        </w:rPr>
        <w:t>15</w:t>
      </w:r>
      <w:r>
        <w:rPr>
          <w:rFonts w:ascii="宋体" w:hAnsi="宋体" w:eastAsia="宋体" w:cs="宋体"/>
          <w:color w:val="auto"/>
          <w:spacing w:val="-5"/>
          <w:sz w:val="24"/>
          <w:szCs w:val="24"/>
          <w:highlight w:val="none"/>
        </w:rPr>
        <w:t>条约定的变更及其他金额已按现行价格计价</w:t>
      </w:r>
      <w:r>
        <w:rPr>
          <w:rFonts w:ascii="宋体" w:hAnsi="宋体" w:eastAsia="宋体" w:cs="宋体"/>
          <w:color w:val="auto"/>
          <w:spacing w:val="-10"/>
          <w:sz w:val="24"/>
          <w:szCs w:val="24"/>
          <w:highlight w:val="none"/>
        </w:rPr>
        <w:t>的，也不计在内；</w:t>
      </w:r>
    </w:p>
    <w:p w14:paraId="7BA80691">
      <w:pPr>
        <w:spacing w:line="219" w:lineRule="auto"/>
        <w:ind w:left="1193"/>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A</w:t>
      </w:r>
      <w:r>
        <w:rPr>
          <w:rFonts w:ascii="宋体" w:hAnsi="宋体" w:eastAsia="宋体" w:cs="宋体"/>
          <w:color w:val="auto"/>
          <w:spacing w:val="-4"/>
          <w:sz w:val="24"/>
          <w:szCs w:val="24"/>
          <w:highlight w:val="none"/>
        </w:rPr>
        <w:t>——定值权重（即不调部分的权重</w:t>
      </w:r>
      <w:r>
        <w:rPr>
          <w:rFonts w:ascii="宋体" w:hAnsi="宋体" w:eastAsia="宋体" w:cs="宋体"/>
          <w:color w:val="auto"/>
          <w:spacing w:val="4"/>
          <w:sz w:val="24"/>
          <w:szCs w:val="24"/>
          <w:highlight w:val="none"/>
        </w:rPr>
        <w:t>）；</w:t>
      </w:r>
    </w:p>
    <w:p w14:paraId="722C6823">
      <w:pPr>
        <w:spacing w:before="182" w:line="359" w:lineRule="auto"/>
        <w:ind w:left="3" w:firstLine="1191"/>
        <w:rPr>
          <w:rFonts w:ascii="宋体" w:hAnsi="宋体" w:eastAsia="宋体" w:cs="宋体"/>
          <w:color w:val="auto"/>
          <w:sz w:val="24"/>
          <w:szCs w:val="24"/>
          <w:highlight w:val="none"/>
        </w:rPr>
      </w:pPr>
      <w:r>
        <w:rPr>
          <w:rFonts w:ascii="Times New Roman" w:hAnsi="Times New Roman" w:eastAsia="Times New Roman" w:cs="Times New Roman"/>
          <w:color w:val="auto"/>
          <w:spacing w:val="-5"/>
          <w:sz w:val="24"/>
          <w:szCs w:val="24"/>
          <w:highlight w:val="none"/>
        </w:rPr>
        <w:t>B</w:t>
      </w:r>
      <w:r>
        <w:rPr>
          <w:rFonts w:ascii="Times New Roman" w:hAnsi="Times New Roman" w:eastAsia="Times New Roman" w:cs="Times New Roman"/>
          <w:color w:val="auto"/>
          <w:spacing w:val="-5"/>
          <w:position w:val="-1"/>
          <w:sz w:val="16"/>
          <w:szCs w:val="16"/>
          <w:highlight w:val="none"/>
        </w:rPr>
        <w:t>1</w:t>
      </w:r>
      <w:r>
        <w:rPr>
          <w:rFonts w:ascii="Times New Roman" w:hAnsi="Times New Roman" w:eastAsia="Times New Roman" w:cs="Times New Roman"/>
          <w:color w:val="auto"/>
          <w:spacing w:val="-9"/>
          <w:position w:val="-1"/>
          <w:sz w:val="16"/>
          <w:szCs w:val="16"/>
          <w:highlight w:val="none"/>
        </w:rPr>
        <w:t xml:space="preserve"> </w:t>
      </w: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B</w:t>
      </w:r>
      <w:r>
        <w:rPr>
          <w:rFonts w:ascii="Times New Roman" w:hAnsi="Times New Roman" w:eastAsia="Times New Roman" w:cs="Times New Roman"/>
          <w:color w:val="auto"/>
          <w:spacing w:val="-5"/>
          <w:position w:val="-1"/>
          <w:sz w:val="16"/>
          <w:szCs w:val="16"/>
          <w:highlight w:val="none"/>
        </w:rPr>
        <w:t>2</w:t>
      </w:r>
      <w:r>
        <w:rPr>
          <w:rFonts w:ascii="Times New Roman" w:hAnsi="Times New Roman" w:eastAsia="Times New Roman" w:cs="Times New Roman"/>
          <w:color w:val="auto"/>
          <w:spacing w:val="-9"/>
          <w:position w:val="-1"/>
          <w:sz w:val="16"/>
          <w:szCs w:val="16"/>
          <w:highlight w:val="none"/>
        </w:rPr>
        <w:t xml:space="preserve"> </w:t>
      </w: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B</w:t>
      </w:r>
      <w:r>
        <w:rPr>
          <w:rFonts w:ascii="Times New Roman" w:hAnsi="Times New Roman" w:eastAsia="Times New Roman" w:cs="Times New Roman"/>
          <w:color w:val="auto"/>
          <w:spacing w:val="-5"/>
          <w:position w:val="-1"/>
          <w:sz w:val="16"/>
          <w:szCs w:val="16"/>
          <w:highlight w:val="none"/>
        </w:rPr>
        <w:t>3</w:t>
      </w:r>
      <w:r>
        <w:rPr>
          <w:rFonts w:ascii="Times New Roman" w:hAnsi="Times New Roman" w:eastAsia="Times New Roman" w:cs="Times New Roman"/>
          <w:color w:val="auto"/>
          <w:spacing w:val="-10"/>
          <w:position w:val="-1"/>
          <w:sz w:val="16"/>
          <w:szCs w:val="16"/>
          <w:highlight w:val="none"/>
        </w:rPr>
        <w:t xml:space="preserve"> </w:t>
      </w:r>
      <w:r>
        <w:rPr>
          <w:rFonts w:ascii="宋体" w:hAnsi="宋体" w:eastAsia="宋体" w:cs="宋体"/>
          <w:color w:val="auto"/>
          <w:spacing w:val="-5"/>
          <w:sz w:val="24"/>
          <w:szCs w:val="24"/>
          <w:highlight w:val="none"/>
        </w:rPr>
        <w:t>，</w:t>
      </w:r>
      <w:r>
        <w:rPr>
          <w:rFonts w:ascii="宋体" w:hAnsi="宋体" w:eastAsia="宋体" w:cs="宋体"/>
          <w:color w:val="auto"/>
          <w:spacing w:val="-93"/>
          <w:sz w:val="24"/>
          <w:szCs w:val="24"/>
          <w:highlight w:val="none"/>
        </w:rPr>
        <w:t xml:space="preserve"> </w:t>
      </w:r>
      <w:r>
        <w:rPr>
          <w:rFonts w:ascii="Times New Roman" w:hAnsi="Times New Roman" w:eastAsia="Times New Roman" w:cs="Times New Roman"/>
          <w:color w:val="auto"/>
          <w:spacing w:val="-5"/>
          <w:sz w:val="24"/>
          <w:szCs w:val="24"/>
          <w:highlight w:val="none"/>
        </w:rPr>
        <w:t>…</w:t>
      </w:r>
      <w:r>
        <w:rPr>
          <w:rFonts w:ascii="Times New Roman" w:hAnsi="Times New Roman" w:eastAsia="Times New Roman" w:cs="Times New Roman"/>
          <w:color w:val="auto"/>
          <w:spacing w:val="-31"/>
          <w:sz w:val="24"/>
          <w:szCs w:val="24"/>
          <w:highlight w:val="none"/>
        </w:rPr>
        <w:t xml:space="preserve"> </w:t>
      </w:r>
      <w:r>
        <w:rPr>
          <w:rFonts w:ascii="宋体" w:hAnsi="宋体" w:eastAsia="宋体" w:cs="宋体"/>
          <w:color w:val="auto"/>
          <w:spacing w:val="-5"/>
          <w:sz w:val="24"/>
          <w:szCs w:val="24"/>
          <w:highlight w:val="none"/>
        </w:rPr>
        <w:t>,</w:t>
      </w:r>
      <w:r>
        <w:rPr>
          <w:rFonts w:ascii="宋体" w:hAnsi="宋体" w:eastAsia="宋体" w:cs="宋体"/>
          <w:color w:val="auto"/>
          <w:spacing w:val="57"/>
          <w:sz w:val="24"/>
          <w:szCs w:val="24"/>
          <w:highlight w:val="none"/>
        </w:rPr>
        <w:t xml:space="preserve"> </w:t>
      </w:r>
      <w:r>
        <w:rPr>
          <w:rFonts w:ascii="Times New Roman" w:hAnsi="Times New Roman" w:eastAsia="Times New Roman" w:cs="Times New Roman"/>
          <w:color w:val="auto"/>
          <w:spacing w:val="-5"/>
          <w:sz w:val="24"/>
          <w:szCs w:val="24"/>
          <w:highlight w:val="none"/>
        </w:rPr>
        <w:t>B</w:t>
      </w:r>
      <w:r>
        <w:rPr>
          <w:rFonts w:ascii="Times New Roman" w:hAnsi="Times New Roman" w:eastAsia="Times New Roman" w:cs="Times New Roman"/>
          <w:color w:val="auto"/>
          <w:spacing w:val="-5"/>
          <w:position w:val="-1"/>
          <w:sz w:val="16"/>
          <w:szCs w:val="16"/>
          <w:highlight w:val="none"/>
        </w:rPr>
        <w:t>n</w:t>
      </w:r>
      <w:r>
        <w:rPr>
          <w:rFonts w:ascii="宋体" w:hAnsi="宋体" w:eastAsia="宋体" w:cs="宋体"/>
          <w:color w:val="auto"/>
          <w:spacing w:val="-5"/>
          <w:sz w:val="24"/>
          <w:szCs w:val="24"/>
          <w:highlight w:val="none"/>
        </w:rPr>
        <w:t>——各可调因子</w:t>
      </w:r>
      <w:r>
        <w:rPr>
          <w:rFonts w:ascii="宋体" w:hAnsi="宋体" w:eastAsia="宋体" w:cs="宋体"/>
          <w:color w:val="auto"/>
          <w:spacing w:val="-6"/>
          <w:sz w:val="24"/>
          <w:szCs w:val="24"/>
          <w:highlight w:val="none"/>
        </w:rPr>
        <w:t>的变值权重（即可调部分的权重</w:t>
      </w:r>
      <w:r>
        <w:rPr>
          <w:rFonts w:ascii="宋体" w:hAnsi="宋体" w:eastAsia="宋体" w:cs="宋体"/>
          <w:color w:val="auto"/>
          <w:spacing w:val="-26"/>
          <w:sz w:val="24"/>
          <w:szCs w:val="24"/>
          <w:highlight w:val="none"/>
        </w:rPr>
        <w:t>），</w:t>
      </w:r>
      <w:r>
        <w:rPr>
          <w:rFonts w:ascii="宋体" w:hAnsi="宋体" w:eastAsia="宋体" w:cs="宋体"/>
          <w:color w:val="auto"/>
          <w:spacing w:val="-3"/>
          <w:sz w:val="24"/>
          <w:szCs w:val="24"/>
          <w:highlight w:val="none"/>
        </w:rPr>
        <w:t>为各可调因子在投标函投标总报价中所占的比例；</w:t>
      </w:r>
    </w:p>
    <w:p w14:paraId="0EA035DA">
      <w:pPr>
        <w:spacing w:before="2" w:line="358" w:lineRule="auto"/>
        <w:ind w:right="66" w:firstLine="1194"/>
        <w:rPr>
          <w:rFonts w:ascii="宋体" w:hAnsi="宋体" w:eastAsia="宋体" w:cs="宋体"/>
          <w:color w:val="auto"/>
          <w:sz w:val="24"/>
          <w:szCs w:val="24"/>
          <w:highlight w:val="none"/>
        </w:rPr>
      </w:pPr>
      <w:r>
        <w:rPr>
          <w:rFonts w:ascii="Times New Roman" w:hAnsi="Times New Roman" w:eastAsia="Times New Roman" w:cs="Times New Roman"/>
          <w:color w:val="auto"/>
          <w:spacing w:val="-18"/>
          <w:sz w:val="24"/>
          <w:szCs w:val="24"/>
          <w:highlight w:val="none"/>
        </w:rPr>
        <w:t>F</w:t>
      </w:r>
      <w:r>
        <w:rPr>
          <w:rFonts w:ascii="Times New Roman" w:hAnsi="Times New Roman" w:eastAsia="Times New Roman" w:cs="Times New Roman"/>
          <w:color w:val="auto"/>
          <w:spacing w:val="-18"/>
          <w:position w:val="-1"/>
          <w:sz w:val="16"/>
          <w:szCs w:val="16"/>
          <w:highlight w:val="none"/>
        </w:rPr>
        <w:t>t1</w:t>
      </w:r>
      <w:r>
        <w:rPr>
          <w:rFonts w:ascii="宋体" w:hAnsi="宋体" w:eastAsia="宋体" w:cs="宋体"/>
          <w:color w:val="auto"/>
          <w:spacing w:val="-18"/>
          <w:sz w:val="24"/>
          <w:szCs w:val="24"/>
          <w:highlight w:val="none"/>
        </w:rPr>
        <w:t>，</w:t>
      </w:r>
      <w:r>
        <w:rPr>
          <w:rFonts w:ascii="Times New Roman" w:hAnsi="Times New Roman" w:eastAsia="Times New Roman" w:cs="Times New Roman"/>
          <w:color w:val="auto"/>
          <w:spacing w:val="-18"/>
          <w:sz w:val="24"/>
          <w:szCs w:val="24"/>
          <w:highlight w:val="none"/>
        </w:rPr>
        <w:t>F</w:t>
      </w:r>
      <w:r>
        <w:rPr>
          <w:rFonts w:ascii="Times New Roman" w:hAnsi="Times New Roman" w:eastAsia="Times New Roman" w:cs="Times New Roman"/>
          <w:color w:val="auto"/>
          <w:spacing w:val="-18"/>
          <w:position w:val="-1"/>
          <w:sz w:val="16"/>
          <w:szCs w:val="16"/>
          <w:highlight w:val="none"/>
        </w:rPr>
        <w:t>t2</w:t>
      </w:r>
      <w:r>
        <w:rPr>
          <w:rFonts w:ascii="宋体" w:hAnsi="宋体" w:eastAsia="宋体" w:cs="宋体"/>
          <w:color w:val="auto"/>
          <w:spacing w:val="-18"/>
          <w:sz w:val="24"/>
          <w:szCs w:val="24"/>
          <w:highlight w:val="none"/>
        </w:rPr>
        <w:t>，</w:t>
      </w:r>
      <w:r>
        <w:rPr>
          <w:rFonts w:ascii="Times New Roman" w:hAnsi="Times New Roman" w:eastAsia="Times New Roman" w:cs="Times New Roman"/>
          <w:color w:val="auto"/>
          <w:spacing w:val="-18"/>
          <w:sz w:val="24"/>
          <w:szCs w:val="24"/>
          <w:highlight w:val="none"/>
        </w:rPr>
        <w:t>F</w:t>
      </w:r>
      <w:r>
        <w:rPr>
          <w:rFonts w:ascii="Times New Roman" w:hAnsi="Times New Roman" w:eastAsia="Times New Roman" w:cs="Times New Roman"/>
          <w:color w:val="auto"/>
          <w:spacing w:val="-18"/>
          <w:position w:val="-1"/>
          <w:sz w:val="16"/>
          <w:szCs w:val="16"/>
          <w:highlight w:val="none"/>
        </w:rPr>
        <w:t>t3</w:t>
      </w:r>
      <w:r>
        <w:rPr>
          <w:rFonts w:ascii="宋体" w:hAnsi="宋体" w:eastAsia="宋体" w:cs="宋体"/>
          <w:color w:val="auto"/>
          <w:spacing w:val="-18"/>
          <w:sz w:val="24"/>
          <w:szCs w:val="24"/>
          <w:highlight w:val="none"/>
        </w:rPr>
        <w:t>，</w:t>
      </w:r>
      <w:r>
        <w:rPr>
          <w:rFonts w:ascii="Times New Roman" w:hAnsi="Times New Roman" w:eastAsia="Times New Roman" w:cs="Times New Roman"/>
          <w:color w:val="auto"/>
          <w:spacing w:val="-18"/>
          <w:sz w:val="24"/>
          <w:szCs w:val="24"/>
          <w:highlight w:val="none"/>
        </w:rPr>
        <w:t>…</w:t>
      </w:r>
      <w:r>
        <w:rPr>
          <w:rFonts w:ascii="Times New Roman" w:hAnsi="Times New Roman" w:eastAsia="Times New Roman" w:cs="Times New Roman"/>
          <w:color w:val="auto"/>
          <w:spacing w:val="-25"/>
          <w:sz w:val="24"/>
          <w:szCs w:val="24"/>
          <w:highlight w:val="none"/>
        </w:rPr>
        <w:t xml:space="preserve"> </w:t>
      </w:r>
      <w:r>
        <w:rPr>
          <w:rFonts w:ascii="宋体" w:hAnsi="宋体" w:eastAsia="宋体" w:cs="宋体"/>
          <w:color w:val="auto"/>
          <w:spacing w:val="-18"/>
          <w:sz w:val="24"/>
          <w:szCs w:val="24"/>
          <w:highlight w:val="none"/>
        </w:rPr>
        <w:t xml:space="preserve">, </w:t>
      </w:r>
      <w:r>
        <w:rPr>
          <w:rFonts w:ascii="Times New Roman" w:hAnsi="Times New Roman" w:eastAsia="Times New Roman" w:cs="Times New Roman"/>
          <w:color w:val="auto"/>
          <w:spacing w:val="-3"/>
          <w:sz w:val="24"/>
          <w:szCs w:val="24"/>
          <w:highlight w:val="none"/>
        </w:rPr>
        <w:t>F</w:t>
      </w:r>
      <w:r>
        <w:rPr>
          <w:rFonts w:ascii="Times New Roman" w:hAnsi="Times New Roman" w:eastAsia="Times New Roman" w:cs="Times New Roman"/>
          <w:color w:val="auto"/>
          <w:spacing w:val="-3"/>
          <w:position w:val="-1"/>
          <w:sz w:val="16"/>
          <w:szCs w:val="16"/>
          <w:highlight w:val="none"/>
        </w:rPr>
        <w:t>tn</w:t>
      </w:r>
      <w:r>
        <w:rPr>
          <w:rFonts w:ascii="宋体" w:hAnsi="宋体" w:eastAsia="宋体" w:cs="宋体"/>
          <w:color w:val="auto"/>
          <w:spacing w:val="-3"/>
          <w:sz w:val="24"/>
          <w:szCs w:val="24"/>
          <w:highlight w:val="none"/>
        </w:rPr>
        <w:t>——各可调因子的现行价格指数，指本章第</w:t>
      </w:r>
      <w:r>
        <w:rPr>
          <w:rFonts w:ascii="Times New Roman" w:hAnsi="Times New Roman" w:eastAsia="Times New Roman" w:cs="Times New Roman"/>
          <w:color w:val="auto"/>
          <w:spacing w:val="-3"/>
          <w:sz w:val="24"/>
          <w:szCs w:val="24"/>
          <w:highlight w:val="none"/>
        </w:rPr>
        <w:t>17.3.3</w:t>
      </w:r>
      <w:r>
        <w:rPr>
          <w:rFonts w:ascii="宋体" w:hAnsi="宋体" w:eastAsia="宋体" w:cs="宋体"/>
          <w:color w:val="auto"/>
          <w:spacing w:val="-3"/>
          <w:sz w:val="24"/>
          <w:szCs w:val="24"/>
          <w:highlight w:val="none"/>
        </w:rPr>
        <w:t>项、</w:t>
      </w:r>
      <w:r>
        <w:rPr>
          <w:rFonts w:ascii="宋体" w:hAnsi="宋体" w:eastAsia="宋体" w:cs="宋体"/>
          <w:color w:val="auto"/>
          <w:spacing w:val="3"/>
          <w:sz w:val="24"/>
          <w:szCs w:val="24"/>
          <w:highlight w:val="none"/>
        </w:rPr>
        <w:t>第</w:t>
      </w:r>
      <w:r>
        <w:rPr>
          <w:rFonts w:ascii="Times New Roman" w:hAnsi="Times New Roman" w:eastAsia="Times New Roman" w:cs="Times New Roman"/>
          <w:color w:val="auto"/>
          <w:spacing w:val="3"/>
          <w:sz w:val="24"/>
          <w:szCs w:val="24"/>
          <w:highlight w:val="none"/>
        </w:rPr>
        <w:t>17.5.2</w:t>
      </w:r>
      <w:r>
        <w:rPr>
          <w:rFonts w:ascii="宋体" w:hAnsi="宋体" w:eastAsia="宋体" w:cs="宋体"/>
          <w:color w:val="auto"/>
          <w:spacing w:val="3"/>
          <w:sz w:val="24"/>
          <w:szCs w:val="24"/>
          <w:highlight w:val="none"/>
        </w:rPr>
        <w:t>项和第</w:t>
      </w:r>
      <w:r>
        <w:rPr>
          <w:rFonts w:ascii="Times New Roman" w:hAnsi="Times New Roman" w:eastAsia="Times New Roman" w:cs="Times New Roman"/>
          <w:color w:val="auto"/>
          <w:spacing w:val="3"/>
          <w:sz w:val="24"/>
          <w:szCs w:val="24"/>
          <w:highlight w:val="none"/>
        </w:rPr>
        <w:t>17.6.2</w:t>
      </w:r>
      <w:r>
        <w:rPr>
          <w:rFonts w:ascii="宋体" w:hAnsi="宋体" w:eastAsia="宋体" w:cs="宋体"/>
          <w:color w:val="auto"/>
          <w:spacing w:val="3"/>
          <w:sz w:val="24"/>
          <w:szCs w:val="24"/>
          <w:highlight w:val="none"/>
        </w:rPr>
        <w:t>项约定的付款证书相关周期最后一天的前</w:t>
      </w:r>
      <w:r>
        <w:rPr>
          <w:rFonts w:ascii="Times New Roman" w:hAnsi="Times New Roman" w:eastAsia="Times New Roman" w:cs="Times New Roman"/>
          <w:color w:val="auto"/>
          <w:spacing w:val="3"/>
          <w:sz w:val="24"/>
          <w:szCs w:val="24"/>
          <w:highlight w:val="none"/>
        </w:rPr>
        <w:t>42</w:t>
      </w:r>
      <w:r>
        <w:rPr>
          <w:rFonts w:ascii="宋体" w:hAnsi="宋体" w:eastAsia="宋体" w:cs="宋体"/>
          <w:color w:val="auto"/>
          <w:spacing w:val="3"/>
          <w:sz w:val="24"/>
          <w:szCs w:val="24"/>
          <w:highlight w:val="none"/>
        </w:rPr>
        <w:t>天的各可调因子的</w:t>
      </w:r>
      <w:r>
        <w:rPr>
          <w:rFonts w:ascii="宋体" w:hAnsi="宋体" w:eastAsia="宋体" w:cs="宋体"/>
          <w:color w:val="auto"/>
          <w:spacing w:val="-11"/>
          <w:sz w:val="24"/>
          <w:szCs w:val="24"/>
          <w:highlight w:val="none"/>
        </w:rPr>
        <w:t>价格指数；</w:t>
      </w:r>
    </w:p>
    <w:p w14:paraId="629D9B7F">
      <w:pPr>
        <w:spacing w:line="359" w:lineRule="auto"/>
        <w:ind w:left="2" w:right="66" w:firstLine="1192"/>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F</w:t>
      </w:r>
      <w:r>
        <w:rPr>
          <w:rFonts w:ascii="Times New Roman" w:hAnsi="Times New Roman" w:eastAsia="Times New Roman" w:cs="Times New Roman"/>
          <w:color w:val="auto"/>
          <w:spacing w:val="-4"/>
          <w:position w:val="-1"/>
          <w:sz w:val="16"/>
          <w:szCs w:val="16"/>
          <w:highlight w:val="none"/>
        </w:rPr>
        <w:t>01</w:t>
      </w: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F</w:t>
      </w:r>
      <w:r>
        <w:rPr>
          <w:rFonts w:ascii="Times New Roman" w:hAnsi="Times New Roman" w:eastAsia="Times New Roman" w:cs="Times New Roman"/>
          <w:color w:val="auto"/>
          <w:spacing w:val="-4"/>
          <w:position w:val="-1"/>
          <w:sz w:val="16"/>
          <w:szCs w:val="16"/>
          <w:highlight w:val="none"/>
        </w:rPr>
        <w:t>02</w:t>
      </w: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F</w:t>
      </w:r>
      <w:r>
        <w:rPr>
          <w:rFonts w:ascii="Times New Roman" w:hAnsi="Times New Roman" w:eastAsia="Times New Roman" w:cs="Times New Roman"/>
          <w:color w:val="auto"/>
          <w:spacing w:val="-4"/>
          <w:position w:val="-1"/>
          <w:sz w:val="16"/>
          <w:szCs w:val="16"/>
          <w:highlight w:val="none"/>
        </w:rPr>
        <w:t>03</w:t>
      </w:r>
      <w:r>
        <w:rPr>
          <w:rFonts w:ascii="Times New Roman" w:hAnsi="Times New Roman" w:eastAsia="Times New Roman" w:cs="Times New Roman"/>
          <w:color w:val="auto"/>
          <w:spacing w:val="-12"/>
          <w:position w:val="-1"/>
          <w:sz w:val="16"/>
          <w:szCs w:val="16"/>
          <w:highlight w:val="none"/>
        </w:rPr>
        <w:t xml:space="preserve"> </w:t>
      </w: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w:t>
      </w:r>
      <w:r>
        <w:rPr>
          <w:rFonts w:ascii="Times New Roman" w:hAnsi="Times New Roman" w:eastAsia="Times New Roman" w:cs="Times New Roman"/>
          <w:color w:val="auto"/>
          <w:spacing w:val="-31"/>
          <w:sz w:val="24"/>
          <w:szCs w:val="24"/>
          <w:highlight w:val="none"/>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46"/>
          <w:sz w:val="24"/>
          <w:szCs w:val="24"/>
          <w:highlight w:val="none"/>
        </w:rPr>
        <w:t xml:space="preserve"> </w:t>
      </w:r>
      <w:r>
        <w:rPr>
          <w:rFonts w:ascii="Times New Roman" w:hAnsi="Times New Roman" w:eastAsia="Times New Roman" w:cs="Times New Roman"/>
          <w:color w:val="auto"/>
          <w:spacing w:val="-4"/>
          <w:sz w:val="24"/>
          <w:szCs w:val="24"/>
          <w:highlight w:val="none"/>
        </w:rPr>
        <w:t>F</w:t>
      </w:r>
      <w:r>
        <w:rPr>
          <w:rFonts w:ascii="Times New Roman" w:hAnsi="Times New Roman" w:eastAsia="Times New Roman" w:cs="Times New Roman"/>
          <w:color w:val="auto"/>
          <w:spacing w:val="-4"/>
          <w:position w:val="-1"/>
          <w:sz w:val="16"/>
          <w:szCs w:val="16"/>
          <w:highlight w:val="none"/>
        </w:rPr>
        <w:t>0n</w:t>
      </w:r>
      <w:r>
        <w:rPr>
          <w:rFonts w:ascii="宋体" w:hAnsi="宋体" w:eastAsia="宋体" w:cs="宋体"/>
          <w:color w:val="auto"/>
          <w:spacing w:val="-4"/>
          <w:sz w:val="24"/>
          <w:szCs w:val="24"/>
          <w:highlight w:val="none"/>
        </w:rPr>
        <w:t>——各可调</w:t>
      </w:r>
      <w:r>
        <w:rPr>
          <w:rFonts w:ascii="宋体" w:hAnsi="宋体" w:eastAsia="宋体" w:cs="宋体"/>
          <w:color w:val="auto"/>
          <w:spacing w:val="-5"/>
          <w:sz w:val="24"/>
          <w:szCs w:val="24"/>
          <w:highlight w:val="none"/>
        </w:rPr>
        <w:t>因子的基本价格指数，指基准日期的各可调因子的价格指数。</w:t>
      </w:r>
    </w:p>
    <w:p w14:paraId="5C90F62C">
      <w:pPr>
        <w:spacing w:before="2" w:line="359" w:lineRule="auto"/>
        <w:ind w:right="66" w:firstLine="508"/>
        <w:jc w:val="both"/>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以上价格调整公式中的各可调因子、定值和变值权重， 以及基本价格指数及其来</w:t>
      </w:r>
      <w:r>
        <w:rPr>
          <w:rFonts w:ascii="宋体" w:hAnsi="宋体" w:eastAsia="宋体" w:cs="宋体"/>
          <w:color w:val="auto"/>
          <w:spacing w:val="-3"/>
          <w:sz w:val="24"/>
          <w:szCs w:val="24"/>
          <w:highlight w:val="none"/>
        </w:rPr>
        <w:t>源在投标函附录价格指数和权重表中约定。价格指数应首先采用有关部门提供的价格</w:t>
      </w:r>
      <w:r>
        <w:rPr>
          <w:rFonts w:ascii="宋体" w:hAnsi="宋体" w:eastAsia="宋体" w:cs="宋体"/>
          <w:color w:val="auto"/>
          <w:spacing w:val="-2"/>
          <w:sz w:val="24"/>
          <w:szCs w:val="24"/>
          <w:highlight w:val="none"/>
        </w:rPr>
        <w:t>指数，缺乏上述价格指数时，可采用有关部门提供的价格代替。</w:t>
      </w:r>
    </w:p>
    <w:p w14:paraId="37F97408">
      <w:pPr>
        <w:spacing w:before="1" w:line="219" w:lineRule="auto"/>
        <w:ind w:left="499"/>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"16.1.1.2" </w:instrText>
      </w:r>
      <w:r>
        <w:rPr>
          <w:color w:val="auto"/>
          <w:highlight w:val="none"/>
        </w:rPr>
        <w:fldChar w:fldCharType="separate"/>
      </w:r>
      <w:r>
        <w:rPr>
          <w:rFonts w:ascii="Times New Roman" w:hAnsi="Times New Roman" w:eastAsia="Times New Roman" w:cs="Times New Roman"/>
          <w:color w:val="auto"/>
          <w:spacing w:val="-2"/>
          <w:sz w:val="24"/>
          <w:szCs w:val="24"/>
          <w:highlight w:val="none"/>
        </w:rPr>
        <w:t>16.1.1.2</w:t>
      </w:r>
      <w:r>
        <w:rPr>
          <w:rFonts w:ascii="Times New Roman" w:hAnsi="Times New Roman" w:eastAsia="Times New Roman" w:cs="Times New Roman"/>
          <w:color w:val="auto"/>
          <w:spacing w:val="-2"/>
          <w:sz w:val="24"/>
          <w:szCs w:val="24"/>
          <w:highlight w:val="none"/>
        </w:rPr>
        <w:fldChar w:fldCharType="end"/>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2"/>
          <w:sz w:val="24"/>
          <w:szCs w:val="24"/>
          <w:highlight w:val="none"/>
        </w:rPr>
        <w:t>暂时确定调整差额</w:t>
      </w:r>
    </w:p>
    <w:p w14:paraId="285ED8F6">
      <w:pPr>
        <w:spacing w:before="180" w:line="360" w:lineRule="auto"/>
        <w:ind w:left="2" w:right="66" w:firstLine="47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在计算调整差额时得不到现行价格指数的，可暂用上一次价格指数计算，并在以后的付款中再按实际价格指数进行调整。</w:t>
      </w:r>
    </w:p>
    <w:p w14:paraId="07B470C3">
      <w:pPr>
        <w:spacing w:line="219" w:lineRule="auto"/>
        <w:ind w:left="499"/>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"16.1.1.3" </w:instrText>
      </w:r>
      <w:r>
        <w:rPr>
          <w:color w:val="auto"/>
          <w:highlight w:val="none"/>
        </w:rPr>
        <w:fldChar w:fldCharType="separate"/>
      </w:r>
      <w:r>
        <w:rPr>
          <w:rFonts w:ascii="Times New Roman" w:hAnsi="Times New Roman" w:eastAsia="Times New Roman" w:cs="Times New Roman"/>
          <w:color w:val="auto"/>
          <w:spacing w:val="-2"/>
          <w:sz w:val="24"/>
          <w:szCs w:val="24"/>
          <w:highlight w:val="none"/>
        </w:rPr>
        <w:t>16.1.1.3</w:t>
      </w:r>
      <w:r>
        <w:rPr>
          <w:rFonts w:ascii="Times New Roman" w:hAnsi="Times New Roman" w:eastAsia="Times New Roman" w:cs="Times New Roman"/>
          <w:color w:val="auto"/>
          <w:spacing w:val="-2"/>
          <w:sz w:val="24"/>
          <w:szCs w:val="24"/>
          <w:highlight w:val="none"/>
        </w:rPr>
        <w:fldChar w:fldCharType="end"/>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2"/>
          <w:sz w:val="24"/>
          <w:szCs w:val="24"/>
          <w:highlight w:val="none"/>
        </w:rPr>
        <w:t>权重的调整</w:t>
      </w:r>
    </w:p>
    <w:p w14:paraId="633B1E0C">
      <w:pPr>
        <w:spacing w:before="181" w:line="359" w:lineRule="auto"/>
        <w:ind w:right="66" w:firstLine="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按第</w:t>
      </w:r>
      <w:r>
        <w:rPr>
          <w:rFonts w:ascii="Times New Roman" w:hAnsi="Times New Roman" w:eastAsia="Times New Roman" w:cs="Times New Roman"/>
          <w:color w:val="auto"/>
          <w:spacing w:val="-1"/>
          <w:sz w:val="24"/>
          <w:szCs w:val="24"/>
          <w:highlight w:val="none"/>
        </w:rPr>
        <w:t>15.1</w:t>
      </w:r>
      <w:r>
        <w:rPr>
          <w:rFonts w:ascii="宋体" w:hAnsi="宋体" w:eastAsia="宋体" w:cs="宋体"/>
          <w:color w:val="auto"/>
          <w:spacing w:val="-1"/>
          <w:sz w:val="24"/>
          <w:szCs w:val="24"/>
          <w:highlight w:val="none"/>
        </w:rPr>
        <w:t>款约定的变更导致原定合同中的权重不合理时，由监理</w:t>
      </w:r>
      <w:r>
        <w:rPr>
          <w:rFonts w:ascii="宋体" w:hAnsi="宋体" w:eastAsia="宋体" w:cs="宋体"/>
          <w:color w:val="auto"/>
          <w:spacing w:val="-2"/>
          <w:sz w:val="24"/>
          <w:szCs w:val="24"/>
          <w:highlight w:val="none"/>
        </w:rPr>
        <w:t>人与承包人和发</w:t>
      </w:r>
      <w:r>
        <w:rPr>
          <w:rFonts w:ascii="宋体" w:hAnsi="宋体" w:eastAsia="宋体" w:cs="宋体"/>
          <w:color w:val="auto"/>
          <w:spacing w:val="-4"/>
          <w:sz w:val="24"/>
          <w:szCs w:val="24"/>
          <w:highlight w:val="none"/>
        </w:rPr>
        <w:t>包人协商后进行调整。</w:t>
      </w:r>
    </w:p>
    <w:p w14:paraId="7AB30B82">
      <w:pPr>
        <w:spacing w:line="218" w:lineRule="auto"/>
        <w:ind w:left="499"/>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"16.1.1.4" </w:instrText>
      </w:r>
      <w:r>
        <w:rPr>
          <w:color w:val="auto"/>
          <w:highlight w:val="none"/>
        </w:rPr>
        <w:fldChar w:fldCharType="separate"/>
      </w:r>
      <w:r>
        <w:rPr>
          <w:rFonts w:ascii="Times New Roman" w:hAnsi="Times New Roman" w:eastAsia="Times New Roman" w:cs="Times New Roman"/>
          <w:color w:val="auto"/>
          <w:spacing w:val="-2"/>
          <w:sz w:val="24"/>
          <w:szCs w:val="24"/>
          <w:highlight w:val="none"/>
        </w:rPr>
        <w:t>16.1.1.4</w:t>
      </w:r>
      <w:r>
        <w:rPr>
          <w:rFonts w:ascii="Times New Roman" w:hAnsi="Times New Roman" w:eastAsia="Times New Roman" w:cs="Times New Roman"/>
          <w:color w:val="auto"/>
          <w:spacing w:val="-2"/>
          <w:sz w:val="24"/>
          <w:szCs w:val="24"/>
          <w:highlight w:val="none"/>
        </w:rPr>
        <w:fldChar w:fldCharType="end"/>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2"/>
          <w:sz w:val="24"/>
          <w:szCs w:val="24"/>
          <w:highlight w:val="none"/>
        </w:rPr>
        <w:t>承包人工期延误后的价格调整</w:t>
      </w:r>
    </w:p>
    <w:p w14:paraId="1A115505">
      <w:pPr>
        <w:spacing w:before="184" w:line="359" w:lineRule="auto"/>
        <w:ind w:right="66" w:firstLine="51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由于承包人原因未在约定的工期内完工的，则对原约定完工日期后继续施工的工</w:t>
      </w:r>
      <w:r>
        <w:rPr>
          <w:rFonts w:ascii="宋体" w:hAnsi="宋体" w:eastAsia="宋体" w:cs="宋体"/>
          <w:color w:val="auto"/>
          <w:spacing w:val="-5"/>
          <w:sz w:val="24"/>
          <w:szCs w:val="24"/>
          <w:highlight w:val="none"/>
        </w:rPr>
        <w:t>程，在使用第</w:t>
      </w:r>
      <w:r>
        <w:rPr>
          <w:color w:val="auto"/>
          <w:highlight w:val="none"/>
        </w:rPr>
        <w:fldChar w:fldCharType="begin"/>
      </w:r>
      <w:r>
        <w:rPr>
          <w:color w:val="auto"/>
          <w:highlight w:val="none"/>
        </w:rPr>
        <w:instrText xml:space="preserve"> HYPERLINK "16.1.1.1" </w:instrText>
      </w:r>
      <w:r>
        <w:rPr>
          <w:color w:val="auto"/>
          <w:highlight w:val="none"/>
        </w:rPr>
        <w:fldChar w:fldCharType="separate"/>
      </w:r>
      <w:r>
        <w:rPr>
          <w:rFonts w:ascii="Times New Roman" w:hAnsi="Times New Roman" w:eastAsia="Times New Roman" w:cs="Times New Roman"/>
          <w:color w:val="auto"/>
          <w:spacing w:val="-5"/>
          <w:sz w:val="24"/>
          <w:szCs w:val="24"/>
          <w:highlight w:val="none"/>
        </w:rPr>
        <w:t>16.1.1.1</w:t>
      </w:r>
      <w:r>
        <w:rPr>
          <w:rFonts w:ascii="Times New Roman" w:hAnsi="Times New Roman" w:eastAsia="Times New Roman" w:cs="Times New Roman"/>
          <w:color w:val="auto"/>
          <w:spacing w:val="-5"/>
          <w:sz w:val="24"/>
          <w:szCs w:val="24"/>
          <w:highlight w:val="none"/>
        </w:rPr>
        <w:fldChar w:fldCharType="end"/>
      </w:r>
      <w:r>
        <w:rPr>
          <w:rFonts w:ascii="Times New Roman" w:hAnsi="Times New Roman" w:eastAsia="Times New Roman" w:cs="Times New Roman"/>
          <w:color w:val="auto"/>
          <w:spacing w:val="-5"/>
          <w:sz w:val="24"/>
          <w:szCs w:val="24"/>
          <w:highlight w:val="none"/>
        </w:rPr>
        <w:t xml:space="preserve"> </w:t>
      </w:r>
      <w:r>
        <w:rPr>
          <w:rFonts w:ascii="宋体" w:hAnsi="宋体" w:eastAsia="宋体" w:cs="宋体"/>
          <w:color w:val="auto"/>
          <w:spacing w:val="-5"/>
          <w:sz w:val="24"/>
          <w:szCs w:val="24"/>
          <w:highlight w:val="none"/>
        </w:rPr>
        <w:t>目价格调整公式时，应采用原约定完工日期与</w:t>
      </w:r>
      <w:r>
        <w:rPr>
          <w:rFonts w:ascii="宋体" w:hAnsi="宋体" w:eastAsia="宋体" w:cs="宋体"/>
          <w:color w:val="auto"/>
          <w:spacing w:val="-6"/>
          <w:sz w:val="24"/>
          <w:szCs w:val="24"/>
          <w:highlight w:val="none"/>
        </w:rPr>
        <w:t>实际完工日期的两</w:t>
      </w:r>
      <w:r>
        <w:rPr>
          <w:rFonts w:ascii="宋体" w:hAnsi="宋体" w:eastAsia="宋体" w:cs="宋体"/>
          <w:color w:val="auto"/>
          <w:spacing w:val="-2"/>
          <w:sz w:val="24"/>
          <w:szCs w:val="24"/>
          <w:highlight w:val="none"/>
        </w:rPr>
        <w:t>个价格指数中较低的一个作为现行价格指数。</w:t>
      </w:r>
    </w:p>
    <w:p w14:paraId="7094B5AD">
      <w:pPr>
        <w:spacing w:line="218"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16.1.2  </w:t>
      </w:r>
      <w:r>
        <w:rPr>
          <w:rFonts w:ascii="宋体" w:hAnsi="宋体" w:eastAsia="宋体" w:cs="宋体"/>
          <w:color w:val="auto"/>
          <w:spacing w:val="-1"/>
          <w:sz w:val="24"/>
          <w:szCs w:val="24"/>
          <w:highlight w:val="none"/>
        </w:rPr>
        <w:t>采用造价信息调整价格差额</w:t>
      </w:r>
    </w:p>
    <w:p w14:paraId="4133C892">
      <w:pPr>
        <w:spacing w:before="184" w:line="359" w:lineRule="auto"/>
        <w:ind w:right="66" w:firstLine="480"/>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施工期内，因人工、材料、设备和机械台班价格波动影响合同价格</w:t>
      </w:r>
      <w:r>
        <w:rPr>
          <w:rFonts w:ascii="宋体" w:hAnsi="宋体" w:eastAsia="宋体" w:cs="宋体"/>
          <w:color w:val="auto"/>
          <w:spacing w:val="-7"/>
          <w:sz w:val="24"/>
          <w:szCs w:val="24"/>
          <w:highlight w:val="none"/>
        </w:rPr>
        <w:t>时， 人工、机</w:t>
      </w:r>
      <w:r>
        <w:rPr>
          <w:rFonts w:ascii="宋体" w:hAnsi="宋体" w:eastAsia="宋体" w:cs="宋体"/>
          <w:color w:val="auto"/>
          <w:spacing w:val="-6"/>
          <w:sz w:val="24"/>
          <w:szCs w:val="24"/>
          <w:highlight w:val="none"/>
        </w:rPr>
        <w:t>械使用费按照国家或省（自治区、直辖市） 建设行政管理部门、行业建设管理部门或</w:t>
      </w:r>
      <w:r>
        <w:rPr>
          <w:rFonts w:ascii="宋体" w:hAnsi="宋体" w:eastAsia="宋体" w:cs="宋体"/>
          <w:color w:val="auto"/>
          <w:spacing w:val="-3"/>
          <w:sz w:val="24"/>
          <w:szCs w:val="24"/>
          <w:highlight w:val="none"/>
        </w:rPr>
        <w:t>其授权的工程造价管理机构发布的人工成本信息、机械台班单价或机械使用费系数进行调整；需要进行价格调整的材料，其单价和采购数应由监理人复核，监理人确认需</w:t>
      </w:r>
      <w:r>
        <w:rPr>
          <w:rFonts w:ascii="宋体" w:hAnsi="宋体" w:eastAsia="宋体" w:cs="宋体"/>
          <w:color w:val="auto"/>
          <w:spacing w:val="-2"/>
          <w:sz w:val="24"/>
          <w:szCs w:val="24"/>
          <w:highlight w:val="none"/>
        </w:rPr>
        <w:t>调整的材料单价及数量，作为调整工程合同价格差额的依据。</w:t>
      </w:r>
    </w:p>
    <w:p w14:paraId="4502E01B">
      <w:pPr>
        <w:spacing w:line="218" w:lineRule="auto"/>
        <w:ind w:left="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工程造价信息的来源以及价格调整的项目和系数在专用合同条款中约定。</w:t>
      </w:r>
    </w:p>
    <w:p w14:paraId="3B43527A">
      <w:pPr>
        <w:spacing w:line="218" w:lineRule="auto"/>
        <w:rPr>
          <w:rFonts w:ascii="宋体" w:hAnsi="宋体" w:eastAsia="宋体" w:cs="宋体"/>
          <w:color w:val="auto"/>
          <w:sz w:val="24"/>
          <w:szCs w:val="24"/>
          <w:highlight w:val="none"/>
        </w:rPr>
        <w:sectPr>
          <w:footerReference r:id="rId61" w:type="default"/>
          <w:pgSz w:w="11907" w:h="16841"/>
          <w:pgMar w:top="1428" w:right="1462" w:bottom="1254" w:left="1597" w:header="0" w:footer="1093" w:gutter="0"/>
          <w:pgNumType w:fmt="decimal"/>
          <w:cols w:space="720" w:num="1"/>
        </w:sectPr>
      </w:pPr>
    </w:p>
    <w:p w14:paraId="64E006DE">
      <w:pPr>
        <w:spacing w:before="48" w:line="218" w:lineRule="auto"/>
        <w:ind w:left="7"/>
        <w:outlineLvl w:val="1"/>
        <w:rPr>
          <w:rFonts w:ascii="宋体" w:hAnsi="宋体" w:eastAsia="宋体" w:cs="宋体"/>
          <w:color w:val="auto"/>
          <w:sz w:val="24"/>
          <w:szCs w:val="24"/>
          <w:highlight w:val="none"/>
        </w:rPr>
      </w:pPr>
      <w:bookmarkStart w:id="613" w:name="bookmark257"/>
      <w:bookmarkEnd w:id="613"/>
      <w:bookmarkStart w:id="614" w:name="_Toc12944"/>
      <w:bookmarkStart w:id="615" w:name="_Toc15946"/>
      <w:r>
        <w:rPr>
          <w:rFonts w:ascii="Times New Roman" w:hAnsi="Times New Roman" w:eastAsia="Times New Roman" w:cs="Times New Roman"/>
          <w:b/>
          <w:bCs/>
          <w:color w:val="auto"/>
          <w:spacing w:val="-2"/>
          <w:sz w:val="24"/>
          <w:szCs w:val="24"/>
          <w:highlight w:val="none"/>
        </w:rPr>
        <w:t xml:space="preserve">16.2  </w:t>
      </w:r>
      <w:r>
        <w:rPr>
          <w:rFonts w:ascii="宋体" w:hAnsi="宋体" w:eastAsia="宋体" w:cs="宋体"/>
          <w:b/>
          <w:bCs/>
          <w:color w:val="auto"/>
          <w:spacing w:val="-2"/>
          <w:sz w:val="24"/>
          <w:szCs w:val="24"/>
          <w:highlight w:val="none"/>
        </w:rPr>
        <w:t>法律、法规、规章变化引起的价格调整</w:t>
      </w:r>
      <w:bookmarkEnd w:id="614"/>
      <w:bookmarkEnd w:id="615"/>
    </w:p>
    <w:p w14:paraId="16173A68">
      <w:pPr>
        <w:spacing w:before="184" w:line="360" w:lineRule="auto"/>
        <w:ind w:left="2" w:firstLine="477"/>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在基准日后，因法律、法规、规章变化导致承包人在合同履行中所需要的工程费</w:t>
      </w:r>
      <w:r>
        <w:rPr>
          <w:rFonts w:ascii="宋体" w:hAnsi="宋体" w:eastAsia="宋体" w:cs="宋体"/>
          <w:color w:val="auto"/>
          <w:spacing w:val="1"/>
          <w:sz w:val="24"/>
          <w:szCs w:val="24"/>
          <w:highlight w:val="none"/>
        </w:rPr>
        <w:t>用发生除第</w:t>
      </w:r>
      <w:r>
        <w:rPr>
          <w:rFonts w:ascii="Times New Roman" w:hAnsi="Times New Roman" w:eastAsia="Times New Roman" w:cs="Times New Roman"/>
          <w:color w:val="auto"/>
          <w:spacing w:val="1"/>
          <w:sz w:val="24"/>
          <w:szCs w:val="24"/>
          <w:highlight w:val="none"/>
        </w:rPr>
        <w:t>16.1</w:t>
      </w:r>
      <w:r>
        <w:rPr>
          <w:rFonts w:ascii="宋体" w:hAnsi="宋体" w:eastAsia="宋体" w:cs="宋体"/>
          <w:color w:val="auto"/>
          <w:spacing w:val="1"/>
          <w:sz w:val="24"/>
          <w:szCs w:val="24"/>
          <w:highlight w:val="none"/>
        </w:rPr>
        <w:t>款约定以外的增减时，监理人应根据法律、法规、规章，国家或省、</w:t>
      </w:r>
      <w:r>
        <w:rPr>
          <w:rFonts w:ascii="宋体" w:hAnsi="宋体" w:eastAsia="宋体" w:cs="宋体"/>
          <w:color w:val="auto"/>
          <w:spacing w:val="-1"/>
          <w:sz w:val="24"/>
          <w:szCs w:val="24"/>
          <w:highlight w:val="none"/>
        </w:rPr>
        <w:t>自治区、直辖市有关部门的规定，按第</w:t>
      </w:r>
      <w:r>
        <w:rPr>
          <w:rFonts w:ascii="Times New Roman" w:hAnsi="Times New Roman" w:eastAsia="Times New Roman" w:cs="Times New Roman"/>
          <w:color w:val="auto"/>
          <w:spacing w:val="-1"/>
          <w:sz w:val="24"/>
          <w:szCs w:val="24"/>
          <w:highlight w:val="none"/>
        </w:rPr>
        <w:t>3.5</w:t>
      </w:r>
      <w:r>
        <w:rPr>
          <w:rFonts w:ascii="宋体" w:hAnsi="宋体" w:eastAsia="宋体" w:cs="宋体"/>
          <w:color w:val="auto"/>
          <w:spacing w:val="-1"/>
          <w:sz w:val="24"/>
          <w:szCs w:val="24"/>
          <w:highlight w:val="none"/>
        </w:rPr>
        <w:t>款商定或确</w:t>
      </w:r>
      <w:r>
        <w:rPr>
          <w:rFonts w:ascii="宋体" w:hAnsi="宋体" w:eastAsia="宋体" w:cs="宋体"/>
          <w:color w:val="auto"/>
          <w:spacing w:val="-2"/>
          <w:sz w:val="24"/>
          <w:szCs w:val="24"/>
          <w:highlight w:val="none"/>
        </w:rPr>
        <w:t>定需调整的合同价款。</w:t>
      </w:r>
    </w:p>
    <w:p w14:paraId="3439592F">
      <w:pPr>
        <w:spacing w:before="121" w:line="220" w:lineRule="auto"/>
        <w:ind w:left="10"/>
        <w:outlineLvl w:val="0"/>
        <w:rPr>
          <w:rFonts w:ascii="宋体" w:hAnsi="宋体" w:eastAsia="宋体" w:cs="宋体"/>
          <w:color w:val="auto"/>
          <w:sz w:val="28"/>
          <w:szCs w:val="28"/>
          <w:highlight w:val="none"/>
        </w:rPr>
      </w:pPr>
      <w:bookmarkStart w:id="616" w:name="bookmark259"/>
      <w:bookmarkEnd w:id="616"/>
      <w:bookmarkStart w:id="617" w:name="bookmark258"/>
      <w:bookmarkEnd w:id="617"/>
      <w:bookmarkStart w:id="618" w:name="_Toc22024"/>
      <w:bookmarkStart w:id="619" w:name="_Toc20468"/>
      <w:r>
        <w:rPr>
          <w:rFonts w:ascii="Times New Roman" w:hAnsi="Times New Roman" w:eastAsia="Times New Roman" w:cs="Times New Roman"/>
          <w:b/>
          <w:bCs/>
          <w:color w:val="auto"/>
          <w:spacing w:val="-3"/>
          <w:sz w:val="28"/>
          <w:szCs w:val="28"/>
          <w:highlight w:val="none"/>
        </w:rPr>
        <w:t xml:space="preserve">17 </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计量与支付</w:t>
      </w:r>
      <w:bookmarkEnd w:id="618"/>
      <w:bookmarkEnd w:id="619"/>
    </w:p>
    <w:p w14:paraId="7FCC4204">
      <w:pPr>
        <w:pStyle w:val="3"/>
        <w:spacing w:line="245" w:lineRule="auto"/>
        <w:rPr>
          <w:color w:val="auto"/>
          <w:highlight w:val="none"/>
        </w:rPr>
      </w:pPr>
    </w:p>
    <w:p w14:paraId="0901866E">
      <w:pPr>
        <w:spacing w:before="78" w:line="221" w:lineRule="auto"/>
        <w:ind w:left="7"/>
        <w:outlineLvl w:val="1"/>
        <w:rPr>
          <w:rFonts w:ascii="宋体" w:hAnsi="宋体" w:eastAsia="宋体" w:cs="宋体"/>
          <w:color w:val="auto"/>
          <w:sz w:val="24"/>
          <w:szCs w:val="24"/>
          <w:highlight w:val="none"/>
        </w:rPr>
      </w:pPr>
      <w:bookmarkStart w:id="620" w:name="bookmark703"/>
      <w:bookmarkEnd w:id="620"/>
      <w:bookmarkStart w:id="621" w:name="_Toc31245"/>
      <w:bookmarkStart w:id="622" w:name="_Toc26780"/>
      <w:r>
        <w:rPr>
          <w:rFonts w:ascii="Times New Roman" w:hAnsi="Times New Roman" w:eastAsia="Times New Roman" w:cs="Times New Roman"/>
          <w:b/>
          <w:bCs/>
          <w:color w:val="auto"/>
          <w:spacing w:val="-5"/>
          <w:sz w:val="24"/>
          <w:szCs w:val="24"/>
          <w:highlight w:val="none"/>
        </w:rPr>
        <w:t>17.1</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5"/>
          <w:sz w:val="24"/>
          <w:szCs w:val="24"/>
          <w:highlight w:val="none"/>
        </w:rPr>
        <w:t>计量</w:t>
      </w:r>
      <w:bookmarkEnd w:id="621"/>
      <w:bookmarkEnd w:id="622"/>
    </w:p>
    <w:p w14:paraId="17C7C2FA">
      <w:pPr>
        <w:spacing w:before="181"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17.1.1  </w:t>
      </w:r>
      <w:r>
        <w:rPr>
          <w:rFonts w:ascii="宋体" w:hAnsi="宋体" w:eastAsia="宋体" w:cs="宋体"/>
          <w:color w:val="auto"/>
          <w:spacing w:val="-2"/>
          <w:sz w:val="24"/>
          <w:szCs w:val="24"/>
          <w:highlight w:val="none"/>
        </w:rPr>
        <w:t>计量单位</w:t>
      </w:r>
    </w:p>
    <w:p w14:paraId="1A8191A0">
      <w:pPr>
        <w:spacing w:before="179" w:line="219" w:lineRule="auto"/>
        <w:ind w:left="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计量采用国家法定的计量单位。</w:t>
      </w:r>
    </w:p>
    <w:p w14:paraId="11BE573D">
      <w:pPr>
        <w:spacing w:before="183" w:line="221"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17.1.2  </w:t>
      </w:r>
      <w:r>
        <w:rPr>
          <w:rFonts w:ascii="宋体" w:hAnsi="宋体" w:eastAsia="宋体" w:cs="宋体"/>
          <w:color w:val="auto"/>
          <w:spacing w:val="-2"/>
          <w:sz w:val="24"/>
          <w:szCs w:val="24"/>
          <w:highlight w:val="none"/>
        </w:rPr>
        <w:t>计量方法</w:t>
      </w:r>
    </w:p>
    <w:p w14:paraId="12DC94E0">
      <w:pPr>
        <w:spacing w:before="177" w:line="220" w:lineRule="auto"/>
        <w:ind w:left="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结算工程量应按工程量清单中约定的方法计量。</w:t>
      </w:r>
    </w:p>
    <w:p w14:paraId="117EF49C">
      <w:pPr>
        <w:spacing w:before="183"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17.1.3  </w:t>
      </w:r>
      <w:r>
        <w:rPr>
          <w:rFonts w:ascii="宋体" w:hAnsi="宋体" w:eastAsia="宋体" w:cs="宋体"/>
          <w:color w:val="auto"/>
          <w:spacing w:val="-2"/>
          <w:sz w:val="24"/>
          <w:szCs w:val="24"/>
          <w:highlight w:val="none"/>
        </w:rPr>
        <w:t>计量周期</w:t>
      </w:r>
    </w:p>
    <w:p w14:paraId="027F4B23">
      <w:pPr>
        <w:spacing w:before="180" w:line="359" w:lineRule="auto"/>
        <w:ind w:left="1" w:right="87" w:firstLine="49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除专用合同条款另有约定外，单价子目已完成工程量按</w:t>
      </w:r>
      <w:r>
        <w:rPr>
          <w:rFonts w:ascii="宋体" w:hAnsi="宋体" w:eastAsia="宋体" w:cs="宋体"/>
          <w:color w:val="auto"/>
          <w:spacing w:val="-4"/>
          <w:sz w:val="24"/>
          <w:szCs w:val="24"/>
          <w:highlight w:val="none"/>
        </w:rPr>
        <w:t>月计量，总价子目的计量</w:t>
      </w:r>
      <w:r>
        <w:rPr>
          <w:rFonts w:ascii="宋体" w:hAnsi="宋体" w:eastAsia="宋体" w:cs="宋体"/>
          <w:color w:val="auto"/>
          <w:spacing w:val="-3"/>
          <w:sz w:val="24"/>
          <w:szCs w:val="24"/>
          <w:highlight w:val="none"/>
        </w:rPr>
        <w:t>周期按批准的支付分解报告确定。</w:t>
      </w:r>
    </w:p>
    <w:p w14:paraId="573AB242">
      <w:pPr>
        <w:spacing w:line="218"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17.1.4  </w:t>
      </w:r>
      <w:r>
        <w:rPr>
          <w:rFonts w:ascii="宋体" w:hAnsi="宋体" w:eastAsia="宋体" w:cs="宋体"/>
          <w:color w:val="auto"/>
          <w:spacing w:val="-1"/>
          <w:sz w:val="24"/>
          <w:szCs w:val="24"/>
          <w:highlight w:val="none"/>
        </w:rPr>
        <w:t>单价子目的计量</w:t>
      </w:r>
    </w:p>
    <w:p w14:paraId="0091EAAC">
      <w:pPr>
        <w:spacing w:before="184" w:line="359" w:lineRule="auto"/>
        <w:ind w:left="2" w:right="98" w:firstLine="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l</w:t>
      </w:r>
      <w:r>
        <w:rPr>
          <w:rFonts w:ascii="宋体" w:hAnsi="宋体" w:eastAsia="宋体" w:cs="宋体"/>
          <w:color w:val="auto"/>
          <w:spacing w:val="2"/>
          <w:sz w:val="24"/>
          <w:szCs w:val="24"/>
          <w:highlight w:val="none"/>
        </w:rPr>
        <w:t>）已标价工程量清单中的单价子目工程</w:t>
      </w:r>
      <w:r>
        <w:rPr>
          <w:rFonts w:ascii="宋体" w:hAnsi="宋体" w:eastAsia="宋体" w:cs="宋体"/>
          <w:color w:val="auto"/>
          <w:spacing w:val="1"/>
          <w:sz w:val="24"/>
          <w:szCs w:val="24"/>
          <w:highlight w:val="none"/>
        </w:rPr>
        <w:t>量为估算工程量。结算工程量是承包</w:t>
      </w:r>
      <w:r>
        <w:rPr>
          <w:rFonts w:ascii="宋体" w:hAnsi="宋体" w:eastAsia="宋体" w:cs="宋体"/>
          <w:color w:val="auto"/>
          <w:spacing w:val="-2"/>
          <w:sz w:val="24"/>
          <w:szCs w:val="24"/>
          <w:highlight w:val="none"/>
        </w:rPr>
        <w:t>人实际完成的，并按合同约定的计量方法进行计量的工程量。</w:t>
      </w:r>
    </w:p>
    <w:p w14:paraId="46DDE28B">
      <w:pPr>
        <w:spacing w:before="3" w:line="288" w:lineRule="auto"/>
        <w:ind w:left="3" w:right="98" w:firstLine="483"/>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）承包人对已完成的工程进行计量，向监理人提交进度付款申请单、已完成</w:t>
      </w:r>
      <w:r>
        <w:rPr>
          <w:rFonts w:ascii="宋体" w:hAnsi="宋体" w:eastAsia="宋体" w:cs="宋体"/>
          <w:color w:val="auto"/>
          <w:spacing w:val="-4"/>
          <w:sz w:val="24"/>
          <w:szCs w:val="24"/>
          <w:highlight w:val="none"/>
        </w:rPr>
        <w:t>工程量报表和有关计量资料。</w:t>
      </w:r>
    </w:p>
    <w:p w14:paraId="3BBD6ED0">
      <w:pPr>
        <w:spacing w:before="184" w:line="324" w:lineRule="auto"/>
        <w:ind w:right="87"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）监理人对承包人提交的工程量报表进行复核，以确定实际完成的工程量。</w:t>
      </w:r>
      <w:r>
        <w:rPr>
          <w:rFonts w:ascii="宋体" w:hAnsi="宋体" w:eastAsia="宋体" w:cs="宋体"/>
          <w:color w:val="auto"/>
          <w:spacing w:val="-4"/>
          <w:sz w:val="24"/>
          <w:szCs w:val="24"/>
          <w:highlight w:val="none"/>
        </w:rPr>
        <w:t>对数量有异议的，可要求承包人按第</w:t>
      </w:r>
      <w:r>
        <w:rPr>
          <w:rFonts w:ascii="Times New Roman" w:hAnsi="Times New Roman" w:eastAsia="Times New Roman" w:cs="Times New Roman"/>
          <w:color w:val="auto"/>
          <w:spacing w:val="-4"/>
          <w:sz w:val="24"/>
          <w:szCs w:val="24"/>
          <w:highlight w:val="none"/>
        </w:rPr>
        <w:t>8.2</w:t>
      </w:r>
      <w:r>
        <w:rPr>
          <w:rFonts w:ascii="宋体" w:hAnsi="宋体" w:eastAsia="宋体" w:cs="宋体"/>
          <w:color w:val="auto"/>
          <w:spacing w:val="-4"/>
          <w:sz w:val="24"/>
          <w:szCs w:val="24"/>
          <w:highlight w:val="none"/>
        </w:rPr>
        <w:t>款约定进行共同复核和抽样复</w:t>
      </w:r>
      <w:r>
        <w:rPr>
          <w:rFonts w:ascii="宋体" w:hAnsi="宋体" w:eastAsia="宋体" w:cs="宋体"/>
          <w:color w:val="auto"/>
          <w:spacing w:val="-5"/>
          <w:sz w:val="24"/>
          <w:szCs w:val="24"/>
          <w:highlight w:val="none"/>
        </w:rPr>
        <w:t>测。承包人应协</w:t>
      </w:r>
      <w:r>
        <w:rPr>
          <w:rFonts w:ascii="宋体" w:hAnsi="宋体" w:eastAsia="宋体" w:cs="宋体"/>
          <w:color w:val="auto"/>
          <w:spacing w:val="-3"/>
          <w:sz w:val="24"/>
          <w:szCs w:val="24"/>
          <w:highlight w:val="none"/>
        </w:rPr>
        <w:t>助监理人进行复核并按监理人要求提供补充计量资料。承包人未按监理人要求参加复</w:t>
      </w:r>
      <w:r>
        <w:rPr>
          <w:rFonts w:ascii="宋体" w:hAnsi="宋体" w:eastAsia="宋体" w:cs="宋体"/>
          <w:color w:val="auto"/>
          <w:spacing w:val="-2"/>
          <w:sz w:val="24"/>
          <w:szCs w:val="24"/>
          <w:highlight w:val="none"/>
        </w:rPr>
        <w:t>核，监理人复核或修正的工程量视为承包人实际完成的工程量。</w:t>
      </w:r>
    </w:p>
    <w:p w14:paraId="6E743498">
      <w:pPr>
        <w:spacing w:before="180" w:line="290" w:lineRule="auto"/>
        <w:ind w:right="97" w:firstLine="487"/>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4</w:t>
      </w:r>
      <w:r>
        <w:rPr>
          <w:rFonts w:ascii="宋体" w:hAnsi="宋体" w:eastAsia="宋体" w:cs="宋体"/>
          <w:color w:val="auto"/>
          <w:sz w:val="24"/>
          <w:szCs w:val="24"/>
          <w:highlight w:val="none"/>
        </w:rPr>
        <w:t>）监理人认为有必要时，可通知承包人共同进行联合测量、计量，承包人应</w:t>
      </w:r>
      <w:r>
        <w:rPr>
          <w:rFonts w:ascii="宋体" w:hAnsi="宋体" w:eastAsia="宋体" w:cs="宋体"/>
          <w:color w:val="auto"/>
          <w:spacing w:val="-7"/>
          <w:sz w:val="24"/>
          <w:szCs w:val="24"/>
          <w:highlight w:val="none"/>
        </w:rPr>
        <w:t>遵照执行。</w:t>
      </w:r>
    </w:p>
    <w:p w14:paraId="17EDD46C">
      <w:pPr>
        <w:spacing w:before="182" w:line="324" w:lineRule="auto"/>
        <w:ind w:right="87" w:firstLine="487"/>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5</w:t>
      </w:r>
      <w:r>
        <w:rPr>
          <w:rFonts w:ascii="宋体" w:hAnsi="宋体" w:eastAsia="宋体" w:cs="宋体"/>
          <w:color w:val="auto"/>
          <w:sz w:val="24"/>
          <w:szCs w:val="24"/>
          <w:highlight w:val="none"/>
        </w:rPr>
        <w:t>）承包人完成工程量清单中每个子目的工程量后，监理人应要求承包人派员</w:t>
      </w:r>
      <w:r>
        <w:rPr>
          <w:rFonts w:ascii="宋体" w:hAnsi="宋体" w:eastAsia="宋体" w:cs="宋体"/>
          <w:color w:val="auto"/>
          <w:spacing w:val="-3"/>
          <w:sz w:val="24"/>
          <w:szCs w:val="24"/>
          <w:highlight w:val="none"/>
        </w:rPr>
        <w:t>共同对每个子目的历次计量报表进行汇总，以核实最终结算工程量。监理人可要求承包人提供补充计量资料，以确定最后一次进度付款的准确工程量。承包人末按监理人</w:t>
      </w:r>
      <w:r>
        <w:rPr>
          <w:rFonts w:ascii="宋体" w:hAnsi="宋体" w:eastAsia="宋体" w:cs="宋体"/>
          <w:color w:val="auto"/>
          <w:spacing w:val="-1"/>
          <w:sz w:val="24"/>
          <w:szCs w:val="24"/>
          <w:highlight w:val="none"/>
        </w:rPr>
        <w:t>要求派员参加的，监理人最终核实的工程量视为承包人完成该子目</w:t>
      </w:r>
      <w:r>
        <w:rPr>
          <w:rFonts w:ascii="宋体" w:hAnsi="宋体" w:eastAsia="宋体" w:cs="宋体"/>
          <w:color w:val="auto"/>
          <w:spacing w:val="-2"/>
          <w:sz w:val="24"/>
          <w:szCs w:val="24"/>
          <w:highlight w:val="none"/>
        </w:rPr>
        <w:t>的准确工程量。</w:t>
      </w:r>
    </w:p>
    <w:p w14:paraId="6A2CC09E">
      <w:pPr>
        <w:spacing w:before="180" w:line="220" w:lineRule="auto"/>
        <w:ind w:left="487"/>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6</w:t>
      </w:r>
      <w:r>
        <w:rPr>
          <w:rFonts w:ascii="宋体" w:hAnsi="宋体" w:eastAsia="宋体" w:cs="宋体"/>
          <w:color w:val="auto"/>
          <w:sz w:val="24"/>
          <w:szCs w:val="24"/>
          <w:highlight w:val="none"/>
        </w:rPr>
        <w:t>）监理人应在收到承包人提交的工程量报表后的</w:t>
      </w:r>
      <w:r>
        <w:rPr>
          <w:rFonts w:ascii="Times New Roman" w:hAnsi="Times New Roman" w:eastAsia="Times New Roman" w:cs="Times New Roman"/>
          <w:color w:val="auto"/>
          <w:sz w:val="24"/>
          <w:szCs w:val="24"/>
          <w:highlight w:val="none"/>
        </w:rPr>
        <w:t xml:space="preserve">7  </w:t>
      </w:r>
      <w:r>
        <w:rPr>
          <w:rFonts w:ascii="宋体" w:hAnsi="宋体" w:eastAsia="宋体" w:cs="宋体"/>
          <w:color w:val="auto"/>
          <w:sz w:val="24"/>
          <w:szCs w:val="24"/>
          <w:highlight w:val="none"/>
        </w:rPr>
        <w:t>天内进行复核，监理人未</w:t>
      </w:r>
    </w:p>
    <w:p w14:paraId="1C743351">
      <w:pPr>
        <w:spacing w:line="220" w:lineRule="auto"/>
        <w:rPr>
          <w:rFonts w:ascii="宋体" w:hAnsi="宋体" w:eastAsia="宋体" w:cs="宋体"/>
          <w:color w:val="auto"/>
          <w:sz w:val="24"/>
          <w:szCs w:val="24"/>
          <w:highlight w:val="none"/>
        </w:rPr>
        <w:sectPr>
          <w:footerReference r:id="rId62" w:type="default"/>
          <w:pgSz w:w="11907" w:h="16841"/>
          <w:pgMar w:top="1428" w:right="1441" w:bottom="1254" w:left="1597" w:header="0" w:footer="1093" w:gutter="0"/>
          <w:pgNumType w:fmt="decimal"/>
          <w:cols w:space="720" w:num="1"/>
        </w:sectPr>
      </w:pPr>
    </w:p>
    <w:p w14:paraId="3F2810F3">
      <w:pPr>
        <w:spacing w:before="48" w:line="359" w:lineRule="auto"/>
        <w:ind w:left="3" w:right="8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在约定时间内复核的，承包人提交的工程量报表中的工程量视为承包人实际完成的工</w:t>
      </w:r>
      <w:r>
        <w:rPr>
          <w:rFonts w:ascii="宋体" w:hAnsi="宋体" w:eastAsia="宋体" w:cs="宋体"/>
          <w:color w:val="auto"/>
          <w:spacing w:val="-4"/>
          <w:sz w:val="24"/>
          <w:szCs w:val="24"/>
          <w:highlight w:val="none"/>
        </w:rPr>
        <w:t>程量，据此计算工程价款。</w:t>
      </w:r>
    </w:p>
    <w:p w14:paraId="27B75A5B">
      <w:pPr>
        <w:spacing w:line="218" w:lineRule="auto"/>
        <w:ind w:left="49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17.1.5  </w:t>
      </w:r>
      <w:r>
        <w:rPr>
          <w:rFonts w:ascii="宋体" w:hAnsi="宋体" w:eastAsia="宋体" w:cs="宋体"/>
          <w:color w:val="auto"/>
          <w:spacing w:val="-1"/>
          <w:sz w:val="24"/>
          <w:szCs w:val="24"/>
          <w:highlight w:val="none"/>
        </w:rPr>
        <w:t>总价子目的计量</w:t>
      </w:r>
    </w:p>
    <w:p w14:paraId="655871DC">
      <w:pPr>
        <w:spacing w:before="184" w:line="218"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总价子目的分解和计量按照下述约定进行。</w:t>
      </w:r>
    </w:p>
    <w:p w14:paraId="3260B1C8">
      <w:pPr>
        <w:spacing w:before="183" w:line="289" w:lineRule="auto"/>
        <w:ind w:left="5" w:right="87" w:firstLine="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）总价子目的计量和支付应以总价为基础，不因第</w:t>
      </w:r>
      <w:r>
        <w:rPr>
          <w:rFonts w:ascii="Times New Roman" w:hAnsi="Times New Roman" w:eastAsia="Times New Roman" w:cs="Times New Roman"/>
          <w:color w:val="auto"/>
          <w:spacing w:val="2"/>
          <w:sz w:val="24"/>
          <w:szCs w:val="24"/>
          <w:highlight w:val="none"/>
        </w:rPr>
        <w:t>16.1</w:t>
      </w:r>
      <w:r>
        <w:rPr>
          <w:rFonts w:ascii="宋体" w:hAnsi="宋体" w:eastAsia="宋体" w:cs="宋体"/>
          <w:color w:val="auto"/>
          <w:spacing w:val="2"/>
          <w:sz w:val="24"/>
          <w:szCs w:val="24"/>
          <w:highlight w:val="none"/>
        </w:rPr>
        <w:t>款中的因</w:t>
      </w:r>
      <w:r>
        <w:rPr>
          <w:rFonts w:ascii="宋体" w:hAnsi="宋体" w:eastAsia="宋体" w:cs="宋体"/>
          <w:color w:val="auto"/>
          <w:spacing w:val="1"/>
          <w:sz w:val="24"/>
          <w:szCs w:val="24"/>
          <w:highlight w:val="none"/>
        </w:rPr>
        <w:t>素而进行调</w:t>
      </w:r>
      <w:r>
        <w:rPr>
          <w:rFonts w:ascii="宋体" w:hAnsi="宋体" w:eastAsia="宋体" w:cs="宋体"/>
          <w:color w:val="auto"/>
          <w:spacing w:val="-1"/>
          <w:sz w:val="24"/>
          <w:szCs w:val="24"/>
          <w:highlight w:val="none"/>
        </w:rPr>
        <w:t>整。承包人实际完成的工程量，是进行工程目标管理</w:t>
      </w:r>
      <w:r>
        <w:rPr>
          <w:rFonts w:ascii="宋体" w:hAnsi="宋体" w:eastAsia="宋体" w:cs="宋体"/>
          <w:color w:val="auto"/>
          <w:spacing w:val="-2"/>
          <w:sz w:val="24"/>
          <w:szCs w:val="24"/>
          <w:highlight w:val="none"/>
        </w:rPr>
        <w:t>和控制进度支付的依据。</w:t>
      </w:r>
    </w:p>
    <w:p w14:paraId="14850CA9">
      <w:pPr>
        <w:spacing w:before="183" w:line="324" w:lineRule="auto"/>
        <w:ind w:right="85" w:firstLine="490"/>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）承包人应按工程量清单的要求对总价子目进行分解，并在签订协议书后的</w:t>
      </w:r>
      <w:r>
        <w:rPr>
          <w:rFonts w:ascii="Times New Roman" w:hAnsi="Times New Roman" w:eastAsia="Times New Roman" w:cs="Times New Roman"/>
          <w:color w:val="auto"/>
          <w:spacing w:val="-3"/>
          <w:sz w:val="24"/>
          <w:szCs w:val="24"/>
          <w:highlight w:val="none"/>
        </w:rPr>
        <w:t>28</w:t>
      </w:r>
      <w:r>
        <w:rPr>
          <w:rFonts w:ascii="宋体" w:hAnsi="宋体" w:eastAsia="宋体" w:cs="宋体"/>
          <w:color w:val="auto"/>
          <w:spacing w:val="-3"/>
          <w:sz w:val="24"/>
          <w:szCs w:val="24"/>
          <w:highlight w:val="none"/>
        </w:rPr>
        <w:t>天内将各子目的总价支付分解表提交监理人审批。分解表应标明其所属子目和分阶</w:t>
      </w:r>
      <w:r>
        <w:rPr>
          <w:rFonts w:ascii="宋体" w:hAnsi="宋体" w:eastAsia="宋体" w:cs="宋体"/>
          <w:color w:val="auto"/>
          <w:spacing w:val="-5"/>
          <w:sz w:val="24"/>
          <w:szCs w:val="24"/>
          <w:highlight w:val="none"/>
        </w:rPr>
        <w:t>段需支付的金额。承包人应按批准的各总价子目支付周期，</w:t>
      </w:r>
      <w:r>
        <w:rPr>
          <w:rFonts w:ascii="宋体" w:hAnsi="宋体" w:eastAsia="宋体" w:cs="宋体"/>
          <w:color w:val="auto"/>
          <w:spacing w:val="-33"/>
          <w:sz w:val="24"/>
          <w:szCs w:val="24"/>
          <w:highlight w:val="none"/>
        </w:rPr>
        <w:t xml:space="preserve"> </w:t>
      </w:r>
      <w:r>
        <w:rPr>
          <w:rFonts w:ascii="宋体" w:hAnsi="宋体" w:eastAsia="宋体" w:cs="宋体"/>
          <w:color w:val="auto"/>
          <w:spacing w:val="-5"/>
          <w:sz w:val="24"/>
          <w:szCs w:val="24"/>
          <w:highlight w:val="none"/>
        </w:rPr>
        <w:t>对已完成的总价子目进行</w:t>
      </w:r>
      <w:r>
        <w:rPr>
          <w:rFonts w:ascii="宋体" w:hAnsi="宋体" w:eastAsia="宋体" w:cs="宋体"/>
          <w:color w:val="auto"/>
          <w:spacing w:val="-2"/>
          <w:sz w:val="24"/>
          <w:szCs w:val="24"/>
          <w:highlight w:val="none"/>
        </w:rPr>
        <w:t>计量，确定分项的应付金额列入进度付款申请单中。</w:t>
      </w:r>
    </w:p>
    <w:p w14:paraId="2F56FD01">
      <w:pPr>
        <w:spacing w:before="179" w:line="313" w:lineRule="auto"/>
        <w:ind w:left="4" w:right="87" w:firstLine="486"/>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）监理人对承包人提交的上述资料进行复核，以确定分阶段实际完成的工程</w:t>
      </w:r>
      <w:r>
        <w:rPr>
          <w:rFonts w:ascii="宋体" w:hAnsi="宋体" w:eastAsia="宋体" w:cs="宋体"/>
          <w:color w:val="auto"/>
          <w:spacing w:val="-4"/>
          <w:sz w:val="24"/>
          <w:szCs w:val="24"/>
          <w:highlight w:val="none"/>
        </w:rPr>
        <w:t>量和工程形象目标。对其有异议的，可要求承包人按第</w:t>
      </w:r>
      <w:r>
        <w:rPr>
          <w:rFonts w:ascii="Times New Roman" w:hAnsi="Times New Roman" w:eastAsia="Times New Roman" w:cs="Times New Roman"/>
          <w:color w:val="auto"/>
          <w:spacing w:val="-4"/>
          <w:sz w:val="24"/>
          <w:szCs w:val="24"/>
          <w:highlight w:val="none"/>
        </w:rPr>
        <w:t>8.2</w:t>
      </w:r>
      <w:r>
        <w:rPr>
          <w:rFonts w:ascii="宋体" w:hAnsi="宋体" w:eastAsia="宋体" w:cs="宋体"/>
          <w:color w:val="auto"/>
          <w:spacing w:val="-4"/>
          <w:sz w:val="24"/>
          <w:szCs w:val="24"/>
          <w:highlight w:val="none"/>
        </w:rPr>
        <w:t>款约定进</w:t>
      </w:r>
      <w:r>
        <w:rPr>
          <w:rFonts w:ascii="宋体" w:hAnsi="宋体" w:eastAsia="宋体" w:cs="宋体"/>
          <w:color w:val="auto"/>
          <w:spacing w:val="-5"/>
          <w:sz w:val="24"/>
          <w:szCs w:val="24"/>
          <w:highlight w:val="none"/>
        </w:rPr>
        <w:t>行共同复核和抽样</w:t>
      </w:r>
      <w:r>
        <w:rPr>
          <w:rFonts w:ascii="宋体" w:hAnsi="宋体" w:eastAsia="宋体" w:cs="宋体"/>
          <w:color w:val="auto"/>
          <w:spacing w:val="-10"/>
          <w:sz w:val="24"/>
          <w:szCs w:val="24"/>
          <w:highlight w:val="none"/>
        </w:rPr>
        <w:t>复测。</w:t>
      </w:r>
    </w:p>
    <w:p w14:paraId="231C2162">
      <w:pPr>
        <w:spacing w:before="182" w:line="289" w:lineRule="auto"/>
        <w:ind w:left="7" w:right="85" w:firstLine="483"/>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4</w:t>
      </w:r>
      <w:r>
        <w:rPr>
          <w:rFonts w:ascii="宋体" w:hAnsi="宋体" w:eastAsia="宋体" w:cs="宋体"/>
          <w:color w:val="auto"/>
          <w:sz w:val="24"/>
          <w:szCs w:val="24"/>
          <w:highlight w:val="none"/>
        </w:rPr>
        <w:t>）除按照第</w:t>
      </w:r>
      <w:r>
        <w:rPr>
          <w:rFonts w:ascii="Times New Roman" w:hAnsi="Times New Roman" w:eastAsia="Times New Roman" w:cs="Times New Roman"/>
          <w:color w:val="auto"/>
          <w:sz w:val="24"/>
          <w:szCs w:val="24"/>
          <w:highlight w:val="none"/>
        </w:rPr>
        <w:t>15</w:t>
      </w:r>
      <w:r>
        <w:rPr>
          <w:rFonts w:ascii="宋体" w:hAnsi="宋体" w:eastAsia="宋体" w:cs="宋体"/>
          <w:color w:val="auto"/>
          <w:sz w:val="24"/>
          <w:szCs w:val="24"/>
          <w:highlight w:val="none"/>
        </w:rPr>
        <w:t>条约定的变更外，总价子目的工程量是承包人用于结算的最终</w:t>
      </w:r>
      <w:r>
        <w:rPr>
          <w:rFonts w:ascii="宋体" w:hAnsi="宋体" w:eastAsia="宋体" w:cs="宋体"/>
          <w:color w:val="auto"/>
          <w:spacing w:val="-9"/>
          <w:sz w:val="24"/>
          <w:szCs w:val="24"/>
          <w:highlight w:val="none"/>
        </w:rPr>
        <w:t>工程量。</w:t>
      </w:r>
    </w:p>
    <w:p w14:paraId="4D754696">
      <w:pPr>
        <w:spacing w:before="181" w:line="220" w:lineRule="auto"/>
        <w:ind w:left="10"/>
        <w:outlineLvl w:val="1"/>
        <w:rPr>
          <w:rFonts w:ascii="宋体" w:hAnsi="宋体" w:eastAsia="宋体" w:cs="宋体"/>
          <w:color w:val="auto"/>
          <w:sz w:val="24"/>
          <w:szCs w:val="24"/>
          <w:highlight w:val="none"/>
        </w:rPr>
      </w:pPr>
      <w:bookmarkStart w:id="623" w:name="bookmark260"/>
      <w:bookmarkEnd w:id="623"/>
      <w:bookmarkStart w:id="624" w:name="_Toc14130"/>
      <w:bookmarkStart w:id="625" w:name="_Toc29916"/>
      <w:r>
        <w:rPr>
          <w:rFonts w:ascii="Times New Roman" w:hAnsi="Times New Roman" w:eastAsia="Times New Roman" w:cs="Times New Roman"/>
          <w:b/>
          <w:bCs/>
          <w:color w:val="auto"/>
          <w:spacing w:val="-5"/>
          <w:sz w:val="24"/>
          <w:szCs w:val="24"/>
          <w:highlight w:val="none"/>
        </w:rPr>
        <w:t>17.2</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5"/>
          <w:sz w:val="24"/>
          <w:szCs w:val="24"/>
          <w:highlight w:val="none"/>
        </w:rPr>
        <w:t>预付款</w:t>
      </w:r>
      <w:bookmarkEnd w:id="624"/>
      <w:bookmarkEnd w:id="625"/>
    </w:p>
    <w:p w14:paraId="05739443">
      <w:pPr>
        <w:spacing w:before="182" w:line="220" w:lineRule="auto"/>
        <w:ind w:left="493"/>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17.2.1</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color w:val="auto"/>
          <w:spacing w:val="-3"/>
          <w:sz w:val="24"/>
          <w:szCs w:val="24"/>
          <w:highlight w:val="none"/>
        </w:rPr>
        <w:t>预付款</w:t>
      </w:r>
    </w:p>
    <w:p w14:paraId="7879DEB6">
      <w:pPr>
        <w:spacing w:before="180" w:line="359" w:lineRule="auto"/>
        <w:ind w:left="3" w:right="85" w:firstLine="48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预付款用于承包人为合同工程施工购置材料、工程设备、施工设备、修建临时设施以及组织施工队伍进场等，分为工程预付款和工程材料预付款。预付款必须专用于</w:t>
      </w:r>
      <w:r>
        <w:rPr>
          <w:rFonts w:ascii="宋体" w:hAnsi="宋体" w:eastAsia="宋体" w:cs="宋体"/>
          <w:color w:val="auto"/>
          <w:spacing w:val="-6"/>
          <w:sz w:val="24"/>
          <w:szCs w:val="24"/>
          <w:highlight w:val="none"/>
        </w:rPr>
        <w:t>合同工程。预付款的额度和预付办法在专用合同条款中约定。对重大工程项目，按年</w:t>
      </w:r>
      <w:r>
        <w:rPr>
          <w:rFonts w:ascii="宋体" w:hAnsi="宋体" w:eastAsia="宋体" w:cs="宋体"/>
          <w:color w:val="auto"/>
          <w:spacing w:val="-4"/>
          <w:sz w:val="24"/>
          <w:szCs w:val="24"/>
          <w:highlight w:val="none"/>
        </w:rPr>
        <w:t>度工程计划逐年支付。</w:t>
      </w:r>
    </w:p>
    <w:p w14:paraId="4DE66D5D">
      <w:pPr>
        <w:spacing w:before="1" w:line="219" w:lineRule="auto"/>
        <w:ind w:left="493"/>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17.2.2  </w:t>
      </w:r>
      <w:r>
        <w:rPr>
          <w:rFonts w:ascii="宋体" w:hAnsi="宋体" w:eastAsia="宋体" w:cs="宋体"/>
          <w:color w:val="auto"/>
          <w:spacing w:val="-2"/>
          <w:sz w:val="24"/>
          <w:szCs w:val="24"/>
          <w:highlight w:val="none"/>
        </w:rPr>
        <w:t>预付款保函（担保）</w:t>
      </w:r>
    </w:p>
    <w:p w14:paraId="1E8292EB">
      <w:pPr>
        <w:spacing w:before="183" w:line="359" w:lineRule="auto"/>
        <w:ind w:left="5" w:firstLine="479"/>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承包人无须向发包人提交预付款保函。发包人向承包人支付的预付款，</w:t>
      </w:r>
      <w:r>
        <w:rPr>
          <w:rFonts w:ascii="宋体" w:hAnsi="宋体" w:eastAsia="宋体" w:cs="宋体"/>
          <w:color w:val="auto"/>
          <w:spacing w:val="-47"/>
          <w:sz w:val="24"/>
          <w:szCs w:val="24"/>
          <w:highlight w:val="none"/>
        </w:rPr>
        <w:t xml:space="preserve"> </w:t>
      </w:r>
      <w:r>
        <w:rPr>
          <w:rFonts w:ascii="宋体" w:hAnsi="宋体" w:eastAsia="宋体" w:cs="宋体"/>
          <w:color w:val="auto"/>
          <w:spacing w:val="-5"/>
          <w:sz w:val="24"/>
          <w:szCs w:val="24"/>
          <w:highlight w:val="none"/>
        </w:rPr>
        <w:t>应按照本</w:t>
      </w:r>
      <w:r>
        <w:rPr>
          <w:rFonts w:ascii="宋体" w:hAnsi="宋体" w:eastAsia="宋体" w:cs="宋体"/>
          <w:color w:val="auto"/>
          <w:spacing w:val="-3"/>
          <w:sz w:val="24"/>
          <w:szCs w:val="24"/>
          <w:highlight w:val="none"/>
        </w:rPr>
        <w:t>合同第</w:t>
      </w:r>
      <w:r>
        <w:rPr>
          <w:rFonts w:ascii="Times New Roman" w:hAnsi="Times New Roman" w:eastAsia="Times New Roman" w:cs="Times New Roman"/>
          <w:color w:val="auto"/>
          <w:spacing w:val="-3"/>
          <w:sz w:val="24"/>
          <w:szCs w:val="24"/>
          <w:highlight w:val="none"/>
        </w:rPr>
        <w:t>17.2.1</w:t>
      </w:r>
      <w:r>
        <w:rPr>
          <w:rFonts w:ascii="宋体" w:hAnsi="宋体" w:eastAsia="宋体" w:cs="宋体"/>
          <w:color w:val="auto"/>
          <w:spacing w:val="-3"/>
          <w:sz w:val="24"/>
          <w:szCs w:val="24"/>
          <w:highlight w:val="none"/>
        </w:rPr>
        <w:t>项规定使用，承包人提交的履约担保对</w:t>
      </w:r>
      <w:r>
        <w:rPr>
          <w:rFonts w:ascii="宋体" w:hAnsi="宋体" w:eastAsia="宋体" w:cs="宋体"/>
          <w:color w:val="auto"/>
          <w:spacing w:val="-4"/>
          <w:sz w:val="24"/>
          <w:szCs w:val="24"/>
          <w:highlight w:val="none"/>
        </w:rPr>
        <w:t>预付款的正常使用承担保证责任。</w:t>
      </w:r>
    </w:p>
    <w:p w14:paraId="538F1FE1">
      <w:pPr>
        <w:spacing w:line="219" w:lineRule="auto"/>
        <w:ind w:left="49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17.2.3  </w:t>
      </w:r>
      <w:r>
        <w:rPr>
          <w:rFonts w:ascii="宋体" w:hAnsi="宋体" w:eastAsia="宋体" w:cs="宋体"/>
          <w:color w:val="auto"/>
          <w:spacing w:val="-1"/>
          <w:sz w:val="24"/>
          <w:szCs w:val="24"/>
          <w:highlight w:val="none"/>
        </w:rPr>
        <w:t>预付款的扣回与还清</w:t>
      </w:r>
    </w:p>
    <w:p w14:paraId="3A44622F">
      <w:pPr>
        <w:spacing w:before="182" w:line="359" w:lineRule="auto"/>
        <w:ind w:left="4" w:right="85" w:firstLine="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14:paraId="7F096351">
      <w:pPr>
        <w:spacing w:before="1" w:line="219" w:lineRule="auto"/>
        <w:ind w:left="10"/>
        <w:outlineLvl w:val="1"/>
        <w:rPr>
          <w:rFonts w:ascii="宋体" w:hAnsi="宋体" w:eastAsia="宋体" w:cs="宋体"/>
          <w:color w:val="auto"/>
          <w:sz w:val="24"/>
          <w:szCs w:val="24"/>
          <w:highlight w:val="none"/>
        </w:rPr>
      </w:pPr>
      <w:bookmarkStart w:id="626" w:name="bookmark261"/>
      <w:bookmarkEnd w:id="626"/>
      <w:bookmarkStart w:id="627" w:name="_Toc4963"/>
      <w:bookmarkStart w:id="628" w:name="_Toc850"/>
      <w:r>
        <w:rPr>
          <w:rFonts w:ascii="Times New Roman" w:hAnsi="Times New Roman" w:eastAsia="Times New Roman" w:cs="Times New Roman"/>
          <w:b/>
          <w:bCs/>
          <w:color w:val="auto"/>
          <w:spacing w:val="-2"/>
          <w:sz w:val="24"/>
          <w:szCs w:val="24"/>
          <w:highlight w:val="none"/>
        </w:rPr>
        <w:t xml:space="preserve">17.3  </w:t>
      </w:r>
      <w:r>
        <w:rPr>
          <w:rFonts w:ascii="宋体" w:hAnsi="宋体" w:eastAsia="宋体" w:cs="宋体"/>
          <w:b/>
          <w:bCs/>
          <w:color w:val="auto"/>
          <w:spacing w:val="-2"/>
          <w:sz w:val="24"/>
          <w:szCs w:val="24"/>
          <w:highlight w:val="none"/>
        </w:rPr>
        <w:t>工程进度付款</w:t>
      </w:r>
      <w:bookmarkEnd w:id="627"/>
      <w:bookmarkEnd w:id="628"/>
    </w:p>
    <w:p w14:paraId="7615BDFF">
      <w:pPr>
        <w:spacing w:before="179" w:line="220" w:lineRule="auto"/>
        <w:ind w:left="493"/>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17.3.1  </w:t>
      </w:r>
      <w:r>
        <w:rPr>
          <w:rFonts w:ascii="宋体" w:hAnsi="宋体" w:eastAsia="宋体" w:cs="宋体"/>
          <w:color w:val="auto"/>
          <w:spacing w:val="-2"/>
          <w:sz w:val="24"/>
          <w:szCs w:val="24"/>
          <w:highlight w:val="none"/>
        </w:rPr>
        <w:t>付款周期</w:t>
      </w:r>
    </w:p>
    <w:p w14:paraId="15A1093F">
      <w:pPr>
        <w:spacing w:line="220" w:lineRule="auto"/>
        <w:rPr>
          <w:rFonts w:ascii="宋体" w:hAnsi="宋体" w:eastAsia="宋体" w:cs="宋体"/>
          <w:color w:val="auto"/>
          <w:sz w:val="24"/>
          <w:szCs w:val="24"/>
          <w:highlight w:val="none"/>
        </w:rPr>
        <w:sectPr>
          <w:footerReference r:id="rId63" w:type="default"/>
          <w:pgSz w:w="11907" w:h="16841"/>
          <w:pgMar w:top="1428" w:right="1443" w:bottom="1254" w:left="1593" w:header="0" w:footer="1093" w:gutter="0"/>
          <w:pgNumType w:fmt="decimal"/>
          <w:cols w:space="720" w:num="1"/>
        </w:sectPr>
      </w:pPr>
    </w:p>
    <w:p w14:paraId="50C280C2">
      <w:pPr>
        <w:spacing w:before="47" w:line="220" w:lineRule="auto"/>
        <w:ind w:left="48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付款周期同计量周期。</w:t>
      </w:r>
    </w:p>
    <w:p w14:paraId="2BB431FE">
      <w:pPr>
        <w:spacing w:before="182" w:line="220" w:lineRule="auto"/>
        <w:ind w:left="490"/>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17.3.2  </w:t>
      </w:r>
      <w:r>
        <w:rPr>
          <w:rFonts w:ascii="宋体" w:hAnsi="宋体" w:eastAsia="宋体" w:cs="宋体"/>
          <w:color w:val="auto"/>
          <w:spacing w:val="-1"/>
          <w:sz w:val="24"/>
          <w:szCs w:val="24"/>
          <w:highlight w:val="none"/>
        </w:rPr>
        <w:t>进度付款申请单</w:t>
      </w:r>
    </w:p>
    <w:p w14:paraId="2B148FD3">
      <w:pPr>
        <w:spacing w:before="181" w:line="359" w:lineRule="auto"/>
        <w:ind w:left="7" w:firstLine="47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承包人应在每个付款周期末，按监理人批准的格式和专用合同条款约定的份数，</w:t>
      </w:r>
      <w:r>
        <w:rPr>
          <w:rFonts w:ascii="宋体" w:hAnsi="宋体" w:eastAsia="宋体" w:cs="宋体"/>
          <w:color w:val="auto"/>
          <w:spacing w:val="-3"/>
          <w:sz w:val="24"/>
          <w:szCs w:val="24"/>
          <w:highlight w:val="none"/>
        </w:rPr>
        <w:t>向监理人提交进度付款申请单，并附相应的支持性证明文件。除专用合同条款另有约</w:t>
      </w:r>
      <w:r>
        <w:rPr>
          <w:rFonts w:ascii="宋体" w:hAnsi="宋体" w:eastAsia="宋体" w:cs="宋体"/>
          <w:color w:val="auto"/>
          <w:spacing w:val="-4"/>
          <w:sz w:val="24"/>
          <w:szCs w:val="24"/>
          <w:highlight w:val="none"/>
        </w:rPr>
        <w:t>定外，进度付款申请单应包括下列内容：</w:t>
      </w:r>
    </w:p>
    <w:p w14:paraId="2F34DC33">
      <w:pPr>
        <w:spacing w:line="218" w:lineRule="auto"/>
        <w:ind w:left="48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l</w:t>
      </w:r>
      <w:r>
        <w:rPr>
          <w:rFonts w:ascii="宋体" w:hAnsi="宋体" w:eastAsia="宋体" w:cs="宋体"/>
          <w:color w:val="auto"/>
          <w:spacing w:val="-3"/>
          <w:sz w:val="24"/>
          <w:szCs w:val="24"/>
          <w:highlight w:val="none"/>
        </w:rPr>
        <w:t>）截至本次付款周期末已实施工程的价款。</w:t>
      </w:r>
    </w:p>
    <w:p w14:paraId="59AB4D91">
      <w:pPr>
        <w:spacing w:before="181" w:line="220" w:lineRule="auto"/>
        <w:ind w:left="48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）根据第</w:t>
      </w:r>
      <w:r>
        <w:rPr>
          <w:rFonts w:ascii="Times New Roman" w:hAnsi="Times New Roman" w:eastAsia="Times New Roman" w:cs="Times New Roman"/>
          <w:color w:val="auto"/>
          <w:spacing w:val="-3"/>
          <w:sz w:val="24"/>
          <w:szCs w:val="24"/>
          <w:highlight w:val="none"/>
        </w:rPr>
        <w:t>15</w:t>
      </w:r>
      <w:r>
        <w:rPr>
          <w:rFonts w:ascii="宋体" w:hAnsi="宋体" w:eastAsia="宋体" w:cs="宋体"/>
          <w:color w:val="auto"/>
          <w:spacing w:val="-3"/>
          <w:sz w:val="24"/>
          <w:szCs w:val="24"/>
          <w:highlight w:val="none"/>
        </w:rPr>
        <w:t>条应增加和扣减的变更金额。</w:t>
      </w:r>
    </w:p>
    <w:p w14:paraId="2FB3ACFC">
      <w:pPr>
        <w:spacing w:before="182" w:line="220" w:lineRule="auto"/>
        <w:ind w:left="48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）根据第</w:t>
      </w:r>
      <w:r>
        <w:rPr>
          <w:rFonts w:ascii="Times New Roman" w:hAnsi="Times New Roman" w:eastAsia="Times New Roman" w:cs="Times New Roman"/>
          <w:color w:val="auto"/>
          <w:spacing w:val="-3"/>
          <w:sz w:val="24"/>
          <w:szCs w:val="24"/>
          <w:highlight w:val="none"/>
        </w:rPr>
        <w:t>23</w:t>
      </w:r>
      <w:r>
        <w:rPr>
          <w:rFonts w:ascii="宋体" w:hAnsi="宋体" w:eastAsia="宋体" w:cs="宋体"/>
          <w:color w:val="auto"/>
          <w:spacing w:val="-3"/>
          <w:sz w:val="24"/>
          <w:szCs w:val="24"/>
          <w:highlight w:val="none"/>
        </w:rPr>
        <w:t>条应增加和扣减的索赔金额。</w:t>
      </w:r>
    </w:p>
    <w:p w14:paraId="345EF2E8">
      <w:pPr>
        <w:spacing w:before="179" w:line="220" w:lineRule="auto"/>
        <w:ind w:left="48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）根据第</w:t>
      </w:r>
      <w:r>
        <w:rPr>
          <w:rFonts w:ascii="Times New Roman" w:hAnsi="Times New Roman" w:eastAsia="Times New Roman" w:cs="Times New Roman"/>
          <w:color w:val="auto"/>
          <w:spacing w:val="-2"/>
          <w:sz w:val="24"/>
          <w:szCs w:val="24"/>
          <w:highlight w:val="none"/>
        </w:rPr>
        <w:t>17.2</w:t>
      </w:r>
      <w:r>
        <w:rPr>
          <w:rFonts w:ascii="宋体" w:hAnsi="宋体" w:eastAsia="宋体" w:cs="宋体"/>
          <w:color w:val="auto"/>
          <w:spacing w:val="-2"/>
          <w:sz w:val="24"/>
          <w:szCs w:val="24"/>
          <w:highlight w:val="none"/>
        </w:rPr>
        <w:t>款约定应支付的预付款和扣减的返还预付款。</w:t>
      </w:r>
    </w:p>
    <w:p w14:paraId="598FAC92">
      <w:pPr>
        <w:spacing w:before="182" w:line="220" w:lineRule="auto"/>
        <w:ind w:left="48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5</w:t>
      </w:r>
      <w:r>
        <w:rPr>
          <w:rFonts w:ascii="宋体" w:hAnsi="宋体" w:eastAsia="宋体" w:cs="宋体"/>
          <w:color w:val="auto"/>
          <w:spacing w:val="-3"/>
          <w:sz w:val="24"/>
          <w:szCs w:val="24"/>
          <w:highlight w:val="none"/>
        </w:rPr>
        <w:t>）根据合同应增加和扣减的其他金额。</w:t>
      </w:r>
    </w:p>
    <w:p w14:paraId="2498E031">
      <w:pPr>
        <w:spacing w:before="180" w:line="219" w:lineRule="auto"/>
        <w:ind w:left="490"/>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17.3.3  </w:t>
      </w:r>
      <w:r>
        <w:rPr>
          <w:rFonts w:ascii="宋体" w:hAnsi="宋体" w:eastAsia="宋体" w:cs="宋体"/>
          <w:color w:val="auto"/>
          <w:spacing w:val="-1"/>
          <w:sz w:val="24"/>
          <w:szCs w:val="24"/>
          <w:highlight w:val="none"/>
        </w:rPr>
        <w:t>进度付款证书和支付时间</w:t>
      </w:r>
    </w:p>
    <w:p w14:paraId="045D672C">
      <w:pPr>
        <w:spacing w:before="183" w:line="324" w:lineRule="auto"/>
        <w:ind w:left="3" w:right="66"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）监理人在收到承包人进度付款申请单以及相应的支持性证明文件后的</w:t>
      </w:r>
      <w:r>
        <w:rPr>
          <w:rFonts w:ascii="Times New Roman" w:hAnsi="Times New Roman" w:eastAsia="Times New Roman" w:cs="Times New Roman"/>
          <w:color w:val="auto"/>
          <w:sz w:val="24"/>
          <w:szCs w:val="24"/>
          <w:highlight w:val="none"/>
        </w:rPr>
        <w:t>14</w:t>
      </w:r>
      <w:r>
        <w:rPr>
          <w:rFonts w:ascii="宋体" w:hAnsi="宋体" w:eastAsia="宋体" w:cs="宋体"/>
          <w:color w:val="auto"/>
          <w:sz w:val="24"/>
          <w:szCs w:val="24"/>
          <w:highlight w:val="none"/>
        </w:rPr>
        <w:t>天</w:t>
      </w:r>
      <w:r>
        <w:rPr>
          <w:rFonts w:ascii="宋体" w:hAnsi="宋体" w:eastAsia="宋体" w:cs="宋体"/>
          <w:color w:val="auto"/>
          <w:spacing w:val="-3"/>
          <w:sz w:val="24"/>
          <w:szCs w:val="24"/>
          <w:highlight w:val="none"/>
        </w:rPr>
        <w:t>内完成核查，提出发包人到期应支付给承包人的金额以及相应的支持性材料，经发包人审查同意后，由监理人向承包人出具经发包人签认的进度付款证书。监理人有权扣</w:t>
      </w:r>
      <w:r>
        <w:rPr>
          <w:rFonts w:ascii="宋体" w:hAnsi="宋体" w:eastAsia="宋体" w:cs="宋体"/>
          <w:color w:val="auto"/>
          <w:spacing w:val="-2"/>
          <w:sz w:val="24"/>
          <w:szCs w:val="24"/>
          <w:highlight w:val="none"/>
        </w:rPr>
        <w:t>发承包人未能按照合同要求履行任何工作或义务的相应金额。</w:t>
      </w:r>
    </w:p>
    <w:p w14:paraId="7AFB0C6C">
      <w:pPr>
        <w:spacing w:before="182" w:line="290" w:lineRule="auto"/>
        <w:ind w:left="1" w:right="66" w:firstLine="486"/>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）发包人应在监理人收到进度付款申请单后的</w:t>
      </w:r>
      <w:r>
        <w:rPr>
          <w:rFonts w:ascii="Times New Roman" w:hAnsi="Times New Roman" w:eastAsia="Times New Roman" w:cs="Times New Roman"/>
          <w:color w:val="auto"/>
          <w:sz w:val="24"/>
          <w:szCs w:val="24"/>
          <w:highlight w:val="none"/>
        </w:rPr>
        <w:t>28</w:t>
      </w:r>
      <w:r>
        <w:rPr>
          <w:rFonts w:ascii="宋体" w:hAnsi="宋体" w:eastAsia="宋体" w:cs="宋体"/>
          <w:color w:val="auto"/>
          <w:sz w:val="24"/>
          <w:szCs w:val="24"/>
          <w:highlight w:val="none"/>
        </w:rPr>
        <w:t>天内，将进度应付款支付给</w:t>
      </w:r>
      <w:r>
        <w:rPr>
          <w:rFonts w:ascii="宋体" w:hAnsi="宋体" w:eastAsia="宋体" w:cs="宋体"/>
          <w:color w:val="auto"/>
          <w:spacing w:val="-1"/>
          <w:sz w:val="24"/>
          <w:szCs w:val="24"/>
          <w:highlight w:val="none"/>
        </w:rPr>
        <w:t>承包人。发包人不按期支付的，按专用合同条款的约定</w:t>
      </w:r>
      <w:r>
        <w:rPr>
          <w:rFonts w:ascii="宋体" w:hAnsi="宋体" w:eastAsia="宋体" w:cs="宋体"/>
          <w:color w:val="auto"/>
          <w:spacing w:val="-2"/>
          <w:sz w:val="24"/>
          <w:szCs w:val="24"/>
          <w:highlight w:val="none"/>
        </w:rPr>
        <w:t>支付逾期付款违约金。</w:t>
      </w:r>
    </w:p>
    <w:p w14:paraId="73A250F6">
      <w:pPr>
        <w:spacing w:before="180" w:line="290" w:lineRule="auto"/>
        <w:ind w:left="3" w:right="76"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）监理人出具进度付款证书，不应视为监理人已同意、批准或接受了承包人</w:t>
      </w:r>
      <w:r>
        <w:rPr>
          <w:rFonts w:ascii="宋体" w:hAnsi="宋体" w:eastAsia="宋体" w:cs="宋体"/>
          <w:color w:val="auto"/>
          <w:spacing w:val="-5"/>
          <w:sz w:val="24"/>
          <w:szCs w:val="24"/>
          <w:highlight w:val="none"/>
        </w:rPr>
        <w:t>完成的该部分工作。</w:t>
      </w:r>
    </w:p>
    <w:p w14:paraId="3119C8A8">
      <w:pPr>
        <w:spacing w:before="179" w:line="290" w:lineRule="auto"/>
        <w:ind w:left="2" w:right="95"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）进度付款涉及政府投资资金的，按照国库集中支付等国家相关规定和专用</w:t>
      </w:r>
      <w:r>
        <w:rPr>
          <w:rFonts w:ascii="宋体" w:hAnsi="宋体" w:eastAsia="宋体" w:cs="宋体"/>
          <w:color w:val="auto"/>
          <w:spacing w:val="-5"/>
          <w:sz w:val="24"/>
          <w:szCs w:val="24"/>
          <w:highlight w:val="none"/>
        </w:rPr>
        <w:t>合同条款的约定办理。</w:t>
      </w:r>
    </w:p>
    <w:p w14:paraId="0EAED85B">
      <w:pPr>
        <w:spacing w:before="180" w:line="220" w:lineRule="auto"/>
        <w:ind w:left="490"/>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17.3.4  </w:t>
      </w:r>
      <w:r>
        <w:rPr>
          <w:rFonts w:ascii="宋体" w:hAnsi="宋体" w:eastAsia="宋体" w:cs="宋体"/>
          <w:color w:val="auto"/>
          <w:spacing w:val="-1"/>
          <w:sz w:val="24"/>
          <w:szCs w:val="24"/>
          <w:highlight w:val="none"/>
        </w:rPr>
        <w:t>工程进度付款的修正</w:t>
      </w:r>
    </w:p>
    <w:p w14:paraId="4B7895C9">
      <w:pPr>
        <w:spacing w:before="182" w:line="359" w:lineRule="auto"/>
        <w:ind w:right="66"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在对以往历次已签发的进度付款证书进行汇总和复核中发现错、漏或重复的，</w:t>
      </w:r>
      <w:r>
        <w:rPr>
          <w:rFonts w:ascii="宋体" w:hAnsi="宋体" w:eastAsia="宋体" w:cs="宋体"/>
          <w:color w:val="auto"/>
          <w:spacing w:val="-46"/>
          <w:sz w:val="24"/>
          <w:szCs w:val="24"/>
          <w:highlight w:val="none"/>
        </w:rPr>
        <w:t xml:space="preserve"> </w:t>
      </w:r>
      <w:r>
        <w:rPr>
          <w:rFonts w:ascii="宋体" w:hAnsi="宋体" w:eastAsia="宋体" w:cs="宋体"/>
          <w:color w:val="auto"/>
          <w:spacing w:val="-5"/>
          <w:sz w:val="24"/>
          <w:szCs w:val="24"/>
          <w:highlight w:val="none"/>
        </w:rPr>
        <w:t>监</w:t>
      </w:r>
      <w:r>
        <w:rPr>
          <w:rFonts w:ascii="宋体" w:hAnsi="宋体" w:eastAsia="宋体" w:cs="宋体"/>
          <w:color w:val="auto"/>
          <w:spacing w:val="-6"/>
          <w:sz w:val="24"/>
          <w:szCs w:val="24"/>
          <w:highlight w:val="none"/>
        </w:rPr>
        <w:t>理人有权予以修正，承包人也有权提出修正申请。经双方复核同意的修正， 应在本次</w:t>
      </w:r>
      <w:r>
        <w:rPr>
          <w:rFonts w:ascii="宋体" w:hAnsi="宋体" w:eastAsia="宋体" w:cs="宋体"/>
          <w:color w:val="auto"/>
          <w:spacing w:val="-4"/>
          <w:sz w:val="24"/>
          <w:szCs w:val="24"/>
          <w:highlight w:val="none"/>
        </w:rPr>
        <w:t>进度付款中支付或扣除。</w:t>
      </w:r>
    </w:p>
    <w:p w14:paraId="38873634">
      <w:pPr>
        <w:spacing w:line="220" w:lineRule="auto"/>
        <w:ind w:left="8"/>
        <w:outlineLvl w:val="1"/>
        <w:rPr>
          <w:rFonts w:ascii="宋体" w:hAnsi="宋体" w:eastAsia="宋体" w:cs="宋体"/>
          <w:color w:val="auto"/>
          <w:sz w:val="24"/>
          <w:szCs w:val="24"/>
          <w:highlight w:val="none"/>
        </w:rPr>
      </w:pPr>
      <w:bookmarkStart w:id="629" w:name="bookmark262"/>
      <w:bookmarkEnd w:id="629"/>
      <w:bookmarkStart w:id="630" w:name="_Toc23597"/>
      <w:bookmarkStart w:id="631" w:name="_Toc22199"/>
      <w:r>
        <w:rPr>
          <w:rFonts w:ascii="Times New Roman" w:hAnsi="Times New Roman" w:eastAsia="Times New Roman" w:cs="Times New Roman"/>
          <w:b/>
          <w:bCs/>
          <w:color w:val="auto"/>
          <w:spacing w:val="-3"/>
          <w:sz w:val="24"/>
          <w:szCs w:val="24"/>
          <w:highlight w:val="none"/>
        </w:rPr>
        <w:t xml:space="preserve">17.4  </w:t>
      </w:r>
      <w:r>
        <w:rPr>
          <w:rFonts w:ascii="宋体" w:hAnsi="宋体" w:eastAsia="宋体" w:cs="宋体"/>
          <w:b/>
          <w:bCs/>
          <w:color w:val="auto"/>
          <w:spacing w:val="-3"/>
          <w:sz w:val="24"/>
          <w:szCs w:val="24"/>
          <w:highlight w:val="none"/>
        </w:rPr>
        <w:t>质量保证金</w:t>
      </w:r>
      <w:bookmarkEnd w:id="630"/>
      <w:bookmarkEnd w:id="631"/>
    </w:p>
    <w:p w14:paraId="7AE38720">
      <w:pPr>
        <w:spacing w:before="181" w:line="359" w:lineRule="auto"/>
        <w:ind w:right="66" w:firstLine="489"/>
        <w:jc w:val="both"/>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17.4.1  </w:t>
      </w:r>
      <w:r>
        <w:rPr>
          <w:rFonts w:ascii="宋体" w:hAnsi="宋体" w:eastAsia="宋体" w:cs="宋体"/>
          <w:color w:val="auto"/>
          <w:spacing w:val="-3"/>
          <w:sz w:val="24"/>
          <w:szCs w:val="24"/>
          <w:highlight w:val="none"/>
        </w:rPr>
        <w:t>质量保证金总额在专用合同条款中约定，在合同工程完工结算时扣留，工</w:t>
      </w:r>
      <w:r>
        <w:rPr>
          <w:rFonts w:ascii="宋体" w:hAnsi="宋体" w:eastAsia="宋体" w:cs="宋体"/>
          <w:color w:val="auto"/>
          <w:spacing w:val="-5"/>
          <w:sz w:val="24"/>
          <w:szCs w:val="24"/>
          <w:highlight w:val="none"/>
        </w:rPr>
        <w:t>程进度付款时不另行扣留。发包人在扣留质量保证金时，</w:t>
      </w:r>
      <w:r>
        <w:rPr>
          <w:rFonts w:ascii="宋体" w:hAnsi="宋体" w:eastAsia="宋体" w:cs="宋体"/>
          <w:color w:val="auto"/>
          <w:spacing w:val="-36"/>
          <w:sz w:val="24"/>
          <w:szCs w:val="24"/>
          <w:highlight w:val="none"/>
        </w:rPr>
        <w:t xml:space="preserve"> </w:t>
      </w:r>
      <w:r>
        <w:rPr>
          <w:rFonts w:ascii="宋体" w:hAnsi="宋体" w:eastAsia="宋体" w:cs="宋体"/>
          <w:color w:val="auto"/>
          <w:spacing w:val="-5"/>
          <w:sz w:val="24"/>
          <w:szCs w:val="24"/>
          <w:highlight w:val="none"/>
        </w:rPr>
        <w:t>应同时将履约担保退还给承</w:t>
      </w:r>
      <w:r>
        <w:rPr>
          <w:rFonts w:ascii="宋体" w:hAnsi="宋体" w:eastAsia="宋体" w:cs="宋体"/>
          <w:color w:val="auto"/>
          <w:spacing w:val="-10"/>
          <w:sz w:val="24"/>
          <w:szCs w:val="24"/>
          <w:highlight w:val="none"/>
        </w:rPr>
        <w:t>包人。</w:t>
      </w:r>
    </w:p>
    <w:p w14:paraId="73BE8969">
      <w:pPr>
        <w:spacing w:before="1" w:line="218" w:lineRule="auto"/>
        <w:ind w:left="481"/>
        <w:rPr>
          <w:rFonts w:ascii="宋体" w:hAnsi="宋体" w:eastAsia="宋体" w:cs="宋体"/>
          <w:strike/>
          <w:dstrike w:val="0"/>
          <w:color w:val="auto"/>
          <w:sz w:val="24"/>
          <w:szCs w:val="24"/>
          <w:highlight w:val="none"/>
        </w:rPr>
      </w:pPr>
      <w:r>
        <w:rPr>
          <w:rFonts w:ascii="宋体" w:hAnsi="宋体" w:eastAsia="宋体" w:cs="宋体"/>
          <w:color w:val="auto"/>
          <w:spacing w:val="-3"/>
          <w:sz w:val="24"/>
          <w:szCs w:val="24"/>
          <w:highlight w:val="none"/>
        </w:rPr>
        <w:t>承包人可采用等额工程保函（包括银行保函、保险机构保证保险保单</w:t>
      </w:r>
      <w:r>
        <w:rPr>
          <w:rFonts w:ascii="宋体" w:hAnsi="宋体" w:eastAsia="宋体" w:cs="宋体"/>
          <w:strike/>
          <w:dstrike w:val="0"/>
          <w:color w:val="auto"/>
          <w:spacing w:val="-3"/>
          <w:sz w:val="24"/>
          <w:szCs w:val="24"/>
          <w:highlight w:val="none"/>
        </w:rPr>
        <w:t>和融资担保</w:t>
      </w:r>
    </w:p>
    <w:p w14:paraId="10EB3647">
      <w:pPr>
        <w:spacing w:line="218" w:lineRule="auto"/>
        <w:rPr>
          <w:rFonts w:ascii="宋体" w:hAnsi="宋体" w:eastAsia="宋体" w:cs="宋体"/>
          <w:strike/>
          <w:dstrike w:val="0"/>
          <w:color w:val="auto"/>
          <w:sz w:val="24"/>
          <w:szCs w:val="24"/>
          <w:highlight w:val="none"/>
        </w:rPr>
        <w:sectPr>
          <w:footerReference r:id="rId64" w:type="default"/>
          <w:pgSz w:w="11907" w:h="16841"/>
          <w:pgMar w:top="1428" w:right="1462" w:bottom="1254" w:left="1596" w:header="0" w:footer="1093" w:gutter="0"/>
          <w:pgNumType w:fmt="decimal"/>
          <w:cols w:space="720" w:num="1"/>
        </w:sectPr>
      </w:pPr>
    </w:p>
    <w:p w14:paraId="32DB6818">
      <w:pPr>
        <w:spacing w:before="47" w:line="220" w:lineRule="auto"/>
        <w:ind w:left="7"/>
        <w:rPr>
          <w:rFonts w:ascii="宋体" w:hAnsi="宋体" w:eastAsia="宋体" w:cs="宋体"/>
          <w:color w:val="auto"/>
          <w:sz w:val="24"/>
          <w:szCs w:val="24"/>
          <w:highlight w:val="none"/>
        </w:rPr>
      </w:pPr>
      <w:r>
        <w:rPr>
          <w:rFonts w:ascii="宋体" w:hAnsi="宋体" w:eastAsia="宋体" w:cs="宋体"/>
          <w:strike/>
          <w:dstrike w:val="0"/>
          <w:color w:val="auto"/>
          <w:spacing w:val="-2"/>
          <w:sz w:val="24"/>
          <w:szCs w:val="24"/>
          <w:highlight w:val="none"/>
        </w:rPr>
        <w:t>公司保函</w:t>
      </w:r>
      <w:r>
        <w:rPr>
          <w:rFonts w:ascii="宋体" w:hAnsi="宋体" w:eastAsia="宋体" w:cs="宋体"/>
          <w:color w:val="auto"/>
          <w:spacing w:val="-2"/>
          <w:sz w:val="24"/>
          <w:szCs w:val="24"/>
          <w:highlight w:val="none"/>
        </w:rPr>
        <w:t>）换取质量保证金，办理保函所需的费用由承包人承担。</w:t>
      </w:r>
    </w:p>
    <w:p w14:paraId="57435344">
      <w:pPr>
        <w:spacing w:before="180" w:line="313" w:lineRule="auto"/>
        <w:ind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17.4.2  </w:t>
      </w:r>
      <w:r>
        <w:rPr>
          <w:rFonts w:ascii="宋体" w:hAnsi="宋体" w:eastAsia="宋体" w:cs="宋体"/>
          <w:color w:val="auto"/>
          <w:spacing w:val="-2"/>
          <w:sz w:val="24"/>
          <w:szCs w:val="24"/>
          <w:highlight w:val="none"/>
        </w:rPr>
        <w:t>在第</w:t>
      </w:r>
      <w:r>
        <w:rPr>
          <w:color w:val="auto"/>
          <w:highlight w:val="none"/>
        </w:rPr>
        <w:fldChar w:fldCharType="begin"/>
      </w:r>
      <w:r>
        <w:rPr>
          <w:color w:val="auto"/>
          <w:highlight w:val="none"/>
        </w:rPr>
        <w:instrText xml:space="preserve"> HYPERLINK "1.1.4.5" </w:instrText>
      </w:r>
      <w:r>
        <w:rPr>
          <w:color w:val="auto"/>
          <w:highlight w:val="none"/>
        </w:rPr>
        <w:fldChar w:fldCharType="separate"/>
      </w:r>
      <w:r>
        <w:rPr>
          <w:rFonts w:ascii="Times New Roman" w:hAnsi="Times New Roman" w:eastAsia="Times New Roman" w:cs="Times New Roman"/>
          <w:color w:val="auto"/>
          <w:spacing w:val="-2"/>
          <w:sz w:val="24"/>
          <w:szCs w:val="24"/>
          <w:highlight w:val="none"/>
        </w:rPr>
        <w:t>1.1.4.5</w:t>
      </w:r>
      <w:r>
        <w:rPr>
          <w:rFonts w:ascii="Times New Roman" w:hAnsi="Times New Roman" w:eastAsia="Times New Roman" w:cs="Times New Roman"/>
          <w:color w:val="auto"/>
          <w:spacing w:val="-2"/>
          <w:sz w:val="24"/>
          <w:szCs w:val="24"/>
          <w:highlight w:val="none"/>
        </w:rPr>
        <w:fldChar w:fldCharType="end"/>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2"/>
          <w:sz w:val="24"/>
          <w:szCs w:val="24"/>
          <w:highlight w:val="none"/>
        </w:rPr>
        <w:t>目约定的缺陷责任期</w:t>
      </w:r>
      <w:r>
        <w:rPr>
          <w:rFonts w:ascii="宋体" w:hAnsi="宋体" w:eastAsia="宋体" w:cs="宋体"/>
          <w:color w:val="auto"/>
          <w:spacing w:val="-3"/>
          <w:sz w:val="24"/>
          <w:szCs w:val="24"/>
          <w:highlight w:val="none"/>
        </w:rPr>
        <w:t>（工程质量保修期）满时，发包人将在</w:t>
      </w:r>
      <w:r>
        <w:rPr>
          <w:rFonts w:ascii="Times New Roman" w:hAnsi="Times New Roman" w:eastAsia="Times New Roman" w:cs="Times New Roman"/>
          <w:color w:val="auto"/>
          <w:spacing w:val="-3"/>
          <w:sz w:val="24"/>
          <w:szCs w:val="24"/>
          <w:highlight w:val="none"/>
        </w:rPr>
        <w:t>30</w:t>
      </w:r>
      <w:r>
        <w:rPr>
          <w:rFonts w:ascii="宋体" w:hAnsi="宋体" w:eastAsia="宋体" w:cs="宋体"/>
          <w:color w:val="auto"/>
          <w:spacing w:val="-4"/>
          <w:sz w:val="24"/>
          <w:szCs w:val="24"/>
          <w:highlight w:val="none"/>
        </w:rPr>
        <w:t>个工作日内会同承包人按照合同约定的内容核实承包人是否完成保修责任。如</w:t>
      </w:r>
      <w:r>
        <w:rPr>
          <w:rFonts w:ascii="宋体" w:hAnsi="宋体" w:eastAsia="宋体" w:cs="宋体"/>
          <w:color w:val="auto"/>
          <w:spacing w:val="-5"/>
          <w:sz w:val="24"/>
          <w:szCs w:val="24"/>
          <w:highlight w:val="none"/>
        </w:rPr>
        <w:t>无异议，</w:t>
      </w:r>
      <w:r>
        <w:rPr>
          <w:rFonts w:ascii="宋体" w:hAnsi="宋体" w:eastAsia="宋体" w:cs="宋体"/>
          <w:color w:val="auto"/>
          <w:spacing w:val="-2"/>
          <w:sz w:val="24"/>
          <w:szCs w:val="24"/>
          <w:highlight w:val="none"/>
        </w:rPr>
        <w:t>发包人应当在核实后将剩余的质量保证金支付给承包人。</w:t>
      </w:r>
    </w:p>
    <w:p w14:paraId="03F3BDE1">
      <w:pPr>
        <w:spacing w:before="178" w:line="313" w:lineRule="auto"/>
        <w:ind w:left="1" w:right="181"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17.4.3  </w:t>
      </w:r>
      <w:r>
        <w:rPr>
          <w:rFonts w:ascii="宋体" w:hAnsi="宋体" w:eastAsia="宋体" w:cs="宋体"/>
          <w:color w:val="auto"/>
          <w:spacing w:val="-2"/>
          <w:sz w:val="24"/>
          <w:szCs w:val="24"/>
          <w:highlight w:val="none"/>
        </w:rPr>
        <w:t>在第</w:t>
      </w:r>
      <w:r>
        <w:rPr>
          <w:color w:val="auto"/>
          <w:highlight w:val="none"/>
        </w:rPr>
        <w:fldChar w:fldCharType="begin"/>
      </w:r>
      <w:r>
        <w:rPr>
          <w:color w:val="auto"/>
          <w:highlight w:val="none"/>
        </w:rPr>
        <w:instrText xml:space="preserve"> HYPERLINK "1.1.4.5" </w:instrText>
      </w:r>
      <w:r>
        <w:rPr>
          <w:color w:val="auto"/>
          <w:highlight w:val="none"/>
        </w:rPr>
        <w:fldChar w:fldCharType="separate"/>
      </w:r>
      <w:r>
        <w:rPr>
          <w:rFonts w:ascii="Times New Roman" w:hAnsi="Times New Roman" w:eastAsia="Times New Roman" w:cs="Times New Roman"/>
          <w:color w:val="auto"/>
          <w:spacing w:val="-2"/>
          <w:sz w:val="24"/>
          <w:szCs w:val="24"/>
          <w:highlight w:val="none"/>
        </w:rPr>
        <w:t>1.1.4.5</w:t>
      </w:r>
      <w:r>
        <w:rPr>
          <w:rFonts w:ascii="Times New Roman" w:hAnsi="Times New Roman" w:eastAsia="Times New Roman" w:cs="Times New Roman"/>
          <w:color w:val="auto"/>
          <w:spacing w:val="-2"/>
          <w:sz w:val="24"/>
          <w:szCs w:val="24"/>
          <w:highlight w:val="none"/>
        </w:rPr>
        <w:fldChar w:fldCharType="end"/>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2"/>
          <w:sz w:val="24"/>
          <w:szCs w:val="24"/>
          <w:highlight w:val="none"/>
        </w:rPr>
        <w:t>目约定的缺陷</w:t>
      </w:r>
      <w:r>
        <w:rPr>
          <w:rFonts w:ascii="宋体" w:hAnsi="宋体" w:eastAsia="宋体" w:cs="宋体"/>
          <w:color w:val="auto"/>
          <w:spacing w:val="-3"/>
          <w:sz w:val="24"/>
          <w:szCs w:val="24"/>
          <w:highlight w:val="none"/>
        </w:rPr>
        <w:t>责任期满时，承包人没有完成缺陷责任的，发包</w:t>
      </w:r>
      <w:r>
        <w:rPr>
          <w:rFonts w:ascii="宋体" w:hAnsi="宋体" w:eastAsia="宋体" w:cs="宋体"/>
          <w:color w:val="auto"/>
          <w:spacing w:val="4"/>
          <w:sz w:val="24"/>
          <w:szCs w:val="24"/>
          <w:highlight w:val="none"/>
        </w:rPr>
        <w:t>人有权扣留与未履行责任剩余工作所需金额相应的质量保证金余额，并有权</w:t>
      </w:r>
      <w:r>
        <w:rPr>
          <w:rFonts w:ascii="宋体" w:hAnsi="宋体" w:eastAsia="宋体" w:cs="宋体"/>
          <w:color w:val="auto"/>
          <w:spacing w:val="3"/>
          <w:sz w:val="24"/>
          <w:szCs w:val="24"/>
          <w:highlight w:val="none"/>
        </w:rPr>
        <w:t>根据第</w:t>
      </w:r>
      <w:r>
        <w:rPr>
          <w:rFonts w:ascii="Times New Roman" w:hAnsi="Times New Roman" w:eastAsia="Times New Roman" w:cs="Times New Roman"/>
          <w:color w:val="auto"/>
          <w:spacing w:val="-2"/>
          <w:sz w:val="24"/>
          <w:szCs w:val="24"/>
          <w:highlight w:val="none"/>
        </w:rPr>
        <w:t>19.3</w:t>
      </w:r>
      <w:r>
        <w:rPr>
          <w:rFonts w:ascii="宋体" w:hAnsi="宋体" w:eastAsia="宋体" w:cs="宋体"/>
          <w:color w:val="auto"/>
          <w:spacing w:val="-2"/>
          <w:sz w:val="24"/>
          <w:szCs w:val="24"/>
          <w:highlight w:val="none"/>
        </w:rPr>
        <w:t>款约定要求延长缺陷责任期，直至完成剩余工作为止。</w:t>
      </w:r>
    </w:p>
    <w:p w14:paraId="4EA08187">
      <w:pPr>
        <w:spacing w:before="182" w:line="220" w:lineRule="auto"/>
        <w:ind w:left="6"/>
        <w:outlineLvl w:val="1"/>
        <w:rPr>
          <w:rFonts w:ascii="宋体" w:hAnsi="宋体" w:eastAsia="宋体" w:cs="宋体"/>
          <w:color w:val="auto"/>
          <w:sz w:val="24"/>
          <w:szCs w:val="24"/>
          <w:highlight w:val="none"/>
        </w:rPr>
      </w:pPr>
      <w:bookmarkStart w:id="632" w:name="bookmark263"/>
      <w:bookmarkEnd w:id="632"/>
      <w:bookmarkStart w:id="633" w:name="_Toc2595"/>
      <w:bookmarkStart w:id="634" w:name="_Toc11749"/>
      <w:r>
        <w:rPr>
          <w:rFonts w:ascii="Times New Roman" w:hAnsi="Times New Roman" w:eastAsia="Times New Roman" w:cs="Times New Roman"/>
          <w:b/>
          <w:bCs/>
          <w:color w:val="auto"/>
          <w:spacing w:val="-3"/>
          <w:sz w:val="24"/>
          <w:szCs w:val="24"/>
          <w:highlight w:val="none"/>
        </w:rPr>
        <w:t xml:space="preserve">17.5  </w:t>
      </w:r>
      <w:r>
        <w:rPr>
          <w:rFonts w:ascii="宋体" w:hAnsi="宋体" w:eastAsia="宋体" w:cs="宋体"/>
          <w:b/>
          <w:bCs/>
          <w:color w:val="auto"/>
          <w:spacing w:val="-3"/>
          <w:sz w:val="24"/>
          <w:szCs w:val="24"/>
          <w:highlight w:val="none"/>
        </w:rPr>
        <w:t>完工结算</w:t>
      </w:r>
      <w:bookmarkEnd w:id="633"/>
      <w:bookmarkEnd w:id="634"/>
    </w:p>
    <w:p w14:paraId="0B803C29">
      <w:pPr>
        <w:spacing w:before="179" w:line="220"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17.5.1  </w:t>
      </w:r>
      <w:r>
        <w:rPr>
          <w:rFonts w:ascii="宋体" w:hAnsi="宋体" w:eastAsia="宋体" w:cs="宋体"/>
          <w:color w:val="auto"/>
          <w:spacing w:val="-1"/>
          <w:sz w:val="24"/>
          <w:szCs w:val="24"/>
          <w:highlight w:val="none"/>
        </w:rPr>
        <w:t>完工付款申请单</w:t>
      </w:r>
    </w:p>
    <w:p w14:paraId="7BAF08B1">
      <w:pPr>
        <w:spacing w:before="182" w:line="324" w:lineRule="auto"/>
        <w:ind w:right="186" w:firstLine="485"/>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）承包人应在合同工程完工证书颁发后</w:t>
      </w:r>
      <w:r>
        <w:rPr>
          <w:rFonts w:ascii="Times New Roman" w:hAnsi="Times New Roman" w:eastAsia="Times New Roman" w:cs="Times New Roman"/>
          <w:color w:val="auto"/>
          <w:sz w:val="24"/>
          <w:szCs w:val="24"/>
          <w:highlight w:val="none"/>
        </w:rPr>
        <w:t>28</w:t>
      </w:r>
      <w:r>
        <w:rPr>
          <w:rFonts w:ascii="宋体" w:hAnsi="宋体" w:eastAsia="宋体" w:cs="宋体"/>
          <w:color w:val="auto"/>
          <w:sz w:val="24"/>
          <w:szCs w:val="24"/>
          <w:highlight w:val="none"/>
        </w:rPr>
        <w:t>天内，按专用合同条款约定的份数</w:t>
      </w:r>
      <w:r>
        <w:rPr>
          <w:rFonts w:ascii="宋体" w:hAnsi="宋体" w:eastAsia="宋体" w:cs="宋体"/>
          <w:color w:val="auto"/>
          <w:spacing w:val="-3"/>
          <w:sz w:val="24"/>
          <w:szCs w:val="24"/>
          <w:highlight w:val="none"/>
        </w:rPr>
        <w:t>向监理人提交完工付款申请单，并提供相关证明材料。完工付款申请单应包括下列内容：完工结算合同总价、发包人已支付承包人的工程价款、应扣留的质量保证金、应</w:t>
      </w:r>
      <w:r>
        <w:rPr>
          <w:rFonts w:ascii="宋体" w:hAnsi="宋体" w:eastAsia="宋体" w:cs="宋体"/>
          <w:color w:val="auto"/>
          <w:spacing w:val="-5"/>
          <w:sz w:val="24"/>
          <w:szCs w:val="24"/>
          <w:highlight w:val="none"/>
        </w:rPr>
        <w:t>支付的完工付款金额。</w:t>
      </w:r>
    </w:p>
    <w:p w14:paraId="1038AF47">
      <w:pPr>
        <w:spacing w:before="182" w:line="289" w:lineRule="auto"/>
        <w:ind w:left="10" w:right="106" w:firstLine="476"/>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）监理人对完工付款申请单有异议的，有权要求承包人进行修正和提供补充</w:t>
      </w:r>
      <w:r>
        <w:rPr>
          <w:rFonts w:ascii="宋体" w:hAnsi="宋体" w:eastAsia="宋体" w:cs="宋体"/>
          <w:color w:val="auto"/>
          <w:spacing w:val="-1"/>
          <w:sz w:val="24"/>
          <w:szCs w:val="24"/>
          <w:highlight w:val="none"/>
        </w:rPr>
        <w:t>资料。经监理人和承包人协商后，由承包人向监理人提交修正后的完工付款申请单。</w:t>
      </w:r>
    </w:p>
    <w:p w14:paraId="3BA9367E">
      <w:pPr>
        <w:spacing w:before="183" w:line="219"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17.5.2  </w:t>
      </w:r>
      <w:r>
        <w:rPr>
          <w:rFonts w:ascii="宋体" w:hAnsi="宋体" w:eastAsia="宋体" w:cs="宋体"/>
          <w:color w:val="auto"/>
          <w:spacing w:val="-1"/>
          <w:sz w:val="24"/>
          <w:szCs w:val="24"/>
          <w:highlight w:val="none"/>
        </w:rPr>
        <w:t>完工付款证书及支付时间</w:t>
      </w:r>
    </w:p>
    <w:p w14:paraId="5DA62ECE">
      <w:pPr>
        <w:spacing w:before="182" w:line="313" w:lineRule="auto"/>
        <w:ind w:right="101" w:firstLine="486"/>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）监理人在收到承包人提交的完工付款申请单后的</w:t>
      </w:r>
      <w:r>
        <w:rPr>
          <w:rFonts w:ascii="Times New Roman" w:hAnsi="Times New Roman" w:eastAsia="Times New Roman" w:cs="Times New Roman"/>
          <w:color w:val="auto"/>
          <w:sz w:val="24"/>
          <w:szCs w:val="24"/>
          <w:highlight w:val="none"/>
        </w:rPr>
        <w:t>14</w:t>
      </w:r>
      <w:r>
        <w:rPr>
          <w:rFonts w:ascii="宋体" w:hAnsi="宋体" w:eastAsia="宋体" w:cs="宋体"/>
          <w:color w:val="auto"/>
          <w:sz w:val="24"/>
          <w:szCs w:val="24"/>
          <w:highlight w:val="none"/>
        </w:rPr>
        <w:t>天内完成核查，提出发</w:t>
      </w:r>
      <w:r>
        <w:rPr>
          <w:rFonts w:ascii="宋体" w:hAnsi="宋体" w:eastAsia="宋体" w:cs="宋体"/>
          <w:color w:val="auto"/>
          <w:spacing w:val="-3"/>
          <w:sz w:val="24"/>
          <w:szCs w:val="24"/>
          <w:highlight w:val="none"/>
        </w:rPr>
        <w:t>包人到期应支付给承包人的价款送发包人审核并抄送承包人。监理人未在约定时间内</w:t>
      </w:r>
      <w:r>
        <w:rPr>
          <w:rFonts w:ascii="宋体" w:hAnsi="宋体" w:eastAsia="宋体" w:cs="宋体"/>
          <w:color w:val="auto"/>
          <w:spacing w:val="-7"/>
          <w:sz w:val="24"/>
          <w:szCs w:val="24"/>
          <w:highlight w:val="none"/>
        </w:rPr>
        <w:t>核查，又未提出具体意见的，视为承包人提交的完工付款申请单已经监理人核查同意。</w:t>
      </w:r>
    </w:p>
    <w:p w14:paraId="433C8398">
      <w:pPr>
        <w:spacing w:before="179" w:line="331" w:lineRule="auto"/>
        <w:ind w:right="186" w:firstLine="486"/>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）发包人或受其委托的工程造价咨询企业应对承包人提交结算送审资料的真</w:t>
      </w:r>
      <w:r>
        <w:rPr>
          <w:rFonts w:ascii="宋体" w:hAnsi="宋体" w:eastAsia="宋体" w:cs="宋体"/>
          <w:color w:val="auto"/>
          <w:spacing w:val="-6"/>
          <w:sz w:val="24"/>
          <w:szCs w:val="24"/>
          <w:highlight w:val="none"/>
        </w:rPr>
        <w:t>实性、完整性进行复核， 在专用合同条款约定的期限内完成工程结算审核工作。并由</w:t>
      </w:r>
      <w:r>
        <w:rPr>
          <w:rFonts w:ascii="宋体" w:hAnsi="宋体" w:eastAsia="宋体" w:cs="宋体"/>
          <w:color w:val="auto"/>
          <w:spacing w:val="-3"/>
          <w:sz w:val="24"/>
          <w:szCs w:val="24"/>
          <w:highlight w:val="none"/>
        </w:rPr>
        <w:t>监理人向承包人出具经发包人签认的完工付款证书。发包人或受其委托的工程造价咨询企业未在约定时间内审核又未提出具体意见的，监理人提出发包人到期应支付给承包人的价款视为已经发包人同意。</w:t>
      </w:r>
    </w:p>
    <w:p w14:paraId="5E7202F1">
      <w:pPr>
        <w:spacing w:before="183" w:line="314" w:lineRule="auto"/>
        <w:ind w:left="1" w:right="186" w:firstLine="48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）发包人应在监理人出具完工付款证书后的</w:t>
      </w:r>
      <w:r>
        <w:rPr>
          <w:rFonts w:ascii="Times New Roman" w:hAnsi="Times New Roman" w:eastAsia="Times New Roman" w:cs="Times New Roman"/>
          <w:color w:val="auto"/>
          <w:spacing w:val="-3"/>
          <w:sz w:val="24"/>
          <w:szCs w:val="24"/>
          <w:highlight w:val="none"/>
        </w:rPr>
        <w:t xml:space="preserve">14  </w:t>
      </w:r>
      <w:r>
        <w:rPr>
          <w:rFonts w:ascii="宋体" w:hAnsi="宋体" w:eastAsia="宋体" w:cs="宋体"/>
          <w:color w:val="auto"/>
          <w:spacing w:val="-3"/>
          <w:sz w:val="24"/>
          <w:szCs w:val="24"/>
          <w:highlight w:val="none"/>
        </w:rPr>
        <w:t>天内，将应支付款支付给承包</w:t>
      </w:r>
      <w:r>
        <w:rPr>
          <w:rFonts w:ascii="宋体" w:hAnsi="宋体" w:eastAsia="宋体" w:cs="宋体"/>
          <w:color w:val="auto"/>
          <w:spacing w:val="-5"/>
          <w:sz w:val="24"/>
          <w:szCs w:val="24"/>
          <w:highlight w:val="none"/>
        </w:rPr>
        <w:t>人。发包人不按期支付的， 按第</w:t>
      </w:r>
      <w:r>
        <w:rPr>
          <w:rFonts w:ascii="Times New Roman" w:hAnsi="Times New Roman" w:eastAsia="Times New Roman" w:cs="Times New Roman"/>
          <w:color w:val="auto"/>
          <w:spacing w:val="-5"/>
          <w:sz w:val="24"/>
          <w:szCs w:val="24"/>
          <w:highlight w:val="none"/>
        </w:rPr>
        <w:t>17.3.3</w:t>
      </w: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2</w:t>
      </w:r>
      <w:r>
        <w:rPr>
          <w:rFonts w:ascii="宋体" w:hAnsi="宋体" w:eastAsia="宋体" w:cs="宋体"/>
          <w:color w:val="auto"/>
          <w:spacing w:val="-5"/>
          <w:sz w:val="24"/>
          <w:szCs w:val="24"/>
          <w:highlight w:val="none"/>
        </w:rPr>
        <w:t>）目的</w:t>
      </w:r>
      <w:r>
        <w:rPr>
          <w:rFonts w:ascii="宋体" w:hAnsi="宋体" w:eastAsia="宋体" w:cs="宋体"/>
          <w:color w:val="auto"/>
          <w:spacing w:val="-6"/>
          <w:sz w:val="24"/>
          <w:szCs w:val="24"/>
          <w:highlight w:val="none"/>
        </w:rPr>
        <w:t>约定，将逾期付款违约金支付给承包</w:t>
      </w:r>
      <w:r>
        <w:rPr>
          <w:rFonts w:ascii="宋体" w:hAnsi="宋体" w:eastAsia="宋体" w:cs="宋体"/>
          <w:color w:val="auto"/>
          <w:spacing w:val="-12"/>
          <w:sz w:val="24"/>
          <w:szCs w:val="24"/>
          <w:highlight w:val="none"/>
        </w:rPr>
        <w:t>人。</w:t>
      </w:r>
    </w:p>
    <w:p w14:paraId="6743082C">
      <w:pPr>
        <w:spacing w:before="176" w:line="219"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）完工付款涉及政府投资资金的，按第</w:t>
      </w:r>
      <w:r>
        <w:rPr>
          <w:rFonts w:ascii="Times New Roman" w:hAnsi="Times New Roman" w:eastAsia="Times New Roman" w:cs="Times New Roman"/>
          <w:color w:val="auto"/>
          <w:spacing w:val="-1"/>
          <w:sz w:val="24"/>
          <w:szCs w:val="24"/>
          <w:highlight w:val="none"/>
        </w:rPr>
        <w:t>17.</w:t>
      </w:r>
      <w:r>
        <w:rPr>
          <w:rFonts w:ascii="Times New Roman" w:hAnsi="Times New Roman" w:eastAsia="Times New Roman" w:cs="Times New Roman"/>
          <w:color w:val="auto"/>
          <w:spacing w:val="-2"/>
          <w:sz w:val="24"/>
          <w:szCs w:val="24"/>
          <w:highlight w:val="none"/>
        </w:rPr>
        <w:t>3.3</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）目的约定办理。</w:t>
      </w:r>
    </w:p>
    <w:p w14:paraId="0C385715">
      <w:pPr>
        <w:spacing w:before="184" w:line="218"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17.5.3  </w:t>
      </w:r>
      <w:r>
        <w:rPr>
          <w:rFonts w:ascii="宋体" w:hAnsi="宋体" w:eastAsia="宋体" w:cs="宋体"/>
          <w:color w:val="auto"/>
          <w:spacing w:val="-1"/>
          <w:sz w:val="24"/>
          <w:szCs w:val="24"/>
          <w:highlight w:val="none"/>
        </w:rPr>
        <w:t>无争议价款结算支付</w:t>
      </w:r>
    </w:p>
    <w:p w14:paraId="221D7212">
      <w:pPr>
        <w:spacing w:before="182" w:line="218" w:lineRule="auto"/>
        <w:ind w:left="486"/>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）发包人或受其委托的工程造价咨询企业超过约定期限未办结工程结算审核</w:t>
      </w:r>
    </w:p>
    <w:p w14:paraId="67C18790">
      <w:pPr>
        <w:spacing w:line="218" w:lineRule="auto"/>
        <w:rPr>
          <w:rFonts w:ascii="宋体" w:hAnsi="宋体" w:eastAsia="宋体" w:cs="宋体"/>
          <w:color w:val="auto"/>
          <w:sz w:val="24"/>
          <w:szCs w:val="24"/>
          <w:highlight w:val="none"/>
        </w:rPr>
        <w:sectPr>
          <w:footerReference r:id="rId65" w:type="default"/>
          <w:pgSz w:w="11907" w:h="16841"/>
          <w:pgMar w:top="1428" w:right="1342" w:bottom="1254" w:left="1598" w:header="0" w:footer="1093" w:gutter="0"/>
          <w:pgNumType w:fmt="decimal"/>
          <w:cols w:space="720" w:num="1"/>
        </w:sectPr>
      </w:pPr>
    </w:p>
    <w:p w14:paraId="0B719627">
      <w:pPr>
        <w:spacing w:before="49" w:line="359" w:lineRule="auto"/>
        <w:ind w:firstLine="19"/>
        <w:jc w:val="both"/>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的，应出具无争议部分结算审核报告。无争议部分结算审核报</w:t>
      </w:r>
      <w:r>
        <w:rPr>
          <w:rFonts w:ascii="宋体" w:hAnsi="宋体" w:eastAsia="宋体" w:cs="宋体"/>
          <w:color w:val="auto"/>
          <w:spacing w:val="-8"/>
          <w:sz w:val="24"/>
          <w:szCs w:val="24"/>
          <w:highlight w:val="none"/>
        </w:rPr>
        <w:t>告应明确无争议的金额、</w:t>
      </w:r>
      <w:r>
        <w:rPr>
          <w:rFonts w:ascii="宋体" w:hAnsi="宋体" w:eastAsia="宋体" w:cs="宋体"/>
          <w:color w:val="auto"/>
          <w:spacing w:val="-6"/>
          <w:sz w:val="24"/>
          <w:szCs w:val="24"/>
          <w:highlight w:val="none"/>
        </w:rPr>
        <w:t>争议问题的造成原因、发承包双方各自主张的金额和理由， 以及受委托的工程造价咨</w:t>
      </w:r>
      <w:r>
        <w:rPr>
          <w:rFonts w:ascii="宋体" w:hAnsi="宋体" w:eastAsia="宋体" w:cs="宋体"/>
          <w:color w:val="auto"/>
          <w:spacing w:val="-4"/>
          <w:sz w:val="24"/>
          <w:szCs w:val="24"/>
          <w:highlight w:val="none"/>
        </w:rPr>
        <w:t>询企业的建议意见等内容。</w:t>
      </w:r>
    </w:p>
    <w:p w14:paraId="4EE4EC89">
      <w:pPr>
        <w:spacing w:before="1" w:line="324" w:lineRule="auto"/>
        <w:ind w:right="85" w:firstLine="487"/>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）发承包双方应在无争议部分结算审核报告签署意见，发包人应按合同约定</w:t>
      </w:r>
      <w:r>
        <w:rPr>
          <w:rFonts w:ascii="宋体" w:hAnsi="宋体" w:eastAsia="宋体" w:cs="宋体"/>
          <w:color w:val="auto"/>
          <w:spacing w:val="-3"/>
          <w:sz w:val="24"/>
          <w:szCs w:val="24"/>
          <w:highlight w:val="none"/>
        </w:rPr>
        <w:t>及时支付无争议部分工程价款。发包人不得以审计或结算审核结果未出具为由拒绝或者迟延支付应当支付的工程价款，承包人不得以审计或结算审核结果未出具为由拖欠</w:t>
      </w:r>
      <w:r>
        <w:rPr>
          <w:rFonts w:ascii="宋体" w:hAnsi="宋体" w:eastAsia="宋体" w:cs="宋体"/>
          <w:color w:val="auto"/>
          <w:spacing w:val="-6"/>
          <w:sz w:val="24"/>
          <w:szCs w:val="24"/>
          <w:highlight w:val="none"/>
        </w:rPr>
        <w:t>农民工工资。</w:t>
      </w:r>
    </w:p>
    <w:p w14:paraId="102FF1A5">
      <w:pPr>
        <w:spacing w:before="180" w:line="220"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）对争议部分结算，按第</w:t>
      </w:r>
      <w:r>
        <w:rPr>
          <w:rFonts w:ascii="Times New Roman" w:hAnsi="Times New Roman" w:eastAsia="Times New Roman" w:cs="Times New Roman"/>
          <w:color w:val="auto"/>
          <w:spacing w:val="-2"/>
          <w:sz w:val="24"/>
          <w:szCs w:val="24"/>
          <w:highlight w:val="none"/>
        </w:rPr>
        <w:t>24</w:t>
      </w:r>
      <w:r>
        <w:rPr>
          <w:rFonts w:ascii="宋体" w:hAnsi="宋体" w:eastAsia="宋体" w:cs="宋体"/>
          <w:color w:val="auto"/>
          <w:spacing w:val="-2"/>
          <w:sz w:val="24"/>
          <w:szCs w:val="24"/>
          <w:highlight w:val="none"/>
        </w:rPr>
        <w:t>条的约定</w:t>
      </w:r>
      <w:r>
        <w:rPr>
          <w:rFonts w:ascii="宋体" w:hAnsi="宋体" w:eastAsia="宋体" w:cs="宋体"/>
          <w:color w:val="auto"/>
          <w:spacing w:val="-3"/>
          <w:sz w:val="24"/>
          <w:szCs w:val="24"/>
          <w:highlight w:val="none"/>
        </w:rPr>
        <w:t>执行。</w:t>
      </w:r>
    </w:p>
    <w:p w14:paraId="00A3A362">
      <w:pPr>
        <w:spacing w:before="179" w:line="220" w:lineRule="auto"/>
        <w:ind w:left="7"/>
        <w:outlineLvl w:val="1"/>
        <w:rPr>
          <w:rFonts w:ascii="宋体" w:hAnsi="宋体" w:eastAsia="宋体" w:cs="宋体"/>
          <w:color w:val="auto"/>
          <w:sz w:val="24"/>
          <w:szCs w:val="24"/>
          <w:highlight w:val="none"/>
        </w:rPr>
      </w:pPr>
      <w:bookmarkStart w:id="635" w:name="bookmark264"/>
      <w:bookmarkEnd w:id="635"/>
      <w:bookmarkStart w:id="636" w:name="_Toc2613"/>
      <w:bookmarkStart w:id="637" w:name="_Toc18163"/>
      <w:r>
        <w:rPr>
          <w:rFonts w:ascii="Times New Roman" w:hAnsi="Times New Roman" w:eastAsia="Times New Roman" w:cs="Times New Roman"/>
          <w:b/>
          <w:bCs/>
          <w:color w:val="auto"/>
          <w:spacing w:val="-5"/>
          <w:sz w:val="24"/>
          <w:szCs w:val="24"/>
          <w:highlight w:val="none"/>
        </w:rPr>
        <w:t>17.6</w:t>
      </w:r>
      <w:r>
        <w:rPr>
          <w:rFonts w:ascii="Times New Roman" w:hAnsi="Times New Roman" w:eastAsia="Times New Roman" w:cs="Times New Roman"/>
          <w:b/>
          <w:bCs/>
          <w:color w:val="auto"/>
          <w:spacing w:val="8"/>
          <w:sz w:val="24"/>
          <w:szCs w:val="24"/>
          <w:highlight w:val="none"/>
        </w:rPr>
        <w:t xml:space="preserve">  </w:t>
      </w:r>
      <w:r>
        <w:rPr>
          <w:rFonts w:ascii="宋体" w:hAnsi="宋体" w:eastAsia="宋体" w:cs="宋体"/>
          <w:b/>
          <w:bCs/>
          <w:color w:val="auto"/>
          <w:spacing w:val="-5"/>
          <w:sz w:val="24"/>
          <w:szCs w:val="24"/>
          <w:highlight w:val="none"/>
        </w:rPr>
        <w:t>最终结清</w:t>
      </w:r>
      <w:bookmarkEnd w:id="636"/>
      <w:bookmarkEnd w:id="637"/>
    </w:p>
    <w:p w14:paraId="354A5E31">
      <w:pPr>
        <w:spacing w:before="182"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17.6.1  </w:t>
      </w:r>
      <w:r>
        <w:rPr>
          <w:rFonts w:ascii="宋体" w:hAnsi="宋体" w:eastAsia="宋体" w:cs="宋体"/>
          <w:color w:val="auto"/>
          <w:spacing w:val="-1"/>
          <w:sz w:val="24"/>
          <w:szCs w:val="24"/>
          <w:highlight w:val="none"/>
        </w:rPr>
        <w:t>最终结清申请单</w:t>
      </w:r>
    </w:p>
    <w:p w14:paraId="4493DF0A">
      <w:pPr>
        <w:spacing w:before="179" w:line="290" w:lineRule="auto"/>
        <w:ind w:left="4" w:right="97"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）工程质量保修责任终止证书签发后，承包人应按监理人批准的格式提交最</w:t>
      </w:r>
      <w:r>
        <w:rPr>
          <w:rFonts w:ascii="宋体" w:hAnsi="宋体" w:eastAsia="宋体" w:cs="宋体"/>
          <w:color w:val="auto"/>
          <w:spacing w:val="-2"/>
          <w:sz w:val="24"/>
          <w:szCs w:val="24"/>
          <w:highlight w:val="none"/>
        </w:rPr>
        <w:t>终结清申请单。提交最终结清申请单的份数在专用合同条款中约定。</w:t>
      </w:r>
    </w:p>
    <w:p w14:paraId="66BE549D">
      <w:pPr>
        <w:spacing w:before="180" w:line="290" w:lineRule="auto"/>
        <w:ind w:right="93" w:firstLine="486"/>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）发包人对最终结清申请单内容有异议的，有权要求承包人进行修正和提供</w:t>
      </w:r>
      <w:r>
        <w:rPr>
          <w:rFonts w:ascii="宋体" w:hAnsi="宋体" w:eastAsia="宋体" w:cs="宋体"/>
          <w:color w:val="auto"/>
          <w:spacing w:val="-2"/>
          <w:sz w:val="24"/>
          <w:szCs w:val="24"/>
          <w:highlight w:val="none"/>
        </w:rPr>
        <w:t>补充资料，由承包人向监理人提交修正后的最终结清申请单。</w:t>
      </w:r>
    </w:p>
    <w:p w14:paraId="15C53E65">
      <w:pPr>
        <w:spacing w:before="180" w:line="219"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17.6.2  </w:t>
      </w:r>
      <w:r>
        <w:rPr>
          <w:rFonts w:ascii="宋体" w:hAnsi="宋体" w:eastAsia="宋体" w:cs="宋体"/>
          <w:color w:val="auto"/>
          <w:spacing w:val="-1"/>
          <w:sz w:val="24"/>
          <w:szCs w:val="24"/>
          <w:highlight w:val="none"/>
        </w:rPr>
        <w:t>最终结清证书和支付时间</w:t>
      </w:r>
    </w:p>
    <w:p w14:paraId="295B7B99">
      <w:pPr>
        <w:spacing w:before="184" w:line="336" w:lineRule="auto"/>
        <w:ind w:right="85" w:firstLine="487"/>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）监理人收到承包人提交的最终结清申请单后的</w:t>
      </w:r>
      <w:r>
        <w:rPr>
          <w:rFonts w:ascii="Times New Roman" w:hAnsi="Times New Roman" w:eastAsia="Times New Roman" w:cs="Times New Roman"/>
          <w:color w:val="auto"/>
          <w:sz w:val="24"/>
          <w:szCs w:val="24"/>
          <w:highlight w:val="none"/>
        </w:rPr>
        <w:t>14</w:t>
      </w:r>
      <w:r>
        <w:rPr>
          <w:rFonts w:ascii="宋体" w:hAnsi="宋体" w:eastAsia="宋体" w:cs="宋体"/>
          <w:color w:val="auto"/>
          <w:sz w:val="24"/>
          <w:szCs w:val="24"/>
          <w:highlight w:val="none"/>
        </w:rPr>
        <w:t>天内，提出发包人应支付</w:t>
      </w:r>
      <w:r>
        <w:rPr>
          <w:rFonts w:ascii="宋体" w:hAnsi="宋体" w:eastAsia="宋体" w:cs="宋体"/>
          <w:color w:val="auto"/>
          <w:spacing w:val="-3"/>
          <w:sz w:val="24"/>
          <w:szCs w:val="24"/>
          <w:highlight w:val="none"/>
        </w:rPr>
        <w:t>给承包人的价款送发包人审核并抄送承包人。发包人应在收到后</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天内审核完毕，由</w:t>
      </w:r>
      <w:r>
        <w:rPr>
          <w:rFonts w:ascii="宋体" w:hAnsi="宋体" w:eastAsia="宋体" w:cs="宋体"/>
          <w:color w:val="auto"/>
          <w:spacing w:val="-5"/>
          <w:sz w:val="24"/>
          <w:szCs w:val="24"/>
          <w:highlight w:val="none"/>
        </w:rPr>
        <w:t>监理人向承包人出具经发包人签认的最终结清证书。监理人未在约定时间内核查，</w:t>
      </w:r>
      <w:r>
        <w:rPr>
          <w:rFonts w:ascii="宋体" w:hAnsi="宋体" w:eastAsia="宋体" w:cs="宋体"/>
          <w:color w:val="auto"/>
          <w:spacing w:val="-36"/>
          <w:sz w:val="24"/>
          <w:szCs w:val="24"/>
          <w:highlight w:val="none"/>
        </w:rPr>
        <w:t xml:space="preserve"> </w:t>
      </w:r>
      <w:r>
        <w:rPr>
          <w:rFonts w:ascii="宋体" w:hAnsi="宋体" w:eastAsia="宋体" w:cs="宋体"/>
          <w:color w:val="auto"/>
          <w:spacing w:val="-5"/>
          <w:sz w:val="24"/>
          <w:szCs w:val="24"/>
          <w:highlight w:val="none"/>
        </w:rPr>
        <w:t>又</w:t>
      </w:r>
      <w:r>
        <w:rPr>
          <w:rFonts w:ascii="宋体" w:hAnsi="宋体" w:eastAsia="宋体" w:cs="宋体"/>
          <w:color w:val="auto"/>
          <w:spacing w:val="-3"/>
          <w:sz w:val="24"/>
          <w:szCs w:val="24"/>
          <w:highlight w:val="none"/>
        </w:rPr>
        <w:t>未提出具体意见的，视为承包人提交的最终结清申请已经监理人核查同意；发包人未在约定时间内审核又未提出具体意见的，监理人提出应支付给承包人的价款视为已经</w:t>
      </w:r>
      <w:r>
        <w:rPr>
          <w:rFonts w:ascii="宋体" w:hAnsi="宋体" w:eastAsia="宋体" w:cs="宋体"/>
          <w:color w:val="auto"/>
          <w:spacing w:val="-6"/>
          <w:sz w:val="24"/>
          <w:szCs w:val="24"/>
          <w:highlight w:val="none"/>
        </w:rPr>
        <w:t>发包人同意。</w:t>
      </w:r>
    </w:p>
    <w:p w14:paraId="3AE900CD">
      <w:pPr>
        <w:spacing w:before="177" w:line="314" w:lineRule="auto"/>
        <w:ind w:left="2" w:right="85"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）发包人应在监理人出具最终结清证书后的</w:t>
      </w:r>
      <w:r>
        <w:rPr>
          <w:rFonts w:ascii="Times New Roman" w:hAnsi="Times New Roman" w:eastAsia="Times New Roman" w:cs="Times New Roman"/>
          <w:color w:val="auto"/>
          <w:sz w:val="24"/>
          <w:szCs w:val="24"/>
          <w:highlight w:val="none"/>
        </w:rPr>
        <w:t>14</w:t>
      </w:r>
      <w:r>
        <w:rPr>
          <w:rFonts w:ascii="宋体" w:hAnsi="宋体" w:eastAsia="宋体" w:cs="宋体"/>
          <w:color w:val="auto"/>
          <w:sz w:val="24"/>
          <w:szCs w:val="24"/>
          <w:highlight w:val="none"/>
        </w:rPr>
        <w:t>天内，将应支付款支付给承包</w:t>
      </w:r>
      <w:r>
        <w:rPr>
          <w:rFonts w:ascii="宋体" w:hAnsi="宋体" w:eastAsia="宋体" w:cs="宋体"/>
          <w:color w:val="auto"/>
          <w:spacing w:val="-5"/>
          <w:sz w:val="24"/>
          <w:szCs w:val="24"/>
          <w:highlight w:val="none"/>
        </w:rPr>
        <w:t>人。发包人不按期支付的， 按第</w:t>
      </w:r>
      <w:r>
        <w:rPr>
          <w:rFonts w:ascii="Times New Roman" w:hAnsi="Times New Roman" w:eastAsia="Times New Roman" w:cs="Times New Roman"/>
          <w:color w:val="auto"/>
          <w:spacing w:val="-5"/>
          <w:sz w:val="24"/>
          <w:szCs w:val="24"/>
          <w:highlight w:val="none"/>
        </w:rPr>
        <w:t>17.3.3</w:t>
      </w: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2</w:t>
      </w:r>
      <w:r>
        <w:rPr>
          <w:rFonts w:ascii="宋体" w:hAnsi="宋体" w:eastAsia="宋体" w:cs="宋体"/>
          <w:color w:val="auto"/>
          <w:spacing w:val="-5"/>
          <w:sz w:val="24"/>
          <w:szCs w:val="24"/>
          <w:highlight w:val="none"/>
        </w:rPr>
        <w:t>）目的</w:t>
      </w:r>
      <w:r>
        <w:rPr>
          <w:rFonts w:ascii="宋体" w:hAnsi="宋体" w:eastAsia="宋体" w:cs="宋体"/>
          <w:color w:val="auto"/>
          <w:spacing w:val="-6"/>
          <w:sz w:val="24"/>
          <w:szCs w:val="24"/>
          <w:highlight w:val="none"/>
        </w:rPr>
        <w:t>约定，将逾期付款违约金支付给承包</w:t>
      </w:r>
      <w:r>
        <w:rPr>
          <w:rFonts w:ascii="宋体" w:hAnsi="宋体" w:eastAsia="宋体" w:cs="宋体"/>
          <w:color w:val="auto"/>
          <w:spacing w:val="-12"/>
          <w:sz w:val="24"/>
          <w:szCs w:val="24"/>
          <w:highlight w:val="none"/>
        </w:rPr>
        <w:t>人。</w:t>
      </w:r>
    </w:p>
    <w:p w14:paraId="5B359E2C">
      <w:pPr>
        <w:spacing w:before="179" w:line="219" w:lineRule="auto"/>
        <w:ind w:left="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）承包人对发包人签认的最终结清证书有异议的</w:t>
      </w:r>
      <w:r>
        <w:rPr>
          <w:rFonts w:ascii="宋体" w:hAnsi="宋体" w:eastAsia="宋体" w:cs="宋体"/>
          <w:color w:val="auto"/>
          <w:spacing w:val="-2"/>
          <w:sz w:val="24"/>
          <w:szCs w:val="24"/>
          <w:highlight w:val="none"/>
        </w:rPr>
        <w:t>，按第</w:t>
      </w:r>
      <w:r>
        <w:rPr>
          <w:rFonts w:ascii="Times New Roman" w:hAnsi="Times New Roman" w:eastAsia="Times New Roman" w:cs="Times New Roman"/>
          <w:color w:val="auto"/>
          <w:spacing w:val="-2"/>
          <w:sz w:val="24"/>
          <w:szCs w:val="24"/>
          <w:highlight w:val="none"/>
        </w:rPr>
        <w:t>24</w:t>
      </w:r>
      <w:r>
        <w:rPr>
          <w:rFonts w:ascii="宋体" w:hAnsi="宋体" w:eastAsia="宋体" w:cs="宋体"/>
          <w:color w:val="auto"/>
          <w:spacing w:val="-2"/>
          <w:sz w:val="24"/>
          <w:szCs w:val="24"/>
          <w:highlight w:val="none"/>
        </w:rPr>
        <w:t>条的约定办理。</w:t>
      </w:r>
    </w:p>
    <w:p w14:paraId="27F11A78">
      <w:pPr>
        <w:spacing w:before="181" w:line="219" w:lineRule="auto"/>
        <w:ind w:left="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）最终结清付款涉及政府投资资金的，按第</w:t>
      </w:r>
      <w:r>
        <w:rPr>
          <w:rFonts w:ascii="Times New Roman" w:hAnsi="Times New Roman" w:eastAsia="Times New Roman" w:cs="Times New Roman"/>
          <w:color w:val="auto"/>
          <w:spacing w:val="-1"/>
          <w:sz w:val="24"/>
          <w:szCs w:val="24"/>
          <w:highlight w:val="none"/>
        </w:rPr>
        <w:t>17.3.</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）目的约定办理。</w:t>
      </w:r>
    </w:p>
    <w:p w14:paraId="0EC63E52">
      <w:pPr>
        <w:spacing w:before="183" w:line="220" w:lineRule="auto"/>
        <w:ind w:left="7"/>
        <w:outlineLvl w:val="1"/>
        <w:rPr>
          <w:rFonts w:ascii="宋体" w:hAnsi="宋体" w:eastAsia="宋体" w:cs="宋体"/>
          <w:color w:val="auto"/>
          <w:sz w:val="24"/>
          <w:szCs w:val="24"/>
          <w:highlight w:val="none"/>
        </w:rPr>
      </w:pPr>
      <w:bookmarkStart w:id="638" w:name="bookmark265"/>
      <w:bookmarkEnd w:id="638"/>
      <w:bookmarkStart w:id="639" w:name="_Toc3562"/>
      <w:bookmarkStart w:id="640" w:name="_Toc23898"/>
      <w:r>
        <w:rPr>
          <w:rFonts w:ascii="Times New Roman" w:hAnsi="Times New Roman" w:eastAsia="Times New Roman" w:cs="Times New Roman"/>
          <w:b/>
          <w:bCs/>
          <w:color w:val="auto"/>
          <w:spacing w:val="-2"/>
          <w:sz w:val="24"/>
          <w:szCs w:val="24"/>
          <w:highlight w:val="none"/>
        </w:rPr>
        <w:t xml:space="preserve">17.7  </w:t>
      </w:r>
      <w:r>
        <w:rPr>
          <w:rFonts w:ascii="宋体" w:hAnsi="宋体" w:eastAsia="宋体" w:cs="宋体"/>
          <w:b/>
          <w:bCs/>
          <w:color w:val="auto"/>
          <w:spacing w:val="-2"/>
          <w:sz w:val="24"/>
          <w:szCs w:val="24"/>
          <w:highlight w:val="none"/>
        </w:rPr>
        <w:t>竣工财务决算</w:t>
      </w:r>
      <w:bookmarkEnd w:id="639"/>
      <w:bookmarkEnd w:id="640"/>
    </w:p>
    <w:p w14:paraId="4E944285">
      <w:pPr>
        <w:spacing w:before="180" w:line="359" w:lineRule="auto"/>
        <w:ind w:left="1" w:right="85" w:firstLine="48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发包人负责编制本工程项目竣工财务决算，承包人应按专用合同条款的约定提供竣工财务决算编制所需的相关材料。</w:t>
      </w:r>
    </w:p>
    <w:p w14:paraId="5F104988">
      <w:pPr>
        <w:spacing w:before="1" w:line="219" w:lineRule="auto"/>
        <w:ind w:left="7"/>
        <w:outlineLvl w:val="1"/>
        <w:rPr>
          <w:rFonts w:ascii="宋体" w:hAnsi="宋体" w:eastAsia="宋体" w:cs="宋体"/>
          <w:color w:val="auto"/>
          <w:sz w:val="24"/>
          <w:szCs w:val="24"/>
          <w:highlight w:val="none"/>
        </w:rPr>
      </w:pPr>
      <w:bookmarkStart w:id="641" w:name="bookmark266"/>
      <w:bookmarkEnd w:id="641"/>
      <w:bookmarkStart w:id="642" w:name="_Toc4306"/>
      <w:bookmarkStart w:id="643" w:name="_Toc15955"/>
      <w:r>
        <w:rPr>
          <w:rFonts w:ascii="Times New Roman" w:hAnsi="Times New Roman" w:eastAsia="Times New Roman" w:cs="Times New Roman"/>
          <w:b/>
          <w:bCs/>
          <w:color w:val="auto"/>
          <w:spacing w:val="-3"/>
          <w:sz w:val="24"/>
          <w:szCs w:val="24"/>
          <w:highlight w:val="none"/>
        </w:rPr>
        <w:t xml:space="preserve">17.8  </w:t>
      </w:r>
      <w:r>
        <w:rPr>
          <w:rFonts w:ascii="宋体" w:hAnsi="宋体" w:eastAsia="宋体" w:cs="宋体"/>
          <w:b/>
          <w:bCs/>
          <w:color w:val="auto"/>
          <w:spacing w:val="-3"/>
          <w:sz w:val="24"/>
          <w:szCs w:val="24"/>
          <w:highlight w:val="none"/>
        </w:rPr>
        <w:t>竣工审计</w:t>
      </w:r>
      <w:bookmarkEnd w:id="642"/>
      <w:bookmarkEnd w:id="643"/>
    </w:p>
    <w:p w14:paraId="2732B1BA">
      <w:pPr>
        <w:spacing w:line="219" w:lineRule="auto"/>
        <w:rPr>
          <w:rFonts w:ascii="宋体" w:hAnsi="宋体" w:eastAsia="宋体" w:cs="宋体"/>
          <w:color w:val="auto"/>
          <w:sz w:val="24"/>
          <w:szCs w:val="24"/>
          <w:highlight w:val="none"/>
        </w:rPr>
        <w:sectPr>
          <w:footerReference r:id="rId66" w:type="default"/>
          <w:pgSz w:w="11907" w:h="16841"/>
          <w:pgMar w:top="1428" w:right="1443" w:bottom="1254" w:left="1597" w:header="0" w:footer="1093" w:gutter="0"/>
          <w:pgNumType w:fmt="decimal"/>
          <w:cols w:space="720" w:num="1"/>
        </w:sectPr>
      </w:pPr>
    </w:p>
    <w:p w14:paraId="4238A3D2">
      <w:pPr>
        <w:spacing w:before="47" w:line="219" w:lineRule="auto"/>
        <w:ind w:left="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发包人负责完成本工程竣工审计手续，承包人应完成相关配合工作。</w:t>
      </w:r>
    </w:p>
    <w:p w14:paraId="70B5AFEE">
      <w:pPr>
        <w:spacing w:before="309" w:line="220" w:lineRule="auto"/>
        <w:ind w:left="9"/>
        <w:outlineLvl w:val="0"/>
        <w:rPr>
          <w:rFonts w:ascii="宋体" w:hAnsi="宋体" w:eastAsia="宋体" w:cs="宋体"/>
          <w:color w:val="auto"/>
          <w:sz w:val="28"/>
          <w:szCs w:val="28"/>
          <w:highlight w:val="none"/>
        </w:rPr>
      </w:pPr>
      <w:bookmarkStart w:id="644" w:name="bookmark268"/>
      <w:bookmarkEnd w:id="644"/>
      <w:bookmarkStart w:id="645" w:name="bookmark267"/>
      <w:bookmarkEnd w:id="645"/>
      <w:bookmarkStart w:id="646" w:name="_Toc10799"/>
      <w:bookmarkStart w:id="647" w:name="_Toc15052"/>
      <w:r>
        <w:rPr>
          <w:rFonts w:ascii="Times New Roman" w:hAnsi="Times New Roman" w:eastAsia="Times New Roman" w:cs="Times New Roman"/>
          <w:b/>
          <w:bCs/>
          <w:color w:val="auto"/>
          <w:spacing w:val="-7"/>
          <w:sz w:val="28"/>
          <w:szCs w:val="28"/>
          <w:highlight w:val="none"/>
        </w:rPr>
        <w:t>18</w:t>
      </w:r>
      <w:r>
        <w:rPr>
          <w:rFonts w:ascii="Times New Roman" w:hAnsi="Times New Roman" w:eastAsia="Times New Roman" w:cs="Times New Roman"/>
          <w:b/>
          <w:bCs/>
          <w:color w:val="auto"/>
          <w:spacing w:val="8"/>
          <w:sz w:val="28"/>
          <w:szCs w:val="28"/>
          <w:highlight w:val="none"/>
        </w:rPr>
        <w:t xml:space="preserve"> </w:t>
      </w:r>
      <w:r>
        <w:rPr>
          <w:rFonts w:hint="eastAsia" w:ascii="Times New Roman" w:hAnsi="Times New Roman" w:eastAsia="宋体" w:cs="Times New Roman"/>
          <w:b/>
          <w:bCs/>
          <w:color w:val="auto"/>
          <w:spacing w:val="8"/>
          <w:sz w:val="28"/>
          <w:szCs w:val="28"/>
          <w:highlight w:val="none"/>
          <w:lang w:eastAsia="zh-CN"/>
        </w:rPr>
        <w:t>、</w:t>
      </w:r>
      <w:r>
        <w:rPr>
          <w:rFonts w:ascii="宋体" w:hAnsi="宋体" w:eastAsia="宋体" w:cs="宋体"/>
          <w:b/>
          <w:bCs/>
          <w:color w:val="auto"/>
          <w:spacing w:val="-7"/>
          <w:sz w:val="28"/>
          <w:szCs w:val="28"/>
          <w:highlight w:val="none"/>
        </w:rPr>
        <w:t>工程验收</w:t>
      </w:r>
      <w:bookmarkEnd w:id="646"/>
      <w:bookmarkEnd w:id="647"/>
    </w:p>
    <w:p w14:paraId="7F9863AA">
      <w:pPr>
        <w:pStyle w:val="3"/>
        <w:spacing w:line="242" w:lineRule="auto"/>
        <w:rPr>
          <w:color w:val="auto"/>
          <w:highlight w:val="none"/>
        </w:rPr>
      </w:pPr>
    </w:p>
    <w:p w14:paraId="15BD3C2F">
      <w:pPr>
        <w:spacing w:before="78" w:line="220" w:lineRule="auto"/>
        <w:ind w:left="6"/>
        <w:outlineLvl w:val="1"/>
        <w:rPr>
          <w:rFonts w:ascii="宋体" w:hAnsi="宋体" w:eastAsia="宋体" w:cs="宋体"/>
          <w:color w:val="auto"/>
          <w:sz w:val="24"/>
          <w:szCs w:val="24"/>
          <w:highlight w:val="none"/>
        </w:rPr>
      </w:pPr>
      <w:bookmarkStart w:id="648" w:name="bookmark704"/>
      <w:bookmarkEnd w:id="648"/>
      <w:bookmarkStart w:id="649" w:name="_Toc8260"/>
      <w:bookmarkStart w:id="650" w:name="_Toc13929"/>
      <w:r>
        <w:rPr>
          <w:rFonts w:ascii="Times New Roman" w:hAnsi="Times New Roman" w:eastAsia="Times New Roman" w:cs="Times New Roman"/>
          <w:b/>
          <w:bCs/>
          <w:color w:val="auto"/>
          <w:spacing w:val="-2"/>
          <w:sz w:val="24"/>
          <w:szCs w:val="24"/>
          <w:highlight w:val="none"/>
        </w:rPr>
        <w:t xml:space="preserve">18.1  </w:t>
      </w:r>
      <w:r>
        <w:rPr>
          <w:rFonts w:ascii="宋体" w:hAnsi="宋体" w:eastAsia="宋体" w:cs="宋体"/>
          <w:b/>
          <w:bCs/>
          <w:color w:val="auto"/>
          <w:spacing w:val="-2"/>
          <w:sz w:val="24"/>
          <w:szCs w:val="24"/>
          <w:highlight w:val="none"/>
        </w:rPr>
        <w:t>验收工作分类</w:t>
      </w:r>
      <w:bookmarkEnd w:id="649"/>
      <w:bookmarkEnd w:id="650"/>
    </w:p>
    <w:p w14:paraId="2895B827">
      <w:pPr>
        <w:spacing w:before="184" w:line="359" w:lineRule="auto"/>
        <w:ind w:right="124" w:firstLine="480"/>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本工程验收工作按主持单位分为法人验收和政府验收。法人验收和政府验收的类</w:t>
      </w:r>
      <w:r>
        <w:rPr>
          <w:rFonts w:ascii="宋体" w:hAnsi="宋体" w:eastAsia="宋体" w:cs="宋体"/>
          <w:color w:val="auto"/>
          <w:spacing w:val="-6"/>
          <w:sz w:val="24"/>
          <w:szCs w:val="24"/>
          <w:highlight w:val="none"/>
        </w:rPr>
        <w:t>别在专用合同条款中约定。除专用合同条款另有约定外， 法人验收由发包人主持。承</w:t>
      </w:r>
      <w:r>
        <w:rPr>
          <w:rFonts w:ascii="宋体" w:hAnsi="宋体" w:eastAsia="宋体" w:cs="宋体"/>
          <w:color w:val="auto"/>
          <w:spacing w:val="-1"/>
          <w:sz w:val="24"/>
          <w:szCs w:val="24"/>
          <w:highlight w:val="none"/>
        </w:rPr>
        <w:t>包人应完成法人验收和政府验收的配合工作，所需费用应含在已标价工程量清单中。</w:t>
      </w:r>
    </w:p>
    <w:p w14:paraId="6CCD5451">
      <w:pPr>
        <w:spacing w:line="219" w:lineRule="auto"/>
        <w:ind w:left="6"/>
        <w:outlineLvl w:val="1"/>
        <w:rPr>
          <w:rFonts w:ascii="宋体" w:hAnsi="宋体" w:eastAsia="宋体" w:cs="宋体"/>
          <w:color w:val="auto"/>
          <w:sz w:val="24"/>
          <w:szCs w:val="24"/>
          <w:highlight w:val="none"/>
        </w:rPr>
      </w:pPr>
      <w:bookmarkStart w:id="651" w:name="bookmark269"/>
      <w:bookmarkEnd w:id="651"/>
      <w:bookmarkStart w:id="652" w:name="_Toc17125"/>
      <w:bookmarkStart w:id="653" w:name="_Toc15930"/>
      <w:r>
        <w:rPr>
          <w:rFonts w:ascii="Times New Roman" w:hAnsi="Times New Roman" w:eastAsia="Times New Roman" w:cs="Times New Roman"/>
          <w:b/>
          <w:bCs/>
          <w:color w:val="auto"/>
          <w:spacing w:val="-2"/>
          <w:sz w:val="24"/>
          <w:szCs w:val="24"/>
          <w:highlight w:val="none"/>
        </w:rPr>
        <w:t xml:space="preserve">18.2  </w:t>
      </w:r>
      <w:r>
        <w:rPr>
          <w:rFonts w:ascii="宋体" w:hAnsi="宋体" w:eastAsia="宋体" w:cs="宋体"/>
          <w:b/>
          <w:bCs/>
          <w:color w:val="auto"/>
          <w:spacing w:val="-2"/>
          <w:sz w:val="24"/>
          <w:szCs w:val="24"/>
          <w:highlight w:val="none"/>
        </w:rPr>
        <w:t>分部工程验收</w:t>
      </w:r>
      <w:bookmarkEnd w:id="652"/>
      <w:bookmarkEnd w:id="653"/>
    </w:p>
    <w:p w14:paraId="18B0F505">
      <w:pPr>
        <w:spacing w:before="181" w:line="359" w:lineRule="auto"/>
        <w:ind w:right="207"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18.2.1  </w:t>
      </w:r>
      <w:r>
        <w:rPr>
          <w:rFonts w:ascii="宋体" w:hAnsi="宋体" w:eastAsia="宋体" w:cs="宋体"/>
          <w:color w:val="auto"/>
          <w:spacing w:val="-3"/>
          <w:sz w:val="24"/>
          <w:szCs w:val="24"/>
          <w:highlight w:val="none"/>
        </w:rPr>
        <w:t>分部工程具备验收条件时，承包人应向发包人提交验收申请报告，发包人</w:t>
      </w:r>
      <w:r>
        <w:rPr>
          <w:rFonts w:ascii="宋体" w:hAnsi="宋体" w:eastAsia="宋体" w:cs="宋体"/>
          <w:color w:val="auto"/>
          <w:spacing w:val="-1"/>
          <w:sz w:val="24"/>
          <w:szCs w:val="24"/>
          <w:highlight w:val="none"/>
        </w:rPr>
        <w:t>应在收到验收申请报告之日起</w:t>
      </w:r>
      <w:r>
        <w:rPr>
          <w:rFonts w:ascii="Times New Roman" w:hAnsi="Times New Roman" w:eastAsia="Times New Roman" w:cs="Times New Roman"/>
          <w:color w:val="auto"/>
          <w:spacing w:val="-1"/>
          <w:sz w:val="24"/>
          <w:szCs w:val="24"/>
          <w:highlight w:val="none"/>
        </w:rPr>
        <w:t>10</w:t>
      </w:r>
      <w:r>
        <w:rPr>
          <w:rFonts w:ascii="宋体" w:hAnsi="宋体" w:eastAsia="宋体" w:cs="宋体"/>
          <w:color w:val="auto"/>
          <w:spacing w:val="-1"/>
          <w:sz w:val="24"/>
          <w:szCs w:val="24"/>
          <w:highlight w:val="none"/>
        </w:rPr>
        <w:t>个工作日</w:t>
      </w:r>
      <w:r>
        <w:rPr>
          <w:rFonts w:ascii="宋体" w:hAnsi="宋体" w:eastAsia="宋体" w:cs="宋体"/>
          <w:color w:val="auto"/>
          <w:spacing w:val="-2"/>
          <w:sz w:val="24"/>
          <w:szCs w:val="24"/>
          <w:highlight w:val="none"/>
        </w:rPr>
        <w:t>内决定是否同意进行验收。</w:t>
      </w:r>
    </w:p>
    <w:p w14:paraId="21B488E6">
      <w:pPr>
        <w:spacing w:line="359" w:lineRule="auto"/>
        <w:ind w:left="1" w:right="207"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18.2.2  </w:t>
      </w:r>
      <w:r>
        <w:rPr>
          <w:rFonts w:ascii="宋体" w:hAnsi="宋体" w:eastAsia="宋体" w:cs="宋体"/>
          <w:color w:val="auto"/>
          <w:spacing w:val="-3"/>
          <w:sz w:val="24"/>
          <w:szCs w:val="24"/>
          <w:highlight w:val="none"/>
        </w:rPr>
        <w:t>除专用合同条款另有约定外，监理人主持分部工程验收，承包人应派符合</w:t>
      </w:r>
      <w:r>
        <w:rPr>
          <w:rFonts w:ascii="宋体" w:hAnsi="宋体" w:eastAsia="宋体" w:cs="宋体"/>
          <w:color w:val="auto"/>
          <w:spacing w:val="-4"/>
          <w:sz w:val="24"/>
          <w:szCs w:val="24"/>
          <w:highlight w:val="none"/>
        </w:rPr>
        <w:t>条件的代表参加验收工作组。</w:t>
      </w:r>
    </w:p>
    <w:p w14:paraId="3C9535E9">
      <w:pPr>
        <w:spacing w:line="359" w:lineRule="auto"/>
        <w:ind w:right="207"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18.2.3  </w:t>
      </w:r>
      <w:r>
        <w:rPr>
          <w:rFonts w:ascii="宋体" w:hAnsi="宋体" w:eastAsia="宋体" w:cs="宋体"/>
          <w:color w:val="auto"/>
          <w:spacing w:val="-3"/>
          <w:sz w:val="24"/>
          <w:szCs w:val="24"/>
          <w:highlight w:val="none"/>
        </w:rPr>
        <w:t>分部工程验收通过后，发包人向承包人发送分部工程验收鉴定书。承包人</w:t>
      </w:r>
      <w:r>
        <w:rPr>
          <w:rFonts w:ascii="宋体" w:hAnsi="宋体" w:eastAsia="宋体" w:cs="宋体"/>
          <w:color w:val="auto"/>
          <w:spacing w:val="-2"/>
          <w:sz w:val="24"/>
          <w:szCs w:val="24"/>
          <w:highlight w:val="none"/>
        </w:rPr>
        <w:t>应及时完成分部工程验收鉴定书载明应由承包人处理的遗留问题。</w:t>
      </w:r>
    </w:p>
    <w:p w14:paraId="08868323">
      <w:pPr>
        <w:spacing w:before="1" w:line="219" w:lineRule="auto"/>
        <w:ind w:left="6"/>
        <w:outlineLvl w:val="1"/>
        <w:rPr>
          <w:rFonts w:ascii="宋体" w:hAnsi="宋体" w:eastAsia="宋体" w:cs="宋体"/>
          <w:color w:val="auto"/>
          <w:sz w:val="24"/>
          <w:szCs w:val="24"/>
          <w:highlight w:val="none"/>
        </w:rPr>
      </w:pPr>
      <w:bookmarkStart w:id="654" w:name="bookmark270"/>
      <w:bookmarkEnd w:id="654"/>
      <w:bookmarkStart w:id="655" w:name="_Toc7083"/>
      <w:bookmarkStart w:id="656" w:name="_Toc7213"/>
      <w:r>
        <w:rPr>
          <w:rFonts w:ascii="Times New Roman" w:hAnsi="Times New Roman" w:eastAsia="Times New Roman" w:cs="Times New Roman"/>
          <w:b/>
          <w:bCs/>
          <w:color w:val="auto"/>
          <w:spacing w:val="-2"/>
          <w:sz w:val="24"/>
          <w:szCs w:val="24"/>
          <w:highlight w:val="none"/>
        </w:rPr>
        <w:t xml:space="preserve">18.3  </w:t>
      </w:r>
      <w:r>
        <w:rPr>
          <w:rFonts w:ascii="宋体" w:hAnsi="宋体" w:eastAsia="宋体" w:cs="宋体"/>
          <w:b/>
          <w:bCs/>
          <w:color w:val="auto"/>
          <w:spacing w:val="-2"/>
          <w:sz w:val="24"/>
          <w:szCs w:val="24"/>
          <w:highlight w:val="none"/>
        </w:rPr>
        <w:t>单位工程验收</w:t>
      </w:r>
      <w:bookmarkEnd w:id="655"/>
      <w:bookmarkEnd w:id="656"/>
    </w:p>
    <w:p w14:paraId="6C1A1F50">
      <w:pPr>
        <w:spacing w:before="183" w:line="288" w:lineRule="auto"/>
        <w:ind w:right="207"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18.3.1  </w:t>
      </w:r>
      <w:r>
        <w:rPr>
          <w:rFonts w:ascii="宋体" w:hAnsi="宋体" w:eastAsia="宋体" w:cs="宋体"/>
          <w:color w:val="auto"/>
          <w:spacing w:val="-3"/>
          <w:sz w:val="24"/>
          <w:szCs w:val="24"/>
          <w:highlight w:val="none"/>
        </w:rPr>
        <w:t>单位工程具备验收条件时，承包人应向发包人提交验收申请报告，发包人</w:t>
      </w:r>
      <w:r>
        <w:rPr>
          <w:rFonts w:ascii="宋体" w:hAnsi="宋体" w:eastAsia="宋体" w:cs="宋体"/>
          <w:color w:val="auto"/>
          <w:spacing w:val="-1"/>
          <w:sz w:val="24"/>
          <w:szCs w:val="24"/>
          <w:highlight w:val="none"/>
        </w:rPr>
        <w:t>应在收到验收申请报告之日起</w:t>
      </w:r>
      <w:r>
        <w:rPr>
          <w:rFonts w:ascii="Times New Roman" w:hAnsi="Times New Roman" w:eastAsia="Times New Roman" w:cs="Times New Roman"/>
          <w:color w:val="auto"/>
          <w:spacing w:val="-1"/>
          <w:sz w:val="24"/>
          <w:szCs w:val="24"/>
          <w:highlight w:val="none"/>
        </w:rPr>
        <w:t>10</w:t>
      </w:r>
      <w:r>
        <w:rPr>
          <w:rFonts w:ascii="宋体" w:hAnsi="宋体" w:eastAsia="宋体" w:cs="宋体"/>
          <w:color w:val="auto"/>
          <w:spacing w:val="-1"/>
          <w:sz w:val="24"/>
          <w:szCs w:val="24"/>
          <w:highlight w:val="none"/>
        </w:rPr>
        <w:t>个工作日</w:t>
      </w:r>
      <w:r>
        <w:rPr>
          <w:rFonts w:ascii="宋体" w:hAnsi="宋体" w:eastAsia="宋体" w:cs="宋体"/>
          <w:color w:val="auto"/>
          <w:spacing w:val="-2"/>
          <w:sz w:val="24"/>
          <w:szCs w:val="24"/>
          <w:highlight w:val="none"/>
        </w:rPr>
        <w:t>内决定是否同意进行验收。</w:t>
      </w:r>
    </w:p>
    <w:p w14:paraId="22A85C39">
      <w:pPr>
        <w:spacing w:before="184" w:line="220"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18.3.2  </w:t>
      </w:r>
      <w:r>
        <w:rPr>
          <w:rFonts w:ascii="宋体" w:hAnsi="宋体" w:eastAsia="宋体" w:cs="宋体"/>
          <w:color w:val="auto"/>
          <w:sz w:val="24"/>
          <w:szCs w:val="24"/>
          <w:highlight w:val="none"/>
        </w:rPr>
        <w:t>发包人主持单位工程验收，承</w:t>
      </w:r>
      <w:r>
        <w:rPr>
          <w:rFonts w:ascii="宋体" w:hAnsi="宋体" w:eastAsia="宋体" w:cs="宋体"/>
          <w:color w:val="auto"/>
          <w:spacing w:val="-1"/>
          <w:sz w:val="24"/>
          <w:szCs w:val="24"/>
          <w:highlight w:val="none"/>
        </w:rPr>
        <w:t>包人应派符合条件的代表参加验收工作组。</w:t>
      </w:r>
    </w:p>
    <w:p w14:paraId="69FFDF80">
      <w:pPr>
        <w:spacing w:before="181" w:line="289" w:lineRule="auto"/>
        <w:ind w:right="207"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18.3.3  </w:t>
      </w:r>
      <w:r>
        <w:rPr>
          <w:rFonts w:ascii="宋体" w:hAnsi="宋体" w:eastAsia="宋体" w:cs="宋体"/>
          <w:color w:val="auto"/>
          <w:spacing w:val="-3"/>
          <w:sz w:val="24"/>
          <w:szCs w:val="24"/>
          <w:highlight w:val="none"/>
        </w:rPr>
        <w:t>单位工程验收通过后，发包人向承包人发送单位工程验收鉴定书。承包人</w:t>
      </w:r>
      <w:r>
        <w:rPr>
          <w:rFonts w:ascii="宋体" w:hAnsi="宋体" w:eastAsia="宋体" w:cs="宋体"/>
          <w:color w:val="auto"/>
          <w:spacing w:val="-2"/>
          <w:sz w:val="24"/>
          <w:szCs w:val="24"/>
          <w:highlight w:val="none"/>
        </w:rPr>
        <w:t>应及时完成单位工程验收鉴定书载明应由承包人处理的遗留问题。</w:t>
      </w:r>
    </w:p>
    <w:p w14:paraId="51AAD293">
      <w:pPr>
        <w:spacing w:before="183" w:line="220"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18.3.4  </w:t>
      </w:r>
      <w:r>
        <w:rPr>
          <w:rFonts w:ascii="宋体" w:hAnsi="宋体" w:eastAsia="宋体" w:cs="宋体"/>
          <w:color w:val="auto"/>
          <w:spacing w:val="-2"/>
          <w:sz w:val="24"/>
          <w:szCs w:val="24"/>
          <w:highlight w:val="none"/>
        </w:rPr>
        <w:t>需提前投入使用的单位工程在专用合同条款中明确。</w:t>
      </w:r>
    </w:p>
    <w:p w14:paraId="104633D1">
      <w:pPr>
        <w:spacing w:before="179" w:line="220" w:lineRule="auto"/>
        <w:ind w:left="6"/>
        <w:outlineLvl w:val="1"/>
        <w:rPr>
          <w:rFonts w:ascii="宋体" w:hAnsi="宋体" w:eastAsia="宋体" w:cs="宋体"/>
          <w:color w:val="auto"/>
          <w:sz w:val="24"/>
          <w:szCs w:val="24"/>
          <w:highlight w:val="none"/>
        </w:rPr>
      </w:pPr>
      <w:bookmarkStart w:id="657" w:name="bookmark271"/>
      <w:bookmarkEnd w:id="657"/>
      <w:bookmarkStart w:id="658" w:name="_Toc25109"/>
      <w:bookmarkStart w:id="659" w:name="_Toc29058"/>
      <w:r>
        <w:rPr>
          <w:rFonts w:ascii="Times New Roman" w:hAnsi="Times New Roman" w:eastAsia="Times New Roman" w:cs="Times New Roman"/>
          <w:b/>
          <w:bCs/>
          <w:color w:val="auto"/>
          <w:spacing w:val="-3"/>
          <w:sz w:val="24"/>
          <w:szCs w:val="24"/>
          <w:highlight w:val="none"/>
        </w:rPr>
        <w:t xml:space="preserve">18.4  </w:t>
      </w:r>
      <w:r>
        <w:rPr>
          <w:rFonts w:ascii="宋体" w:hAnsi="宋体" w:eastAsia="宋体" w:cs="宋体"/>
          <w:b/>
          <w:bCs/>
          <w:color w:val="auto"/>
          <w:spacing w:val="-3"/>
          <w:sz w:val="24"/>
          <w:szCs w:val="24"/>
          <w:highlight w:val="none"/>
        </w:rPr>
        <w:t>合同工程完工验收</w:t>
      </w:r>
      <w:bookmarkEnd w:id="658"/>
      <w:bookmarkEnd w:id="659"/>
    </w:p>
    <w:p w14:paraId="6D18F9D9">
      <w:pPr>
        <w:spacing w:before="183" w:line="288" w:lineRule="auto"/>
        <w:ind w:right="207"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18.4.1  </w:t>
      </w:r>
      <w:r>
        <w:rPr>
          <w:rFonts w:ascii="宋体" w:hAnsi="宋体" w:eastAsia="宋体" w:cs="宋体"/>
          <w:color w:val="auto"/>
          <w:spacing w:val="-3"/>
          <w:sz w:val="24"/>
          <w:szCs w:val="24"/>
          <w:highlight w:val="none"/>
        </w:rPr>
        <w:t>合同工程具备验收条件时，承包人应向发包人提交验收申请报告，发包人</w:t>
      </w:r>
      <w:r>
        <w:rPr>
          <w:rFonts w:ascii="宋体" w:hAnsi="宋体" w:eastAsia="宋体" w:cs="宋体"/>
          <w:color w:val="auto"/>
          <w:spacing w:val="-1"/>
          <w:sz w:val="24"/>
          <w:szCs w:val="24"/>
          <w:highlight w:val="none"/>
        </w:rPr>
        <w:t>应在收到验收申请报告之日起</w:t>
      </w:r>
      <w:r>
        <w:rPr>
          <w:rFonts w:ascii="Times New Roman" w:hAnsi="Times New Roman" w:eastAsia="Times New Roman" w:cs="Times New Roman"/>
          <w:color w:val="auto"/>
          <w:spacing w:val="-1"/>
          <w:sz w:val="24"/>
          <w:szCs w:val="24"/>
          <w:highlight w:val="none"/>
        </w:rPr>
        <w:t>20</w:t>
      </w:r>
      <w:r>
        <w:rPr>
          <w:rFonts w:ascii="宋体" w:hAnsi="宋体" w:eastAsia="宋体" w:cs="宋体"/>
          <w:color w:val="auto"/>
          <w:spacing w:val="-1"/>
          <w:sz w:val="24"/>
          <w:szCs w:val="24"/>
          <w:highlight w:val="none"/>
        </w:rPr>
        <w:t>个工作日</w:t>
      </w:r>
      <w:r>
        <w:rPr>
          <w:rFonts w:ascii="宋体" w:hAnsi="宋体" w:eastAsia="宋体" w:cs="宋体"/>
          <w:color w:val="auto"/>
          <w:spacing w:val="-2"/>
          <w:sz w:val="24"/>
          <w:szCs w:val="24"/>
          <w:highlight w:val="none"/>
        </w:rPr>
        <w:t>内决定是否同意进行验收。</w:t>
      </w:r>
    </w:p>
    <w:p w14:paraId="4404371B">
      <w:pPr>
        <w:spacing w:before="184" w:line="220"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18.4.2  </w:t>
      </w:r>
      <w:r>
        <w:rPr>
          <w:rFonts w:ascii="宋体" w:hAnsi="宋体" w:eastAsia="宋体" w:cs="宋体"/>
          <w:color w:val="auto"/>
          <w:spacing w:val="-1"/>
          <w:sz w:val="24"/>
          <w:szCs w:val="24"/>
          <w:highlight w:val="none"/>
        </w:rPr>
        <w:t>发包人主持合同工程完工验收，承包</w:t>
      </w:r>
      <w:r>
        <w:rPr>
          <w:rFonts w:ascii="宋体" w:hAnsi="宋体" w:eastAsia="宋体" w:cs="宋体"/>
          <w:color w:val="auto"/>
          <w:spacing w:val="-2"/>
          <w:sz w:val="24"/>
          <w:szCs w:val="24"/>
          <w:highlight w:val="none"/>
        </w:rPr>
        <w:t>人应派代表参加验收工作组。</w:t>
      </w:r>
    </w:p>
    <w:p w14:paraId="25644CBA">
      <w:pPr>
        <w:spacing w:before="181" w:line="289" w:lineRule="auto"/>
        <w:ind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18.4.3  </w:t>
      </w:r>
      <w:r>
        <w:rPr>
          <w:rFonts w:ascii="宋体" w:hAnsi="宋体" w:eastAsia="宋体" w:cs="宋体"/>
          <w:color w:val="auto"/>
          <w:spacing w:val="-4"/>
          <w:sz w:val="24"/>
          <w:szCs w:val="24"/>
          <w:highlight w:val="none"/>
        </w:rPr>
        <w:t>合同工程完工验收通过后，发包人向承包人发送合同工程完工验收鉴定书。</w:t>
      </w:r>
      <w:r>
        <w:rPr>
          <w:rFonts w:ascii="宋体" w:hAnsi="宋体" w:eastAsia="宋体" w:cs="宋体"/>
          <w:color w:val="auto"/>
          <w:spacing w:val="-1"/>
          <w:sz w:val="24"/>
          <w:szCs w:val="24"/>
          <w:highlight w:val="none"/>
        </w:rPr>
        <w:t>承包人应及时完成合同工程完工验收鉴定书载明应由承</w:t>
      </w:r>
      <w:r>
        <w:rPr>
          <w:rFonts w:ascii="宋体" w:hAnsi="宋体" w:eastAsia="宋体" w:cs="宋体"/>
          <w:color w:val="auto"/>
          <w:spacing w:val="-2"/>
          <w:sz w:val="24"/>
          <w:szCs w:val="24"/>
          <w:highlight w:val="none"/>
        </w:rPr>
        <w:t>包人处理的遗留问题。</w:t>
      </w:r>
    </w:p>
    <w:p w14:paraId="58B6C48C">
      <w:pPr>
        <w:spacing w:before="183" w:line="312" w:lineRule="auto"/>
        <w:ind w:left="8" w:right="120"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18.4.4  </w:t>
      </w:r>
      <w:r>
        <w:rPr>
          <w:rFonts w:ascii="宋体" w:hAnsi="宋体" w:eastAsia="宋体" w:cs="宋体"/>
          <w:color w:val="auto"/>
          <w:spacing w:val="-3"/>
          <w:sz w:val="24"/>
          <w:szCs w:val="24"/>
          <w:highlight w:val="none"/>
        </w:rPr>
        <w:t>合同工程完工验收通过后，发包人与承包人应在</w:t>
      </w:r>
      <w:r>
        <w:rPr>
          <w:rFonts w:ascii="Times New Roman" w:hAnsi="Times New Roman" w:eastAsia="Times New Roman" w:cs="Times New Roman"/>
          <w:color w:val="auto"/>
          <w:spacing w:val="-3"/>
          <w:sz w:val="24"/>
          <w:szCs w:val="24"/>
          <w:highlight w:val="none"/>
        </w:rPr>
        <w:t>30</w:t>
      </w:r>
      <w:r>
        <w:rPr>
          <w:rFonts w:ascii="宋体" w:hAnsi="宋体" w:eastAsia="宋体" w:cs="宋体"/>
          <w:color w:val="auto"/>
          <w:spacing w:val="-3"/>
          <w:sz w:val="24"/>
          <w:szCs w:val="24"/>
          <w:highlight w:val="none"/>
        </w:rPr>
        <w:t>个工作日内组织专人负责工程交接，双方交接负责人应在交接记录上签字。承包人应按验收鉴定书约定的时</w:t>
      </w:r>
      <w:r>
        <w:rPr>
          <w:rFonts w:ascii="宋体" w:hAnsi="宋体" w:eastAsia="宋体" w:cs="宋体"/>
          <w:color w:val="auto"/>
          <w:spacing w:val="-7"/>
          <w:sz w:val="24"/>
          <w:szCs w:val="24"/>
          <w:highlight w:val="none"/>
        </w:rPr>
        <w:t>间及时移交工程及其档案资料。工程移交时，承包人应向发包人递交工程质量保修书。</w:t>
      </w:r>
    </w:p>
    <w:p w14:paraId="7527A5F9">
      <w:pPr>
        <w:spacing w:line="312" w:lineRule="auto"/>
        <w:rPr>
          <w:rFonts w:ascii="宋体" w:hAnsi="宋体" w:eastAsia="宋体" w:cs="宋体"/>
          <w:color w:val="auto"/>
          <w:sz w:val="24"/>
          <w:szCs w:val="24"/>
          <w:highlight w:val="none"/>
        </w:rPr>
        <w:sectPr>
          <w:footerReference r:id="rId67" w:type="default"/>
          <w:pgSz w:w="11907" w:h="16841"/>
          <w:pgMar w:top="1428" w:right="1323" w:bottom="1254" w:left="1598" w:header="0" w:footer="1093" w:gutter="0"/>
          <w:pgNumType w:fmt="decimal"/>
          <w:cols w:space="720" w:num="1"/>
        </w:sectPr>
      </w:pPr>
    </w:p>
    <w:p w14:paraId="5CF318DD">
      <w:pPr>
        <w:spacing w:before="48" w:line="359" w:lineRule="auto"/>
        <w:ind w:right="8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在承包人递交了工程质量保修书、完成施工场地清理以及提交有关资料后，</w:t>
      </w:r>
      <w:r>
        <w:rPr>
          <w:rFonts w:ascii="宋体" w:hAnsi="宋体" w:eastAsia="宋体" w:cs="宋体"/>
          <w:color w:val="auto"/>
          <w:spacing w:val="-36"/>
          <w:sz w:val="24"/>
          <w:szCs w:val="24"/>
          <w:highlight w:val="none"/>
        </w:rPr>
        <w:t xml:space="preserve"> </w:t>
      </w:r>
      <w:r>
        <w:rPr>
          <w:rFonts w:ascii="宋体" w:hAnsi="宋体" w:eastAsia="宋体" w:cs="宋体"/>
          <w:color w:val="auto"/>
          <w:spacing w:val="-5"/>
          <w:sz w:val="24"/>
          <w:szCs w:val="24"/>
          <w:highlight w:val="none"/>
        </w:rPr>
        <w:t>发包人应</w:t>
      </w:r>
      <w:r>
        <w:rPr>
          <w:rFonts w:ascii="宋体" w:hAnsi="宋体" w:eastAsia="宋体" w:cs="宋体"/>
          <w:color w:val="auto"/>
          <w:spacing w:val="-2"/>
          <w:sz w:val="24"/>
          <w:szCs w:val="24"/>
          <w:highlight w:val="none"/>
        </w:rPr>
        <w:t>在</w:t>
      </w:r>
      <w:r>
        <w:rPr>
          <w:rFonts w:ascii="Times New Roman" w:hAnsi="Times New Roman" w:eastAsia="Times New Roman" w:cs="Times New Roman"/>
          <w:color w:val="auto"/>
          <w:spacing w:val="-2"/>
          <w:sz w:val="24"/>
          <w:szCs w:val="24"/>
          <w:highlight w:val="none"/>
        </w:rPr>
        <w:t>30</w:t>
      </w:r>
      <w:r>
        <w:rPr>
          <w:rFonts w:ascii="宋体" w:hAnsi="宋体" w:eastAsia="宋体" w:cs="宋体"/>
          <w:color w:val="auto"/>
          <w:spacing w:val="-2"/>
          <w:sz w:val="24"/>
          <w:szCs w:val="24"/>
          <w:highlight w:val="none"/>
        </w:rPr>
        <w:t>个工作日内向承包人颁发合同工程完工证书。</w:t>
      </w:r>
    </w:p>
    <w:p w14:paraId="67BD1610">
      <w:pPr>
        <w:spacing w:line="219" w:lineRule="auto"/>
        <w:ind w:left="7"/>
        <w:outlineLvl w:val="1"/>
        <w:rPr>
          <w:rFonts w:ascii="宋体" w:hAnsi="宋体" w:eastAsia="宋体" w:cs="宋体"/>
          <w:color w:val="auto"/>
          <w:sz w:val="24"/>
          <w:szCs w:val="24"/>
          <w:highlight w:val="none"/>
        </w:rPr>
      </w:pPr>
      <w:bookmarkStart w:id="660" w:name="bookmark272"/>
      <w:bookmarkEnd w:id="660"/>
      <w:bookmarkStart w:id="661" w:name="_Toc8168"/>
      <w:bookmarkStart w:id="662" w:name="_Toc31315"/>
      <w:r>
        <w:rPr>
          <w:rFonts w:ascii="Times New Roman" w:hAnsi="Times New Roman" w:eastAsia="Times New Roman" w:cs="Times New Roman"/>
          <w:b/>
          <w:bCs/>
          <w:color w:val="auto"/>
          <w:spacing w:val="-6"/>
          <w:sz w:val="24"/>
          <w:szCs w:val="24"/>
          <w:highlight w:val="none"/>
        </w:rPr>
        <w:t>18.5</w:t>
      </w:r>
      <w:r>
        <w:rPr>
          <w:rFonts w:ascii="Times New Roman" w:hAnsi="Times New Roman" w:eastAsia="Times New Roman" w:cs="Times New Roman"/>
          <w:b/>
          <w:bCs/>
          <w:color w:val="auto"/>
          <w:spacing w:val="12"/>
          <w:sz w:val="24"/>
          <w:szCs w:val="24"/>
          <w:highlight w:val="none"/>
        </w:rPr>
        <w:t xml:space="preserve">  </w:t>
      </w:r>
      <w:r>
        <w:rPr>
          <w:rFonts w:ascii="宋体" w:hAnsi="宋体" w:eastAsia="宋体" w:cs="宋体"/>
          <w:b/>
          <w:bCs/>
          <w:color w:val="auto"/>
          <w:spacing w:val="-6"/>
          <w:sz w:val="24"/>
          <w:szCs w:val="24"/>
          <w:highlight w:val="none"/>
        </w:rPr>
        <w:t>阶段验收</w:t>
      </w:r>
      <w:bookmarkEnd w:id="661"/>
      <w:bookmarkEnd w:id="662"/>
    </w:p>
    <w:p w14:paraId="4207C578">
      <w:pPr>
        <w:spacing w:before="180" w:line="313" w:lineRule="auto"/>
        <w:ind w:right="85"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18.5.1  </w:t>
      </w:r>
      <w:r>
        <w:rPr>
          <w:rFonts w:ascii="宋体" w:hAnsi="宋体" w:eastAsia="宋体" w:cs="宋体"/>
          <w:color w:val="auto"/>
          <w:spacing w:val="-3"/>
          <w:sz w:val="24"/>
          <w:szCs w:val="24"/>
          <w:highlight w:val="none"/>
        </w:rPr>
        <w:t>工程建设具备阶段验收条件时，发包人负责提出阶段验收申请报告。承包人应派代表参加阶段验收，并作为被验收单位在验收鉴定书上签字。阶段验收的具体</w:t>
      </w:r>
      <w:r>
        <w:rPr>
          <w:rFonts w:ascii="宋体" w:hAnsi="宋体" w:eastAsia="宋体" w:cs="宋体"/>
          <w:color w:val="auto"/>
          <w:spacing w:val="-4"/>
          <w:sz w:val="24"/>
          <w:szCs w:val="24"/>
          <w:highlight w:val="none"/>
        </w:rPr>
        <w:t>类别在专用合同条款中约定。</w:t>
      </w:r>
    </w:p>
    <w:p w14:paraId="21A915F4">
      <w:pPr>
        <w:spacing w:before="179" w:line="219"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18.5.2  </w:t>
      </w:r>
      <w:r>
        <w:rPr>
          <w:rFonts w:ascii="宋体" w:hAnsi="宋体" w:eastAsia="宋体" w:cs="宋体"/>
          <w:color w:val="auto"/>
          <w:spacing w:val="-1"/>
          <w:sz w:val="24"/>
          <w:szCs w:val="24"/>
          <w:highlight w:val="none"/>
        </w:rPr>
        <w:t>承包人应及时完成阶段验收鉴定书载明</w:t>
      </w:r>
      <w:r>
        <w:rPr>
          <w:rFonts w:ascii="宋体" w:hAnsi="宋体" w:eastAsia="宋体" w:cs="宋体"/>
          <w:color w:val="auto"/>
          <w:spacing w:val="-2"/>
          <w:sz w:val="24"/>
          <w:szCs w:val="24"/>
          <w:highlight w:val="none"/>
        </w:rPr>
        <w:t>应由承包人处理的遗留问题。</w:t>
      </w:r>
    </w:p>
    <w:p w14:paraId="016506D4">
      <w:pPr>
        <w:spacing w:before="183" w:line="220" w:lineRule="auto"/>
        <w:ind w:left="7"/>
        <w:outlineLvl w:val="1"/>
        <w:rPr>
          <w:rFonts w:ascii="宋体" w:hAnsi="宋体" w:eastAsia="宋体" w:cs="宋体"/>
          <w:color w:val="auto"/>
          <w:sz w:val="24"/>
          <w:szCs w:val="24"/>
          <w:highlight w:val="none"/>
        </w:rPr>
      </w:pPr>
      <w:bookmarkStart w:id="663" w:name="bookmark273"/>
      <w:bookmarkEnd w:id="663"/>
      <w:bookmarkStart w:id="664" w:name="_Toc5651"/>
      <w:bookmarkStart w:id="665" w:name="_Toc21941"/>
      <w:r>
        <w:rPr>
          <w:rFonts w:ascii="Times New Roman" w:hAnsi="Times New Roman" w:eastAsia="Times New Roman" w:cs="Times New Roman"/>
          <w:b/>
          <w:bCs/>
          <w:color w:val="auto"/>
          <w:spacing w:val="-3"/>
          <w:sz w:val="24"/>
          <w:szCs w:val="24"/>
          <w:highlight w:val="none"/>
        </w:rPr>
        <w:t xml:space="preserve">18.6  </w:t>
      </w:r>
      <w:r>
        <w:rPr>
          <w:rFonts w:ascii="宋体" w:hAnsi="宋体" w:eastAsia="宋体" w:cs="宋体"/>
          <w:b/>
          <w:bCs/>
          <w:color w:val="auto"/>
          <w:spacing w:val="-3"/>
          <w:sz w:val="24"/>
          <w:szCs w:val="24"/>
          <w:highlight w:val="none"/>
        </w:rPr>
        <w:t>专项验收</w:t>
      </w:r>
      <w:bookmarkEnd w:id="664"/>
      <w:bookmarkEnd w:id="665"/>
    </w:p>
    <w:p w14:paraId="7E534809">
      <w:pPr>
        <w:spacing w:before="180" w:line="290" w:lineRule="auto"/>
        <w:ind w:left="1" w:right="85"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18.6.1  </w:t>
      </w:r>
      <w:r>
        <w:rPr>
          <w:rFonts w:ascii="宋体" w:hAnsi="宋体" w:eastAsia="宋体" w:cs="宋体"/>
          <w:color w:val="auto"/>
          <w:spacing w:val="-3"/>
          <w:sz w:val="24"/>
          <w:szCs w:val="24"/>
          <w:highlight w:val="none"/>
        </w:rPr>
        <w:t>发包人负责提出专项验收申请报告。承包人应按专项验收的相关规定参加</w:t>
      </w:r>
      <w:r>
        <w:rPr>
          <w:rFonts w:ascii="宋体" w:hAnsi="宋体" w:eastAsia="宋体" w:cs="宋体"/>
          <w:color w:val="auto"/>
          <w:spacing w:val="-2"/>
          <w:sz w:val="24"/>
          <w:szCs w:val="24"/>
          <w:highlight w:val="none"/>
        </w:rPr>
        <w:t>专项验收。专项验收的具体类别在专用合同条款中约定。</w:t>
      </w:r>
    </w:p>
    <w:p w14:paraId="05FE69C3">
      <w:pPr>
        <w:spacing w:before="179" w:line="220" w:lineRule="auto"/>
        <w:jc w:val="right"/>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18.6.2  </w:t>
      </w:r>
      <w:r>
        <w:rPr>
          <w:rFonts w:ascii="宋体" w:hAnsi="宋体" w:eastAsia="宋体" w:cs="宋体"/>
          <w:color w:val="auto"/>
          <w:spacing w:val="-1"/>
          <w:sz w:val="24"/>
          <w:szCs w:val="24"/>
          <w:highlight w:val="none"/>
        </w:rPr>
        <w:t>承包人应及时完成专项验收成果性文件载明应由承包人处理的遗留问题。</w:t>
      </w:r>
    </w:p>
    <w:p w14:paraId="406870D4">
      <w:pPr>
        <w:spacing w:before="182" w:line="220" w:lineRule="auto"/>
        <w:ind w:left="7"/>
        <w:outlineLvl w:val="1"/>
        <w:rPr>
          <w:rFonts w:ascii="宋体" w:hAnsi="宋体" w:eastAsia="宋体" w:cs="宋体"/>
          <w:color w:val="auto"/>
          <w:sz w:val="24"/>
          <w:szCs w:val="24"/>
          <w:highlight w:val="none"/>
        </w:rPr>
      </w:pPr>
      <w:bookmarkStart w:id="666" w:name="bookmark274"/>
      <w:bookmarkEnd w:id="666"/>
      <w:bookmarkStart w:id="667" w:name="_Toc19648"/>
      <w:bookmarkStart w:id="668" w:name="_Toc24729"/>
      <w:r>
        <w:rPr>
          <w:rFonts w:ascii="Times New Roman" w:hAnsi="Times New Roman" w:eastAsia="Times New Roman" w:cs="Times New Roman"/>
          <w:b/>
          <w:bCs/>
          <w:color w:val="auto"/>
          <w:spacing w:val="-3"/>
          <w:sz w:val="24"/>
          <w:szCs w:val="24"/>
          <w:highlight w:val="none"/>
        </w:rPr>
        <w:t xml:space="preserve">18.7  </w:t>
      </w:r>
      <w:r>
        <w:rPr>
          <w:rFonts w:ascii="宋体" w:hAnsi="宋体" w:eastAsia="宋体" w:cs="宋体"/>
          <w:b/>
          <w:bCs/>
          <w:color w:val="auto"/>
          <w:spacing w:val="-3"/>
          <w:sz w:val="24"/>
          <w:szCs w:val="24"/>
          <w:highlight w:val="none"/>
        </w:rPr>
        <w:t>竣工验收</w:t>
      </w:r>
      <w:bookmarkEnd w:id="667"/>
      <w:bookmarkEnd w:id="668"/>
    </w:p>
    <w:p w14:paraId="55F88B35">
      <w:pPr>
        <w:spacing w:before="180"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18.7.1</w:t>
      </w:r>
      <w:r>
        <w:rPr>
          <w:rFonts w:ascii="Times New Roman" w:hAnsi="Times New Roman" w:eastAsia="Times New Roman" w:cs="Times New Roman"/>
          <w:b/>
          <w:bCs/>
          <w:color w:val="auto"/>
          <w:spacing w:val="29"/>
          <w:sz w:val="24"/>
          <w:szCs w:val="24"/>
          <w:highlight w:val="none"/>
        </w:rPr>
        <w:t xml:space="preserve">  </w:t>
      </w:r>
      <w:r>
        <w:rPr>
          <w:rFonts w:ascii="宋体" w:hAnsi="宋体" w:eastAsia="宋体" w:cs="宋体"/>
          <w:color w:val="auto"/>
          <w:spacing w:val="-3"/>
          <w:sz w:val="24"/>
          <w:szCs w:val="24"/>
          <w:highlight w:val="none"/>
        </w:rPr>
        <w:t>申请竣工验收前，发包人组织竣工验收自查，承包人应派代表参加。</w:t>
      </w:r>
    </w:p>
    <w:p w14:paraId="363FA394">
      <w:pPr>
        <w:spacing w:before="182" w:line="289" w:lineRule="auto"/>
        <w:ind w:left="2" w:right="85"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18.7.2  </w:t>
      </w:r>
      <w:r>
        <w:rPr>
          <w:rFonts w:ascii="宋体" w:hAnsi="宋体" w:eastAsia="宋体" w:cs="宋体"/>
          <w:color w:val="auto"/>
          <w:spacing w:val="-3"/>
          <w:sz w:val="24"/>
          <w:szCs w:val="24"/>
          <w:highlight w:val="none"/>
        </w:rPr>
        <w:t>竣工验收分为竣工技术预验收和竣工验收两个阶段。发包人应通知承包人派代表参加技术预验收和竣工验收。</w:t>
      </w:r>
    </w:p>
    <w:p w14:paraId="551487ED">
      <w:pPr>
        <w:spacing w:before="183" w:line="290" w:lineRule="auto"/>
        <w:ind w:left="2" w:right="85"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18.7.3  </w:t>
      </w:r>
      <w:r>
        <w:rPr>
          <w:rFonts w:ascii="宋体" w:hAnsi="宋体" w:eastAsia="宋体" w:cs="宋体"/>
          <w:color w:val="auto"/>
          <w:spacing w:val="-3"/>
          <w:sz w:val="24"/>
          <w:szCs w:val="24"/>
          <w:highlight w:val="none"/>
        </w:rPr>
        <w:t>专用合同条款约定工程需要进行技术鉴定的，承包人应提交有关资料并完</w:t>
      </w:r>
      <w:r>
        <w:rPr>
          <w:rFonts w:ascii="宋体" w:hAnsi="宋体" w:eastAsia="宋体" w:cs="宋体"/>
          <w:color w:val="auto"/>
          <w:spacing w:val="-7"/>
          <w:sz w:val="24"/>
          <w:szCs w:val="24"/>
          <w:highlight w:val="none"/>
        </w:rPr>
        <w:t>成配合工作。</w:t>
      </w:r>
    </w:p>
    <w:p w14:paraId="3E6430C4">
      <w:pPr>
        <w:spacing w:before="179" w:line="290" w:lineRule="auto"/>
        <w:ind w:right="87" w:firstLine="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18.7.4  </w:t>
      </w:r>
      <w:r>
        <w:rPr>
          <w:rFonts w:ascii="宋体" w:hAnsi="宋体" w:eastAsia="宋体" w:cs="宋体"/>
          <w:color w:val="auto"/>
          <w:spacing w:val="-3"/>
          <w:sz w:val="24"/>
          <w:szCs w:val="24"/>
          <w:highlight w:val="none"/>
        </w:rPr>
        <w:t>竣工验收需要进行质量检测的，所需费用由发包人承担，但因承包人原因</w:t>
      </w:r>
      <w:r>
        <w:rPr>
          <w:rFonts w:ascii="宋体" w:hAnsi="宋体" w:eastAsia="宋体" w:cs="宋体"/>
          <w:color w:val="auto"/>
          <w:spacing w:val="-4"/>
          <w:sz w:val="24"/>
          <w:szCs w:val="24"/>
          <w:highlight w:val="none"/>
        </w:rPr>
        <w:t>造成质量不合格的除外。</w:t>
      </w:r>
    </w:p>
    <w:p w14:paraId="164BE4F4">
      <w:pPr>
        <w:spacing w:before="178" w:line="313" w:lineRule="auto"/>
        <w:ind w:left="4" w:right="18" w:firstLine="485"/>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18.7.5  </w:t>
      </w:r>
      <w:r>
        <w:rPr>
          <w:rFonts w:ascii="宋体" w:hAnsi="宋体" w:eastAsia="宋体" w:cs="宋体"/>
          <w:color w:val="auto"/>
          <w:spacing w:val="-1"/>
          <w:sz w:val="24"/>
          <w:szCs w:val="24"/>
          <w:highlight w:val="none"/>
        </w:rPr>
        <w:t>工程质量保修期满以及竣工验收遗留问题和尾工处理完成并通过</w:t>
      </w:r>
      <w:r>
        <w:rPr>
          <w:rFonts w:ascii="宋体" w:hAnsi="宋体" w:eastAsia="宋体" w:cs="宋体"/>
          <w:color w:val="auto"/>
          <w:spacing w:val="-2"/>
          <w:sz w:val="24"/>
          <w:szCs w:val="24"/>
          <w:highlight w:val="none"/>
        </w:rPr>
        <w:t>验收后，</w:t>
      </w:r>
      <w:r>
        <w:rPr>
          <w:rFonts w:ascii="宋体" w:hAnsi="宋体" w:eastAsia="宋体" w:cs="宋体"/>
          <w:color w:val="auto"/>
          <w:spacing w:val="-1"/>
          <w:sz w:val="24"/>
          <w:szCs w:val="24"/>
          <w:highlight w:val="none"/>
        </w:rPr>
        <w:t>发包人负责将处理情况和验收成果报送竣工验收主持单位，申请领取工程竣工证</w:t>
      </w:r>
      <w:r>
        <w:rPr>
          <w:rFonts w:ascii="宋体" w:hAnsi="宋体" w:eastAsia="宋体" w:cs="宋体"/>
          <w:color w:val="auto"/>
          <w:spacing w:val="-2"/>
          <w:sz w:val="24"/>
          <w:szCs w:val="24"/>
          <w:highlight w:val="none"/>
        </w:rPr>
        <w:t>书，</w:t>
      </w:r>
      <w:r>
        <w:rPr>
          <w:rFonts w:ascii="宋体" w:hAnsi="宋体" w:eastAsia="宋体" w:cs="宋体"/>
          <w:color w:val="auto"/>
          <w:spacing w:val="-6"/>
          <w:sz w:val="24"/>
          <w:szCs w:val="24"/>
          <w:highlight w:val="none"/>
        </w:rPr>
        <w:t>并发送承包人。</w:t>
      </w:r>
    </w:p>
    <w:p w14:paraId="6731EDEA">
      <w:pPr>
        <w:spacing w:before="183" w:line="220" w:lineRule="auto"/>
        <w:ind w:left="7"/>
        <w:outlineLvl w:val="1"/>
        <w:rPr>
          <w:rFonts w:ascii="宋体" w:hAnsi="宋体" w:eastAsia="宋体" w:cs="宋体"/>
          <w:color w:val="auto"/>
          <w:sz w:val="24"/>
          <w:szCs w:val="24"/>
          <w:highlight w:val="none"/>
        </w:rPr>
      </w:pPr>
      <w:bookmarkStart w:id="669" w:name="bookmark275"/>
      <w:bookmarkEnd w:id="669"/>
      <w:bookmarkStart w:id="670" w:name="_Toc1576"/>
      <w:bookmarkStart w:id="671" w:name="_Toc19455"/>
      <w:r>
        <w:rPr>
          <w:rFonts w:ascii="Times New Roman" w:hAnsi="Times New Roman" w:eastAsia="Times New Roman" w:cs="Times New Roman"/>
          <w:b/>
          <w:bCs/>
          <w:color w:val="auto"/>
          <w:spacing w:val="-3"/>
          <w:sz w:val="24"/>
          <w:szCs w:val="24"/>
          <w:highlight w:val="none"/>
        </w:rPr>
        <w:t xml:space="preserve">18.8  </w:t>
      </w:r>
      <w:r>
        <w:rPr>
          <w:rFonts w:ascii="宋体" w:hAnsi="宋体" w:eastAsia="宋体" w:cs="宋体"/>
          <w:b/>
          <w:bCs/>
          <w:color w:val="auto"/>
          <w:spacing w:val="-3"/>
          <w:sz w:val="24"/>
          <w:szCs w:val="24"/>
          <w:highlight w:val="none"/>
        </w:rPr>
        <w:t>施工期运行</w:t>
      </w:r>
      <w:bookmarkEnd w:id="670"/>
      <w:bookmarkEnd w:id="671"/>
    </w:p>
    <w:p w14:paraId="6ED81686">
      <w:pPr>
        <w:spacing w:before="182" w:line="324" w:lineRule="auto"/>
        <w:ind w:left="1" w:right="85" w:firstLine="48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18.8.1  </w:t>
      </w:r>
      <w:r>
        <w:rPr>
          <w:rFonts w:ascii="宋体" w:hAnsi="宋体" w:eastAsia="宋体" w:cs="宋体"/>
          <w:color w:val="auto"/>
          <w:spacing w:val="-3"/>
          <w:sz w:val="24"/>
          <w:szCs w:val="24"/>
          <w:highlight w:val="none"/>
        </w:rPr>
        <w:t>施工期运行是指合同工程尚未全部完工，其中某单位工程或部分工程已完</w:t>
      </w:r>
      <w:r>
        <w:rPr>
          <w:rFonts w:ascii="宋体" w:hAnsi="宋体" w:eastAsia="宋体" w:cs="宋体"/>
          <w:color w:val="auto"/>
          <w:sz w:val="24"/>
          <w:szCs w:val="24"/>
          <w:highlight w:val="none"/>
        </w:rPr>
        <w:t>工，需要投入施工期运行的，经发包人按第</w:t>
      </w:r>
      <w:r>
        <w:rPr>
          <w:rFonts w:ascii="Times New Roman" w:hAnsi="Times New Roman" w:eastAsia="Times New Roman" w:cs="Times New Roman"/>
          <w:color w:val="auto"/>
          <w:sz w:val="24"/>
          <w:szCs w:val="24"/>
          <w:highlight w:val="none"/>
        </w:rPr>
        <w:t>18.2</w:t>
      </w:r>
      <w:r>
        <w:rPr>
          <w:rFonts w:ascii="宋体" w:hAnsi="宋体" w:eastAsia="宋体" w:cs="宋体"/>
          <w:color w:val="auto"/>
          <w:sz w:val="24"/>
          <w:szCs w:val="24"/>
          <w:highlight w:val="none"/>
        </w:rPr>
        <w:t>款或第</w:t>
      </w:r>
      <w:r>
        <w:rPr>
          <w:rFonts w:ascii="Times New Roman" w:hAnsi="Times New Roman" w:eastAsia="Times New Roman" w:cs="Times New Roman"/>
          <w:color w:val="auto"/>
          <w:sz w:val="24"/>
          <w:szCs w:val="24"/>
          <w:highlight w:val="none"/>
        </w:rPr>
        <w:t>18.</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款的约定验收合格，证明</w:t>
      </w:r>
      <w:r>
        <w:rPr>
          <w:rFonts w:ascii="宋体" w:hAnsi="宋体" w:eastAsia="宋体" w:cs="宋体"/>
          <w:color w:val="auto"/>
          <w:spacing w:val="-3"/>
          <w:sz w:val="24"/>
          <w:szCs w:val="24"/>
          <w:highlight w:val="none"/>
        </w:rPr>
        <w:t>能确保安全后，才能在施工期投入运行。需要在施工期运行的单位工程或部分工程在</w:t>
      </w:r>
      <w:r>
        <w:rPr>
          <w:rFonts w:ascii="宋体" w:hAnsi="宋体" w:eastAsia="宋体" w:cs="宋体"/>
          <w:color w:val="auto"/>
          <w:spacing w:val="-5"/>
          <w:sz w:val="24"/>
          <w:szCs w:val="24"/>
          <w:highlight w:val="none"/>
        </w:rPr>
        <w:t>专用合同条款中约定。</w:t>
      </w:r>
    </w:p>
    <w:p w14:paraId="02D0F28E">
      <w:pPr>
        <w:spacing w:before="179" w:line="290" w:lineRule="auto"/>
        <w:ind w:left="19" w:right="85" w:firstLine="470"/>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18.8.2  </w:t>
      </w:r>
      <w:r>
        <w:rPr>
          <w:rFonts w:ascii="宋体" w:hAnsi="宋体" w:eastAsia="宋体" w:cs="宋体"/>
          <w:color w:val="auto"/>
          <w:spacing w:val="3"/>
          <w:sz w:val="24"/>
          <w:szCs w:val="24"/>
          <w:highlight w:val="none"/>
        </w:rPr>
        <w:t>在施工期运行中发现工程或工程设备损坏或存在缺陷的，由承包人按第</w:t>
      </w:r>
      <w:r>
        <w:rPr>
          <w:rFonts w:ascii="Times New Roman" w:hAnsi="Times New Roman" w:eastAsia="Times New Roman" w:cs="Times New Roman"/>
          <w:color w:val="auto"/>
          <w:spacing w:val="-5"/>
          <w:sz w:val="24"/>
          <w:szCs w:val="24"/>
          <w:highlight w:val="none"/>
        </w:rPr>
        <w:t>19.2</w:t>
      </w:r>
      <w:r>
        <w:rPr>
          <w:rFonts w:ascii="宋体" w:hAnsi="宋体" w:eastAsia="宋体" w:cs="宋体"/>
          <w:color w:val="auto"/>
          <w:spacing w:val="-5"/>
          <w:sz w:val="24"/>
          <w:szCs w:val="24"/>
          <w:highlight w:val="none"/>
        </w:rPr>
        <w:t>款约定进行修复。</w:t>
      </w:r>
    </w:p>
    <w:p w14:paraId="4D082B65">
      <w:pPr>
        <w:spacing w:before="181" w:line="220" w:lineRule="auto"/>
        <w:ind w:left="7"/>
        <w:outlineLvl w:val="1"/>
        <w:rPr>
          <w:rFonts w:ascii="宋体" w:hAnsi="宋体" w:eastAsia="宋体" w:cs="宋体"/>
          <w:color w:val="auto"/>
          <w:sz w:val="24"/>
          <w:szCs w:val="24"/>
          <w:highlight w:val="none"/>
        </w:rPr>
      </w:pPr>
      <w:bookmarkStart w:id="672" w:name="bookmark276"/>
      <w:bookmarkEnd w:id="672"/>
      <w:bookmarkStart w:id="673" w:name="_Toc22543"/>
      <w:bookmarkStart w:id="674" w:name="_Toc10951"/>
      <w:r>
        <w:rPr>
          <w:rFonts w:ascii="Times New Roman" w:hAnsi="Times New Roman" w:eastAsia="Times New Roman" w:cs="Times New Roman"/>
          <w:b/>
          <w:bCs/>
          <w:color w:val="auto"/>
          <w:spacing w:val="-5"/>
          <w:sz w:val="24"/>
          <w:szCs w:val="24"/>
          <w:highlight w:val="none"/>
        </w:rPr>
        <w:t>18.9</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5"/>
          <w:sz w:val="24"/>
          <w:szCs w:val="24"/>
          <w:highlight w:val="none"/>
        </w:rPr>
        <w:t>试运行</w:t>
      </w:r>
      <w:bookmarkEnd w:id="673"/>
      <w:bookmarkEnd w:id="674"/>
    </w:p>
    <w:p w14:paraId="329CEBE2">
      <w:pPr>
        <w:spacing w:line="220" w:lineRule="auto"/>
        <w:rPr>
          <w:rFonts w:ascii="宋体" w:hAnsi="宋体" w:eastAsia="宋体" w:cs="宋体"/>
          <w:color w:val="auto"/>
          <w:sz w:val="24"/>
          <w:szCs w:val="24"/>
          <w:highlight w:val="none"/>
        </w:rPr>
        <w:sectPr>
          <w:footerReference r:id="rId68" w:type="default"/>
          <w:pgSz w:w="11907" w:h="16841"/>
          <w:pgMar w:top="1428" w:right="1443" w:bottom="1254" w:left="1597" w:header="0" w:footer="1093" w:gutter="0"/>
          <w:pgNumType w:fmt="decimal"/>
          <w:cols w:space="720" w:num="1"/>
        </w:sectPr>
      </w:pPr>
    </w:p>
    <w:p w14:paraId="7881E766">
      <w:pPr>
        <w:spacing w:before="49" w:line="289" w:lineRule="auto"/>
        <w:ind w:left="10"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18.9.1  </w:t>
      </w:r>
      <w:r>
        <w:rPr>
          <w:rFonts w:ascii="宋体" w:hAnsi="宋体" w:eastAsia="宋体" w:cs="宋体"/>
          <w:color w:val="auto"/>
          <w:spacing w:val="-4"/>
          <w:sz w:val="24"/>
          <w:szCs w:val="24"/>
          <w:highlight w:val="none"/>
        </w:rPr>
        <w:t>除专用合同条款另有约定外，承包人应按规定进行工程及工程设备试运行，</w:t>
      </w:r>
      <w:r>
        <w:rPr>
          <w:rFonts w:ascii="宋体" w:hAnsi="宋体" w:eastAsia="宋体" w:cs="宋体"/>
          <w:color w:val="auto"/>
          <w:spacing w:val="-2"/>
          <w:sz w:val="24"/>
          <w:szCs w:val="24"/>
          <w:highlight w:val="none"/>
        </w:rPr>
        <w:t>负责提供试运行所需的人员、器材和必要的条件，并承担全部试运行费用。</w:t>
      </w:r>
    </w:p>
    <w:p w14:paraId="33EC7B68">
      <w:pPr>
        <w:spacing w:before="179" w:line="313" w:lineRule="auto"/>
        <w:ind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5"/>
          <w:sz w:val="24"/>
          <w:szCs w:val="24"/>
          <w:highlight w:val="none"/>
        </w:rPr>
        <w:t>18.9.2</w:t>
      </w:r>
      <w:r>
        <w:rPr>
          <w:rFonts w:ascii="Times New Roman" w:hAnsi="Times New Roman" w:eastAsia="Times New Roman" w:cs="Times New Roman"/>
          <w:b/>
          <w:bCs/>
          <w:color w:val="auto"/>
          <w:spacing w:val="19"/>
          <w:sz w:val="24"/>
          <w:szCs w:val="24"/>
          <w:highlight w:val="none"/>
        </w:rPr>
        <w:t xml:space="preserve">  </w:t>
      </w:r>
      <w:r>
        <w:rPr>
          <w:rFonts w:ascii="宋体" w:hAnsi="宋体" w:eastAsia="宋体" w:cs="宋体"/>
          <w:color w:val="auto"/>
          <w:spacing w:val="-5"/>
          <w:sz w:val="24"/>
          <w:szCs w:val="24"/>
          <w:highlight w:val="none"/>
        </w:rPr>
        <w:t>由于承包人的原因导致试运行失败的，承包人应采取措施</w:t>
      </w:r>
      <w:r>
        <w:rPr>
          <w:rFonts w:ascii="宋体" w:hAnsi="宋体" w:eastAsia="宋体" w:cs="宋体"/>
          <w:color w:val="auto"/>
          <w:spacing w:val="-6"/>
          <w:sz w:val="24"/>
          <w:szCs w:val="24"/>
          <w:highlight w:val="none"/>
        </w:rPr>
        <w:t>保证试运行合格，</w:t>
      </w:r>
      <w:r>
        <w:rPr>
          <w:rFonts w:ascii="宋体" w:hAnsi="宋体" w:eastAsia="宋体" w:cs="宋体"/>
          <w:color w:val="auto"/>
          <w:spacing w:val="-5"/>
          <w:sz w:val="24"/>
          <w:szCs w:val="24"/>
          <w:highlight w:val="none"/>
        </w:rPr>
        <w:t>并承担相应费用。由于发包人的原因导致试运行失败的，</w:t>
      </w:r>
      <w:r>
        <w:rPr>
          <w:rFonts w:ascii="宋体" w:hAnsi="宋体" w:eastAsia="宋体" w:cs="宋体"/>
          <w:color w:val="auto"/>
          <w:spacing w:val="-37"/>
          <w:sz w:val="24"/>
          <w:szCs w:val="24"/>
          <w:highlight w:val="none"/>
        </w:rPr>
        <w:t xml:space="preserve"> </w:t>
      </w:r>
      <w:r>
        <w:rPr>
          <w:rFonts w:ascii="宋体" w:hAnsi="宋体" w:eastAsia="宋体" w:cs="宋体"/>
          <w:color w:val="auto"/>
          <w:spacing w:val="-5"/>
          <w:sz w:val="24"/>
          <w:szCs w:val="24"/>
          <w:highlight w:val="none"/>
        </w:rPr>
        <w:t>承包人应当采取措施保证试</w:t>
      </w:r>
      <w:r>
        <w:rPr>
          <w:rFonts w:ascii="宋体" w:hAnsi="宋体" w:eastAsia="宋体" w:cs="宋体"/>
          <w:color w:val="auto"/>
          <w:spacing w:val="-2"/>
          <w:sz w:val="24"/>
          <w:szCs w:val="24"/>
          <w:highlight w:val="none"/>
        </w:rPr>
        <w:t>运行合格，发包人应承担由此产生的费用，并支付承包人合理利润。</w:t>
      </w:r>
    </w:p>
    <w:p w14:paraId="4777758F">
      <w:pPr>
        <w:spacing w:before="182" w:line="220" w:lineRule="auto"/>
        <w:ind w:left="7"/>
        <w:outlineLvl w:val="1"/>
        <w:rPr>
          <w:rFonts w:ascii="宋体" w:hAnsi="宋体" w:eastAsia="宋体" w:cs="宋体"/>
          <w:color w:val="auto"/>
          <w:sz w:val="24"/>
          <w:szCs w:val="24"/>
          <w:highlight w:val="none"/>
        </w:rPr>
      </w:pPr>
      <w:bookmarkStart w:id="675" w:name="bookmark277"/>
      <w:bookmarkEnd w:id="675"/>
      <w:bookmarkStart w:id="676" w:name="_Toc20216"/>
      <w:bookmarkStart w:id="677" w:name="_Toc12712"/>
      <w:r>
        <w:rPr>
          <w:rFonts w:ascii="Times New Roman" w:hAnsi="Times New Roman" w:eastAsia="Times New Roman" w:cs="Times New Roman"/>
          <w:b/>
          <w:bCs/>
          <w:color w:val="auto"/>
          <w:spacing w:val="-2"/>
          <w:sz w:val="24"/>
          <w:szCs w:val="24"/>
          <w:highlight w:val="none"/>
        </w:rPr>
        <w:t xml:space="preserve">18.10  </w:t>
      </w:r>
      <w:r>
        <w:rPr>
          <w:rFonts w:ascii="宋体" w:hAnsi="宋体" w:eastAsia="宋体" w:cs="宋体"/>
          <w:b/>
          <w:bCs/>
          <w:color w:val="auto"/>
          <w:spacing w:val="-2"/>
          <w:sz w:val="24"/>
          <w:szCs w:val="24"/>
          <w:highlight w:val="none"/>
        </w:rPr>
        <w:t>完工清场</w:t>
      </w:r>
      <w:bookmarkEnd w:id="676"/>
      <w:bookmarkEnd w:id="677"/>
    </w:p>
    <w:p w14:paraId="3355B594">
      <w:pPr>
        <w:spacing w:before="180" w:line="290" w:lineRule="auto"/>
        <w:ind w:left="23" w:right="82" w:firstLine="46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18.10.1  </w:t>
      </w:r>
      <w:r>
        <w:rPr>
          <w:rFonts w:ascii="宋体" w:hAnsi="宋体" w:eastAsia="宋体" w:cs="宋体"/>
          <w:color w:val="auto"/>
          <w:spacing w:val="-3"/>
          <w:sz w:val="24"/>
          <w:szCs w:val="24"/>
          <w:highlight w:val="none"/>
        </w:rPr>
        <w:t>工程项目完工清场的工作范围和内容在技术标准和要求（合同技</w:t>
      </w:r>
      <w:r>
        <w:rPr>
          <w:rFonts w:ascii="宋体" w:hAnsi="宋体" w:eastAsia="宋体" w:cs="宋体"/>
          <w:color w:val="auto"/>
          <w:spacing w:val="-4"/>
          <w:sz w:val="24"/>
          <w:szCs w:val="24"/>
          <w:highlight w:val="none"/>
        </w:rPr>
        <w:t>术条款）</w:t>
      </w:r>
      <w:r>
        <w:rPr>
          <w:rFonts w:ascii="宋体" w:hAnsi="宋体" w:eastAsia="宋体" w:cs="宋体"/>
          <w:color w:val="auto"/>
          <w:spacing w:val="-13"/>
          <w:sz w:val="24"/>
          <w:szCs w:val="24"/>
          <w:highlight w:val="none"/>
        </w:rPr>
        <w:t>中约定。</w:t>
      </w:r>
    </w:p>
    <w:p w14:paraId="5AC5EF0C">
      <w:pPr>
        <w:spacing w:before="177" w:line="313" w:lineRule="auto"/>
        <w:ind w:left="15" w:right="186"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18.10.2  </w:t>
      </w:r>
      <w:r>
        <w:rPr>
          <w:rFonts w:ascii="宋体" w:hAnsi="宋体" w:eastAsia="宋体" w:cs="宋体"/>
          <w:color w:val="auto"/>
          <w:sz w:val="24"/>
          <w:szCs w:val="24"/>
          <w:highlight w:val="none"/>
        </w:rPr>
        <w:t>承包人未按监理人的要求恢复临时占地，或者场地清理未达到合同约定</w:t>
      </w:r>
      <w:r>
        <w:rPr>
          <w:rFonts w:ascii="宋体" w:hAnsi="宋体" w:eastAsia="宋体" w:cs="宋体"/>
          <w:color w:val="auto"/>
          <w:spacing w:val="-3"/>
          <w:sz w:val="24"/>
          <w:szCs w:val="24"/>
          <w:highlight w:val="none"/>
        </w:rPr>
        <w:t>的，发包人有权委托其他人恢复或清理，所发生的金额从拟支付给承包人</w:t>
      </w:r>
      <w:r>
        <w:rPr>
          <w:rFonts w:ascii="宋体" w:hAnsi="宋体" w:eastAsia="宋体" w:cs="宋体"/>
          <w:color w:val="auto"/>
          <w:spacing w:val="-4"/>
          <w:sz w:val="24"/>
          <w:szCs w:val="24"/>
          <w:highlight w:val="none"/>
        </w:rPr>
        <w:t>的款项中扣</w:t>
      </w:r>
      <w:r>
        <w:rPr>
          <w:rFonts w:ascii="宋体" w:hAnsi="宋体" w:eastAsia="宋体" w:cs="宋体"/>
          <w:color w:val="auto"/>
          <w:spacing w:val="-15"/>
          <w:sz w:val="24"/>
          <w:szCs w:val="24"/>
          <w:highlight w:val="none"/>
        </w:rPr>
        <w:t>除。</w:t>
      </w:r>
    </w:p>
    <w:p w14:paraId="419B3D57">
      <w:pPr>
        <w:spacing w:before="182" w:line="220" w:lineRule="auto"/>
        <w:ind w:left="7"/>
        <w:outlineLvl w:val="1"/>
        <w:rPr>
          <w:rFonts w:ascii="宋体" w:hAnsi="宋体" w:eastAsia="宋体" w:cs="宋体"/>
          <w:color w:val="auto"/>
          <w:sz w:val="24"/>
          <w:szCs w:val="24"/>
          <w:highlight w:val="none"/>
        </w:rPr>
      </w:pPr>
      <w:bookmarkStart w:id="678" w:name="bookmark278"/>
      <w:bookmarkEnd w:id="678"/>
      <w:bookmarkStart w:id="679" w:name="_Toc30319"/>
      <w:bookmarkStart w:id="680" w:name="_Toc6641"/>
      <w:r>
        <w:rPr>
          <w:rFonts w:ascii="Times New Roman" w:hAnsi="Times New Roman" w:eastAsia="Times New Roman" w:cs="Times New Roman"/>
          <w:b/>
          <w:bCs/>
          <w:color w:val="auto"/>
          <w:spacing w:val="-2"/>
          <w:sz w:val="24"/>
          <w:szCs w:val="24"/>
          <w:highlight w:val="none"/>
        </w:rPr>
        <w:t xml:space="preserve">18.11  </w:t>
      </w:r>
      <w:r>
        <w:rPr>
          <w:rFonts w:ascii="宋体" w:hAnsi="宋体" w:eastAsia="宋体" w:cs="宋体"/>
          <w:b/>
          <w:bCs/>
          <w:color w:val="auto"/>
          <w:spacing w:val="-2"/>
          <w:sz w:val="24"/>
          <w:szCs w:val="24"/>
          <w:highlight w:val="none"/>
        </w:rPr>
        <w:t>施工队伍的撤离</w:t>
      </w:r>
      <w:bookmarkEnd w:id="679"/>
      <w:bookmarkEnd w:id="680"/>
    </w:p>
    <w:p w14:paraId="6B38372D">
      <w:pPr>
        <w:spacing w:before="181" w:line="360" w:lineRule="auto"/>
        <w:ind w:right="188" w:firstLine="480"/>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合同工程完工证书颁发后的</w:t>
      </w:r>
      <w:r>
        <w:rPr>
          <w:rFonts w:ascii="Times New Roman" w:hAnsi="Times New Roman" w:eastAsia="Times New Roman" w:cs="Times New Roman"/>
          <w:color w:val="auto"/>
          <w:spacing w:val="-4"/>
          <w:sz w:val="24"/>
          <w:szCs w:val="24"/>
          <w:highlight w:val="none"/>
        </w:rPr>
        <w:t>56</w:t>
      </w:r>
      <w:r>
        <w:rPr>
          <w:rFonts w:ascii="宋体" w:hAnsi="宋体" w:eastAsia="宋体" w:cs="宋体"/>
          <w:color w:val="auto"/>
          <w:spacing w:val="-4"/>
          <w:sz w:val="24"/>
          <w:szCs w:val="24"/>
          <w:highlight w:val="none"/>
        </w:rPr>
        <w:t>天内，除了经监理人同意需在缺陷责任期（工程质</w:t>
      </w:r>
      <w:r>
        <w:rPr>
          <w:rFonts w:ascii="宋体" w:hAnsi="宋体" w:eastAsia="宋体" w:cs="宋体"/>
          <w:color w:val="auto"/>
          <w:spacing w:val="-6"/>
          <w:sz w:val="24"/>
          <w:szCs w:val="24"/>
          <w:highlight w:val="none"/>
        </w:rPr>
        <w:t>量保修期）内继续工作和使用的人员、施工设备和临时工程外， 其余的人员、施工设备和临时工程均应撤离施工场地或拆除。除合同另有约定外， 缺陷责任</w:t>
      </w:r>
      <w:r>
        <w:rPr>
          <w:rFonts w:ascii="宋体" w:hAnsi="宋体" w:eastAsia="宋体" w:cs="宋体"/>
          <w:color w:val="auto"/>
          <w:spacing w:val="-7"/>
          <w:sz w:val="24"/>
          <w:szCs w:val="24"/>
          <w:highlight w:val="none"/>
        </w:rPr>
        <w:t>期（工程质量</w:t>
      </w:r>
      <w:r>
        <w:rPr>
          <w:rFonts w:ascii="宋体" w:hAnsi="宋体" w:eastAsia="宋体" w:cs="宋体"/>
          <w:color w:val="auto"/>
          <w:spacing w:val="-2"/>
          <w:sz w:val="24"/>
          <w:szCs w:val="24"/>
          <w:highlight w:val="none"/>
        </w:rPr>
        <w:t>保修期）满时，承包人的人员和施工设备应全部撤离施工场地。</w:t>
      </w:r>
    </w:p>
    <w:p w14:paraId="35593A9E">
      <w:pPr>
        <w:spacing w:before="122" w:line="220" w:lineRule="auto"/>
        <w:ind w:left="10"/>
        <w:outlineLvl w:val="0"/>
        <w:rPr>
          <w:rFonts w:ascii="宋体" w:hAnsi="宋体" w:eastAsia="宋体" w:cs="宋体"/>
          <w:color w:val="auto"/>
          <w:sz w:val="28"/>
          <w:szCs w:val="28"/>
          <w:highlight w:val="none"/>
        </w:rPr>
      </w:pPr>
      <w:bookmarkStart w:id="681" w:name="bookmark280"/>
      <w:bookmarkEnd w:id="681"/>
      <w:bookmarkStart w:id="682" w:name="bookmark279"/>
      <w:bookmarkEnd w:id="682"/>
      <w:bookmarkStart w:id="683" w:name="_Toc9565"/>
      <w:bookmarkStart w:id="684" w:name="_Toc30343"/>
      <w:r>
        <w:rPr>
          <w:rFonts w:ascii="Times New Roman" w:hAnsi="Times New Roman" w:eastAsia="Times New Roman" w:cs="Times New Roman"/>
          <w:b/>
          <w:bCs/>
          <w:color w:val="auto"/>
          <w:spacing w:val="-3"/>
          <w:sz w:val="28"/>
          <w:szCs w:val="28"/>
          <w:highlight w:val="none"/>
        </w:rPr>
        <w:t>19</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缺陷责任与保修责任</w:t>
      </w:r>
      <w:bookmarkEnd w:id="683"/>
      <w:bookmarkEnd w:id="684"/>
    </w:p>
    <w:p w14:paraId="03B77C89">
      <w:pPr>
        <w:pStyle w:val="3"/>
        <w:spacing w:line="242" w:lineRule="auto"/>
        <w:rPr>
          <w:color w:val="auto"/>
          <w:highlight w:val="none"/>
        </w:rPr>
      </w:pPr>
    </w:p>
    <w:p w14:paraId="08702B2F">
      <w:pPr>
        <w:spacing w:before="79" w:line="220" w:lineRule="auto"/>
        <w:ind w:left="7"/>
        <w:outlineLvl w:val="1"/>
        <w:rPr>
          <w:rFonts w:ascii="宋体" w:hAnsi="宋体" w:eastAsia="宋体" w:cs="宋体"/>
          <w:color w:val="auto"/>
          <w:sz w:val="24"/>
          <w:szCs w:val="24"/>
          <w:highlight w:val="none"/>
        </w:rPr>
      </w:pPr>
      <w:bookmarkStart w:id="685" w:name="bookmark705"/>
      <w:bookmarkEnd w:id="685"/>
      <w:bookmarkStart w:id="686" w:name="_Toc615"/>
      <w:bookmarkStart w:id="687" w:name="_Toc17481"/>
      <w:r>
        <w:rPr>
          <w:rFonts w:ascii="Times New Roman" w:hAnsi="Times New Roman" w:eastAsia="Times New Roman" w:cs="Times New Roman"/>
          <w:b/>
          <w:bCs/>
          <w:color w:val="auto"/>
          <w:spacing w:val="-2"/>
          <w:sz w:val="24"/>
          <w:szCs w:val="24"/>
          <w:highlight w:val="none"/>
        </w:rPr>
        <w:t xml:space="preserve">19.1  </w:t>
      </w:r>
      <w:r>
        <w:rPr>
          <w:rFonts w:ascii="宋体" w:hAnsi="宋体" w:eastAsia="宋体" w:cs="宋体"/>
          <w:b/>
          <w:bCs/>
          <w:color w:val="auto"/>
          <w:spacing w:val="-2"/>
          <w:sz w:val="24"/>
          <w:szCs w:val="24"/>
          <w:highlight w:val="none"/>
        </w:rPr>
        <w:t>缺陷责任期（工程质量保修期）的起算时间</w:t>
      </w:r>
      <w:bookmarkEnd w:id="686"/>
      <w:bookmarkEnd w:id="687"/>
    </w:p>
    <w:p w14:paraId="033F5856">
      <w:pPr>
        <w:spacing w:before="183" w:line="359" w:lineRule="auto"/>
        <w:ind w:right="186" w:firstLine="495"/>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除专用合同条款另有约定外，缺陷责任期（工程质量保</w:t>
      </w:r>
      <w:r>
        <w:rPr>
          <w:rFonts w:ascii="宋体" w:hAnsi="宋体" w:eastAsia="宋体" w:cs="宋体"/>
          <w:color w:val="auto"/>
          <w:spacing w:val="-4"/>
          <w:sz w:val="24"/>
          <w:szCs w:val="24"/>
          <w:highlight w:val="none"/>
        </w:rPr>
        <w:t>修期）从工程通过合同工</w:t>
      </w:r>
      <w:r>
        <w:rPr>
          <w:rFonts w:ascii="宋体" w:hAnsi="宋体" w:eastAsia="宋体" w:cs="宋体"/>
          <w:color w:val="auto"/>
          <w:spacing w:val="-6"/>
          <w:sz w:val="24"/>
          <w:szCs w:val="24"/>
          <w:highlight w:val="none"/>
        </w:rPr>
        <w:t>程完工验收后开始计算。在合同工程完工验收前， 已经发包人提前验收的单位工程或</w:t>
      </w:r>
      <w:r>
        <w:rPr>
          <w:rFonts w:ascii="宋体" w:hAnsi="宋体" w:eastAsia="宋体" w:cs="宋体"/>
          <w:color w:val="auto"/>
          <w:spacing w:val="-3"/>
          <w:sz w:val="24"/>
          <w:szCs w:val="24"/>
          <w:highlight w:val="none"/>
        </w:rPr>
        <w:t>部分工程，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w:t>
      </w:r>
      <w:r>
        <w:rPr>
          <w:rFonts w:ascii="宋体" w:hAnsi="宋体" w:eastAsia="宋体" w:cs="宋体"/>
          <w:color w:val="auto"/>
          <w:spacing w:val="-4"/>
          <w:sz w:val="24"/>
          <w:szCs w:val="24"/>
          <w:highlight w:val="none"/>
        </w:rPr>
        <w:t>专用合同条款中约定。</w:t>
      </w:r>
    </w:p>
    <w:p w14:paraId="3FECCA56">
      <w:pPr>
        <w:spacing w:line="219" w:lineRule="auto"/>
        <w:ind w:left="7"/>
        <w:outlineLvl w:val="1"/>
        <w:rPr>
          <w:rFonts w:ascii="宋体" w:hAnsi="宋体" w:eastAsia="宋体" w:cs="宋体"/>
          <w:color w:val="auto"/>
          <w:sz w:val="24"/>
          <w:szCs w:val="24"/>
          <w:highlight w:val="none"/>
        </w:rPr>
      </w:pPr>
      <w:bookmarkStart w:id="688" w:name="bookmark281"/>
      <w:bookmarkEnd w:id="688"/>
      <w:bookmarkStart w:id="689" w:name="_Toc5139"/>
      <w:bookmarkStart w:id="690" w:name="_Toc20817"/>
      <w:r>
        <w:rPr>
          <w:rFonts w:ascii="Times New Roman" w:hAnsi="Times New Roman" w:eastAsia="Times New Roman" w:cs="Times New Roman"/>
          <w:b/>
          <w:bCs/>
          <w:color w:val="auto"/>
          <w:spacing w:val="-3"/>
          <w:sz w:val="24"/>
          <w:szCs w:val="24"/>
          <w:highlight w:val="none"/>
        </w:rPr>
        <w:t xml:space="preserve">19.2  </w:t>
      </w:r>
      <w:r>
        <w:rPr>
          <w:rFonts w:ascii="宋体" w:hAnsi="宋体" w:eastAsia="宋体" w:cs="宋体"/>
          <w:b/>
          <w:bCs/>
          <w:color w:val="auto"/>
          <w:spacing w:val="-3"/>
          <w:sz w:val="24"/>
          <w:szCs w:val="24"/>
          <w:highlight w:val="none"/>
        </w:rPr>
        <w:t>缺陷责任</w:t>
      </w:r>
      <w:bookmarkEnd w:id="689"/>
      <w:bookmarkEnd w:id="690"/>
    </w:p>
    <w:p w14:paraId="6E75F9E4">
      <w:pPr>
        <w:spacing w:before="182"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19.2.1  </w:t>
      </w:r>
      <w:r>
        <w:rPr>
          <w:rFonts w:ascii="宋体" w:hAnsi="宋体" w:eastAsia="宋体" w:cs="宋体"/>
          <w:color w:val="auto"/>
          <w:spacing w:val="-1"/>
          <w:sz w:val="24"/>
          <w:szCs w:val="24"/>
          <w:highlight w:val="none"/>
        </w:rPr>
        <w:t>承包人应在缺陷责任期内</w:t>
      </w:r>
      <w:r>
        <w:rPr>
          <w:rFonts w:ascii="宋体" w:hAnsi="宋体" w:eastAsia="宋体" w:cs="宋体"/>
          <w:color w:val="auto"/>
          <w:spacing w:val="-2"/>
          <w:sz w:val="24"/>
          <w:szCs w:val="24"/>
          <w:highlight w:val="none"/>
        </w:rPr>
        <w:t>对已交付使用的工程承担缺陷责任。</w:t>
      </w:r>
    </w:p>
    <w:p w14:paraId="5B6B873F">
      <w:pPr>
        <w:spacing w:before="179" w:line="313" w:lineRule="auto"/>
        <w:ind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19.2.2  </w:t>
      </w:r>
      <w:r>
        <w:rPr>
          <w:rFonts w:ascii="宋体" w:hAnsi="宋体" w:eastAsia="宋体" w:cs="宋体"/>
          <w:color w:val="auto"/>
          <w:spacing w:val="-3"/>
          <w:sz w:val="24"/>
          <w:szCs w:val="24"/>
          <w:highlight w:val="none"/>
        </w:rPr>
        <w:t>缺陷责任期内，发包人对已接收使用的工程负责日常维护工作。发包人在</w:t>
      </w:r>
      <w:r>
        <w:rPr>
          <w:rFonts w:ascii="宋体" w:hAnsi="宋体" w:eastAsia="宋体" w:cs="宋体"/>
          <w:color w:val="auto"/>
          <w:spacing w:val="-4"/>
          <w:sz w:val="24"/>
          <w:szCs w:val="24"/>
          <w:highlight w:val="none"/>
        </w:rPr>
        <w:t>使用过程中，发现已接收的工程存在新的缺陷或已修复的缺陷部位或部件又遭</w:t>
      </w:r>
      <w:r>
        <w:rPr>
          <w:rFonts w:ascii="宋体" w:hAnsi="宋体" w:eastAsia="宋体" w:cs="宋体"/>
          <w:color w:val="auto"/>
          <w:spacing w:val="-5"/>
          <w:sz w:val="24"/>
          <w:szCs w:val="24"/>
          <w:highlight w:val="none"/>
        </w:rPr>
        <w:t>损坏的，</w:t>
      </w:r>
      <w:r>
        <w:rPr>
          <w:rFonts w:ascii="宋体" w:hAnsi="宋体" w:eastAsia="宋体" w:cs="宋体"/>
          <w:color w:val="auto"/>
          <w:spacing w:val="-3"/>
          <w:sz w:val="24"/>
          <w:szCs w:val="24"/>
          <w:highlight w:val="none"/>
        </w:rPr>
        <w:t>承包人应负责修复，直至检验合格为止。</w:t>
      </w:r>
    </w:p>
    <w:p w14:paraId="1874BEA2">
      <w:pPr>
        <w:spacing w:line="313" w:lineRule="auto"/>
        <w:rPr>
          <w:rFonts w:ascii="宋体" w:hAnsi="宋体" w:eastAsia="宋体" w:cs="宋体"/>
          <w:color w:val="auto"/>
          <w:sz w:val="24"/>
          <w:szCs w:val="24"/>
          <w:highlight w:val="none"/>
        </w:rPr>
        <w:sectPr>
          <w:footerReference r:id="rId69" w:type="default"/>
          <w:pgSz w:w="11907" w:h="16841"/>
          <w:pgMar w:top="1428" w:right="1342" w:bottom="1254" w:left="1597" w:header="0" w:footer="1093" w:gutter="0"/>
          <w:pgNumType w:fmt="decimal"/>
          <w:cols w:space="720" w:num="1"/>
        </w:sectPr>
      </w:pPr>
    </w:p>
    <w:p w14:paraId="6F60D81F">
      <w:pPr>
        <w:spacing w:before="46" w:line="313" w:lineRule="auto"/>
        <w:ind w:left="3" w:right="66" w:firstLine="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19.2.3  </w:t>
      </w:r>
      <w:r>
        <w:rPr>
          <w:rFonts w:ascii="宋体" w:hAnsi="宋体" w:eastAsia="宋体" w:cs="宋体"/>
          <w:color w:val="auto"/>
          <w:spacing w:val="-3"/>
          <w:sz w:val="24"/>
          <w:szCs w:val="24"/>
          <w:highlight w:val="none"/>
        </w:rPr>
        <w:t>监理人和承包人应共同查清缺陷和（或）损坏的原因。经查明属承包人原</w:t>
      </w:r>
      <w:r>
        <w:rPr>
          <w:rFonts w:ascii="宋体" w:hAnsi="宋体" w:eastAsia="宋体" w:cs="宋体"/>
          <w:color w:val="auto"/>
          <w:spacing w:val="-6"/>
          <w:sz w:val="24"/>
          <w:szCs w:val="24"/>
          <w:highlight w:val="none"/>
        </w:rPr>
        <w:t>因造成的，应由承包人承担修复和查验的费用。经查验属发包人原因造成的， 发包人</w:t>
      </w:r>
      <w:r>
        <w:rPr>
          <w:rFonts w:ascii="宋体" w:hAnsi="宋体" w:eastAsia="宋体" w:cs="宋体"/>
          <w:color w:val="auto"/>
          <w:spacing w:val="-2"/>
          <w:sz w:val="24"/>
          <w:szCs w:val="24"/>
          <w:highlight w:val="none"/>
        </w:rPr>
        <w:t>应承担修复和查验的费用，并支付承包人合理利润。</w:t>
      </w:r>
    </w:p>
    <w:p w14:paraId="2660A428">
      <w:pPr>
        <w:spacing w:before="182" w:line="289" w:lineRule="auto"/>
        <w:ind w:left="10" w:right="66" w:firstLine="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19.2.4  </w:t>
      </w:r>
      <w:r>
        <w:rPr>
          <w:rFonts w:ascii="宋体" w:hAnsi="宋体" w:eastAsia="宋体" w:cs="宋体"/>
          <w:color w:val="auto"/>
          <w:spacing w:val="-3"/>
          <w:sz w:val="24"/>
          <w:szCs w:val="24"/>
          <w:highlight w:val="none"/>
        </w:rPr>
        <w:t>承包人不能在合理时间内修复缺陷的，发包人可自行修复或委托其他人修</w:t>
      </w:r>
      <w:r>
        <w:rPr>
          <w:rFonts w:ascii="宋体" w:hAnsi="宋体" w:eastAsia="宋体" w:cs="宋体"/>
          <w:color w:val="auto"/>
          <w:spacing w:val="-2"/>
          <w:sz w:val="24"/>
          <w:szCs w:val="24"/>
          <w:highlight w:val="none"/>
        </w:rPr>
        <w:t>复，所需费用和利润的承担，按第</w:t>
      </w:r>
      <w:r>
        <w:rPr>
          <w:rFonts w:ascii="Times New Roman" w:hAnsi="Times New Roman" w:eastAsia="Times New Roman" w:cs="Times New Roman"/>
          <w:color w:val="auto"/>
          <w:spacing w:val="-2"/>
          <w:sz w:val="24"/>
          <w:szCs w:val="24"/>
          <w:highlight w:val="none"/>
        </w:rPr>
        <w:t>19.2.3</w:t>
      </w:r>
      <w:r>
        <w:rPr>
          <w:rFonts w:ascii="宋体" w:hAnsi="宋体" w:eastAsia="宋体" w:cs="宋体"/>
          <w:color w:val="auto"/>
          <w:spacing w:val="-2"/>
          <w:sz w:val="24"/>
          <w:szCs w:val="24"/>
          <w:highlight w:val="none"/>
        </w:rPr>
        <w:t>项约定办理。</w:t>
      </w:r>
    </w:p>
    <w:p w14:paraId="35FF5394">
      <w:pPr>
        <w:spacing w:before="182" w:line="220" w:lineRule="auto"/>
        <w:ind w:left="10"/>
        <w:outlineLvl w:val="1"/>
        <w:rPr>
          <w:rFonts w:ascii="宋体" w:hAnsi="宋体" w:eastAsia="宋体" w:cs="宋体"/>
          <w:color w:val="auto"/>
          <w:sz w:val="24"/>
          <w:szCs w:val="24"/>
          <w:highlight w:val="none"/>
        </w:rPr>
      </w:pPr>
      <w:bookmarkStart w:id="691" w:name="bookmark282"/>
      <w:bookmarkEnd w:id="691"/>
      <w:bookmarkStart w:id="692" w:name="_Toc26114"/>
      <w:bookmarkStart w:id="693" w:name="_Toc12437"/>
      <w:r>
        <w:rPr>
          <w:rFonts w:ascii="Times New Roman" w:hAnsi="Times New Roman" w:eastAsia="Times New Roman" w:cs="Times New Roman"/>
          <w:b/>
          <w:bCs/>
          <w:color w:val="auto"/>
          <w:spacing w:val="-3"/>
          <w:sz w:val="24"/>
          <w:szCs w:val="24"/>
          <w:highlight w:val="none"/>
        </w:rPr>
        <w:t xml:space="preserve">19.3  </w:t>
      </w:r>
      <w:r>
        <w:rPr>
          <w:rFonts w:ascii="宋体" w:hAnsi="宋体" w:eastAsia="宋体" w:cs="宋体"/>
          <w:b/>
          <w:bCs/>
          <w:color w:val="auto"/>
          <w:spacing w:val="-3"/>
          <w:sz w:val="24"/>
          <w:szCs w:val="24"/>
          <w:highlight w:val="none"/>
        </w:rPr>
        <w:t>缺陷责任期的延长</w:t>
      </w:r>
      <w:bookmarkEnd w:id="692"/>
      <w:bookmarkEnd w:id="693"/>
    </w:p>
    <w:p w14:paraId="1CFEAAE1">
      <w:pPr>
        <w:spacing w:before="181" w:line="359" w:lineRule="auto"/>
        <w:ind w:left="3" w:right="64" w:firstLine="509"/>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由于承包人原因造成某项缺陷或损坏使某项工程或工程设备不能按原定目标使</w:t>
      </w:r>
      <w:r>
        <w:rPr>
          <w:rFonts w:ascii="宋体" w:hAnsi="宋体" w:eastAsia="宋体" w:cs="宋体"/>
          <w:color w:val="auto"/>
          <w:spacing w:val="-6"/>
          <w:sz w:val="24"/>
          <w:szCs w:val="24"/>
          <w:highlight w:val="none"/>
        </w:rPr>
        <w:t>用而需要再次检查、检验和修复的， 发包人有权要求承包人相应延长缺陷责任期，但</w:t>
      </w:r>
      <w:r>
        <w:rPr>
          <w:rFonts w:ascii="宋体" w:hAnsi="宋体" w:eastAsia="宋体" w:cs="宋体"/>
          <w:color w:val="auto"/>
          <w:spacing w:val="-3"/>
          <w:sz w:val="24"/>
          <w:szCs w:val="24"/>
          <w:highlight w:val="none"/>
        </w:rPr>
        <w:t>缺陷责任期最长不超过</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年。</w:t>
      </w:r>
    </w:p>
    <w:p w14:paraId="15B69FAD">
      <w:pPr>
        <w:spacing w:line="219" w:lineRule="auto"/>
        <w:ind w:left="10"/>
        <w:outlineLvl w:val="1"/>
        <w:rPr>
          <w:rFonts w:ascii="宋体" w:hAnsi="宋体" w:eastAsia="宋体" w:cs="宋体"/>
          <w:color w:val="auto"/>
          <w:sz w:val="24"/>
          <w:szCs w:val="24"/>
          <w:highlight w:val="none"/>
        </w:rPr>
      </w:pPr>
      <w:bookmarkStart w:id="694" w:name="bookmark283"/>
      <w:bookmarkEnd w:id="694"/>
      <w:bookmarkStart w:id="695" w:name="_Toc18687"/>
      <w:bookmarkStart w:id="696" w:name="_Toc21035"/>
      <w:r>
        <w:rPr>
          <w:rFonts w:ascii="Times New Roman" w:hAnsi="Times New Roman" w:eastAsia="Times New Roman" w:cs="Times New Roman"/>
          <w:b/>
          <w:bCs/>
          <w:color w:val="auto"/>
          <w:spacing w:val="-2"/>
          <w:sz w:val="24"/>
          <w:szCs w:val="24"/>
          <w:highlight w:val="none"/>
        </w:rPr>
        <w:t xml:space="preserve">19.4  </w:t>
      </w:r>
      <w:r>
        <w:rPr>
          <w:rFonts w:ascii="宋体" w:hAnsi="宋体" w:eastAsia="宋体" w:cs="宋体"/>
          <w:b/>
          <w:bCs/>
          <w:color w:val="auto"/>
          <w:spacing w:val="-2"/>
          <w:sz w:val="24"/>
          <w:szCs w:val="24"/>
          <w:highlight w:val="none"/>
        </w:rPr>
        <w:t>进一步试验和试运行</w:t>
      </w:r>
      <w:bookmarkEnd w:id="695"/>
      <w:bookmarkEnd w:id="696"/>
    </w:p>
    <w:p w14:paraId="7E2CB57A">
      <w:pPr>
        <w:spacing w:before="181" w:line="359" w:lineRule="auto"/>
        <w:ind w:left="3" w:firstLine="479"/>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任何一项缺陷或损坏修复后，经检查证明其影响了工程或工程设备的使用性能，</w:t>
      </w:r>
      <w:r>
        <w:rPr>
          <w:rFonts w:ascii="宋体" w:hAnsi="宋体" w:eastAsia="宋体" w:cs="宋体"/>
          <w:color w:val="auto"/>
          <w:spacing w:val="-3"/>
          <w:sz w:val="24"/>
          <w:szCs w:val="24"/>
          <w:highlight w:val="none"/>
        </w:rPr>
        <w:t>承包人应重新进行合同约定的试验和试运行，试验和试运行的全部费用应由责任方承</w:t>
      </w:r>
      <w:r>
        <w:rPr>
          <w:rFonts w:ascii="宋体" w:hAnsi="宋体" w:eastAsia="宋体" w:cs="宋体"/>
          <w:color w:val="auto"/>
          <w:spacing w:val="-12"/>
          <w:sz w:val="24"/>
          <w:szCs w:val="24"/>
          <w:highlight w:val="none"/>
        </w:rPr>
        <w:t>担。</w:t>
      </w:r>
    </w:p>
    <w:p w14:paraId="0835B326">
      <w:pPr>
        <w:spacing w:before="1" w:line="219" w:lineRule="auto"/>
        <w:ind w:left="10"/>
        <w:outlineLvl w:val="1"/>
        <w:rPr>
          <w:rFonts w:ascii="宋体" w:hAnsi="宋体" w:eastAsia="宋体" w:cs="宋体"/>
          <w:color w:val="auto"/>
          <w:sz w:val="24"/>
          <w:szCs w:val="24"/>
          <w:highlight w:val="none"/>
        </w:rPr>
      </w:pPr>
      <w:bookmarkStart w:id="697" w:name="bookmark284"/>
      <w:bookmarkEnd w:id="697"/>
      <w:bookmarkStart w:id="698" w:name="_Toc32646"/>
      <w:bookmarkStart w:id="699" w:name="_Toc1291"/>
      <w:r>
        <w:rPr>
          <w:rFonts w:ascii="Times New Roman" w:hAnsi="Times New Roman" w:eastAsia="Times New Roman" w:cs="Times New Roman"/>
          <w:b/>
          <w:bCs/>
          <w:color w:val="auto"/>
          <w:spacing w:val="-3"/>
          <w:sz w:val="24"/>
          <w:szCs w:val="24"/>
          <w:highlight w:val="none"/>
        </w:rPr>
        <w:t xml:space="preserve">19.5  </w:t>
      </w:r>
      <w:r>
        <w:rPr>
          <w:rFonts w:ascii="宋体" w:hAnsi="宋体" w:eastAsia="宋体" w:cs="宋体"/>
          <w:b/>
          <w:bCs/>
          <w:color w:val="auto"/>
          <w:spacing w:val="-3"/>
          <w:sz w:val="24"/>
          <w:szCs w:val="24"/>
          <w:highlight w:val="none"/>
        </w:rPr>
        <w:t>承包人的进入权</w:t>
      </w:r>
      <w:bookmarkEnd w:id="698"/>
      <w:bookmarkEnd w:id="699"/>
    </w:p>
    <w:p w14:paraId="464E3FAF">
      <w:pPr>
        <w:spacing w:before="180" w:line="360" w:lineRule="auto"/>
        <w:ind w:left="23" w:right="66" w:firstLine="46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缺陷责任期内承包人为缺陷修复工作需要，有权进入工程现场，但应遵守发包人</w:t>
      </w:r>
      <w:r>
        <w:rPr>
          <w:rFonts w:ascii="宋体" w:hAnsi="宋体" w:eastAsia="宋体" w:cs="宋体"/>
          <w:color w:val="auto"/>
          <w:spacing w:val="-7"/>
          <w:sz w:val="24"/>
          <w:szCs w:val="24"/>
          <w:highlight w:val="none"/>
        </w:rPr>
        <w:t>的保安和保密规定。</w:t>
      </w:r>
    </w:p>
    <w:p w14:paraId="413C98F0">
      <w:pPr>
        <w:spacing w:before="1" w:line="218" w:lineRule="auto"/>
        <w:ind w:left="10"/>
        <w:outlineLvl w:val="1"/>
        <w:rPr>
          <w:rFonts w:ascii="宋体" w:hAnsi="宋体" w:eastAsia="宋体" w:cs="宋体"/>
          <w:color w:val="auto"/>
          <w:sz w:val="24"/>
          <w:szCs w:val="24"/>
          <w:highlight w:val="none"/>
        </w:rPr>
      </w:pPr>
      <w:bookmarkStart w:id="700" w:name="bookmark285"/>
      <w:bookmarkEnd w:id="700"/>
      <w:bookmarkStart w:id="701" w:name="_Toc28345"/>
      <w:bookmarkStart w:id="702" w:name="_Toc13675"/>
      <w:r>
        <w:rPr>
          <w:rFonts w:ascii="Times New Roman" w:hAnsi="Times New Roman" w:eastAsia="Times New Roman" w:cs="Times New Roman"/>
          <w:b/>
          <w:bCs/>
          <w:color w:val="auto"/>
          <w:spacing w:val="-2"/>
          <w:sz w:val="24"/>
          <w:szCs w:val="24"/>
          <w:highlight w:val="none"/>
        </w:rPr>
        <w:t xml:space="preserve">19.6  </w:t>
      </w:r>
      <w:r>
        <w:rPr>
          <w:rFonts w:ascii="宋体" w:hAnsi="宋体" w:eastAsia="宋体" w:cs="宋体"/>
          <w:b/>
          <w:bCs/>
          <w:color w:val="auto"/>
          <w:spacing w:val="-2"/>
          <w:sz w:val="24"/>
          <w:szCs w:val="24"/>
          <w:highlight w:val="none"/>
        </w:rPr>
        <w:t>缺陷责任期终止证书（工程质量保修</w:t>
      </w:r>
      <w:r>
        <w:rPr>
          <w:rFonts w:ascii="宋体" w:hAnsi="宋体" w:eastAsia="宋体" w:cs="宋体"/>
          <w:b/>
          <w:bCs/>
          <w:color w:val="auto"/>
          <w:spacing w:val="-3"/>
          <w:sz w:val="24"/>
          <w:szCs w:val="24"/>
          <w:highlight w:val="none"/>
        </w:rPr>
        <w:t>责任终止证书）</w:t>
      </w:r>
      <w:bookmarkEnd w:id="701"/>
      <w:bookmarkEnd w:id="702"/>
    </w:p>
    <w:p w14:paraId="274DCE2E">
      <w:pPr>
        <w:spacing w:before="181" w:line="359" w:lineRule="auto"/>
        <w:ind w:left="3" w:right="66"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合同工程完工验收或投入使用验收后，发包人与承包人应办理工程交接手续，承包人应向发包人递交工程质量保修书。</w:t>
      </w:r>
    </w:p>
    <w:p w14:paraId="4E4A7D69">
      <w:pPr>
        <w:spacing w:before="2" w:line="359" w:lineRule="auto"/>
        <w:ind w:left="4" w:right="66" w:firstLine="479"/>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缺陷责任期（工程质量保修期）满后</w:t>
      </w:r>
      <w:r>
        <w:rPr>
          <w:rFonts w:ascii="Times New Roman" w:hAnsi="Times New Roman" w:eastAsia="Times New Roman" w:cs="Times New Roman"/>
          <w:color w:val="auto"/>
          <w:spacing w:val="-3"/>
          <w:sz w:val="24"/>
          <w:szCs w:val="24"/>
          <w:highlight w:val="none"/>
        </w:rPr>
        <w:t>30</w:t>
      </w:r>
      <w:r>
        <w:rPr>
          <w:rFonts w:ascii="宋体" w:hAnsi="宋体" w:eastAsia="宋体" w:cs="宋体"/>
          <w:color w:val="auto"/>
          <w:spacing w:val="-3"/>
          <w:sz w:val="24"/>
          <w:szCs w:val="24"/>
          <w:highlight w:val="none"/>
        </w:rPr>
        <w:t>个工作日内，发包人应向承包人颁发工程质量保修责任终止证书，并退还剩余的质量保证金，但保修责任范围内的质量缺陷未</w:t>
      </w:r>
      <w:r>
        <w:rPr>
          <w:rFonts w:ascii="宋体" w:hAnsi="宋体" w:eastAsia="宋体" w:cs="宋体"/>
          <w:color w:val="auto"/>
          <w:spacing w:val="-5"/>
          <w:sz w:val="24"/>
          <w:szCs w:val="24"/>
          <w:highlight w:val="none"/>
        </w:rPr>
        <w:t>处理完成的应除外。</w:t>
      </w:r>
    </w:p>
    <w:p w14:paraId="3F9048C1">
      <w:pPr>
        <w:spacing w:before="1" w:line="219" w:lineRule="auto"/>
        <w:ind w:left="10"/>
        <w:outlineLvl w:val="1"/>
        <w:rPr>
          <w:rFonts w:ascii="宋体" w:hAnsi="宋体" w:eastAsia="宋体" w:cs="宋体"/>
          <w:color w:val="auto"/>
          <w:sz w:val="24"/>
          <w:szCs w:val="24"/>
          <w:highlight w:val="none"/>
        </w:rPr>
      </w:pPr>
      <w:bookmarkStart w:id="703" w:name="bookmark286"/>
      <w:bookmarkEnd w:id="703"/>
      <w:bookmarkStart w:id="704" w:name="_Toc24452"/>
      <w:bookmarkStart w:id="705" w:name="_Toc3892"/>
      <w:r>
        <w:rPr>
          <w:rFonts w:ascii="Times New Roman" w:hAnsi="Times New Roman" w:eastAsia="Times New Roman" w:cs="Times New Roman"/>
          <w:b/>
          <w:bCs/>
          <w:color w:val="auto"/>
          <w:spacing w:val="-3"/>
          <w:sz w:val="24"/>
          <w:szCs w:val="24"/>
          <w:highlight w:val="none"/>
        </w:rPr>
        <w:t xml:space="preserve">19.7  </w:t>
      </w:r>
      <w:r>
        <w:rPr>
          <w:rFonts w:ascii="宋体" w:hAnsi="宋体" w:eastAsia="宋体" w:cs="宋体"/>
          <w:b/>
          <w:bCs/>
          <w:color w:val="auto"/>
          <w:spacing w:val="-3"/>
          <w:sz w:val="24"/>
          <w:szCs w:val="24"/>
          <w:highlight w:val="none"/>
        </w:rPr>
        <w:t>保修责任</w:t>
      </w:r>
      <w:bookmarkEnd w:id="704"/>
      <w:bookmarkEnd w:id="705"/>
    </w:p>
    <w:p w14:paraId="2A0B7FB6">
      <w:pPr>
        <w:spacing w:before="179" w:line="361" w:lineRule="auto"/>
        <w:ind w:left="4" w:right="66" w:firstLine="480"/>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合同当事人根据有关法律规定，在专用合同条款中约定工程质量保修范围、期限和责任。在全部工程完工验收前，已经发包人提前验收的单位工程，其保修期的起算</w:t>
      </w:r>
      <w:r>
        <w:rPr>
          <w:rFonts w:ascii="宋体" w:hAnsi="宋体" w:eastAsia="宋体" w:cs="宋体"/>
          <w:color w:val="auto"/>
          <w:spacing w:val="-6"/>
          <w:sz w:val="24"/>
          <w:szCs w:val="24"/>
          <w:highlight w:val="none"/>
        </w:rPr>
        <w:t>日期相应提前。</w:t>
      </w:r>
    </w:p>
    <w:p w14:paraId="3CCBFCC2">
      <w:pPr>
        <w:spacing w:before="120" w:line="221" w:lineRule="auto"/>
        <w:outlineLvl w:val="0"/>
        <w:rPr>
          <w:rFonts w:ascii="宋体" w:hAnsi="宋体" w:eastAsia="宋体" w:cs="宋体"/>
          <w:color w:val="auto"/>
          <w:sz w:val="28"/>
          <w:szCs w:val="28"/>
          <w:highlight w:val="none"/>
        </w:rPr>
      </w:pPr>
      <w:bookmarkStart w:id="706" w:name="bookmark288"/>
      <w:bookmarkEnd w:id="706"/>
      <w:bookmarkStart w:id="707" w:name="bookmark287"/>
      <w:bookmarkEnd w:id="707"/>
      <w:bookmarkStart w:id="708" w:name="_Toc10211"/>
      <w:bookmarkStart w:id="709" w:name="_Toc13651"/>
      <w:r>
        <w:rPr>
          <w:rFonts w:ascii="Times New Roman" w:hAnsi="Times New Roman" w:eastAsia="Times New Roman" w:cs="Times New Roman"/>
          <w:b/>
          <w:bCs/>
          <w:color w:val="auto"/>
          <w:spacing w:val="-4"/>
          <w:sz w:val="28"/>
          <w:szCs w:val="28"/>
          <w:highlight w:val="none"/>
        </w:rPr>
        <w:t>20</w:t>
      </w:r>
      <w:r>
        <w:rPr>
          <w:rFonts w:ascii="Times New Roman" w:hAnsi="Times New Roman" w:eastAsia="Times New Roman" w:cs="Times New Roman"/>
          <w:b/>
          <w:bCs/>
          <w:color w:val="auto"/>
          <w:spacing w:val="5"/>
          <w:sz w:val="28"/>
          <w:szCs w:val="28"/>
          <w:highlight w:val="none"/>
        </w:rPr>
        <w:t xml:space="preserve"> </w:t>
      </w:r>
      <w:r>
        <w:rPr>
          <w:rFonts w:hint="eastAsia" w:ascii="Times New Roman" w:hAnsi="Times New Roman" w:eastAsia="宋体" w:cs="Times New Roman"/>
          <w:b/>
          <w:bCs/>
          <w:color w:val="auto"/>
          <w:spacing w:val="5"/>
          <w:sz w:val="28"/>
          <w:szCs w:val="28"/>
          <w:highlight w:val="none"/>
          <w:lang w:eastAsia="zh-CN"/>
        </w:rPr>
        <w:t>、</w:t>
      </w:r>
      <w:r>
        <w:rPr>
          <w:rFonts w:ascii="宋体" w:hAnsi="宋体" w:eastAsia="宋体" w:cs="宋体"/>
          <w:b/>
          <w:bCs/>
          <w:color w:val="auto"/>
          <w:spacing w:val="-4"/>
          <w:sz w:val="28"/>
          <w:szCs w:val="28"/>
          <w:highlight w:val="none"/>
        </w:rPr>
        <w:t>保险</w:t>
      </w:r>
      <w:bookmarkEnd w:id="708"/>
      <w:bookmarkEnd w:id="709"/>
    </w:p>
    <w:p w14:paraId="47C7A0EF">
      <w:pPr>
        <w:pStyle w:val="3"/>
        <w:spacing w:line="245" w:lineRule="auto"/>
        <w:rPr>
          <w:color w:val="auto"/>
          <w:highlight w:val="none"/>
        </w:rPr>
      </w:pPr>
    </w:p>
    <w:p w14:paraId="5C61FA53">
      <w:pPr>
        <w:spacing w:before="78" w:line="220" w:lineRule="auto"/>
        <w:outlineLvl w:val="1"/>
        <w:rPr>
          <w:rFonts w:ascii="宋体" w:hAnsi="宋体" w:eastAsia="宋体" w:cs="宋体"/>
          <w:color w:val="auto"/>
          <w:sz w:val="24"/>
          <w:szCs w:val="24"/>
          <w:highlight w:val="none"/>
        </w:rPr>
      </w:pPr>
      <w:bookmarkStart w:id="710" w:name="bookmark706"/>
      <w:bookmarkEnd w:id="710"/>
      <w:bookmarkStart w:id="711" w:name="_Toc30561"/>
      <w:bookmarkStart w:id="712" w:name="_Toc20805"/>
      <w:r>
        <w:rPr>
          <w:rFonts w:ascii="Times New Roman" w:hAnsi="Times New Roman" w:eastAsia="Times New Roman" w:cs="Times New Roman"/>
          <w:b/>
          <w:bCs/>
          <w:color w:val="auto"/>
          <w:spacing w:val="-2"/>
          <w:sz w:val="24"/>
          <w:szCs w:val="24"/>
          <w:highlight w:val="none"/>
        </w:rPr>
        <w:t xml:space="preserve">20.1  </w:t>
      </w:r>
      <w:r>
        <w:rPr>
          <w:rFonts w:ascii="宋体" w:hAnsi="宋体" w:eastAsia="宋体" w:cs="宋体"/>
          <w:b/>
          <w:bCs/>
          <w:color w:val="auto"/>
          <w:spacing w:val="-2"/>
          <w:sz w:val="24"/>
          <w:szCs w:val="24"/>
          <w:highlight w:val="none"/>
        </w:rPr>
        <w:t>建筑安装工程保险</w:t>
      </w:r>
      <w:bookmarkEnd w:id="711"/>
      <w:bookmarkEnd w:id="712"/>
    </w:p>
    <w:p w14:paraId="75217AFE">
      <w:pPr>
        <w:spacing w:before="179" w:line="220" w:lineRule="auto"/>
        <w:ind w:left="49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除专用合同条款另有约定外，承包人应以发包人和承包</w:t>
      </w:r>
      <w:r>
        <w:rPr>
          <w:rFonts w:ascii="宋体" w:hAnsi="宋体" w:eastAsia="宋体" w:cs="宋体"/>
          <w:color w:val="auto"/>
          <w:spacing w:val="-4"/>
          <w:sz w:val="24"/>
          <w:szCs w:val="24"/>
          <w:highlight w:val="none"/>
        </w:rPr>
        <w:t>人的共同名义向双方同意</w:t>
      </w:r>
    </w:p>
    <w:p w14:paraId="08702301">
      <w:pPr>
        <w:spacing w:line="220" w:lineRule="auto"/>
        <w:rPr>
          <w:rFonts w:ascii="宋体" w:hAnsi="宋体" w:eastAsia="宋体" w:cs="宋体"/>
          <w:color w:val="auto"/>
          <w:sz w:val="24"/>
          <w:szCs w:val="24"/>
          <w:highlight w:val="none"/>
        </w:rPr>
        <w:sectPr>
          <w:footerReference r:id="rId70" w:type="default"/>
          <w:pgSz w:w="11907" w:h="16841"/>
          <w:pgMar w:top="1428" w:right="1462" w:bottom="1254" w:left="1594" w:header="0" w:footer="1093" w:gutter="0"/>
          <w:pgNumType w:fmt="decimal"/>
          <w:cols w:space="720" w:num="1"/>
        </w:sectPr>
      </w:pPr>
    </w:p>
    <w:p w14:paraId="4627EBA6">
      <w:pPr>
        <w:spacing w:before="48" w:line="359" w:lineRule="auto"/>
        <w:ind w:left="16" w:right="71" w:firstLine="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的保险人投保建筑工程一切险、安装工程一切险</w:t>
      </w:r>
      <w:r>
        <w:rPr>
          <w:rFonts w:ascii="宋体" w:hAnsi="宋体" w:eastAsia="宋体" w:cs="宋体"/>
          <w:color w:val="auto"/>
          <w:spacing w:val="-4"/>
          <w:sz w:val="24"/>
          <w:szCs w:val="24"/>
          <w:highlight w:val="none"/>
        </w:rPr>
        <w:t>。其具体的投保内容、保险金额、保</w:t>
      </w:r>
      <w:r>
        <w:rPr>
          <w:rFonts w:ascii="宋体" w:hAnsi="宋体" w:eastAsia="宋体" w:cs="宋体"/>
          <w:color w:val="auto"/>
          <w:spacing w:val="-3"/>
          <w:sz w:val="24"/>
          <w:szCs w:val="24"/>
          <w:highlight w:val="none"/>
        </w:rPr>
        <w:t>险费率、保险期限等有关内容在专用合同条款中约定。</w:t>
      </w:r>
    </w:p>
    <w:p w14:paraId="4B51131D">
      <w:pPr>
        <w:spacing w:line="219" w:lineRule="auto"/>
        <w:outlineLvl w:val="1"/>
        <w:rPr>
          <w:rFonts w:ascii="宋体" w:hAnsi="宋体" w:eastAsia="宋体" w:cs="宋体"/>
          <w:color w:val="auto"/>
          <w:sz w:val="24"/>
          <w:szCs w:val="24"/>
          <w:highlight w:val="none"/>
        </w:rPr>
      </w:pPr>
      <w:bookmarkStart w:id="713" w:name="bookmark289"/>
      <w:bookmarkEnd w:id="713"/>
      <w:bookmarkStart w:id="714" w:name="_Toc25715"/>
      <w:bookmarkStart w:id="715" w:name="_Toc6208"/>
      <w:r>
        <w:rPr>
          <w:rFonts w:ascii="Times New Roman" w:hAnsi="Times New Roman" w:eastAsia="Times New Roman" w:cs="Times New Roman"/>
          <w:b/>
          <w:bCs/>
          <w:color w:val="auto"/>
          <w:spacing w:val="-2"/>
          <w:sz w:val="24"/>
          <w:szCs w:val="24"/>
          <w:highlight w:val="none"/>
        </w:rPr>
        <w:t xml:space="preserve">20.2  </w:t>
      </w:r>
      <w:r>
        <w:rPr>
          <w:rFonts w:ascii="宋体" w:hAnsi="宋体" w:eastAsia="宋体" w:cs="宋体"/>
          <w:b/>
          <w:bCs/>
          <w:color w:val="auto"/>
          <w:spacing w:val="-2"/>
          <w:sz w:val="24"/>
          <w:szCs w:val="24"/>
          <w:highlight w:val="none"/>
        </w:rPr>
        <w:t>人员工伤事故的保险</w:t>
      </w:r>
      <w:bookmarkEnd w:id="714"/>
      <w:bookmarkEnd w:id="715"/>
    </w:p>
    <w:p w14:paraId="15F55040">
      <w:pPr>
        <w:spacing w:before="182"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20.2.1  </w:t>
      </w:r>
      <w:r>
        <w:rPr>
          <w:rFonts w:ascii="宋体" w:hAnsi="宋体" w:eastAsia="宋体" w:cs="宋体"/>
          <w:color w:val="auto"/>
          <w:spacing w:val="-1"/>
          <w:sz w:val="24"/>
          <w:szCs w:val="24"/>
          <w:highlight w:val="none"/>
        </w:rPr>
        <w:t>承包人员工伤事故的保险</w:t>
      </w:r>
    </w:p>
    <w:p w14:paraId="09249907">
      <w:pPr>
        <w:spacing w:before="180" w:line="359" w:lineRule="auto"/>
        <w:ind w:left="5" w:right="66" w:firstLine="47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承包人应依照有关法律规定参加工伤保险，为其履行合同所雇佣的全部人员，缴</w:t>
      </w:r>
      <w:r>
        <w:rPr>
          <w:rFonts w:ascii="宋体" w:hAnsi="宋体" w:eastAsia="宋体" w:cs="宋体"/>
          <w:color w:val="auto"/>
          <w:spacing w:val="-2"/>
          <w:sz w:val="24"/>
          <w:szCs w:val="24"/>
          <w:highlight w:val="none"/>
        </w:rPr>
        <w:t>纳工伤保险费，并要求其分包人也进行此项保险。</w:t>
      </w:r>
    </w:p>
    <w:p w14:paraId="0CF27BA7">
      <w:pPr>
        <w:spacing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20.2.2  </w:t>
      </w:r>
      <w:r>
        <w:rPr>
          <w:rFonts w:ascii="宋体" w:hAnsi="宋体" w:eastAsia="宋体" w:cs="宋体"/>
          <w:color w:val="auto"/>
          <w:spacing w:val="-1"/>
          <w:sz w:val="24"/>
          <w:szCs w:val="24"/>
          <w:highlight w:val="none"/>
        </w:rPr>
        <w:t>发包人员工伤事故的保险</w:t>
      </w:r>
    </w:p>
    <w:p w14:paraId="7C006F5A">
      <w:pPr>
        <w:spacing w:before="182" w:line="359" w:lineRule="auto"/>
        <w:ind w:left="6" w:right="66"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发包人应依照有关法律规定参加工伤保险，为其现场机构雇佣的全部人员，缴纳工伤保险费，并要求其监理人也进行此项保险。</w:t>
      </w:r>
    </w:p>
    <w:p w14:paraId="790D2E5D">
      <w:pPr>
        <w:spacing w:before="1" w:line="219" w:lineRule="auto"/>
        <w:outlineLvl w:val="1"/>
        <w:rPr>
          <w:rFonts w:ascii="宋体" w:hAnsi="宋体" w:eastAsia="宋体" w:cs="宋体"/>
          <w:color w:val="auto"/>
          <w:sz w:val="24"/>
          <w:szCs w:val="24"/>
          <w:highlight w:val="none"/>
        </w:rPr>
      </w:pPr>
      <w:bookmarkStart w:id="716" w:name="bookmark290"/>
      <w:bookmarkEnd w:id="716"/>
      <w:bookmarkStart w:id="717" w:name="_Toc23053"/>
      <w:bookmarkStart w:id="718" w:name="_Toc21004"/>
      <w:r>
        <w:rPr>
          <w:rFonts w:ascii="Times New Roman" w:hAnsi="Times New Roman" w:eastAsia="Times New Roman" w:cs="Times New Roman"/>
          <w:b/>
          <w:bCs/>
          <w:color w:val="auto"/>
          <w:spacing w:val="-2"/>
          <w:sz w:val="24"/>
          <w:szCs w:val="24"/>
          <w:highlight w:val="none"/>
        </w:rPr>
        <w:t xml:space="preserve">20.3  </w:t>
      </w:r>
      <w:r>
        <w:rPr>
          <w:rFonts w:ascii="宋体" w:hAnsi="宋体" w:eastAsia="宋体" w:cs="宋体"/>
          <w:b/>
          <w:bCs/>
          <w:color w:val="auto"/>
          <w:spacing w:val="-2"/>
          <w:sz w:val="24"/>
          <w:szCs w:val="24"/>
          <w:highlight w:val="none"/>
        </w:rPr>
        <w:t>人身意外伤害险</w:t>
      </w:r>
      <w:bookmarkEnd w:id="717"/>
      <w:bookmarkEnd w:id="718"/>
    </w:p>
    <w:p w14:paraId="705B8968">
      <w:pPr>
        <w:spacing w:before="182" w:line="359" w:lineRule="auto"/>
        <w:ind w:left="3" w:firstLine="483"/>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发包人和承包人可以为其施工现场的全部人员办理意外伤害保险并支付</w:t>
      </w:r>
      <w:r>
        <w:rPr>
          <w:rFonts w:ascii="宋体" w:hAnsi="宋体" w:eastAsia="宋体" w:cs="宋体"/>
          <w:color w:val="auto"/>
          <w:spacing w:val="-2"/>
          <w:sz w:val="24"/>
          <w:szCs w:val="24"/>
          <w:highlight w:val="none"/>
        </w:rPr>
        <w:t>保险费，</w:t>
      </w:r>
      <w:r>
        <w:rPr>
          <w:rFonts w:ascii="宋体" w:hAnsi="宋体" w:eastAsia="宋体" w:cs="宋体"/>
          <w:color w:val="auto"/>
          <w:spacing w:val="-3"/>
          <w:sz w:val="24"/>
          <w:szCs w:val="24"/>
          <w:highlight w:val="none"/>
        </w:rPr>
        <w:t>包括其员工及其为履行合同聘请的第三方的人员。具体事项由合同当事人在专用合同</w:t>
      </w:r>
      <w:r>
        <w:rPr>
          <w:rFonts w:ascii="宋体" w:hAnsi="宋体" w:eastAsia="宋体" w:cs="宋体"/>
          <w:color w:val="auto"/>
          <w:spacing w:val="-7"/>
          <w:sz w:val="24"/>
          <w:szCs w:val="24"/>
          <w:highlight w:val="none"/>
        </w:rPr>
        <w:t>条款中约定。</w:t>
      </w:r>
    </w:p>
    <w:p w14:paraId="26D87918">
      <w:pPr>
        <w:spacing w:line="219" w:lineRule="auto"/>
        <w:outlineLvl w:val="1"/>
        <w:rPr>
          <w:rFonts w:ascii="宋体" w:hAnsi="宋体" w:eastAsia="宋体" w:cs="宋体"/>
          <w:color w:val="auto"/>
          <w:sz w:val="24"/>
          <w:szCs w:val="24"/>
          <w:highlight w:val="none"/>
        </w:rPr>
      </w:pPr>
      <w:bookmarkStart w:id="719" w:name="bookmark291"/>
      <w:bookmarkEnd w:id="719"/>
      <w:bookmarkStart w:id="720" w:name="_Toc21635"/>
      <w:bookmarkStart w:id="721" w:name="_Toc23254"/>
      <w:r>
        <w:rPr>
          <w:rFonts w:ascii="Times New Roman" w:hAnsi="Times New Roman" w:eastAsia="Times New Roman" w:cs="Times New Roman"/>
          <w:b/>
          <w:bCs/>
          <w:color w:val="auto"/>
          <w:spacing w:val="-2"/>
          <w:sz w:val="24"/>
          <w:szCs w:val="24"/>
          <w:highlight w:val="none"/>
        </w:rPr>
        <w:t xml:space="preserve">20.4  </w:t>
      </w:r>
      <w:r>
        <w:rPr>
          <w:rFonts w:ascii="宋体" w:hAnsi="宋体" w:eastAsia="宋体" w:cs="宋体"/>
          <w:b/>
          <w:bCs/>
          <w:color w:val="auto"/>
          <w:spacing w:val="-2"/>
          <w:sz w:val="24"/>
          <w:szCs w:val="24"/>
          <w:highlight w:val="none"/>
        </w:rPr>
        <w:t>安全生产责任保险</w:t>
      </w:r>
      <w:bookmarkEnd w:id="720"/>
      <w:bookmarkEnd w:id="721"/>
    </w:p>
    <w:p w14:paraId="5852DAB5">
      <w:pPr>
        <w:spacing w:before="180" w:line="313" w:lineRule="auto"/>
        <w:ind w:left="5" w:right="212"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20.4.1  </w:t>
      </w:r>
      <w:r>
        <w:rPr>
          <w:rFonts w:ascii="宋体" w:hAnsi="宋体" w:eastAsia="宋体" w:cs="宋体"/>
          <w:color w:val="auto"/>
          <w:sz w:val="24"/>
          <w:szCs w:val="24"/>
          <w:highlight w:val="none"/>
        </w:rPr>
        <w:t>安全生产责任保险系指在保险期内，对因生产安全事故造成</w:t>
      </w:r>
      <w:r>
        <w:rPr>
          <w:rFonts w:ascii="宋体" w:hAnsi="宋体" w:eastAsia="宋体" w:cs="宋体"/>
          <w:color w:val="auto"/>
          <w:spacing w:val="-1"/>
          <w:sz w:val="24"/>
          <w:szCs w:val="24"/>
          <w:highlight w:val="none"/>
        </w:rPr>
        <w:t>的从业人员</w:t>
      </w:r>
      <w:r>
        <w:rPr>
          <w:rFonts w:ascii="宋体" w:hAnsi="宋体" w:eastAsia="宋体" w:cs="宋体"/>
          <w:color w:val="auto"/>
          <w:sz w:val="24"/>
          <w:szCs w:val="24"/>
          <w:highlight w:val="none"/>
        </w:rPr>
        <w:t>人身伤亡赔偿，第三者人身伤亡和财产损失赔偿，事</w:t>
      </w:r>
      <w:r>
        <w:rPr>
          <w:rFonts w:ascii="宋体" w:hAnsi="宋体" w:eastAsia="宋体" w:cs="宋体"/>
          <w:color w:val="auto"/>
          <w:spacing w:val="-1"/>
          <w:sz w:val="24"/>
          <w:szCs w:val="24"/>
          <w:highlight w:val="none"/>
        </w:rPr>
        <w:t>故抢险救援、医疗救护、事故</w:t>
      </w:r>
      <w:r>
        <w:rPr>
          <w:rFonts w:ascii="宋体" w:hAnsi="宋体" w:eastAsia="宋体" w:cs="宋体"/>
          <w:color w:val="auto"/>
          <w:sz w:val="24"/>
          <w:szCs w:val="24"/>
          <w:highlight w:val="none"/>
        </w:rPr>
        <w:t>鉴定、法律诉讼等费用和事先经保险人书面</w:t>
      </w:r>
      <w:r>
        <w:rPr>
          <w:rFonts w:ascii="宋体" w:hAnsi="宋体" w:eastAsia="宋体" w:cs="宋体"/>
          <w:color w:val="auto"/>
          <w:spacing w:val="-1"/>
          <w:sz w:val="24"/>
          <w:szCs w:val="24"/>
          <w:highlight w:val="none"/>
        </w:rPr>
        <w:t>同意支付的其他费用等赔偿责任</w:t>
      </w:r>
      <w:r>
        <w:rPr>
          <w:rFonts w:ascii="宋体" w:hAnsi="宋体" w:eastAsia="宋体" w:cs="宋体"/>
          <w:b/>
          <w:bCs/>
          <w:color w:val="auto"/>
          <w:spacing w:val="-1"/>
          <w:sz w:val="24"/>
          <w:szCs w:val="24"/>
          <w:highlight w:val="none"/>
        </w:rPr>
        <w:t>。</w:t>
      </w:r>
    </w:p>
    <w:p w14:paraId="479A0C89">
      <w:pPr>
        <w:spacing w:before="181" w:line="290" w:lineRule="auto"/>
        <w:ind w:left="16" w:right="332" w:firstLine="463"/>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20.4.2  </w:t>
      </w:r>
      <w:r>
        <w:rPr>
          <w:rFonts w:ascii="宋体" w:hAnsi="宋体" w:eastAsia="宋体" w:cs="宋体"/>
          <w:color w:val="auto"/>
          <w:sz w:val="24"/>
          <w:szCs w:val="24"/>
          <w:highlight w:val="none"/>
        </w:rPr>
        <w:t>在缺陷责任期终止证书颁发前，投保第</w:t>
      </w:r>
      <w:r>
        <w:rPr>
          <w:rFonts w:ascii="Times New Roman" w:hAnsi="Times New Roman" w:eastAsia="Times New Roman" w:cs="Times New Roman"/>
          <w:color w:val="auto"/>
          <w:sz w:val="24"/>
          <w:szCs w:val="24"/>
          <w:highlight w:val="none"/>
        </w:rPr>
        <w:t>20.4.1</w:t>
      </w:r>
      <w:r>
        <w:rPr>
          <w:rFonts w:ascii="宋体" w:hAnsi="宋体" w:eastAsia="宋体" w:cs="宋体"/>
          <w:color w:val="auto"/>
          <w:sz w:val="24"/>
          <w:szCs w:val="24"/>
          <w:highlight w:val="none"/>
        </w:rPr>
        <w:t>项约定的安全</w:t>
      </w:r>
      <w:r>
        <w:rPr>
          <w:rFonts w:ascii="宋体" w:hAnsi="宋体" w:eastAsia="宋体" w:cs="宋体"/>
          <w:color w:val="auto"/>
          <w:spacing w:val="-1"/>
          <w:sz w:val="24"/>
          <w:szCs w:val="24"/>
          <w:highlight w:val="none"/>
        </w:rPr>
        <w:t>生产责任保</w:t>
      </w:r>
      <w:r>
        <w:rPr>
          <w:rFonts w:ascii="宋体" w:hAnsi="宋体" w:eastAsia="宋体" w:cs="宋体"/>
          <w:color w:val="auto"/>
          <w:spacing w:val="-3"/>
          <w:sz w:val="24"/>
          <w:szCs w:val="24"/>
          <w:highlight w:val="none"/>
        </w:rPr>
        <w:t>险，其保险费用在安全生产措施费中列支。</w:t>
      </w:r>
    </w:p>
    <w:p w14:paraId="74F8C1BB">
      <w:pPr>
        <w:spacing w:before="180" w:line="220" w:lineRule="auto"/>
        <w:outlineLvl w:val="1"/>
        <w:rPr>
          <w:rFonts w:ascii="宋体" w:hAnsi="宋体" w:eastAsia="宋体" w:cs="宋体"/>
          <w:color w:val="auto"/>
          <w:sz w:val="24"/>
          <w:szCs w:val="24"/>
          <w:highlight w:val="none"/>
        </w:rPr>
      </w:pPr>
      <w:bookmarkStart w:id="722" w:name="bookmark292"/>
      <w:bookmarkEnd w:id="722"/>
      <w:bookmarkStart w:id="723" w:name="_Toc28226"/>
      <w:bookmarkStart w:id="724" w:name="_Toc9882"/>
      <w:r>
        <w:rPr>
          <w:rFonts w:ascii="Times New Roman" w:hAnsi="Times New Roman" w:eastAsia="Times New Roman" w:cs="Times New Roman"/>
          <w:b/>
          <w:bCs/>
          <w:color w:val="auto"/>
          <w:spacing w:val="-2"/>
          <w:sz w:val="24"/>
          <w:szCs w:val="24"/>
          <w:highlight w:val="none"/>
        </w:rPr>
        <w:t xml:space="preserve">20.5  </w:t>
      </w:r>
      <w:r>
        <w:rPr>
          <w:rFonts w:ascii="宋体" w:hAnsi="宋体" w:eastAsia="宋体" w:cs="宋体"/>
          <w:b/>
          <w:bCs/>
          <w:color w:val="auto"/>
          <w:spacing w:val="-2"/>
          <w:sz w:val="24"/>
          <w:szCs w:val="24"/>
          <w:highlight w:val="none"/>
        </w:rPr>
        <w:t>其他保险</w:t>
      </w:r>
      <w:bookmarkEnd w:id="723"/>
      <w:bookmarkEnd w:id="724"/>
    </w:p>
    <w:p w14:paraId="4D39E0E9">
      <w:pPr>
        <w:spacing w:before="182" w:line="359" w:lineRule="auto"/>
        <w:ind w:left="8" w:right="66" w:firstLine="48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除专用合同条款另有约定外，承包人应为其施工设备、</w:t>
      </w:r>
      <w:r>
        <w:rPr>
          <w:rFonts w:ascii="宋体" w:hAnsi="宋体" w:eastAsia="宋体" w:cs="宋体"/>
          <w:color w:val="auto"/>
          <w:spacing w:val="-4"/>
          <w:sz w:val="24"/>
          <w:szCs w:val="24"/>
          <w:highlight w:val="none"/>
        </w:rPr>
        <w:t>进场的材料和工程设备等</w:t>
      </w:r>
      <w:r>
        <w:rPr>
          <w:rFonts w:ascii="宋体" w:hAnsi="宋体" w:eastAsia="宋体" w:cs="宋体"/>
          <w:color w:val="auto"/>
          <w:spacing w:val="-8"/>
          <w:sz w:val="24"/>
          <w:szCs w:val="24"/>
          <w:highlight w:val="none"/>
        </w:rPr>
        <w:t>办理保险。</w:t>
      </w:r>
    </w:p>
    <w:p w14:paraId="3F985EAE">
      <w:pPr>
        <w:spacing w:before="1" w:line="220" w:lineRule="auto"/>
        <w:outlineLvl w:val="1"/>
        <w:rPr>
          <w:rFonts w:ascii="宋体" w:hAnsi="宋体" w:eastAsia="宋体" w:cs="宋体"/>
          <w:color w:val="auto"/>
          <w:sz w:val="24"/>
          <w:szCs w:val="24"/>
          <w:highlight w:val="none"/>
        </w:rPr>
      </w:pPr>
      <w:bookmarkStart w:id="725" w:name="bookmark293"/>
      <w:bookmarkEnd w:id="725"/>
      <w:bookmarkStart w:id="726" w:name="_Toc14051"/>
      <w:bookmarkStart w:id="727" w:name="_Toc29897"/>
      <w:r>
        <w:rPr>
          <w:rFonts w:ascii="Times New Roman" w:hAnsi="Times New Roman" w:eastAsia="Times New Roman" w:cs="Times New Roman"/>
          <w:b/>
          <w:bCs/>
          <w:color w:val="auto"/>
          <w:spacing w:val="-2"/>
          <w:sz w:val="24"/>
          <w:szCs w:val="24"/>
          <w:highlight w:val="none"/>
        </w:rPr>
        <w:t xml:space="preserve">20.6  </w:t>
      </w:r>
      <w:r>
        <w:rPr>
          <w:rFonts w:ascii="宋体" w:hAnsi="宋体" w:eastAsia="宋体" w:cs="宋体"/>
          <w:b/>
          <w:bCs/>
          <w:color w:val="auto"/>
          <w:spacing w:val="-2"/>
          <w:sz w:val="24"/>
          <w:szCs w:val="24"/>
          <w:highlight w:val="none"/>
        </w:rPr>
        <w:t>对各项保险的一般要求</w:t>
      </w:r>
      <w:bookmarkEnd w:id="726"/>
      <w:bookmarkEnd w:id="727"/>
    </w:p>
    <w:p w14:paraId="67F9926F">
      <w:pPr>
        <w:spacing w:before="178"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20.6.1  </w:t>
      </w:r>
      <w:r>
        <w:rPr>
          <w:rFonts w:ascii="宋体" w:hAnsi="宋体" w:eastAsia="宋体" w:cs="宋体"/>
          <w:color w:val="auto"/>
          <w:spacing w:val="-1"/>
          <w:sz w:val="24"/>
          <w:szCs w:val="24"/>
          <w:highlight w:val="none"/>
        </w:rPr>
        <w:t>保险凭证</w:t>
      </w:r>
    </w:p>
    <w:p w14:paraId="33A3FA5A">
      <w:pPr>
        <w:spacing w:before="183" w:line="359" w:lineRule="auto"/>
        <w:ind w:left="16" w:right="64" w:firstLine="46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承包人应在专用合同条款约定的期限内向发包人提交各项保险生效的证据和保</w:t>
      </w:r>
      <w:r>
        <w:rPr>
          <w:rFonts w:ascii="宋体" w:hAnsi="宋体" w:eastAsia="宋体" w:cs="宋体"/>
          <w:color w:val="auto"/>
          <w:spacing w:val="-2"/>
          <w:sz w:val="24"/>
          <w:szCs w:val="24"/>
          <w:highlight w:val="none"/>
        </w:rPr>
        <w:t>险单副本，保险单必须与专用合同条款约定的条件保持一致。</w:t>
      </w:r>
    </w:p>
    <w:p w14:paraId="3E5A4403">
      <w:pPr>
        <w:spacing w:before="1"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20.6.2  </w:t>
      </w:r>
      <w:r>
        <w:rPr>
          <w:rFonts w:ascii="宋体" w:hAnsi="宋体" w:eastAsia="宋体" w:cs="宋体"/>
          <w:color w:val="auto"/>
          <w:spacing w:val="-1"/>
          <w:sz w:val="24"/>
          <w:szCs w:val="24"/>
          <w:highlight w:val="none"/>
        </w:rPr>
        <w:t>保险合同条款的变动</w:t>
      </w:r>
    </w:p>
    <w:p w14:paraId="6BFEAF2D">
      <w:pPr>
        <w:spacing w:before="180" w:line="359" w:lineRule="auto"/>
        <w:ind w:left="5" w:right="68" w:firstLine="47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承包人需要变动保险合同条款时，应事先征得发包人同意，并通知监理人。保险</w:t>
      </w:r>
      <w:r>
        <w:rPr>
          <w:rFonts w:ascii="宋体" w:hAnsi="宋体" w:eastAsia="宋体" w:cs="宋体"/>
          <w:color w:val="auto"/>
          <w:spacing w:val="-2"/>
          <w:sz w:val="24"/>
          <w:szCs w:val="24"/>
          <w:highlight w:val="none"/>
        </w:rPr>
        <w:t>人作出变动的，承包人应在收到保险人通知后立即通知发包人和监理人。</w:t>
      </w:r>
    </w:p>
    <w:p w14:paraId="214D48E9">
      <w:pPr>
        <w:spacing w:before="1"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20.6.3  </w:t>
      </w:r>
      <w:r>
        <w:rPr>
          <w:rFonts w:ascii="宋体" w:hAnsi="宋体" w:eastAsia="宋体" w:cs="宋体"/>
          <w:color w:val="auto"/>
          <w:spacing w:val="-1"/>
          <w:sz w:val="24"/>
          <w:szCs w:val="24"/>
          <w:highlight w:val="none"/>
        </w:rPr>
        <w:t>持续保险</w:t>
      </w:r>
    </w:p>
    <w:p w14:paraId="4B892064">
      <w:pPr>
        <w:spacing w:line="219" w:lineRule="auto"/>
        <w:rPr>
          <w:rFonts w:ascii="宋体" w:hAnsi="宋体" w:eastAsia="宋体" w:cs="宋体"/>
          <w:color w:val="auto"/>
          <w:sz w:val="24"/>
          <w:szCs w:val="24"/>
          <w:highlight w:val="none"/>
        </w:rPr>
        <w:sectPr>
          <w:footerReference r:id="rId71" w:type="default"/>
          <w:pgSz w:w="11907" w:h="16841"/>
          <w:pgMar w:top="1428" w:right="1462" w:bottom="1254" w:left="1594" w:header="0" w:footer="1093" w:gutter="0"/>
          <w:pgNumType w:fmt="decimal"/>
          <w:cols w:space="720" w:num="1"/>
        </w:sectPr>
      </w:pPr>
    </w:p>
    <w:p w14:paraId="31DD2DD0">
      <w:pPr>
        <w:spacing w:before="48" w:line="359" w:lineRule="auto"/>
        <w:ind w:left="5" w:right="85" w:firstLine="47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承包人应与保险人保持联系，使保险人能够随时了解工程实施中的变动，并确保</w:t>
      </w:r>
      <w:r>
        <w:rPr>
          <w:rFonts w:ascii="宋体" w:hAnsi="宋体" w:eastAsia="宋体" w:cs="宋体"/>
          <w:color w:val="auto"/>
          <w:spacing w:val="-4"/>
          <w:sz w:val="24"/>
          <w:szCs w:val="24"/>
          <w:highlight w:val="none"/>
        </w:rPr>
        <w:t>按保险合同条款要求持续保险。</w:t>
      </w:r>
    </w:p>
    <w:p w14:paraId="4227A6B0">
      <w:pPr>
        <w:spacing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20.6.4  </w:t>
      </w:r>
      <w:r>
        <w:rPr>
          <w:rFonts w:ascii="宋体" w:hAnsi="宋体" w:eastAsia="宋体" w:cs="宋体"/>
          <w:color w:val="auto"/>
          <w:spacing w:val="-1"/>
          <w:sz w:val="24"/>
          <w:szCs w:val="24"/>
          <w:highlight w:val="none"/>
        </w:rPr>
        <w:t>保险金不足的补偿</w:t>
      </w:r>
    </w:p>
    <w:p w14:paraId="1269D31A">
      <w:pPr>
        <w:spacing w:before="181" w:line="359" w:lineRule="auto"/>
        <w:ind w:left="5" w:right="85"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保险金不足以补偿损失时，应由承包人和发包人各自负责补偿的范围和金额在专</w:t>
      </w:r>
      <w:r>
        <w:rPr>
          <w:rFonts w:ascii="宋体" w:hAnsi="宋体" w:eastAsia="宋体" w:cs="宋体"/>
          <w:color w:val="auto"/>
          <w:spacing w:val="-5"/>
          <w:sz w:val="24"/>
          <w:szCs w:val="24"/>
          <w:highlight w:val="none"/>
        </w:rPr>
        <w:t>用合同条款中约定。</w:t>
      </w:r>
    </w:p>
    <w:p w14:paraId="2F9EA7F5">
      <w:pPr>
        <w:spacing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20.6.5  </w:t>
      </w:r>
      <w:r>
        <w:rPr>
          <w:rFonts w:ascii="宋体" w:hAnsi="宋体" w:eastAsia="宋体" w:cs="宋体"/>
          <w:color w:val="auto"/>
          <w:spacing w:val="-1"/>
          <w:sz w:val="24"/>
          <w:szCs w:val="24"/>
          <w:highlight w:val="none"/>
        </w:rPr>
        <w:t>未按约定投保的补救</w:t>
      </w:r>
    </w:p>
    <w:p w14:paraId="5D045BB5">
      <w:pPr>
        <w:spacing w:before="179" w:line="290" w:lineRule="auto"/>
        <w:ind w:left="6" w:right="85" w:firstLine="483"/>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）由于负有投保义务的一方当事人未按合同约定办理保险，或未能使保险持</w:t>
      </w:r>
      <w:r>
        <w:rPr>
          <w:rFonts w:ascii="宋体" w:hAnsi="宋体" w:eastAsia="宋体" w:cs="宋体"/>
          <w:color w:val="auto"/>
          <w:spacing w:val="-2"/>
          <w:sz w:val="24"/>
          <w:szCs w:val="24"/>
          <w:highlight w:val="none"/>
        </w:rPr>
        <w:t>续有效的，另一方当事人可代为办理，所需费用由对方当事人承担。</w:t>
      </w:r>
    </w:p>
    <w:p w14:paraId="6D701425">
      <w:pPr>
        <w:spacing w:before="179" w:line="313" w:lineRule="auto"/>
        <w:ind w:left="5" w:right="85"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）由于负有投保义务的一方当事人未按合同约定办理某项保险，导致受益人</w:t>
      </w:r>
      <w:r>
        <w:rPr>
          <w:rFonts w:ascii="宋体" w:hAnsi="宋体" w:eastAsia="宋体" w:cs="宋体"/>
          <w:color w:val="auto"/>
          <w:spacing w:val="-3"/>
          <w:sz w:val="24"/>
          <w:szCs w:val="24"/>
          <w:highlight w:val="none"/>
        </w:rPr>
        <w:t>未能得到保险人的赔偿，原应从该项保险得到的保险金应由负有投保义务的一方当事</w:t>
      </w:r>
      <w:r>
        <w:rPr>
          <w:rFonts w:ascii="宋体" w:hAnsi="宋体" w:eastAsia="宋体" w:cs="宋体"/>
          <w:color w:val="auto"/>
          <w:spacing w:val="-9"/>
          <w:sz w:val="24"/>
          <w:szCs w:val="24"/>
          <w:highlight w:val="none"/>
        </w:rPr>
        <w:t>人支付。</w:t>
      </w:r>
    </w:p>
    <w:p w14:paraId="51793446">
      <w:pPr>
        <w:spacing w:before="182" w:line="218"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20.6.6  </w:t>
      </w:r>
      <w:r>
        <w:rPr>
          <w:rFonts w:ascii="宋体" w:hAnsi="宋体" w:eastAsia="宋体" w:cs="宋体"/>
          <w:color w:val="auto"/>
          <w:spacing w:val="-1"/>
          <w:sz w:val="24"/>
          <w:szCs w:val="24"/>
          <w:highlight w:val="none"/>
        </w:rPr>
        <w:t>报告义务</w:t>
      </w:r>
    </w:p>
    <w:p w14:paraId="2E4FFDB4">
      <w:pPr>
        <w:spacing w:before="183" w:line="218" w:lineRule="auto"/>
        <w:jc w:val="right"/>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当保险事故发生时，投保人应按照保险单规定的条件和期限及时向保险人报告。</w:t>
      </w:r>
    </w:p>
    <w:p w14:paraId="31EC496E">
      <w:pPr>
        <w:spacing w:before="183" w:line="220" w:lineRule="auto"/>
        <w:outlineLvl w:val="1"/>
        <w:rPr>
          <w:rFonts w:ascii="宋体" w:hAnsi="宋体" w:eastAsia="宋体" w:cs="宋体"/>
          <w:color w:val="auto"/>
          <w:sz w:val="24"/>
          <w:szCs w:val="24"/>
          <w:highlight w:val="none"/>
        </w:rPr>
      </w:pPr>
      <w:bookmarkStart w:id="728" w:name="bookmark294"/>
      <w:bookmarkEnd w:id="728"/>
      <w:bookmarkStart w:id="729" w:name="_Toc20859"/>
      <w:bookmarkStart w:id="730" w:name="_Toc89"/>
      <w:r>
        <w:rPr>
          <w:rFonts w:ascii="Times New Roman" w:hAnsi="Times New Roman" w:eastAsia="Times New Roman" w:cs="Times New Roman"/>
          <w:b/>
          <w:bCs/>
          <w:color w:val="auto"/>
          <w:spacing w:val="-2"/>
          <w:sz w:val="24"/>
          <w:szCs w:val="24"/>
          <w:highlight w:val="none"/>
        </w:rPr>
        <w:t xml:space="preserve">20.7  </w:t>
      </w:r>
      <w:r>
        <w:rPr>
          <w:rFonts w:ascii="宋体" w:hAnsi="宋体" w:eastAsia="宋体" w:cs="宋体"/>
          <w:b/>
          <w:bCs/>
          <w:color w:val="auto"/>
          <w:spacing w:val="-2"/>
          <w:sz w:val="24"/>
          <w:szCs w:val="24"/>
          <w:highlight w:val="none"/>
        </w:rPr>
        <w:t>风险责任的转移</w:t>
      </w:r>
      <w:bookmarkEnd w:id="729"/>
      <w:bookmarkEnd w:id="730"/>
    </w:p>
    <w:p w14:paraId="155C8111">
      <w:pPr>
        <w:spacing w:before="182" w:line="361" w:lineRule="auto"/>
        <w:ind w:left="4" w:right="18" w:firstLine="481"/>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工程通过合同工程完工验收并移交给发包人后，原由承包人应承担的风险</w:t>
      </w:r>
      <w:r>
        <w:rPr>
          <w:rFonts w:ascii="宋体" w:hAnsi="宋体" w:eastAsia="宋体" w:cs="宋体"/>
          <w:color w:val="auto"/>
          <w:spacing w:val="-2"/>
          <w:sz w:val="24"/>
          <w:szCs w:val="24"/>
          <w:highlight w:val="none"/>
        </w:rPr>
        <w:t>责任，</w:t>
      </w:r>
      <w:r>
        <w:rPr>
          <w:rFonts w:ascii="宋体" w:hAnsi="宋体" w:eastAsia="宋体" w:cs="宋体"/>
          <w:color w:val="auto"/>
          <w:spacing w:val="-6"/>
          <w:sz w:val="24"/>
          <w:szCs w:val="24"/>
          <w:highlight w:val="none"/>
        </w:rPr>
        <w:t>以及保险的责任、权利和义务同时转移给发包人， 但承包人在缺陷责</w:t>
      </w:r>
      <w:r>
        <w:rPr>
          <w:rFonts w:ascii="宋体" w:hAnsi="宋体" w:eastAsia="宋体" w:cs="宋体"/>
          <w:color w:val="auto"/>
          <w:spacing w:val="-7"/>
          <w:sz w:val="24"/>
          <w:szCs w:val="24"/>
          <w:highlight w:val="none"/>
        </w:rPr>
        <w:t>任期（工程质量</w:t>
      </w:r>
      <w:r>
        <w:rPr>
          <w:rFonts w:ascii="宋体" w:hAnsi="宋体" w:eastAsia="宋体" w:cs="宋体"/>
          <w:color w:val="auto"/>
          <w:spacing w:val="-3"/>
          <w:sz w:val="24"/>
          <w:szCs w:val="24"/>
          <w:highlight w:val="none"/>
        </w:rPr>
        <w:t>保修期）前造成损失和损坏情形除外。</w:t>
      </w:r>
    </w:p>
    <w:p w14:paraId="271D2492">
      <w:pPr>
        <w:spacing w:before="118" w:line="220" w:lineRule="auto"/>
        <w:outlineLvl w:val="0"/>
        <w:rPr>
          <w:rFonts w:ascii="宋体" w:hAnsi="宋体" w:eastAsia="宋体" w:cs="宋体"/>
          <w:color w:val="auto"/>
          <w:sz w:val="28"/>
          <w:szCs w:val="28"/>
          <w:highlight w:val="none"/>
        </w:rPr>
      </w:pPr>
      <w:bookmarkStart w:id="731" w:name="bookmark295"/>
      <w:bookmarkEnd w:id="731"/>
      <w:bookmarkStart w:id="732" w:name="bookmark296"/>
      <w:bookmarkEnd w:id="732"/>
      <w:bookmarkStart w:id="733" w:name="_Toc27847"/>
      <w:bookmarkStart w:id="734" w:name="_Toc28908"/>
      <w:r>
        <w:rPr>
          <w:rFonts w:ascii="Times New Roman" w:hAnsi="Times New Roman" w:eastAsia="Times New Roman" w:cs="Times New Roman"/>
          <w:b/>
          <w:bCs/>
          <w:color w:val="auto"/>
          <w:spacing w:val="-5"/>
          <w:sz w:val="28"/>
          <w:szCs w:val="28"/>
          <w:highlight w:val="none"/>
        </w:rPr>
        <w:t>21</w:t>
      </w:r>
      <w:r>
        <w:rPr>
          <w:rFonts w:hint="eastAsia" w:ascii="Times New Roman" w:hAnsi="Times New Roman" w:eastAsia="宋体" w:cs="Times New Roman"/>
          <w:b/>
          <w:bCs/>
          <w:color w:val="auto"/>
          <w:spacing w:val="8"/>
          <w:sz w:val="28"/>
          <w:szCs w:val="28"/>
          <w:highlight w:val="none"/>
          <w:lang w:eastAsia="zh-CN"/>
        </w:rPr>
        <w:t>、</w:t>
      </w:r>
      <w:r>
        <w:rPr>
          <w:rFonts w:ascii="宋体" w:hAnsi="宋体" w:eastAsia="宋体" w:cs="宋体"/>
          <w:b/>
          <w:bCs/>
          <w:color w:val="auto"/>
          <w:spacing w:val="-5"/>
          <w:sz w:val="28"/>
          <w:szCs w:val="28"/>
          <w:highlight w:val="none"/>
        </w:rPr>
        <w:t>不可抗力</w:t>
      </w:r>
      <w:bookmarkEnd w:id="733"/>
      <w:bookmarkEnd w:id="734"/>
    </w:p>
    <w:p w14:paraId="397BF702">
      <w:pPr>
        <w:pStyle w:val="3"/>
        <w:spacing w:line="245" w:lineRule="auto"/>
        <w:rPr>
          <w:color w:val="auto"/>
          <w:highlight w:val="none"/>
        </w:rPr>
      </w:pPr>
    </w:p>
    <w:p w14:paraId="0DA0BF17">
      <w:pPr>
        <w:spacing w:before="78" w:line="220" w:lineRule="auto"/>
        <w:outlineLvl w:val="1"/>
        <w:rPr>
          <w:rFonts w:ascii="宋体" w:hAnsi="宋体" w:eastAsia="宋体" w:cs="宋体"/>
          <w:color w:val="auto"/>
          <w:sz w:val="24"/>
          <w:szCs w:val="24"/>
          <w:highlight w:val="none"/>
        </w:rPr>
      </w:pPr>
      <w:bookmarkStart w:id="735" w:name="bookmark707"/>
      <w:bookmarkEnd w:id="735"/>
      <w:bookmarkStart w:id="736" w:name="_Toc12636"/>
      <w:bookmarkStart w:id="737" w:name="_Toc21340"/>
      <w:r>
        <w:rPr>
          <w:rFonts w:ascii="Times New Roman" w:hAnsi="Times New Roman" w:eastAsia="Times New Roman" w:cs="Times New Roman"/>
          <w:b/>
          <w:bCs/>
          <w:color w:val="auto"/>
          <w:spacing w:val="-2"/>
          <w:sz w:val="24"/>
          <w:szCs w:val="24"/>
          <w:highlight w:val="none"/>
        </w:rPr>
        <w:t xml:space="preserve">21.1  </w:t>
      </w:r>
      <w:r>
        <w:rPr>
          <w:rFonts w:ascii="宋体" w:hAnsi="宋体" w:eastAsia="宋体" w:cs="宋体"/>
          <w:b/>
          <w:bCs/>
          <w:color w:val="auto"/>
          <w:spacing w:val="-2"/>
          <w:sz w:val="24"/>
          <w:szCs w:val="24"/>
          <w:highlight w:val="none"/>
        </w:rPr>
        <w:t>不可抗力的确认</w:t>
      </w:r>
      <w:bookmarkEnd w:id="736"/>
      <w:bookmarkEnd w:id="737"/>
    </w:p>
    <w:p w14:paraId="3ED9DECA">
      <w:pPr>
        <w:spacing w:before="184" w:line="312" w:lineRule="auto"/>
        <w:ind w:left="3" w:right="85" w:firstLine="478"/>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21.1.1  </w:t>
      </w:r>
      <w:r>
        <w:rPr>
          <w:rFonts w:ascii="宋体" w:hAnsi="宋体" w:eastAsia="宋体" w:cs="宋体"/>
          <w:color w:val="auto"/>
          <w:spacing w:val="-2"/>
          <w:sz w:val="24"/>
          <w:szCs w:val="24"/>
          <w:highlight w:val="none"/>
        </w:rPr>
        <w:t>不可抗力是指承包人和发</w:t>
      </w:r>
      <w:r>
        <w:rPr>
          <w:rFonts w:ascii="宋体" w:hAnsi="宋体" w:eastAsia="宋体" w:cs="宋体"/>
          <w:color w:val="auto"/>
          <w:spacing w:val="-3"/>
          <w:sz w:val="24"/>
          <w:szCs w:val="24"/>
          <w:highlight w:val="none"/>
        </w:rPr>
        <w:t>包人在订立合同时不可预见，在工程施工过程中</w:t>
      </w:r>
      <w:r>
        <w:rPr>
          <w:rFonts w:ascii="宋体" w:hAnsi="宋体" w:eastAsia="宋体" w:cs="宋体"/>
          <w:color w:val="auto"/>
          <w:spacing w:val="-10"/>
          <w:sz w:val="24"/>
          <w:szCs w:val="24"/>
          <w:highlight w:val="none"/>
        </w:rPr>
        <w:t>不可避免发生并不能克服的自然灾害和社会性突发事件，如地震、海啸、瘟疫、水灾、</w:t>
      </w:r>
      <w:r>
        <w:rPr>
          <w:rFonts w:ascii="宋体" w:hAnsi="宋体" w:eastAsia="宋体" w:cs="宋体"/>
          <w:color w:val="auto"/>
          <w:spacing w:val="-2"/>
          <w:sz w:val="24"/>
          <w:szCs w:val="24"/>
          <w:highlight w:val="none"/>
        </w:rPr>
        <w:t>骚乱、暴动、战争和专用合同条款约定的其他情形。</w:t>
      </w:r>
    </w:p>
    <w:p w14:paraId="1EB1D513">
      <w:pPr>
        <w:spacing w:before="180" w:line="313" w:lineRule="auto"/>
        <w:ind w:left="4" w:right="85"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21.1.2  </w:t>
      </w:r>
      <w:r>
        <w:rPr>
          <w:rFonts w:ascii="宋体" w:hAnsi="宋体" w:eastAsia="宋体" w:cs="宋体"/>
          <w:color w:val="auto"/>
          <w:spacing w:val="-3"/>
          <w:sz w:val="24"/>
          <w:szCs w:val="24"/>
          <w:highlight w:val="none"/>
        </w:rPr>
        <w:t>不可抗力发生后，发包人和承包人应及时认真统计所造成的损失，收集不可抗力造成损失的证据。合同双方对是否属于不可抗力或其损失的意见不一致的，由</w:t>
      </w:r>
      <w:r>
        <w:rPr>
          <w:rFonts w:ascii="宋体" w:hAnsi="宋体" w:eastAsia="宋体" w:cs="宋体"/>
          <w:color w:val="auto"/>
          <w:spacing w:val="-1"/>
          <w:sz w:val="24"/>
          <w:szCs w:val="24"/>
          <w:highlight w:val="none"/>
        </w:rPr>
        <w:t>监理人按第</w:t>
      </w:r>
      <w:r>
        <w:rPr>
          <w:rFonts w:ascii="Times New Roman" w:hAnsi="Times New Roman" w:eastAsia="Times New Roman" w:cs="Times New Roman"/>
          <w:color w:val="auto"/>
          <w:spacing w:val="-1"/>
          <w:sz w:val="24"/>
          <w:szCs w:val="24"/>
          <w:highlight w:val="none"/>
        </w:rPr>
        <w:t>3.5</w:t>
      </w:r>
      <w:r>
        <w:rPr>
          <w:rFonts w:ascii="宋体" w:hAnsi="宋体" w:eastAsia="宋体" w:cs="宋体"/>
          <w:color w:val="auto"/>
          <w:spacing w:val="-1"/>
          <w:sz w:val="24"/>
          <w:szCs w:val="24"/>
          <w:highlight w:val="none"/>
        </w:rPr>
        <w:t>款商定或确定。发生争议时，按</w:t>
      </w:r>
      <w:r>
        <w:rPr>
          <w:rFonts w:ascii="宋体" w:hAnsi="宋体" w:eastAsia="宋体" w:cs="宋体"/>
          <w:color w:val="auto"/>
          <w:spacing w:val="-2"/>
          <w:sz w:val="24"/>
          <w:szCs w:val="24"/>
          <w:highlight w:val="none"/>
        </w:rPr>
        <w:t>第</w:t>
      </w:r>
      <w:r>
        <w:rPr>
          <w:rFonts w:ascii="Times New Roman" w:hAnsi="Times New Roman" w:eastAsia="Times New Roman" w:cs="Times New Roman"/>
          <w:color w:val="auto"/>
          <w:spacing w:val="-2"/>
          <w:sz w:val="24"/>
          <w:szCs w:val="24"/>
          <w:highlight w:val="none"/>
        </w:rPr>
        <w:t>24</w:t>
      </w:r>
      <w:r>
        <w:rPr>
          <w:rFonts w:ascii="宋体" w:hAnsi="宋体" w:eastAsia="宋体" w:cs="宋体"/>
          <w:color w:val="auto"/>
          <w:spacing w:val="-2"/>
          <w:sz w:val="24"/>
          <w:szCs w:val="24"/>
          <w:highlight w:val="none"/>
        </w:rPr>
        <w:t>条的约定办理。</w:t>
      </w:r>
    </w:p>
    <w:p w14:paraId="1140D0FE">
      <w:pPr>
        <w:spacing w:before="182" w:line="220" w:lineRule="auto"/>
        <w:outlineLvl w:val="1"/>
        <w:rPr>
          <w:rFonts w:ascii="宋体" w:hAnsi="宋体" w:eastAsia="宋体" w:cs="宋体"/>
          <w:color w:val="auto"/>
          <w:sz w:val="24"/>
          <w:szCs w:val="24"/>
          <w:highlight w:val="none"/>
        </w:rPr>
      </w:pPr>
      <w:bookmarkStart w:id="738" w:name="bookmark297"/>
      <w:bookmarkEnd w:id="738"/>
      <w:bookmarkStart w:id="739" w:name="_Toc16084"/>
      <w:bookmarkStart w:id="740" w:name="_Toc22815"/>
      <w:r>
        <w:rPr>
          <w:rFonts w:ascii="Times New Roman" w:hAnsi="Times New Roman" w:eastAsia="Times New Roman" w:cs="Times New Roman"/>
          <w:b/>
          <w:bCs/>
          <w:color w:val="auto"/>
          <w:spacing w:val="-2"/>
          <w:sz w:val="24"/>
          <w:szCs w:val="24"/>
          <w:highlight w:val="none"/>
        </w:rPr>
        <w:t xml:space="preserve">21.2  </w:t>
      </w:r>
      <w:r>
        <w:rPr>
          <w:rFonts w:ascii="宋体" w:hAnsi="宋体" w:eastAsia="宋体" w:cs="宋体"/>
          <w:b/>
          <w:bCs/>
          <w:color w:val="auto"/>
          <w:spacing w:val="-2"/>
          <w:sz w:val="24"/>
          <w:szCs w:val="24"/>
          <w:highlight w:val="none"/>
        </w:rPr>
        <w:t>不可抗力的通知</w:t>
      </w:r>
      <w:bookmarkEnd w:id="739"/>
      <w:bookmarkEnd w:id="740"/>
    </w:p>
    <w:p w14:paraId="56641777">
      <w:pPr>
        <w:spacing w:before="182" w:line="360" w:lineRule="auto"/>
        <w:ind w:left="7" w:right="85" w:firstLine="474"/>
        <w:jc w:val="both"/>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21.2.1  </w:t>
      </w:r>
      <w:r>
        <w:rPr>
          <w:rFonts w:ascii="宋体" w:hAnsi="宋体" w:eastAsia="宋体" w:cs="宋体"/>
          <w:color w:val="auto"/>
          <w:spacing w:val="-3"/>
          <w:sz w:val="24"/>
          <w:szCs w:val="24"/>
          <w:highlight w:val="none"/>
        </w:rPr>
        <w:t>合同一方当事人遇到不可抗力事件，使其履行合同义务受到阻碍时，应立即通知合同另一方当事人和监理人，书面说明不可抗力和受阻碍的详细情况，并提供</w:t>
      </w:r>
      <w:r>
        <w:rPr>
          <w:rFonts w:ascii="宋体" w:hAnsi="宋体" w:eastAsia="宋体" w:cs="宋体"/>
          <w:color w:val="auto"/>
          <w:spacing w:val="-7"/>
          <w:sz w:val="24"/>
          <w:szCs w:val="24"/>
          <w:highlight w:val="none"/>
        </w:rPr>
        <w:t>必要的证明。</w:t>
      </w:r>
    </w:p>
    <w:p w14:paraId="6AF8337F">
      <w:pPr>
        <w:spacing w:line="360" w:lineRule="auto"/>
        <w:rPr>
          <w:rFonts w:ascii="宋体" w:hAnsi="宋体" w:eastAsia="宋体" w:cs="宋体"/>
          <w:color w:val="auto"/>
          <w:sz w:val="24"/>
          <w:szCs w:val="24"/>
          <w:highlight w:val="none"/>
        </w:rPr>
        <w:sectPr>
          <w:footerReference r:id="rId72" w:type="default"/>
          <w:pgSz w:w="11907" w:h="16841"/>
          <w:pgMar w:top="1428" w:right="1443" w:bottom="1254" w:left="1594" w:header="0" w:footer="1093" w:gutter="0"/>
          <w:pgNumType w:fmt="decimal"/>
          <w:cols w:space="720" w:num="1"/>
        </w:sectPr>
      </w:pPr>
    </w:p>
    <w:p w14:paraId="64BE37AA">
      <w:pPr>
        <w:spacing w:before="49" w:line="359" w:lineRule="auto"/>
        <w:ind w:left="6" w:right="61" w:firstLine="476"/>
        <w:jc w:val="both"/>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21.2.2  </w:t>
      </w:r>
      <w:r>
        <w:rPr>
          <w:rFonts w:ascii="宋体" w:hAnsi="宋体" w:eastAsia="宋体" w:cs="宋体"/>
          <w:color w:val="auto"/>
          <w:spacing w:val="-2"/>
          <w:sz w:val="24"/>
          <w:szCs w:val="24"/>
          <w:highlight w:val="none"/>
        </w:rPr>
        <w:t>如不可抗力持续发生，合</w:t>
      </w:r>
      <w:r>
        <w:rPr>
          <w:rFonts w:ascii="宋体" w:hAnsi="宋体" w:eastAsia="宋体" w:cs="宋体"/>
          <w:color w:val="auto"/>
          <w:spacing w:val="-3"/>
          <w:sz w:val="24"/>
          <w:szCs w:val="24"/>
          <w:highlight w:val="none"/>
        </w:rPr>
        <w:t>同一方当事人应及时向合同另一方当事人和监理人提交中间报告，说明不可抗力和履行合同受阻的情况，并于不可抗力事件结束后</w:t>
      </w:r>
      <w:r>
        <w:rPr>
          <w:rFonts w:ascii="Times New Roman" w:hAnsi="Times New Roman" w:eastAsia="Times New Roman" w:cs="Times New Roman"/>
          <w:color w:val="auto"/>
          <w:spacing w:val="-3"/>
          <w:sz w:val="24"/>
          <w:szCs w:val="24"/>
          <w:highlight w:val="none"/>
        </w:rPr>
        <w:t>28</w:t>
      </w:r>
      <w:r>
        <w:rPr>
          <w:rFonts w:ascii="宋体" w:hAnsi="宋体" w:eastAsia="宋体" w:cs="宋体"/>
          <w:color w:val="auto"/>
          <w:spacing w:val="-4"/>
          <w:sz w:val="24"/>
          <w:szCs w:val="24"/>
          <w:highlight w:val="none"/>
        </w:rPr>
        <w:t>天内提交最终报告及有关资料。</w:t>
      </w:r>
    </w:p>
    <w:p w14:paraId="51088AA2">
      <w:pPr>
        <w:spacing w:line="219" w:lineRule="auto"/>
        <w:outlineLvl w:val="1"/>
        <w:rPr>
          <w:rFonts w:ascii="宋体" w:hAnsi="宋体" w:eastAsia="宋体" w:cs="宋体"/>
          <w:color w:val="auto"/>
          <w:sz w:val="24"/>
          <w:szCs w:val="24"/>
          <w:highlight w:val="none"/>
        </w:rPr>
      </w:pPr>
      <w:bookmarkStart w:id="741" w:name="bookmark298"/>
      <w:bookmarkEnd w:id="741"/>
      <w:bookmarkStart w:id="742" w:name="_Toc19071"/>
      <w:bookmarkStart w:id="743" w:name="_Toc5756"/>
      <w:r>
        <w:rPr>
          <w:rFonts w:ascii="Times New Roman" w:hAnsi="Times New Roman" w:eastAsia="Times New Roman" w:cs="Times New Roman"/>
          <w:b/>
          <w:bCs/>
          <w:color w:val="auto"/>
          <w:spacing w:val="-2"/>
          <w:sz w:val="24"/>
          <w:szCs w:val="24"/>
          <w:highlight w:val="none"/>
        </w:rPr>
        <w:t xml:space="preserve">21.3  </w:t>
      </w:r>
      <w:r>
        <w:rPr>
          <w:rFonts w:ascii="宋体" w:hAnsi="宋体" w:eastAsia="宋体" w:cs="宋体"/>
          <w:b/>
          <w:bCs/>
          <w:color w:val="auto"/>
          <w:spacing w:val="-2"/>
          <w:sz w:val="24"/>
          <w:szCs w:val="24"/>
          <w:highlight w:val="none"/>
        </w:rPr>
        <w:t>不可抗力后果及其处理</w:t>
      </w:r>
      <w:bookmarkEnd w:id="742"/>
      <w:bookmarkEnd w:id="743"/>
    </w:p>
    <w:p w14:paraId="38BE4222">
      <w:pPr>
        <w:spacing w:before="179" w:line="220" w:lineRule="auto"/>
        <w:ind w:left="48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21.3.1  </w:t>
      </w:r>
      <w:r>
        <w:rPr>
          <w:rFonts w:ascii="宋体" w:hAnsi="宋体" w:eastAsia="宋体" w:cs="宋体"/>
          <w:color w:val="auto"/>
          <w:spacing w:val="-1"/>
          <w:sz w:val="24"/>
          <w:szCs w:val="24"/>
          <w:highlight w:val="none"/>
        </w:rPr>
        <w:t>不可抗力造成损害的责任</w:t>
      </w:r>
    </w:p>
    <w:p w14:paraId="5AFCCB2A">
      <w:pPr>
        <w:spacing w:before="182" w:line="359" w:lineRule="auto"/>
        <w:ind w:left="10" w:right="61" w:firstLine="48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除专用合同条款另有约定外，不可抗力导致的人员伤亡</w:t>
      </w:r>
      <w:r>
        <w:rPr>
          <w:rFonts w:ascii="宋体" w:hAnsi="宋体" w:eastAsia="宋体" w:cs="宋体"/>
          <w:color w:val="auto"/>
          <w:spacing w:val="-4"/>
          <w:sz w:val="24"/>
          <w:szCs w:val="24"/>
          <w:highlight w:val="none"/>
        </w:rPr>
        <w:t>、财产损失、费用增加和</w:t>
      </w:r>
      <w:r>
        <w:rPr>
          <w:rFonts w:ascii="宋体" w:hAnsi="宋体" w:eastAsia="宋体" w:cs="宋体"/>
          <w:color w:val="auto"/>
          <w:spacing w:val="-3"/>
          <w:sz w:val="24"/>
          <w:szCs w:val="24"/>
          <w:highlight w:val="none"/>
        </w:rPr>
        <w:t>（或）工期延误等后果，由合同双方按以下原则承担：</w:t>
      </w:r>
    </w:p>
    <w:p w14:paraId="735A4587">
      <w:pPr>
        <w:spacing w:before="2" w:line="288" w:lineRule="auto"/>
        <w:ind w:left="9" w:right="81" w:firstLine="481"/>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）永久工程，包括已运至施工场地的材料和工程设备的损</w:t>
      </w:r>
      <w:r>
        <w:rPr>
          <w:rFonts w:ascii="宋体" w:hAnsi="宋体" w:eastAsia="宋体" w:cs="宋体"/>
          <w:color w:val="auto"/>
          <w:spacing w:val="-1"/>
          <w:sz w:val="24"/>
          <w:szCs w:val="24"/>
          <w:highlight w:val="none"/>
        </w:rPr>
        <w:t>害，以及因工程损</w:t>
      </w:r>
      <w:r>
        <w:rPr>
          <w:rFonts w:ascii="宋体" w:hAnsi="宋体" w:eastAsia="宋体" w:cs="宋体"/>
          <w:color w:val="auto"/>
          <w:spacing w:val="-2"/>
          <w:sz w:val="24"/>
          <w:szCs w:val="24"/>
          <w:highlight w:val="none"/>
        </w:rPr>
        <w:t>害造成的第三者人员伤亡和财产损失由发包人承</w:t>
      </w:r>
      <w:r>
        <w:rPr>
          <w:rFonts w:ascii="宋体" w:hAnsi="宋体" w:eastAsia="宋体" w:cs="宋体"/>
          <w:color w:val="auto"/>
          <w:spacing w:val="-3"/>
          <w:sz w:val="24"/>
          <w:szCs w:val="24"/>
          <w:highlight w:val="none"/>
        </w:rPr>
        <w:t>担。</w:t>
      </w:r>
    </w:p>
    <w:p w14:paraId="03015E7B">
      <w:pPr>
        <w:spacing w:before="182" w:line="220"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）承包人设备的损坏由承包人承担。</w:t>
      </w:r>
    </w:p>
    <w:p w14:paraId="6736B54A">
      <w:pPr>
        <w:spacing w:before="180" w:line="220"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）发包人和承包人各自承担其人员伤亡和其他财产损失及其相关费用。</w:t>
      </w:r>
    </w:p>
    <w:p w14:paraId="35498F3C">
      <w:pPr>
        <w:spacing w:before="182" w:line="289" w:lineRule="auto"/>
        <w:ind w:left="7" w:right="73" w:firstLine="483"/>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4</w:t>
      </w:r>
      <w:r>
        <w:rPr>
          <w:rFonts w:ascii="宋体" w:hAnsi="宋体" w:eastAsia="宋体" w:cs="宋体"/>
          <w:color w:val="auto"/>
          <w:sz w:val="24"/>
          <w:szCs w:val="24"/>
          <w:highlight w:val="none"/>
        </w:rPr>
        <w:t>）承包人的停工损失由承包人承担，但停工期间应监理人要求照管工程和清</w:t>
      </w:r>
      <w:r>
        <w:rPr>
          <w:rFonts w:ascii="宋体" w:hAnsi="宋体" w:eastAsia="宋体" w:cs="宋体"/>
          <w:color w:val="auto"/>
          <w:spacing w:val="-3"/>
          <w:sz w:val="24"/>
          <w:szCs w:val="24"/>
          <w:highlight w:val="none"/>
        </w:rPr>
        <w:t>理、修复工程的金额由发包人承担。</w:t>
      </w:r>
    </w:p>
    <w:p w14:paraId="21CA7B44">
      <w:pPr>
        <w:spacing w:before="184" w:line="288" w:lineRule="auto"/>
        <w:ind w:left="4" w:right="72" w:firstLine="486"/>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5</w:t>
      </w:r>
      <w:r>
        <w:rPr>
          <w:rFonts w:ascii="宋体" w:hAnsi="宋体" w:eastAsia="宋体" w:cs="宋体"/>
          <w:color w:val="auto"/>
          <w:sz w:val="24"/>
          <w:szCs w:val="24"/>
          <w:highlight w:val="none"/>
        </w:rPr>
        <w:t>）不能按期完工的，应合理延长工期，承包人不需支付逾期完工违约金。发</w:t>
      </w:r>
      <w:r>
        <w:rPr>
          <w:rFonts w:ascii="宋体" w:hAnsi="宋体" w:eastAsia="宋体" w:cs="宋体"/>
          <w:color w:val="auto"/>
          <w:spacing w:val="-2"/>
          <w:sz w:val="24"/>
          <w:szCs w:val="24"/>
          <w:highlight w:val="none"/>
        </w:rPr>
        <w:t>包人要求赶工的，承包人应采取赶工措施，赶工费用由发包人承担。</w:t>
      </w:r>
    </w:p>
    <w:p w14:paraId="64090C5C">
      <w:pPr>
        <w:spacing w:before="183" w:line="220" w:lineRule="auto"/>
        <w:ind w:left="48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21.3.2  </w:t>
      </w:r>
      <w:r>
        <w:rPr>
          <w:rFonts w:ascii="宋体" w:hAnsi="宋体" w:eastAsia="宋体" w:cs="宋体"/>
          <w:color w:val="auto"/>
          <w:spacing w:val="-1"/>
          <w:sz w:val="24"/>
          <w:szCs w:val="24"/>
          <w:highlight w:val="none"/>
        </w:rPr>
        <w:t>延迟履行期间发生的不可抗力</w:t>
      </w:r>
    </w:p>
    <w:p w14:paraId="7BA03127">
      <w:pPr>
        <w:spacing w:before="182" w:line="220"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合同一方当事人延迟履行，在延迟履行期间发生不可</w:t>
      </w:r>
      <w:r>
        <w:rPr>
          <w:rFonts w:ascii="宋体" w:hAnsi="宋体" w:eastAsia="宋体" w:cs="宋体"/>
          <w:color w:val="auto"/>
          <w:spacing w:val="-2"/>
          <w:sz w:val="24"/>
          <w:szCs w:val="24"/>
          <w:highlight w:val="none"/>
        </w:rPr>
        <w:t>抗力的，不免除其责任。</w:t>
      </w:r>
    </w:p>
    <w:p w14:paraId="248A0608">
      <w:pPr>
        <w:spacing w:before="179" w:line="220" w:lineRule="auto"/>
        <w:ind w:left="48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21.3.3  </w:t>
      </w:r>
      <w:r>
        <w:rPr>
          <w:rFonts w:ascii="宋体" w:hAnsi="宋体" w:eastAsia="宋体" w:cs="宋体"/>
          <w:color w:val="auto"/>
          <w:spacing w:val="-1"/>
          <w:sz w:val="24"/>
          <w:szCs w:val="24"/>
          <w:highlight w:val="none"/>
        </w:rPr>
        <w:t>避免和减少不可抗力损失</w:t>
      </w:r>
    </w:p>
    <w:p w14:paraId="344416C9">
      <w:pPr>
        <w:spacing w:before="183" w:line="359" w:lineRule="auto"/>
        <w:ind w:left="8" w:right="61"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不可抗力发生后，发包人和承包人均应采取措施尽量避免和减少损失的扩大，任</w:t>
      </w:r>
      <w:r>
        <w:rPr>
          <w:rFonts w:ascii="宋体" w:hAnsi="宋体" w:eastAsia="宋体" w:cs="宋体"/>
          <w:color w:val="auto"/>
          <w:spacing w:val="-2"/>
          <w:sz w:val="24"/>
          <w:szCs w:val="24"/>
          <w:highlight w:val="none"/>
        </w:rPr>
        <w:t>何一方没有采取有效措施导致损失扩大的，应对扩大的损失承担责任。</w:t>
      </w:r>
    </w:p>
    <w:p w14:paraId="70D5CAFC">
      <w:pPr>
        <w:spacing w:before="1" w:line="219" w:lineRule="auto"/>
        <w:ind w:left="483"/>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21.3.4</w:t>
      </w:r>
      <w:r>
        <w:rPr>
          <w:rFonts w:ascii="Times New Roman" w:hAnsi="Times New Roman" w:eastAsia="Times New Roman" w:cs="Times New Roman"/>
          <w:b/>
          <w:bCs/>
          <w:color w:val="auto"/>
          <w:spacing w:val="20"/>
          <w:w w:val="101"/>
          <w:sz w:val="24"/>
          <w:szCs w:val="24"/>
          <w:highlight w:val="none"/>
        </w:rPr>
        <w:t xml:space="preserve">  </w:t>
      </w:r>
      <w:r>
        <w:rPr>
          <w:rFonts w:ascii="宋体" w:hAnsi="宋体" w:eastAsia="宋体" w:cs="宋体"/>
          <w:color w:val="auto"/>
          <w:spacing w:val="-3"/>
          <w:sz w:val="24"/>
          <w:szCs w:val="24"/>
          <w:highlight w:val="none"/>
        </w:rPr>
        <w:t>因不可抗力解除合同</w:t>
      </w:r>
    </w:p>
    <w:p w14:paraId="0BCE7840">
      <w:pPr>
        <w:spacing w:before="180" w:line="360" w:lineRule="auto"/>
        <w:ind w:firstLine="48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合同一方当事人因不可抗力不能履行合同的，应当及时通知对方解除合同。合同</w:t>
      </w:r>
      <w:r>
        <w:rPr>
          <w:rFonts w:ascii="宋体" w:hAnsi="宋体" w:eastAsia="宋体" w:cs="宋体"/>
          <w:color w:val="auto"/>
          <w:spacing w:val="1"/>
          <w:sz w:val="24"/>
          <w:szCs w:val="24"/>
          <w:highlight w:val="none"/>
        </w:rPr>
        <w:t>解除后，承包人应按照第</w:t>
      </w:r>
      <w:r>
        <w:rPr>
          <w:rFonts w:ascii="Times New Roman" w:hAnsi="Times New Roman" w:eastAsia="Times New Roman" w:cs="Times New Roman"/>
          <w:color w:val="auto"/>
          <w:spacing w:val="1"/>
          <w:sz w:val="24"/>
          <w:szCs w:val="24"/>
          <w:highlight w:val="none"/>
        </w:rPr>
        <w:t>22.2.5</w:t>
      </w:r>
      <w:r>
        <w:rPr>
          <w:rFonts w:ascii="宋体" w:hAnsi="宋体" w:eastAsia="宋体" w:cs="宋体"/>
          <w:color w:val="auto"/>
          <w:spacing w:val="1"/>
          <w:sz w:val="24"/>
          <w:szCs w:val="24"/>
          <w:highlight w:val="none"/>
        </w:rPr>
        <w:t>项约定撤离</w:t>
      </w:r>
      <w:r>
        <w:rPr>
          <w:rFonts w:ascii="宋体" w:hAnsi="宋体" w:eastAsia="宋体" w:cs="宋体"/>
          <w:color w:val="auto"/>
          <w:sz w:val="24"/>
          <w:szCs w:val="24"/>
          <w:highlight w:val="none"/>
        </w:rPr>
        <w:t>施工场地。已经订货的材料、设备由订货</w:t>
      </w:r>
      <w:r>
        <w:rPr>
          <w:rFonts w:ascii="宋体" w:hAnsi="宋体" w:eastAsia="宋体" w:cs="宋体"/>
          <w:color w:val="auto"/>
          <w:spacing w:val="-1"/>
          <w:sz w:val="24"/>
          <w:szCs w:val="24"/>
          <w:highlight w:val="none"/>
        </w:rPr>
        <w:t>方负责退货或解除订货合同，不能退还的货款和因退货、解除订货合同发生的费用，</w:t>
      </w:r>
      <w:r>
        <w:rPr>
          <w:rFonts w:ascii="宋体" w:hAnsi="宋体" w:eastAsia="宋体" w:cs="宋体"/>
          <w:color w:val="auto"/>
          <w:spacing w:val="-6"/>
          <w:sz w:val="24"/>
          <w:szCs w:val="24"/>
          <w:highlight w:val="none"/>
        </w:rPr>
        <w:t>由发包人承担，因未及时退货造成的损失由责任方承担。合同解除后的付款， 参照第</w:t>
      </w:r>
      <w:r>
        <w:rPr>
          <w:rFonts w:ascii="Times New Roman" w:hAnsi="Times New Roman" w:eastAsia="Times New Roman" w:cs="Times New Roman"/>
          <w:color w:val="auto"/>
          <w:spacing w:val="-2"/>
          <w:sz w:val="24"/>
          <w:szCs w:val="24"/>
          <w:highlight w:val="none"/>
        </w:rPr>
        <w:t>22.2.4</w:t>
      </w:r>
      <w:r>
        <w:rPr>
          <w:rFonts w:ascii="宋体" w:hAnsi="宋体" w:eastAsia="宋体" w:cs="宋体"/>
          <w:color w:val="auto"/>
          <w:spacing w:val="-2"/>
          <w:sz w:val="24"/>
          <w:szCs w:val="24"/>
          <w:highlight w:val="none"/>
        </w:rPr>
        <w:t>项约定，由监理人按第</w:t>
      </w:r>
      <w:r>
        <w:rPr>
          <w:rFonts w:ascii="Times New Roman" w:hAnsi="Times New Roman" w:eastAsia="Times New Roman" w:cs="Times New Roman"/>
          <w:color w:val="auto"/>
          <w:spacing w:val="-2"/>
          <w:sz w:val="24"/>
          <w:szCs w:val="24"/>
          <w:highlight w:val="none"/>
        </w:rPr>
        <w:t>3.5</w:t>
      </w:r>
      <w:r>
        <w:rPr>
          <w:rFonts w:ascii="宋体" w:hAnsi="宋体" w:eastAsia="宋体" w:cs="宋体"/>
          <w:color w:val="auto"/>
          <w:spacing w:val="-2"/>
          <w:sz w:val="24"/>
          <w:szCs w:val="24"/>
          <w:highlight w:val="none"/>
        </w:rPr>
        <w:t>款商定或确定。</w:t>
      </w:r>
    </w:p>
    <w:p w14:paraId="02A4D935">
      <w:pPr>
        <w:spacing w:before="121" w:line="225" w:lineRule="auto"/>
        <w:ind w:left="1"/>
        <w:outlineLvl w:val="0"/>
        <w:rPr>
          <w:rFonts w:ascii="宋体" w:hAnsi="宋体" w:eastAsia="宋体" w:cs="宋体"/>
          <w:color w:val="auto"/>
          <w:sz w:val="28"/>
          <w:szCs w:val="28"/>
          <w:highlight w:val="none"/>
        </w:rPr>
      </w:pPr>
      <w:bookmarkStart w:id="744" w:name="bookmark300"/>
      <w:bookmarkEnd w:id="744"/>
      <w:bookmarkStart w:id="745" w:name="bookmark299"/>
      <w:bookmarkEnd w:id="745"/>
      <w:bookmarkStart w:id="746" w:name="_Toc19413"/>
      <w:bookmarkStart w:id="747" w:name="_Toc16613"/>
      <w:r>
        <w:rPr>
          <w:rFonts w:ascii="Times New Roman" w:hAnsi="Times New Roman" w:eastAsia="Times New Roman" w:cs="Times New Roman"/>
          <w:b/>
          <w:bCs/>
          <w:color w:val="auto"/>
          <w:spacing w:val="-4"/>
          <w:sz w:val="28"/>
          <w:szCs w:val="28"/>
          <w:highlight w:val="none"/>
        </w:rPr>
        <w:t>22</w:t>
      </w:r>
      <w:r>
        <w:rPr>
          <w:rFonts w:hint="eastAsia" w:ascii="Times New Roman" w:hAnsi="Times New Roman" w:eastAsia="宋体" w:cs="Times New Roman"/>
          <w:b/>
          <w:bCs/>
          <w:color w:val="auto"/>
          <w:spacing w:val="4"/>
          <w:sz w:val="28"/>
          <w:szCs w:val="28"/>
          <w:highlight w:val="none"/>
          <w:lang w:eastAsia="zh-CN"/>
        </w:rPr>
        <w:t>、</w:t>
      </w:r>
      <w:r>
        <w:rPr>
          <w:rFonts w:ascii="宋体" w:hAnsi="宋体" w:eastAsia="宋体" w:cs="宋体"/>
          <w:b/>
          <w:bCs/>
          <w:color w:val="auto"/>
          <w:spacing w:val="-4"/>
          <w:sz w:val="28"/>
          <w:szCs w:val="28"/>
          <w:highlight w:val="none"/>
        </w:rPr>
        <w:t>违约</w:t>
      </w:r>
      <w:bookmarkEnd w:id="746"/>
      <w:bookmarkEnd w:id="747"/>
    </w:p>
    <w:p w14:paraId="36335039">
      <w:pPr>
        <w:spacing w:before="317" w:line="220" w:lineRule="auto"/>
        <w:outlineLvl w:val="1"/>
        <w:rPr>
          <w:rFonts w:ascii="宋体" w:hAnsi="宋体" w:eastAsia="宋体" w:cs="宋体"/>
          <w:color w:val="auto"/>
          <w:sz w:val="24"/>
          <w:szCs w:val="24"/>
          <w:highlight w:val="none"/>
        </w:rPr>
      </w:pPr>
      <w:bookmarkStart w:id="748" w:name="bookmark708"/>
      <w:bookmarkEnd w:id="748"/>
      <w:bookmarkStart w:id="749" w:name="_Toc22746"/>
      <w:bookmarkStart w:id="750" w:name="_Toc16381"/>
      <w:r>
        <w:rPr>
          <w:rFonts w:ascii="Times New Roman" w:hAnsi="Times New Roman" w:eastAsia="Times New Roman" w:cs="Times New Roman"/>
          <w:b/>
          <w:bCs/>
          <w:color w:val="auto"/>
          <w:spacing w:val="-2"/>
          <w:sz w:val="24"/>
          <w:szCs w:val="24"/>
          <w:highlight w:val="none"/>
        </w:rPr>
        <w:t xml:space="preserve">22.1  </w:t>
      </w:r>
      <w:r>
        <w:rPr>
          <w:rFonts w:ascii="宋体" w:hAnsi="宋体" w:eastAsia="宋体" w:cs="宋体"/>
          <w:b/>
          <w:bCs/>
          <w:color w:val="auto"/>
          <w:spacing w:val="-2"/>
          <w:sz w:val="24"/>
          <w:szCs w:val="24"/>
          <w:highlight w:val="none"/>
        </w:rPr>
        <w:t>承包人违约</w:t>
      </w:r>
      <w:bookmarkEnd w:id="749"/>
      <w:bookmarkEnd w:id="750"/>
    </w:p>
    <w:p w14:paraId="7047D18B">
      <w:pPr>
        <w:spacing w:before="180" w:line="220" w:lineRule="auto"/>
        <w:ind w:left="483"/>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22.1.1  </w:t>
      </w:r>
      <w:r>
        <w:rPr>
          <w:rFonts w:ascii="宋体" w:hAnsi="宋体" w:eastAsia="宋体" w:cs="宋体"/>
          <w:color w:val="auto"/>
          <w:spacing w:val="-1"/>
          <w:sz w:val="24"/>
          <w:szCs w:val="24"/>
          <w:highlight w:val="none"/>
        </w:rPr>
        <w:t>承包人违约的情形</w:t>
      </w:r>
    </w:p>
    <w:p w14:paraId="7B7828CF">
      <w:pPr>
        <w:spacing w:line="220" w:lineRule="auto"/>
        <w:rPr>
          <w:rFonts w:ascii="宋体" w:hAnsi="宋体" w:eastAsia="宋体" w:cs="宋体"/>
          <w:color w:val="auto"/>
          <w:sz w:val="24"/>
          <w:szCs w:val="24"/>
          <w:highlight w:val="none"/>
        </w:rPr>
        <w:sectPr>
          <w:footerReference r:id="rId73" w:type="default"/>
          <w:pgSz w:w="11907" w:h="16841"/>
          <w:pgMar w:top="1428" w:right="1467" w:bottom="1254" w:left="1593" w:header="0" w:footer="1093" w:gutter="0"/>
          <w:pgNumType w:fmt="decimal"/>
          <w:cols w:space="720" w:num="1"/>
        </w:sectPr>
      </w:pPr>
    </w:p>
    <w:p w14:paraId="7A52E453">
      <w:pPr>
        <w:spacing w:before="47" w:line="220" w:lineRule="auto"/>
        <w:ind w:left="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在履行合同过程中发生的下列情况属承包人违约：</w:t>
      </w:r>
    </w:p>
    <w:p w14:paraId="7C38CFA2">
      <w:pPr>
        <w:spacing w:before="182" w:line="289" w:lineRule="auto"/>
        <w:ind w:left="1" w:right="85" w:firstLine="48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）承包人违反第</w:t>
      </w:r>
      <w:r>
        <w:rPr>
          <w:rFonts w:ascii="Times New Roman" w:hAnsi="Times New Roman" w:eastAsia="Times New Roman" w:cs="Times New Roman"/>
          <w:color w:val="auto"/>
          <w:spacing w:val="-3"/>
          <w:sz w:val="24"/>
          <w:szCs w:val="24"/>
          <w:highlight w:val="none"/>
        </w:rPr>
        <w:t>1.8</w:t>
      </w:r>
      <w:r>
        <w:rPr>
          <w:rFonts w:ascii="宋体" w:hAnsi="宋体" w:eastAsia="宋体" w:cs="宋体"/>
          <w:color w:val="auto"/>
          <w:spacing w:val="-3"/>
          <w:sz w:val="24"/>
          <w:szCs w:val="24"/>
          <w:highlight w:val="none"/>
        </w:rPr>
        <w:t>款或第</w:t>
      </w:r>
      <w:r>
        <w:rPr>
          <w:rFonts w:ascii="Times New Roman" w:hAnsi="Times New Roman" w:eastAsia="Times New Roman" w:cs="Times New Roman"/>
          <w:color w:val="auto"/>
          <w:spacing w:val="-3"/>
          <w:sz w:val="24"/>
          <w:szCs w:val="24"/>
          <w:highlight w:val="none"/>
        </w:rPr>
        <w:t>4.3</w:t>
      </w:r>
      <w:r>
        <w:rPr>
          <w:rFonts w:ascii="宋体" w:hAnsi="宋体" w:eastAsia="宋体" w:cs="宋体"/>
          <w:color w:val="auto"/>
          <w:spacing w:val="-3"/>
          <w:sz w:val="24"/>
          <w:szCs w:val="24"/>
          <w:highlight w:val="none"/>
        </w:rPr>
        <w:t>款的约定，私自将合同的全部或部分权利转让给</w:t>
      </w:r>
      <w:r>
        <w:rPr>
          <w:rFonts w:ascii="宋体" w:hAnsi="宋体" w:eastAsia="宋体" w:cs="宋体"/>
          <w:color w:val="auto"/>
          <w:spacing w:val="-2"/>
          <w:sz w:val="24"/>
          <w:szCs w:val="24"/>
          <w:highlight w:val="none"/>
        </w:rPr>
        <w:t>其他人，或私自将合同的全部或部分义务转移给其他人。</w:t>
      </w:r>
    </w:p>
    <w:p w14:paraId="0AEF38DA">
      <w:pPr>
        <w:spacing w:before="183" w:line="288" w:lineRule="auto"/>
        <w:ind w:left="6" w:right="87"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）承包人违反第</w:t>
      </w:r>
      <w:r>
        <w:rPr>
          <w:rFonts w:ascii="Times New Roman" w:hAnsi="Times New Roman" w:eastAsia="Times New Roman" w:cs="Times New Roman"/>
          <w:color w:val="auto"/>
          <w:spacing w:val="-3"/>
          <w:sz w:val="24"/>
          <w:szCs w:val="24"/>
          <w:highlight w:val="none"/>
        </w:rPr>
        <w:t>5.3</w:t>
      </w:r>
      <w:r>
        <w:rPr>
          <w:rFonts w:ascii="宋体" w:hAnsi="宋体" w:eastAsia="宋体" w:cs="宋体"/>
          <w:color w:val="auto"/>
          <w:spacing w:val="-3"/>
          <w:sz w:val="24"/>
          <w:szCs w:val="24"/>
          <w:highlight w:val="none"/>
        </w:rPr>
        <w:t>款或第</w:t>
      </w:r>
      <w:r>
        <w:rPr>
          <w:rFonts w:ascii="Times New Roman" w:hAnsi="Times New Roman" w:eastAsia="Times New Roman" w:cs="Times New Roman"/>
          <w:color w:val="auto"/>
          <w:spacing w:val="-3"/>
          <w:sz w:val="24"/>
          <w:szCs w:val="24"/>
          <w:highlight w:val="none"/>
        </w:rPr>
        <w:t>6.4</w:t>
      </w:r>
      <w:r>
        <w:rPr>
          <w:rFonts w:ascii="宋体" w:hAnsi="宋体" w:eastAsia="宋体" w:cs="宋体"/>
          <w:color w:val="auto"/>
          <w:spacing w:val="-3"/>
          <w:sz w:val="24"/>
          <w:szCs w:val="24"/>
          <w:highlight w:val="none"/>
        </w:rPr>
        <w:t>款的约定，未经监理人批准，私自将已按合同约</w:t>
      </w:r>
      <w:r>
        <w:rPr>
          <w:rFonts w:ascii="宋体" w:hAnsi="宋体" w:eastAsia="宋体" w:cs="宋体"/>
          <w:color w:val="auto"/>
          <w:spacing w:val="-2"/>
          <w:sz w:val="24"/>
          <w:szCs w:val="24"/>
          <w:highlight w:val="none"/>
        </w:rPr>
        <w:t>定进入施工场地的施工设备、临时设施或材料撤离施工场地。</w:t>
      </w:r>
    </w:p>
    <w:p w14:paraId="15CB4F4E">
      <w:pPr>
        <w:spacing w:before="183" w:line="289" w:lineRule="auto"/>
        <w:ind w:left="1" w:right="87"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）承包人违反第</w:t>
      </w:r>
      <w:r>
        <w:rPr>
          <w:rFonts w:ascii="Times New Roman" w:hAnsi="Times New Roman" w:eastAsia="Times New Roman" w:cs="Times New Roman"/>
          <w:color w:val="auto"/>
          <w:spacing w:val="-1"/>
          <w:sz w:val="24"/>
          <w:szCs w:val="24"/>
          <w:highlight w:val="none"/>
        </w:rPr>
        <w:t>5.4</w:t>
      </w:r>
      <w:r>
        <w:rPr>
          <w:rFonts w:ascii="宋体" w:hAnsi="宋体" w:eastAsia="宋体" w:cs="宋体"/>
          <w:color w:val="auto"/>
          <w:spacing w:val="-1"/>
          <w:sz w:val="24"/>
          <w:szCs w:val="24"/>
          <w:highlight w:val="none"/>
        </w:rPr>
        <w:t>款的约定使用了不合格材</w:t>
      </w:r>
      <w:r>
        <w:rPr>
          <w:rFonts w:ascii="宋体" w:hAnsi="宋体" w:eastAsia="宋体" w:cs="宋体"/>
          <w:color w:val="auto"/>
          <w:spacing w:val="-2"/>
          <w:sz w:val="24"/>
          <w:szCs w:val="24"/>
          <w:highlight w:val="none"/>
        </w:rPr>
        <w:t>料或工程设备，工程质量达不到</w:t>
      </w:r>
      <w:r>
        <w:rPr>
          <w:rFonts w:ascii="宋体" w:hAnsi="宋体" w:eastAsia="宋体" w:cs="宋体"/>
          <w:color w:val="auto"/>
          <w:spacing w:val="-3"/>
          <w:sz w:val="24"/>
          <w:szCs w:val="24"/>
          <w:highlight w:val="none"/>
        </w:rPr>
        <w:t>标准要求，又拒绝清除不合格工程。</w:t>
      </w:r>
    </w:p>
    <w:p w14:paraId="4B8DEB0B">
      <w:pPr>
        <w:spacing w:before="183" w:line="289" w:lineRule="auto"/>
        <w:ind w:left="3" w:right="96" w:firstLine="483"/>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4</w:t>
      </w:r>
      <w:r>
        <w:rPr>
          <w:rFonts w:ascii="宋体" w:hAnsi="宋体" w:eastAsia="宋体" w:cs="宋体"/>
          <w:color w:val="auto"/>
          <w:sz w:val="24"/>
          <w:szCs w:val="24"/>
          <w:highlight w:val="none"/>
        </w:rPr>
        <w:t>）承包人未能按合同进度计划及时完成合同约定的工作，已造成或预期造成</w:t>
      </w:r>
      <w:r>
        <w:rPr>
          <w:rFonts w:ascii="宋体" w:hAnsi="宋体" w:eastAsia="宋体" w:cs="宋体"/>
          <w:color w:val="auto"/>
          <w:spacing w:val="-8"/>
          <w:sz w:val="24"/>
          <w:szCs w:val="24"/>
          <w:highlight w:val="none"/>
        </w:rPr>
        <w:t>工期延误。</w:t>
      </w:r>
    </w:p>
    <w:p w14:paraId="5FA0C047">
      <w:pPr>
        <w:spacing w:before="179" w:line="313" w:lineRule="auto"/>
        <w:ind w:left="1" w:right="18" w:firstLine="485"/>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5</w:t>
      </w:r>
      <w:r>
        <w:rPr>
          <w:rFonts w:ascii="宋体" w:hAnsi="宋体" w:eastAsia="宋体" w:cs="宋体"/>
          <w:color w:val="auto"/>
          <w:sz w:val="24"/>
          <w:szCs w:val="24"/>
          <w:highlight w:val="none"/>
        </w:rPr>
        <w:t>）承包人在缺陷责任期（工程质量保修期）内，未能对合同工程完工验收鉴</w:t>
      </w:r>
      <w:r>
        <w:rPr>
          <w:rFonts w:ascii="宋体" w:hAnsi="宋体" w:eastAsia="宋体" w:cs="宋体"/>
          <w:color w:val="auto"/>
          <w:spacing w:val="-7"/>
          <w:sz w:val="24"/>
          <w:szCs w:val="24"/>
          <w:highlight w:val="none"/>
        </w:rPr>
        <w:t>定书所列的缺陷清单的内容或缺陷责任期（工程质量保修期）</w:t>
      </w:r>
      <w:r>
        <w:rPr>
          <w:rFonts w:ascii="宋体" w:hAnsi="宋体" w:eastAsia="宋体" w:cs="宋体"/>
          <w:color w:val="auto"/>
          <w:spacing w:val="-8"/>
          <w:sz w:val="24"/>
          <w:szCs w:val="24"/>
          <w:highlight w:val="none"/>
        </w:rPr>
        <w:t>内发生的缺陷进行修复，</w:t>
      </w:r>
      <w:r>
        <w:rPr>
          <w:rFonts w:ascii="宋体" w:hAnsi="宋体" w:eastAsia="宋体" w:cs="宋体"/>
          <w:color w:val="auto"/>
          <w:spacing w:val="-3"/>
          <w:sz w:val="24"/>
          <w:szCs w:val="24"/>
          <w:highlight w:val="none"/>
        </w:rPr>
        <w:t>而又拒绝按监理人指示再进行修补。</w:t>
      </w:r>
    </w:p>
    <w:p w14:paraId="3FD41DC5">
      <w:pPr>
        <w:spacing w:before="180" w:line="220"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6</w:t>
      </w:r>
      <w:r>
        <w:rPr>
          <w:rFonts w:ascii="宋体" w:hAnsi="宋体" w:eastAsia="宋体" w:cs="宋体"/>
          <w:color w:val="auto"/>
          <w:spacing w:val="-2"/>
          <w:sz w:val="24"/>
          <w:szCs w:val="24"/>
          <w:highlight w:val="none"/>
        </w:rPr>
        <w:t>）承包人无法继续履行或明确表示不履行或实质上已停止履行合同。</w:t>
      </w:r>
    </w:p>
    <w:p w14:paraId="1353955A">
      <w:pPr>
        <w:spacing w:before="182" w:line="220"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7</w:t>
      </w:r>
      <w:r>
        <w:rPr>
          <w:rFonts w:ascii="宋体" w:hAnsi="宋体" w:eastAsia="宋体" w:cs="宋体"/>
          <w:color w:val="auto"/>
          <w:spacing w:val="-2"/>
          <w:sz w:val="24"/>
          <w:szCs w:val="24"/>
          <w:highlight w:val="none"/>
        </w:rPr>
        <w:t>）承包人不按合同约定履行义务的其他情况。</w:t>
      </w:r>
    </w:p>
    <w:p w14:paraId="47A6C6D5">
      <w:pPr>
        <w:spacing w:before="179" w:line="220" w:lineRule="auto"/>
        <w:ind w:left="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22.1.2  </w:t>
      </w:r>
      <w:r>
        <w:rPr>
          <w:rFonts w:ascii="宋体" w:hAnsi="宋体" w:eastAsia="宋体" w:cs="宋体"/>
          <w:color w:val="auto"/>
          <w:spacing w:val="-1"/>
          <w:sz w:val="24"/>
          <w:szCs w:val="24"/>
          <w:highlight w:val="none"/>
        </w:rPr>
        <w:t>对承包人违约的处理</w:t>
      </w:r>
    </w:p>
    <w:p w14:paraId="69C3C584">
      <w:pPr>
        <w:spacing w:before="182" w:line="290" w:lineRule="auto"/>
        <w:ind w:right="112" w:firstLine="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）承包人发生第</w:t>
      </w:r>
      <w:r>
        <w:rPr>
          <w:rFonts w:ascii="Times New Roman" w:hAnsi="Times New Roman" w:eastAsia="Times New Roman" w:cs="Times New Roman"/>
          <w:color w:val="auto"/>
          <w:spacing w:val="-2"/>
          <w:sz w:val="24"/>
          <w:szCs w:val="24"/>
          <w:highlight w:val="none"/>
        </w:rPr>
        <w:t>22.1.1</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6</w:t>
      </w:r>
      <w:r>
        <w:rPr>
          <w:rFonts w:ascii="宋体" w:hAnsi="宋体" w:eastAsia="宋体" w:cs="宋体"/>
          <w:color w:val="auto"/>
          <w:spacing w:val="-2"/>
          <w:sz w:val="24"/>
          <w:szCs w:val="24"/>
          <w:highlight w:val="none"/>
        </w:rPr>
        <w:t>）</w:t>
      </w:r>
      <w:r>
        <w:rPr>
          <w:rFonts w:ascii="宋体" w:hAnsi="宋体" w:eastAsia="宋体" w:cs="宋体"/>
          <w:color w:val="auto"/>
          <w:spacing w:val="-58"/>
          <w:sz w:val="24"/>
          <w:szCs w:val="24"/>
          <w:highlight w:val="none"/>
        </w:rPr>
        <w:t xml:space="preserve"> </w:t>
      </w:r>
      <w:r>
        <w:rPr>
          <w:rFonts w:ascii="宋体" w:hAnsi="宋体" w:eastAsia="宋体" w:cs="宋体"/>
          <w:color w:val="auto"/>
          <w:spacing w:val="-2"/>
          <w:sz w:val="24"/>
          <w:szCs w:val="24"/>
          <w:highlight w:val="none"/>
        </w:rPr>
        <w:t>目约定的违约情况时，发包人可通知承包人立即</w:t>
      </w:r>
      <w:r>
        <w:rPr>
          <w:rFonts w:ascii="宋体" w:hAnsi="宋体" w:eastAsia="宋体" w:cs="宋体"/>
          <w:color w:val="auto"/>
          <w:spacing w:val="-3"/>
          <w:sz w:val="24"/>
          <w:szCs w:val="24"/>
          <w:highlight w:val="none"/>
        </w:rPr>
        <w:t>解除合同，并按有关法律处理。</w:t>
      </w:r>
    </w:p>
    <w:p w14:paraId="652CE4B9">
      <w:pPr>
        <w:spacing w:before="180" w:line="313" w:lineRule="auto"/>
        <w:ind w:right="85" w:firstLine="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）承包人发生除第</w:t>
      </w:r>
      <w:r>
        <w:rPr>
          <w:rFonts w:ascii="Times New Roman" w:hAnsi="Times New Roman" w:eastAsia="Times New Roman" w:cs="Times New Roman"/>
          <w:color w:val="auto"/>
          <w:spacing w:val="-1"/>
          <w:sz w:val="24"/>
          <w:szCs w:val="24"/>
          <w:highlight w:val="none"/>
        </w:rPr>
        <w:t>22.1.1</w:t>
      </w: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6</w:t>
      </w:r>
      <w:r>
        <w:rPr>
          <w:rFonts w:ascii="宋体" w:hAnsi="宋体" w:eastAsia="宋体" w:cs="宋体"/>
          <w:color w:val="auto"/>
          <w:spacing w:val="-1"/>
          <w:sz w:val="24"/>
          <w:szCs w:val="24"/>
          <w:highlight w:val="none"/>
        </w:rPr>
        <w:t>）</w:t>
      </w:r>
      <w:r>
        <w:rPr>
          <w:rFonts w:ascii="宋体" w:hAnsi="宋体" w:eastAsia="宋体" w:cs="宋体"/>
          <w:color w:val="auto"/>
          <w:spacing w:val="-62"/>
          <w:sz w:val="24"/>
          <w:szCs w:val="24"/>
          <w:highlight w:val="none"/>
        </w:rPr>
        <w:t xml:space="preserve"> </w:t>
      </w:r>
      <w:r>
        <w:rPr>
          <w:rFonts w:ascii="宋体" w:hAnsi="宋体" w:eastAsia="宋体" w:cs="宋体"/>
          <w:color w:val="auto"/>
          <w:spacing w:val="-1"/>
          <w:sz w:val="24"/>
          <w:szCs w:val="24"/>
          <w:highlight w:val="none"/>
        </w:rPr>
        <w:t>目约定以外的其他违约</w:t>
      </w:r>
      <w:r>
        <w:rPr>
          <w:rFonts w:ascii="宋体" w:hAnsi="宋体" w:eastAsia="宋体" w:cs="宋体"/>
          <w:color w:val="auto"/>
          <w:spacing w:val="-2"/>
          <w:sz w:val="24"/>
          <w:szCs w:val="24"/>
          <w:highlight w:val="none"/>
        </w:rPr>
        <w:t>情况时，监理人可向承</w:t>
      </w:r>
      <w:r>
        <w:rPr>
          <w:rFonts w:ascii="宋体" w:hAnsi="宋体" w:eastAsia="宋体" w:cs="宋体"/>
          <w:color w:val="auto"/>
          <w:spacing w:val="-3"/>
          <w:sz w:val="24"/>
          <w:szCs w:val="24"/>
          <w:highlight w:val="none"/>
        </w:rPr>
        <w:t>包人发出整改通知，要求其在指定的期限内改正。承包人应承担其违约所引起的费用</w:t>
      </w:r>
      <w:r>
        <w:rPr>
          <w:rFonts w:ascii="宋体" w:hAnsi="宋体" w:eastAsia="宋体" w:cs="宋体"/>
          <w:color w:val="auto"/>
          <w:spacing w:val="-4"/>
          <w:sz w:val="24"/>
          <w:szCs w:val="24"/>
          <w:highlight w:val="none"/>
        </w:rPr>
        <w:t>增加和（或）工期延误。</w:t>
      </w:r>
    </w:p>
    <w:p w14:paraId="61697FA0">
      <w:pPr>
        <w:spacing w:before="182" w:line="289" w:lineRule="auto"/>
        <w:ind w:left="30" w:right="95" w:firstLine="457"/>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）经检查证明承包人已采取了有效措施纠正违约行为，具备复工条件的，可</w:t>
      </w:r>
      <w:r>
        <w:rPr>
          <w:rFonts w:ascii="宋体" w:hAnsi="宋体" w:eastAsia="宋体" w:cs="宋体"/>
          <w:color w:val="auto"/>
          <w:spacing w:val="-6"/>
          <w:sz w:val="24"/>
          <w:szCs w:val="24"/>
          <w:highlight w:val="none"/>
        </w:rPr>
        <w:t>由监理人签发复工通知复工。</w:t>
      </w:r>
    </w:p>
    <w:p w14:paraId="622AA650">
      <w:pPr>
        <w:spacing w:before="181" w:line="220" w:lineRule="auto"/>
        <w:ind w:left="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22.1.3  </w:t>
      </w:r>
      <w:r>
        <w:rPr>
          <w:rFonts w:ascii="宋体" w:hAnsi="宋体" w:eastAsia="宋体" w:cs="宋体"/>
          <w:color w:val="auto"/>
          <w:spacing w:val="-1"/>
          <w:sz w:val="24"/>
          <w:szCs w:val="24"/>
          <w:highlight w:val="none"/>
        </w:rPr>
        <w:t>承包人违约解除合同</w:t>
      </w:r>
    </w:p>
    <w:p w14:paraId="330D0F78">
      <w:pPr>
        <w:spacing w:before="182" w:line="359" w:lineRule="auto"/>
        <w:ind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监理人发出整改通知</w:t>
      </w:r>
      <w:r>
        <w:rPr>
          <w:rFonts w:ascii="Times New Roman" w:hAnsi="Times New Roman" w:eastAsia="Times New Roman" w:cs="Times New Roman"/>
          <w:color w:val="auto"/>
          <w:spacing w:val="-3"/>
          <w:sz w:val="24"/>
          <w:szCs w:val="24"/>
          <w:highlight w:val="none"/>
        </w:rPr>
        <w:t>28</w:t>
      </w:r>
      <w:r>
        <w:rPr>
          <w:rFonts w:ascii="宋体" w:hAnsi="宋体" w:eastAsia="宋体" w:cs="宋体"/>
          <w:color w:val="auto"/>
          <w:spacing w:val="-3"/>
          <w:sz w:val="24"/>
          <w:szCs w:val="24"/>
          <w:highlight w:val="none"/>
        </w:rPr>
        <w:t>天后，承包人仍不纠正违约行为的，发包人可向承包人发</w:t>
      </w:r>
      <w:r>
        <w:rPr>
          <w:rFonts w:ascii="宋体" w:hAnsi="宋体" w:eastAsia="宋体" w:cs="宋体"/>
          <w:color w:val="auto"/>
          <w:spacing w:val="-6"/>
          <w:sz w:val="24"/>
          <w:szCs w:val="24"/>
          <w:highlight w:val="none"/>
        </w:rPr>
        <w:t>出解除合同通知。合同解除后， 发包人可派员进驻施工场地，另行组织人员或委托其</w:t>
      </w:r>
      <w:r>
        <w:rPr>
          <w:rFonts w:ascii="宋体" w:hAnsi="宋体" w:eastAsia="宋体" w:cs="宋体"/>
          <w:color w:val="auto"/>
          <w:spacing w:val="-7"/>
          <w:sz w:val="24"/>
          <w:szCs w:val="24"/>
          <w:highlight w:val="none"/>
        </w:rPr>
        <w:t>他承包人施工。发包人因继续完成该工程的需要，有权扣留使用承包人在现场的材料、</w:t>
      </w:r>
      <w:r>
        <w:rPr>
          <w:rFonts w:ascii="宋体" w:hAnsi="宋体" w:eastAsia="宋体" w:cs="宋体"/>
          <w:color w:val="auto"/>
          <w:spacing w:val="-3"/>
          <w:sz w:val="24"/>
          <w:szCs w:val="24"/>
          <w:highlight w:val="none"/>
        </w:rPr>
        <w:t>设备和临时设施。但发包人的这一行动不免除承包人应承担的违约责任，也不影响发包人根据合同约定享有的索赔权利。</w:t>
      </w:r>
    </w:p>
    <w:p w14:paraId="42FF5EE0">
      <w:pPr>
        <w:spacing w:line="218" w:lineRule="auto"/>
        <w:ind w:left="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22.1.4  </w:t>
      </w:r>
      <w:r>
        <w:rPr>
          <w:rFonts w:ascii="宋体" w:hAnsi="宋体" w:eastAsia="宋体" w:cs="宋体"/>
          <w:color w:val="auto"/>
          <w:spacing w:val="-1"/>
          <w:sz w:val="24"/>
          <w:szCs w:val="24"/>
          <w:highlight w:val="none"/>
        </w:rPr>
        <w:t>合同解除后的估价、付款和结清</w:t>
      </w:r>
    </w:p>
    <w:p w14:paraId="1806F245">
      <w:pPr>
        <w:spacing w:before="182" w:line="218" w:lineRule="auto"/>
        <w:ind w:left="48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）合同解除后，监理人按第</w:t>
      </w:r>
      <w:r>
        <w:rPr>
          <w:rFonts w:ascii="Times New Roman" w:hAnsi="Times New Roman" w:eastAsia="Times New Roman" w:cs="Times New Roman"/>
          <w:color w:val="auto"/>
          <w:spacing w:val="-3"/>
          <w:sz w:val="24"/>
          <w:szCs w:val="24"/>
          <w:highlight w:val="none"/>
        </w:rPr>
        <w:t xml:space="preserve">3.5  </w:t>
      </w:r>
      <w:r>
        <w:rPr>
          <w:rFonts w:ascii="宋体" w:hAnsi="宋体" w:eastAsia="宋体" w:cs="宋体"/>
          <w:color w:val="auto"/>
          <w:spacing w:val="-3"/>
          <w:sz w:val="24"/>
          <w:szCs w:val="24"/>
          <w:highlight w:val="none"/>
        </w:rPr>
        <w:t>款商定或确</w:t>
      </w:r>
      <w:r>
        <w:rPr>
          <w:rFonts w:ascii="宋体" w:hAnsi="宋体" w:eastAsia="宋体" w:cs="宋体"/>
          <w:color w:val="auto"/>
          <w:spacing w:val="-4"/>
          <w:sz w:val="24"/>
          <w:szCs w:val="24"/>
          <w:highlight w:val="none"/>
        </w:rPr>
        <w:t>定承包人实际完成工作的价值，以</w:t>
      </w:r>
    </w:p>
    <w:p w14:paraId="4339BCD4">
      <w:pPr>
        <w:spacing w:line="218" w:lineRule="auto"/>
        <w:rPr>
          <w:rFonts w:ascii="宋体" w:hAnsi="宋体" w:eastAsia="宋体" w:cs="宋体"/>
          <w:color w:val="auto"/>
          <w:sz w:val="24"/>
          <w:szCs w:val="24"/>
          <w:highlight w:val="none"/>
        </w:rPr>
        <w:sectPr>
          <w:footerReference r:id="rId74" w:type="default"/>
          <w:pgSz w:w="11907" w:h="16841"/>
          <w:pgMar w:top="1428" w:right="1443" w:bottom="1254" w:left="1597" w:header="0" w:footer="1093" w:gutter="0"/>
          <w:pgNumType w:fmt="decimal"/>
          <w:cols w:space="720" w:num="1"/>
        </w:sectPr>
      </w:pPr>
    </w:p>
    <w:p w14:paraId="26D3E676">
      <w:pPr>
        <w:spacing w:before="48" w:line="218" w:lineRule="auto"/>
        <w:ind w:left="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及承包人已提供的材料、施工设备、工程设备和临时工程等的价值。</w:t>
      </w:r>
    </w:p>
    <w:p w14:paraId="5D3CA114">
      <w:pPr>
        <w:spacing w:before="184" w:line="289" w:lineRule="auto"/>
        <w:ind w:left="5" w:right="80"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）合同解除后，发包人应暂停对承包人的一切付款，查清各项付款和已扣款</w:t>
      </w:r>
      <w:r>
        <w:rPr>
          <w:rFonts w:ascii="宋体" w:hAnsi="宋体" w:eastAsia="宋体" w:cs="宋体"/>
          <w:color w:val="auto"/>
          <w:spacing w:val="-3"/>
          <w:sz w:val="24"/>
          <w:szCs w:val="24"/>
          <w:highlight w:val="none"/>
        </w:rPr>
        <w:t>金额，包括承包人应支付的违约金。</w:t>
      </w:r>
    </w:p>
    <w:p w14:paraId="6E8A1A8C">
      <w:pPr>
        <w:spacing w:before="181" w:line="290" w:lineRule="auto"/>
        <w:ind w:left="5" w:right="80" w:firstLine="48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）合同解除后，发包人应按第</w:t>
      </w:r>
      <w:r>
        <w:rPr>
          <w:rFonts w:ascii="Times New Roman" w:hAnsi="Times New Roman" w:eastAsia="Times New Roman" w:cs="Times New Roman"/>
          <w:color w:val="auto"/>
          <w:spacing w:val="-4"/>
          <w:sz w:val="24"/>
          <w:szCs w:val="24"/>
          <w:highlight w:val="none"/>
        </w:rPr>
        <w:t>23.4</w:t>
      </w:r>
      <w:r>
        <w:rPr>
          <w:rFonts w:ascii="宋体" w:hAnsi="宋体" w:eastAsia="宋体" w:cs="宋体"/>
          <w:color w:val="auto"/>
          <w:spacing w:val="-4"/>
          <w:sz w:val="24"/>
          <w:szCs w:val="24"/>
          <w:highlight w:val="none"/>
        </w:rPr>
        <w:t>款的</w:t>
      </w:r>
      <w:r>
        <w:rPr>
          <w:rFonts w:ascii="宋体" w:hAnsi="宋体" w:eastAsia="宋体" w:cs="宋体"/>
          <w:color w:val="auto"/>
          <w:spacing w:val="-5"/>
          <w:sz w:val="24"/>
          <w:szCs w:val="24"/>
          <w:highlight w:val="none"/>
        </w:rPr>
        <w:t>约定向承包人索赔由于解除合同给发包</w:t>
      </w:r>
      <w:r>
        <w:rPr>
          <w:rFonts w:ascii="宋体" w:hAnsi="宋体" w:eastAsia="宋体" w:cs="宋体"/>
          <w:color w:val="auto"/>
          <w:spacing w:val="-6"/>
          <w:sz w:val="24"/>
          <w:szCs w:val="24"/>
          <w:highlight w:val="none"/>
        </w:rPr>
        <w:t>人造成的损失。</w:t>
      </w:r>
    </w:p>
    <w:p w14:paraId="268AAC4F">
      <w:pPr>
        <w:spacing w:before="181" w:line="289" w:lineRule="auto"/>
        <w:ind w:left="7" w:right="90"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4</w:t>
      </w:r>
      <w:r>
        <w:rPr>
          <w:rFonts w:ascii="宋体" w:hAnsi="宋体" w:eastAsia="宋体" w:cs="宋体"/>
          <w:color w:val="auto"/>
          <w:sz w:val="24"/>
          <w:szCs w:val="24"/>
          <w:highlight w:val="none"/>
        </w:rPr>
        <w:t>）合同双方确认上述往来款项后，出具最终结清付款证书，结清全部合同款</w:t>
      </w:r>
      <w:r>
        <w:rPr>
          <w:rFonts w:ascii="宋体" w:hAnsi="宋体" w:eastAsia="宋体" w:cs="宋体"/>
          <w:color w:val="auto"/>
          <w:spacing w:val="-12"/>
          <w:sz w:val="24"/>
          <w:szCs w:val="24"/>
          <w:highlight w:val="none"/>
        </w:rPr>
        <w:t>项。</w:t>
      </w:r>
    </w:p>
    <w:p w14:paraId="5B75FC3E">
      <w:pPr>
        <w:spacing w:before="181" w:line="289" w:lineRule="auto"/>
        <w:ind w:left="5" w:right="80"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5</w:t>
      </w:r>
      <w:r>
        <w:rPr>
          <w:rFonts w:ascii="宋体" w:hAnsi="宋体" w:eastAsia="宋体" w:cs="宋体"/>
          <w:color w:val="auto"/>
          <w:sz w:val="24"/>
          <w:szCs w:val="24"/>
          <w:highlight w:val="none"/>
        </w:rPr>
        <w:t>）发包人和承包人未能就解除合同后的结清达成一致而形成争议的，按第</w:t>
      </w:r>
      <w:r>
        <w:rPr>
          <w:rFonts w:ascii="Times New Roman" w:hAnsi="Times New Roman" w:eastAsia="Times New Roman" w:cs="Times New Roman"/>
          <w:color w:val="auto"/>
          <w:sz w:val="24"/>
          <w:szCs w:val="24"/>
          <w:highlight w:val="none"/>
        </w:rPr>
        <w:t>24</w:t>
      </w:r>
      <w:r>
        <w:rPr>
          <w:rFonts w:ascii="宋体" w:hAnsi="宋体" w:eastAsia="宋体" w:cs="宋体"/>
          <w:color w:val="auto"/>
          <w:spacing w:val="-6"/>
          <w:sz w:val="24"/>
          <w:szCs w:val="24"/>
          <w:highlight w:val="none"/>
        </w:rPr>
        <w:t>条的约定办理。</w:t>
      </w:r>
    </w:p>
    <w:p w14:paraId="52D8DF72">
      <w:pPr>
        <w:spacing w:before="182"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22.1.5  </w:t>
      </w:r>
      <w:r>
        <w:rPr>
          <w:rFonts w:ascii="宋体" w:hAnsi="宋体" w:eastAsia="宋体" w:cs="宋体"/>
          <w:color w:val="auto"/>
          <w:spacing w:val="-1"/>
          <w:sz w:val="24"/>
          <w:szCs w:val="24"/>
          <w:highlight w:val="none"/>
        </w:rPr>
        <w:t>协议利益的转让</w:t>
      </w:r>
    </w:p>
    <w:p w14:paraId="0FD90DB2">
      <w:pPr>
        <w:spacing w:before="180" w:line="359" w:lineRule="auto"/>
        <w:ind w:left="4" w:right="80" w:firstLine="49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因承包人违约解除合同的，发包人有权要求</w:t>
      </w:r>
      <w:r>
        <w:rPr>
          <w:rFonts w:ascii="宋体" w:hAnsi="宋体" w:eastAsia="宋体" w:cs="宋体"/>
          <w:color w:val="auto"/>
          <w:spacing w:val="-4"/>
          <w:sz w:val="24"/>
          <w:szCs w:val="24"/>
          <w:highlight w:val="none"/>
        </w:rPr>
        <w:t>承包人将其为实施合同而签订的材料</w:t>
      </w:r>
      <w:r>
        <w:rPr>
          <w:rFonts w:ascii="宋体" w:hAnsi="宋体" w:eastAsia="宋体" w:cs="宋体"/>
          <w:color w:val="auto"/>
          <w:spacing w:val="-3"/>
          <w:sz w:val="24"/>
          <w:szCs w:val="24"/>
          <w:highlight w:val="none"/>
        </w:rPr>
        <w:t>和设备的订货协议或任何服务协议利益转让给发包人，并在解除合同后的</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天内，依</w:t>
      </w:r>
      <w:r>
        <w:rPr>
          <w:rFonts w:ascii="宋体" w:hAnsi="宋体" w:eastAsia="宋体" w:cs="宋体"/>
          <w:color w:val="auto"/>
          <w:spacing w:val="-5"/>
          <w:sz w:val="24"/>
          <w:szCs w:val="24"/>
          <w:highlight w:val="none"/>
        </w:rPr>
        <w:t>法办理转让手续。</w:t>
      </w:r>
    </w:p>
    <w:p w14:paraId="7517E513">
      <w:pPr>
        <w:spacing w:before="1"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22.1.6  </w:t>
      </w:r>
      <w:r>
        <w:rPr>
          <w:rFonts w:ascii="宋体" w:hAnsi="宋体" w:eastAsia="宋体" w:cs="宋体"/>
          <w:color w:val="auto"/>
          <w:spacing w:val="-1"/>
          <w:sz w:val="24"/>
          <w:szCs w:val="24"/>
          <w:highlight w:val="none"/>
        </w:rPr>
        <w:t>紧急情况下无能力或不愿进行抢救</w:t>
      </w:r>
    </w:p>
    <w:p w14:paraId="0F4E252F">
      <w:pPr>
        <w:spacing w:before="178" w:line="360" w:lineRule="auto"/>
        <w:ind w:left="3"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在工程实施期间或缺陷责任期内发生危及工程安全的事件，监理人通知承包人进</w:t>
      </w:r>
      <w:r>
        <w:rPr>
          <w:rFonts w:ascii="宋体" w:hAnsi="宋体" w:eastAsia="宋体" w:cs="宋体"/>
          <w:color w:val="auto"/>
          <w:spacing w:val="-1"/>
          <w:sz w:val="24"/>
          <w:szCs w:val="24"/>
          <w:highlight w:val="none"/>
        </w:rPr>
        <w:t>行抢救，承包人声明无能力或不愿立即执行的，发包人有权雇佣其他人员进行抢救。</w:t>
      </w:r>
      <w:r>
        <w:rPr>
          <w:rFonts w:ascii="宋体" w:hAnsi="宋体" w:eastAsia="宋体" w:cs="宋体"/>
          <w:color w:val="auto"/>
          <w:spacing w:val="-3"/>
          <w:sz w:val="24"/>
          <w:szCs w:val="24"/>
          <w:highlight w:val="none"/>
        </w:rPr>
        <w:t>此类抢救按合同约定属于承包人义务的，由此发生的金额和（或）工期延误由承包人</w:t>
      </w:r>
      <w:r>
        <w:rPr>
          <w:rFonts w:ascii="宋体" w:hAnsi="宋体" w:eastAsia="宋体" w:cs="宋体"/>
          <w:color w:val="auto"/>
          <w:spacing w:val="-10"/>
          <w:sz w:val="24"/>
          <w:szCs w:val="24"/>
          <w:highlight w:val="none"/>
        </w:rPr>
        <w:t>承担。</w:t>
      </w:r>
    </w:p>
    <w:p w14:paraId="5295A9E4">
      <w:pPr>
        <w:spacing w:line="220" w:lineRule="auto"/>
        <w:outlineLvl w:val="1"/>
        <w:rPr>
          <w:rFonts w:ascii="宋体" w:hAnsi="宋体" w:eastAsia="宋体" w:cs="宋体"/>
          <w:color w:val="auto"/>
          <w:sz w:val="24"/>
          <w:szCs w:val="24"/>
          <w:highlight w:val="none"/>
        </w:rPr>
      </w:pPr>
      <w:bookmarkStart w:id="751" w:name="bookmark301"/>
      <w:bookmarkEnd w:id="751"/>
      <w:bookmarkStart w:id="752" w:name="_Toc20315"/>
      <w:bookmarkStart w:id="753" w:name="_Toc2938"/>
      <w:r>
        <w:rPr>
          <w:rFonts w:ascii="Times New Roman" w:hAnsi="Times New Roman" w:eastAsia="Times New Roman" w:cs="Times New Roman"/>
          <w:b/>
          <w:bCs/>
          <w:color w:val="auto"/>
          <w:spacing w:val="-2"/>
          <w:sz w:val="24"/>
          <w:szCs w:val="24"/>
          <w:highlight w:val="none"/>
        </w:rPr>
        <w:t xml:space="preserve">22.2  </w:t>
      </w:r>
      <w:r>
        <w:rPr>
          <w:rFonts w:ascii="宋体" w:hAnsi="宋体" w:eastAsia="宋体" w:cs="宋体"/>
          <w:b/>
          <w:bCs/>
          <w:color w:val="auto"/>
          <w:spacing w:val="-2"/>
          <w:sz w:val="24"/>
          <w:szCs w:val="24"/>
          <w:highlight w:val="none"/>
        </w:rPr>
        <w:t>发包人违约</w:t>
      </w:r>
      <w:bookmarkEnd w:id="752"/>
      <w:bookmarkEnd w:id="753"/>
    </w:p>
    <w:p w14:paraId="6B51D7F2">
      <w:pPr>
        <w:spacing w:before="180"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22.2.1  </w:t>
      </w:r>
      <w:r>
        <w:rPr>
          <w:rFonts w:ascii="宋体" w:hAnsi="宋体" w:eastAsia="宋体" w:cs="宋体"/>
          <w:color w:val="auto"/>
          <w:spacing w:val="-1"/>
          <w:sz w:val="24"/>
          <w:szCs w:val="24"/>
          <w:highlight w:val="none"/>
        </w:rPr>
        <w:t>发包人违约的情形</w:t>
      </w:r>
    </w:p>
    <w:p w14:paraId="240BD834">
      <w:pPr>
        <w:spacing w:before="182" w:line="220" w:lineRule="auto"/>
        <w:ind w:left="48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在履行合同过程中发生的下列情形，属发包人违约：</w:t>
      </w:r>
    </w:p>
    <w:p w14:paraId="6702940D">
      <w:pPr>
        <w:spacing w:before="178" w:line="290" w:lineRule="auto"/>
        <w:ind w:left="1" w:right="113" w:firstLine="48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1"/>
          <w:sz w:val="24"/>
          <w:szCs w:val="24"/>
          <w:highlight w:val="none"/>
        </w:rPr>
        <w:t>）发包人未能按合同约定支付预付款或合同价款，或拖延、拒绝批准付款申</w:t>
      </w:r>
      <w:r>
        <w:rPr>
          <w:rFonts w:ascii="宋体" w:hAnsi="宋体" w:eastAsia="宋体" w:cs="宋体"/>
          <w:color w:val="auto"/>
          <w:spacing w:val="-3"/>
          <w:sz w:val="24"/>
          <w:szCs w:val="24"/>
          <w:highlight w:val="none"/>
        </w:rPr>
        <w:t>请和支付凭证，导致付款延误的。</w:t>
      </w:r>
    </w:p>
    <w:p w14:paraId="2A70687A">
      <w:pPr>
        <w:spacing w:before="181" w:line="220" w:lineRule="auto"/>
        <w:ind w:left="49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）发包人原因造成停工的。</w:t>
      </w:r>
    </w:p>
    <w:p w14:paraId="14EB8E0E">
      <w:pPr>
        <w:spacing w:before="182" w:line="290" w:lineRule="auto"/>
        <w:ind w:left="23" w:right="93" w:firstLine="466"/>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）监理人无正当理由没有在约定期限内发出复工指示，导致承包人无法</w:t>
      </w:r>
      <w:r>
        <w:rPr>
          <w:rFonts w:ascii="宋体" w:hAnsi="宋体" w:eastAsia="宋体" w:cs="宋体"/>
          <w:color w:val="auto"/>
          <w:spacing w:val="-1"/>
          <w:sz w:val="24"/>
          <w:szCs w:val="24"/>
          <w:highlight w:val="none"/>
        </w:rPr>
        <w:t>复工</w:t>
      </w:r>
      <w:r>
        <w:rPr>
          <w:rFonts w:ascii="宋体" w:hAnsi="宋体" w:eastAsia="宋体" w:cs="宋体"/>
          <w:color w:val="auto"/>
          <w:spacing w:val="-16"/>
          <w:sz w:val="24"/>
          <w:szCs w:val="24"/>
          <w:highlight w:val="none"/>
        </w:rPr>
        <w:t>的。</w:t>
      </w:r>
    </w:p>
    <w:p w14:paraId="755019A4">
      <w:pPr>
        <w:spacing w:before="179" w:line="220"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）发包人无法继续履行或明确表示不履行或实质上已停止履行合同的。</w:t>
      </w:r>
    </w:p>
    <w:p w14:paraId="33E10D1A">
      <w:pPr>
        <w:spacing w:before="179" w:line="220"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5</w:t>
      </w:r>
      <w:r>
        <w:rPr>
          <w:rFonts w:ascii="宋体" w:hAnsi="宋体" w:eastAsia="宋体" w:cs="宋体"/>
          <w:color w:val="auto"/>
          <w:spacing w:val="-3"/>
          <w:sz w:val="24"/>
          <w:szCs w:val="24"/>
          <w:highlight w:val="none"/>
        </w:rPr>
        <w:t>）发包人不履行合同约定其他义务的。</w:t>
      </w:r>
    </w:p>
    <w:p w14:paraId="2BB15FB1">
      <w:pPr>
        <w:spacing w:before="182"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22.2.2  </w:t>
      </w:r>
      <w:r>
        <w:rPr>
          <w:rFonts w:ascii="宋体" w:hAnsi="宋体" w:eastAsia="宋体" w:cs="宋体"/>
          <w:color w:val="auto"/>
          <w:spacing w:val="-1"/>
          <w:sz w:val="24"/>
          <w:szCs w:val="24"/>
          <w:highlight w:val="none"/>
        </w:rPr>
        <w:t>承包人有权暂停施工</w:t>
      </w:r>
    </w:p>
    <w:p w14:paraId="336513EB">
      <w:pPr>
        <w:spacing w:before="180" w:line="220" w:lineRule="auto"/>
        <w:jc w:val="right"/>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发包人发生除第</w:t>
      </w:r>
      <w:r>
        <w:rPr>
          <w:rFonts w:ascii="Times New Roman" w:hAnsi="Times New Roman" w:eastAsia="Times New Roman" w:cs="Times New Roman"/>
          <w:color w:val="auto"/>
          <w:spacing w:val="-1"/>
          <w:sz w:val="24"/>
          <w:szCs w:val="24"/>
          <w:highlight w:val="none"/>
        </w:rPr>
        <w:t>22.2.1</w:t>
      </w: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）目以外的违约情况时，承包人可向发包人发出通知，</w:t>
      </w:r>
    </w:p>
    <w:p w14:paraId="0582065B">
      <w:pPr>
        <w:spacing w:line="220" w:lineRule="auto"/>
        <w:rPr>
          <w:rFonts w:ascii="宋体" w:hAnsi="宋体" w:eastAsia="宋体" w:cs="宋体"/>
          <w:color w:val="auto"/>
          <w:sz w:val="24"/>
          <w:szCs w:val="24"/>
          <w:highlight w:val="none"/>
        </w:rPr>
        <w:sectPr>
          <w:footerReference r:id="rId75" w:type="default"/>
          <w:pgSz w:w="11907" w:h="16841"/>
          <w:pgMar w:top="1428" w:right="1448" w:bottom="1254" w:left="1594" w:header="0" w:footer="1093" w:gutter="0"/>
          <w:pgNumType w:fmt="decimal"/>
          <w:cols w:space="720" w:num="1"/>
        </w:sectPr>
      </w:pPr>
    </w:p>
    <w:p w14:paraId="78A8C59D">
      <w:pPr>
        <w:spacing w:before="49" w:line="359" w:lineRule="auto"/>
        <w:ind w:left="4" w:right="82"/>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要求发包人采取有效措施纠正违约行为。发包人收到承包人通知后的</w:t>
      </w:r>
      <w:r>
        <w:rPr>
          <w:rFonts w:ascii="Times New Roman" w:hAnsi="Times New Roman" w:eastAsia="Times New Roman" w:cs="Times New Roman"/>
          <w:color w:val="auto"/>
          <w:spacing w:val="-3"/>
          <w:sz w:val="24"/>
          <w:szCs w:val="24"/>
          <w:highlight w:val="none"/>
        </w:rPr>
        <w:t>28</w:t>
      </w:r>
      <w:r>
        <w:rPr>
          <w:rFonts w:ascii="宋体" w:hAnsi="宋体" w:eastAsia="宋体" w:cs="宋体"/>
          <w:color w:val="auto"/>
          <w:spacing w:val="-3"/>
          <w:sz w:val="24"/>
          <w:szCs w:val="24"/>
          <w:highlight w:val="none"/>
        </w:rPr>
        <w:t>天内仍不履行</w:t>
      </w:r>
      <w:r>
        <w:rPr>
          <w:rFonts w:ascii="宋体" w:hAnsi="宋体" w:eastAsia="宋体" w:cs="宋体"/>
          <w:color w:val="auto"/>
          <w:spacing w:val="-12"/>
          <w:sz w:val="24"/>
          <w:szCs w:val="24"/>
          <w:highlight w:val="none"/>
        </w:rPr>
        <w:t>合同义务，承包人有权暂停施工，并通知监理人，发包人应承担</w:t>
      </w:r>
      <w:r>
        <w:rPr>
          <w:rFonts w:ascii="宋体" w:hAnsi="宋体" w:eastAsia="宋体" w:cs="宋体"/>
          <w:color w:val="auto"/>
          <w:spacing w:val="-13"/>
          <w:sz w:val="24"/>
          <w:szCs w:val="24"/>
          <w:highlight w:val="none"/>
        </w:rPr>
        <w:t>由此增加的费用和（或）</w:t>
      </w:r>
      <w:r>
        <w:rPr>
          <w:rFonts w:ascii="宋体" w:hAnsi="宋体" w:eastAsia="宋体" w:cs="宋体"/>
          <w:color w:val="auto"/>
          <w:spacing w:val="-3"/>
          <w:sz w:val="24"/>
          <w:szCs w:val="24"/>
          <w:highlight w:val="none"/>
        </w:rPr>
        <w:t>工期延误，并支付承包人合理利润。</w:t>
      </w:r>
    </w:p>
    <w:p w14:paraId="3549E8EE">
      <w:pPr>
        <w:spacing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22.2.3  </w:t>
      </w:r>
      <w:r>
        <w:rPr>
          <w:rFonts w:ascii="宋体" w:hAnsi="宋体" w:eastAsia="宋体" w:cs="宋体"/>
          <w:color w:val="auto"/>
          <w:spacing w:val="-1"/>
          <w:sz w:val="24"/>
          <w:szCs w:val="24"/>
          <w:highlight w:val="none"/>
        </w:rPr>
        <w:t>发包人违约解除合同</w:t>
      </w:r>
    </w:p>
    <w:p w14:paraId="2EB59BC1">
      <w:pPr>
        <w:spacing w:before="179" w:line="219" w:lineRule="auto"/>
        <w:ind w:left="49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1"/>
          <w:sz w:val="24"/>
          <w:szCs w:val="24"/>
          <w:highlight w:val="none"/>
        </w:rPr>
        <w:t>）发生第</w:t>
      </w:r>
      <w:r>
        <w:rPr>
          <w:rFonts w:ascii="Times New Roman" w:hAnsi="Times New Roman" w:eastAsia="Times New Roman" w:cs="Times New Roman"/>
          <w:color w:val="auto"/>
          <w:spacing w:val="-1"/>
          <w:sz w:val="24"/>
          <w:szCs w:val="24"/>
          <w:highlight w:val="none"/>
        </w:rPr>
        <w:t>22.2.1</w:t>
      </w: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）目的违约情况时，承包人可</w:t>
      </w:r>
      <w:r>
        <w:rPr>
          <w:rFonts w:ascii="宋体" w:hAnsi="宋体" w:eastAsia="宋体" w:cs="宋体"/>
          <w:color w:val="auto"/>
          <w:spacing w:val="-2"/>
          <w:sz w:val="24"/>
          <w:szCs w:val="24"/>
          <w:highlight w:val="none"/>
        </w:rPr>
        <w:t>书面通知发包人解除合同。</w:t>
      </w:r>
    </w:p>
    <w:p w14:paraId="20A408CE">
      <w:pPr>
        <w:spacing w:before="181" w:line="313" w:lineRule="auto"/>
        <w:ind w:left="7" w:right="186" w:firstLine="48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）承包人按</w:t>
      </w:r>
      <w:r>
        <w:rPr>
          <w:rFonts w:ascii="Times New Roman" w:hAnsi="Times New Roman" w:eastAsia="Times New Roman" w:cs="Times New Roman"/>
          <w:color w:val="auto"/>
          <w:spacing w:val="-3"/>
          <w:sz w:val="24"/>
          <w:szCs w:val="24"/>
          <w:highlight w:val="none"/>
        </w:rPr>
        <w:t>22.2.2</w:t>
      </w:r>
      <w:r>
        <w:rPr>
          <w:rFonts w:ascii="宋体" w:hAnsi="宋体" w:eastAsia="宋体" w:cs="宋体"/>
          <w:color w:val="auto"/>
          <w:spacing w:val="-3"/>
          <w:sz w:val="24"/>
          <w:szCs w:val="24"/>
          <w:highlight w:val="none"/>
        </w:rPr>
        <w:t>项暂停施工</w:t>
      </w:r>
      <w:r>
        <w:rPr>
          <w:rFonts w:ascii="Times New Roman" w:hAnsi="Times New Roman" w:eastAsia="Times New Roman" w:cs="Times New Roman"/>
          <w:color w:val="auto"/>
          <w:spacing w:val="-3"/>
          <w:sz w:val="24"/>
          <w:szCs w:val="24"/>
          <w:highlight w:val="none"/>
        </w:rPr>
        <w:t>28</w:t>
      </w:r>
      <w:r>
        <w:rPr>
          <w:rFonts w:ascii="宋体" w:hAnsi="宋体" w:eastAsia="宋体" w:cs="宋体"/>
          <w:color w:val="auto"/>
          <w:spacing w:val="-3"/>
          <w:sz w:val="24"/>
          <w:szCs w:val="24"/>
          <w:highlight w:val="none"/>
        </w:rPr>
        <w:t>天后，发包人仍不纠正违约行为的，承包人可向发包人发出解除合同通知。但承包人的这一行动不免除发包人承担的违约责任，也不影响承包人根据合同约定享有的索赔权利。</w:t>
      </w:r>
    </w:p>
    <w:p w14:paraId="3433F532">
      <w:pPr>
        <w:spacing w:before="180"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22.2.4  </w:t>
      </w:r>
      <w:r>
        <w:rPr>
          <w:rFonts w:ascii="宋体" w:hAnsi="宋体" w:eastAsia="宋体" w:cs="宋体"/>
          <w:color w:val="auto"/>
          <w:spacing w:val="-1"/>
          <w:sz w:val="24"/>
          <w:szCs w:val="24"/>
          <w:highlight w:val="none"/>
        </w:rPr>
        <w:t>解除合同后的付款</w:t>
      </w:r>
    </w:p>
    <w:p w14:paraId="4CCE033A">
      <w:pPr>
        <w:spacing w:before="183" w:line="359" w:lineRule="auto"/>
        <w:ind w:left="3" w:firstLine="49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因发包人违约解除合同的，发包人应在解除合同后</w:t>
      </w:r>
      <w:r>
        <w:rPr>
          <w:rFonts w:ascii="Times New Roman" w:hAnsi="Times New Roman" w:eastAsia="Times New Roman" w:cs="Times New Roman"/>
          <w:color w:val="auto"/>
          <w:spacing w:val="-5"/>
          <w:sz w:val="24"/>
          <w:szCs w:val="24"/>
          <w:highlight w:val="none"/>
        </w:rPr>
        <w:t>28</w:t>
      </w:r>
      <w:r>
        <w:rPr>
          <w:rFonts w:ascii="宋体" w:hAnsi="宋体" w:eastAsia="宋体" w:cs="宋体"/>
          <w:color w:val="auto"/>
          <w:spacing w:val="-5"/>
          <w:sz w:val="24"/>
          <w:szCs w:val="24"/>
          <w:highlight w:val="none"/>
        </w:rPr>
        <w:t>天内向承包人支付下列金额，</w:t>
      </w:r>
      <w:r>
        <w:rPr>
          <w:rFonts w:ascii="宋体" w:hAnsi="宋体" w:eastAsia="宋体" w:cs="宋体"/>
          <w:color w:val="auto"/>
          <w:spacing w:val="-2"/>
          <w:sz w:val="24"/>
          <w:szCs w:val="24"/>
          <w:highlight w:val="none"/>
        </w:rPr>
        <w:t>承包人应在此期限内及时向发包人提交要求支付下列金额的有关资料和凭证：</w:t>
      </w:r>
    </w:p>
    <w:p w14:paraId="3F66FB41">
      <w:pPr>
        <w:spacing w:line="218"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）合同解除日以前所完成工作的价款。</w:t>
      </w:r>
    </w:p>
    <w:p w14:paraId="494673A7">
      <w:pPr>
        <w:spacing w:before="183" w:line="289" w:lineRule="auto"/>
        <w:ind w:left="7" w:right="221"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）承包人为该工程施工订购并已付款的材料、工程设备和其他物品的金额。</w:t>
      </w:r>
      <w:r>
        <w:rPr>
          <w:rFonts w:ascii="宋体" w:hAnsi="宋体" w:eastAsia="宋体" w:cs="宋体"/>
          <w:color w:val="auto"/>
          <w:spacing w:val="-2"/>
          <w:sz w:val="24"/>
          <w:szCs w:val="24"/>
          <w:highlight w:val="none"/>
        </w:rPr>
        <w:t>发包人付还后，该材料、工程设备和其他物品归发包人所有。</w:t>
      </w:r>
    </w:p>
    <w:p w14:paraId="469E5E75">
      <w:pPr>
        <w:spacing w:before="181" w:line="220"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）承包人为完成工程所发生的，而发包人未支付的金额。</w:t>
      </w:r>
    </w:p>
    <w:p w14:paraId="57959A89">
      <w:pPr>
        <w:spacing w:before="182" w:line="220"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）承包人撤离施工场地以及遣散承包人人员的金额。</w:t>
      </w:r>
    </w:p>
    <w:p w14:paraId="7EFCA7A5">
      <w:pPr>
        <w:spacing w:before="182" w:line="220"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5</w:t>
      </w:r>
      <w:r>
        <w:rPr>
          <w:rFonts w:ascii="宋体" w:hAnsi="宋体" w:eastAsia="宋体" w:cs="宋体"/>
          <w:color w:val="auto"/>
          <w:spacing w:val="-3"/>
          <w:sz w:val="24"/>
          <w:szCs w:val="24"/>
          <w:highlight w:val="none"/>
        </w:rPr>
        <w:t>）由于解除合同应赔偿的承包人损失。</w:t>
      </w:r>
    </w:p>
    <w:p w14:paraId="59A3FF2D">
      <w:pPr>
        <w:spacing w:before="179" w:line="220"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6</w:t>
      </w:r>
      <w:r>
        <w:rPr>
          <w:rFonts w:ascii="宋体" w:hAnsi="宋体" w:eastAsia="宋体" w:cs="宋体"/>
          <w:color w:val="auto"/>
          <w:spacing w:val="-2"/>
          <w:sz w:val="24"/>
          <w:szCs w:val="24"/>
          <w:highlight w:val="none"/>
        </w:rPr>
        <w:t>）按合同约定在合同解除日前应支付给承包人的其他金额。</w:t>
      </w:r>
    </w:p>
    <w:p w14:paraId="4DB5BAB2">
      <w:pPr>
        <w:spacing w:before="183" w:line="359" w:lineRule="auto"/>
        <w:ind w:left="3" w:right="186" w:firstLine="48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发包人应按本项约定支付上述金额并退还质量保证金和履约担保，但有权要求承包人支付应偿还给发包人的各项金额。</w:t>
      </w:r>
    </w:p>
    <w:p w14:paraId="05FE5791">
      <w:pPr>
        <w:spacing w:before="1"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22.2.5  </w:t>
      </w:r>
      <w:r>
        <w:rPr>
          <w:rFonts w:ascii="宋体" w:hAnsi="宋体" w:eastAsia="宋体" w:cs="宋体"/>
          <w:color w:val="auto"/>
          <w:spacing w:val="-1"/>
          <w:sz w:val="24"/>
          <w:szCs w:val="24"/>
          <w:highlight w:val="none"/>
        </w:rPr>
        <w:t>解除合同后的承包人撤离</w:t>
      </w:r>
    </w:p>
    <w:p w14:paraId="0EC71457">
      <w:pPr>
        <w:spacing w:before="182" w:line="359" w:lineRule="auto"/>
        <w:ind w:left="2" w:right="186" w:firstLine="49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因发包人违约而解除合同后，承包人应妥善</w:t>
      </w:r>
      <w:r>
        <w:rPr>
          <w:rFonts w:ascii="宋体" w:hAnsi="宋体" w:eastAsia="宋体" w:cs="宋体"/>
          <w:color w:val="auto"/>
          <w:spacing w:val="-4"/>
          <w:sz w:val="24"/>
          <w:szCs w:val="24"/>
          <w:highlight w:val="none"/>
        </w:rPr>
        <w:t>做好已完工工程和已购材料、设备的</w:t>
      </w:r>
      <w:r>
        <w:rPr>
          <w:rFonts w:ascii="宋体" w:hAnsi="宋体" w:eastAsia="宋体" w:cs="宋体"/>
          <w:color w:val="auto"/>
          <w:spacing w:val="-3"/>
          <w:sz w:val="24"/>
          <w:szCs w:val="24"/>
          <w:highlight w:val="none"/>
        </w:rPr>
        <w:t>保护和移交工作，按发包人要求将承包人设备和人员撤出施工场地。承包人撤出施工</w:t>
      </w:r>
      <w:r>
        <w:rPr>
          <w:rFonts w:ascii="宋体" w:hAnsi="宋体" w:eastAsia="宋体" w:cs="宋体"/>
          <w:color w:val="auto"/>
          <w:spacing w:val="-1"/>
          <w:sz w:val="24"/>
          <w:szCs w:val="24"/>
          <w:highlight w:val="none"/>
        </w:rPr>
        <w:t>场地应遵守第</w:t>
      </w:r>
      <w:r>
        <w:rPr>
          <w:rFonts w:ascii="Times New Roman" w:hAnsi="Times New Roman" w:eastAsia="Times New Roman" w:cs="Times New Roman"/>
          <w:color w:val="auto"/>
          <w:spacing w:val="-1"/>
          <w:sz w:val="24"/>
          <w:szCs w:val="24"/>
          <w:highlight w:val="none"/>
        </w:rPr>
        <w:t>18.7.1</w:t>
      </w:r>
      <w:r>
        <w:rPr>
          <w:rFonts w:ascii="宋体" w:hAnsi="宋体" w:eastAsia="宋体" w:cs="宋体"/>
          <w:color w:val="auto"/>
          <w:spacing w:val="-1"/>
          <w:sz w:val="24"/>
          <w:szCs w:val="24"/>
          <w:highlight w:val="none"/>
        </w:rPr>
        <w:t>项的约定，发包人应为承包人</w:t>
      </w:r>
      <w:r>
        <w:rPr>
          <w:rFonts w:ascii="宋体" w:hAnsi="宋体" w:eastAsia="宋体" w:cs="宋体"/>
          <w:color w:val="auto"/>
          <w:spacing w:val="-2"/>
          <w:sz w:val="24"/>
          <w:szCs w:val="24"/>
          <w:highlight w:val="none"/>
        </w:rPr>
        <w:t>撤出提供必要条件。</w:t>
      </w:r>
    </w:p>
    <w:p w14:paraId="175FEE92">
      <w:pPr>
        <w:spacing w:line="219" w:lineRule="auto"/>
        <w:outlineLvl w:val="1"/>
        <w:rPr>
          <w:rFonts w:ascii="宋体" w:hAnsi="宋体" w:eastAsia="宋体" w:cs="宋体"/>
          <w:color w:val="auto"/>
          <w:sz w:val="24"/>
          <w:szCs w:val="24"/>
          <w:highlight w:val="none"/>
        </w:rPr>
      </w:pPr>
      <w:bookmarkStart w:id="754" w:name="bookmark302"/>
      <w:bookmarkEnd w:id="754"/>
      <w:bookmarkStart w:id="755" w:name="_Toc29233"/>
      <w:bookmarkStart w:id="756" w:name="_Toc25833"/>
      <w:r>
        <w:rPr>
          <w:rFonts w:ascii="Times New Roman" w:hAnsi="Times New Roman" w:eastAsia="Times New Roman" w:cs="Times New Roman"/>
          <w:b/>
          <w:bCs/>
          <w:color w:val="auto"/>
          <w:spacing w:val="-2"/>
          <w:sz w:val="24"/>
          <w:szCs w:val="24"/>
          <w:highlight w:val="none"/>
        </w:rPr>
        <w:t xml:space="preserve">22.3  </w:t>
      </w:r>
      <w:r>
        <w:rPr>
          <w:rFonts w:ascii="宋体" w:hAnsi="宋体" w:eastAsia="宋体" w:cs="宋体"/>
          <w:b/>
          <w:bCs/>
          <w:color w:val="auto"/>
          <w:spacing w:val="-2"/>
          <w:sz w:val="24"/>
          <w:szCs w:val="24"/>
          <w:highlight w:val="none"/>
        </w:rPr>
        <w:t>第三人造成的违约</w:t>
      </w:r>
      <w:bookmarkEnd w:id="755"/>
      <w:bookmarkEnd w:id="756"/>
    </w:p>
    <w:p w14:paraId="7D4AB524">
      <w:pPr>
        <w:spacing w:before="180" w:line="362" w:lineRule="auto"/>
        <w:ind w:left="3" w:right="106"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在履行合同过程中，一方当事人因第三人的原因造成违约的，应当向对方当事人</w:t>
      </w:r>
      <w:r>
        <w:rPr>
          <w:rFonts w:ascii="宋体" w:hAnsi="宋体" w:eastAsia="宋体" w:cs="宋体"/>
          <w:color w:val="auto"/>
          <w:spacing w:val="-1"/>
          <w:sz w:val="24"/>
          <w:szCs w:val="24"/>
          <w:highlight w:val="none"/>
        </w:rPr>
        <w:t>承担违约责任。一方当事人和第三人之间的纠纷，依照法律规定或者按照约定解决。</w:t>
      </w:r>
    </w:p>
    <w:p w14:paraId="277156DF">
      <w:pPr>
        <w:spacing w:before="119" w:line="220" w:lineRule="auto"/>
        <w:outlineLvl w:val="0"/>
        <w:rPr>
          <w:rFonts w:ascii="宋体" w:hAnsi="宋体" w:eastAsia="宋体" w:cs="宋体"/>
          <w:color w:val="auto"/>
          <w:sz w:val="28"/>
          <w:szCs w:val="28"/>
          <w:highlight w:val="none"/>
        </w:rPr>
      </w:pPr>
      <w:bookmarkStart w:id="757" w:name="bookmark304"/>
      <w:bookmarkEnd w:id="757"/>
      <w:bookmarkStart w:id="758" w:name="bookmark303"/>
      <w:bookmarkEnd w:id="758"/>
      <w:bookmarkStart w:id="759" w:name="_Toc28922"/>
      <w:bookmarkStart w:id="760" w:name="_Toc23674"/>
      <w:r>
        <w:rPr>
          <w:rFonts w:ascii="Times New Roman" w:hAnsi="Times New Roman" w:eastAsia="Times New Roman" w:cs="Times New Roman"/>
          <w:b/>
          <w:bCs/>
          <w:color w:val="auto"/>
          <w:spacing w:val="-5"/>
          <w:sz w:val="28"/>
          <w:szCs w:val="28"/>
          <w:highlight w:val="none"/>
        </w:rPr>
        <w:t>23</w:t>
      </w:r>
      <w:r>
        <w:rPr>
          <w:rFonts w:hint="eastAsia" w:ascii="Times New Roman" w:hAnsi="Times New Roman" w:eastAsia="宋体" w:cs="Times New Roman"/>
          <w:b/>
          <w:bCs/>
          <w:color w:val="auto"/>
          <w:spacing w:val="8"/>
          <w:sz w:val="28"/>
          <w:szCs w:val="28"/>
          <w:highlight w:val="none"/>
          <w:lang w:eastAsia="zh-CN"/>
        </w:rPr>
        <w:t>、</w:t>
      </w:r>
      <w:r>
        <w:rPr>
          <w:rFonts w:ascii="宋体" w:hAnsi="宋体" w:eastAsia="宋体" w:cs="宋体"/>
          <w:b/>
          <w:bCs/>
          <w:color w:val="auto"/>
          <w:spacing w:val="-5"/>
          <w:sz w:val="28"/>
          <w:szCs w:val="28"/>
          <w:highlight w:val="none"/>
        </w:rPr>
        <w:t>索赔</w:t>
      </w:r>
      <w:bookmarkEnd w:id="759"/>
      <w:bookmarkEnd w:id="760"/>
    </w:p>
    <w:p w14:paraId="16396942">
      <w:pPr>
        <w:pStyle w:val="3"/>
        <w:spacing w:line="245" w:lineRule="auto"/>
        <w:rPr>
          <w:color w:val="auto"/>
          <w:highlight w:val="none"/>
        </w:rPr>
      </w:pPr>
    </w:p>
    <w:p w14:paraId="01AB2746">
      <w:pPr>
        <w:spacing w:before="78" w:line="220" w:lineRule="auto"/>
        <w:outlineLvl w:val="1"/>
        <w:rPr>
          <w:rFonts w:ascii="宋体" w:hAnsi="宋体" w:eastAsia="宋体" w:cs="宋体"/>
          <w:color w:val="auto"/>
          <w:sz w:val="24"/>
          <w:szCs w:val="24"/>
          <w:highlight w:val="none"/>
        </w:rPr>
      </w:pPr>
      <w:bookmarkStart w:id="761" w:name="bookmark709"/>
      <w:bookmarkEnd w:id="761"/>
      <w:bookmarkStart w:id="762" w:name="_Toc8906"/>
      <w:bookmarkStart w:id="763" w:name="_Toc26254"/>
      <w:r>
        <w:rPr>
          <w:rFonts w:ascii="Times New Roman" w:hAnsi="Times New Roman" w:eastAsia="Times New Roman" w:cs="Times New Roman"/>
          <w:b/>
          <w:bCs/>
          <w:color w:val="auto"/>
          <w:spacing w:val="-2"/>
          <w:sz w:val="24"/>
          <w:szCs w:val="24"/>
          <w:highlight w:val="none"/>
        </w:rPr>
        <w:t xml:space="preserve">23.1  </w:t>
      </w:r>
      <w:r>
        <w:rPr>
          <w:rFonts w:ascii="宋体" w:hAnsi="宋体" w:eastAsia="宋体" w:cs="宋体"/>
          <w:b/>
          <w:bCs/>
          <w:color w:val="auto"/>
          <w:spacing w:val="-2"/>
          <w:sz w:val="24"/>
          <w:szCs w:val="24"/>
          <w:highlight w:val="none"/>
        </w:rPr>
        <w:t>承包人索赔的提出</w:t>
      </w:r>
      <w:bookmarkEnd w:id="762"/>
      <w:bookmarkEnd w:id="763"/>
    </w:p>
    <w:p w14:paraId="708414B1">
      <w:pPr>
        <w:spacing w:line="220" w:lineRule="auto"/>
        <w:rPr>
          <w:rFonts w:ascii="宋体" w:hAnsi="宋体" w:eastAsia="宋体" w:cs="宋体"/>
          <w:color w:val="auto"/>
          <w:sz w:val="24"/>
          <w:szCs w:val="24"/>
          <w:highlight w:val="none"/>
        </w:rPr>
        <w:sectPr>
          <w:footerReference r:id="rId76" w:type="default"/>
          <w:pgSz w:w="11907" w:h="16841"/>
          <w:pgMar w:top="1428" w:right="1342" w:bottom="1254" w:left="1594" w:header="0" w:footer="1093" w:gutter="0"/>
          <w:pgNumType w:fmt="decimal"/>
          <w:cols w:space="720" w:num="1"/>
        </w:sectPr>
      </w:pPr>
    </w:p>
    <w:p w14:paraId="02AE7646">
      <w:pPr>
        <w:spacing w:before="48" w:line="359" w:lineRule="auto"/>
        <w:ind w:left="2" w:right="82"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根据合同约定，承包人认为有权得到追加付款和（或）延长工期的，应按以下程</w:t>
      </w:r>
      <w:r>
        <w:rPr>
          <w:rFonts w:ascii="宋体" w:hAnsi="宋体" w:eastAsia="宋体" w:cs="宋体"/>
          <w:color w:val="auto"/>
          <w:spacing w:val="-6"/>
          <w:sz w:val="24"/>
          <w:szCs w:val="24"/>
          <w:highlight w:val="none"/>
        </w:rPr>
        <w:t>序向发包人提出索赔：</w:t>
      </w:r>
    </w:p>
    <w:p w14:paraId="2BDFAE78">
      <w:pPr>
        <w:spacing w:before="2" w:line="312" w:lineRule="auto"/>
        <w:ind w:left="23" w:right="80" w:firstLine="466"/>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）承包人应在知道或应当知道索赔事件发生后</w:t>
      </w:r>
      <w:r>
        <w:rPr>
          <w:rFonts w:ascii="Times New Roman" w:hAnsi="Times New Roman" w:eastAsia="Times New Roman" w:cs="Times New Roman"/>
          <w:color w:val="auto"/>
          <w:sz w:val="24"/>
          <w:szCs w:val="24"/>
          <w:highlight w:val="none"/>
        </w:rPr>
        <w:t>28</w:t>
      </w:r>
      <w:r>
        <w:rPr>
          <w:rFonts w:ascii="宋体" w:hAnsi="宋体" w:eastAsia="宋体" w:cs="宋体"/>
          <w:color w:val="auto"/>
          <w:sz w:val="24"/>
          <w:szCs w:val="24"/>
          <w:highlight w:val="none"/>
        </w:rPr>
        <w:t>天内，向监理人递交索赔意</w:t>
      </w:r>
      <w:r>
        <w:rPr>
          <w:rFonts w:ascii="宋体" w:hAnsi="宋体" w:eastAsia="宋体" w:cs="宋体"/>
          <w:color w:val="auto"/>
          <w:spacing w:val="-3"/>
          <w:sz w:val="24"/>
          <w:szCs w:val="24"/>
          <w:highlight w:val="none"/>
        </w:rPr>
        <w:t>向通知书，并说明发生索赔事件的事由。承包人未在前述</w:t>
      </w:r>
      <w:r>
        <w:rPr>
          <w:rFonts w:ascii="Times New Roman" w:hAnsi="Times New Roman" w:eastAsia="Times New Roman" w:cs="Times New Roman"/>
          <w:color w:val="auto"/>
          <w:spacing w:val="-3"/>
          <w:sz w:val="24"/>
          <w:szCs w:val="24"/>
          <w:highlight w:val="none"/>
        </w:rPr>
        <w:t>28</w:t>
      </w:r>
      <w:r>
        <w:rPr>
          <w:rFonts w:ascii="宋体" w:hAnsi="宋体" w:eastAsia="宋体" w:cs="宋体"/>
          <w:color w:val="auto"/>
          <w:spacing w:val="-3"/>
          <w:sz w:val="24"/>
          <w:szCs w:val="24"/>
          <w:highlight w:val="none"/>
        </w:rPr>
        <w:t>天内发</w:t>
      </w:r>
      <w:r>
        <w:rPr>
          <w:rFonts w:ascii="宋体" w:hAnsi="宋体" w:eastAsia="宋体" w:cs="宋体"/>
          <w:color w:val="auto"/>
          <w:spacing w:val="-4"/>
          <w:sz w:val="24"/>
          <w:szCs w:val="24"/>
          <w:highlight w:val="none"/>
        </w:rPr>
        <w:t>出索赔意向通知书</w:t>
      </w:r>
      <w:r>
        <w:rPr>
          <w:rFonts w:ascii="宋体" w:hAnsi="宋体" w:eastAsia="宋体" w:cs="宋体"/>
          <w:color w:val="auto"/>
          <w:spacing w:val="-3"/>
          <w:sz w:val="24"/>
          <w:szCs w:val="24"/>
          <w:highlight w:val="none"/>
        </w:rPr>
        <w:t>的，丧失要求追加付款和（或）延长工期的权利。</w:t>
      </w:r>
    </w:p>
    <w:p w14:paraId="04036D10">
      <w:pPr>
        <w:spacing w:before="183" w:line="312" w:lineRule="auto"/>
        <w:ind w:left="7" w:right="80" w:firstLine="482"/>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2</w:t>
      </w:r>
      <w:r>
        <w:rPr>
          <w:rFonts w:ascii="宋体" w:hAnsi="宋体" w:eastAsia="宋体" w:cs="宋体"/>
          <w:color w:val="auto"/>
          <w:spacing w:val="-6"/>
          <w:sz w:val="24"/>
          <w:szCs w:val="24"/>
          <w:highlight w:val="none"/>
        </w:rPr>
        <w:t>）承包人应在发出索赔意向通知书后</w:t>
      </w:r>
      <w:r>
        <w:rPr>
          <w:rFonts w:ascii="Times New Roman" w:hAnsi="Times New Roman" w:eastAsia="Times New Roman" w:cs="Times New Roman"/>
          <w:color w:val="auto"/>
          <w:spacing w:val="-6"/>
          <w:sz w:val="24"/>
          <w:szCs w:val="24"/>
          <w:highlight w:val="none"/>
        </w:rPr>
        <w:t>28</w:t>
      </w:r>
      <w:r>
        <w:rPr>
          <w:rFonts w:ascii="宋体" w:hAnsi="宋体" w:eastAsia="宋体" w:cs="宋体"/>
          <w:color w:val="auto"/>
          <w:spacing w:val="-6"/>
          <w:sz w:val="24"/>
          <w:szCs w:val="24"/>
          <w:highlight w:val="none"/>
        </w:rPr>
        <w:t>天内，向监理人正式递</w:t>
      </w:r>
      <w:r>
        <w:rPr>
          <w:rFonts w:ascii="宋体" w:hAnsi="宋体" w:eastAsia="宋体" w:cs="宋体"/>
          <w:color w:val="auto"/>
          <w:spacing w:val="-7"/>
          <w:sz w:val="24"/>
          <w:szCs w:val="24"/>
          <w:highlight w:val="none"/>
        </w:rPr>
        <w:t>交索赔通知书。</w:t>
      </w:r>
      <w:r>
        <w:rPr>
          <w:rFonts w:ascii="宋体" w:hAnsi="宋体" w:eastAsia="宋体" w:cs="宋体"/>
          <w:color w:val="auto"/>
          <w:spacing w:val="-3"/>
          <w:sz w:val="24"/>
          <w:szCs w:val="24"/>
          <w:highlight w:val="none"/>
        </w:rPr>
        <w:t>索赔通知书应详细说明索赔理由以及要求追加的付款金额和（或）延长的工期，并附</w:t>
      </w:r>
      <w:r>
        <w:rPr>
          <w:rFonts w:ascii="宋体" w:hAnsi="宋体" w:eastAsia="宋体" w:cs="宋体"/>
          <w:color w:val="auto"/>
          <w:spacing w:val="-4"/>
          <w:sz w:val="24"/>
          <w:szCs w:val="24"/>
          <w:highlight w:val="none"/>
        </w:rPr>
        <w:t>必要的记录和证明材料。</w:t>
      </w:r>
    </w:p>
    <w:p w14:paraId="13EDE0DB">
      <w:pPr>
        <w:spacing w:before="179" w:line="313" w:lineRule="auto"/>
        <w:ind w:left="5" w:right="82"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）索赔事件具有连续影响的，承包人应按合理时间间隔继续递交延续索赔通</w:t>
      </w:r>
      <w:r>
        <w:rPr>
          <w:rFonts w:ascii="宋体" w:hAnsi="宋体" w:eastAsia="宋体" w:cs="宋体"/>
          <w:color w:val="auto"/>
          <w:spacing w:val="-3"/>
          <w:sz w:val="24"/>
          <w:szCs w:val="24"/>
          <w:highlight w:val="none"/>
        </w:rPr>
        <w:t>知，说明连续影响的实际情况和记录，列出累计的追加付款金额和（或）工期延长天</w:t>
      </w:r>
      <w:r>
        <w:rPr>
          <w:rFonts w:ascii="宋体" w:hAnsi="宋体" w:eastAsia="宋体" w:cs="宋体"/>
          <w:color w:val="auto"/>
          <w:spacing w:val="-12"/>
          <w:sz w:val="24"/>
          <w:szCs w:val="24"/>
          <w:highlight w:val="none"/>
        </w:rPr>
        <w:t>数。</w:t>
      </w:r>
    </w:p>
    <w:p w14:paraId="64F63A94">
      <w:pPr>
        <w:spacing w:before="183" w:line="288" w:lineRule="auto"/>
        <w:ind w:left="6" w:right="133" w:firstLine="483"/>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w:t>
      </w:r>
      <w:r>
        <w:rPr>
          <w:rFonts w:ascii="Times New Roman" w:hAnsi="Times New Roman" w:eastAsia="Times New Roman" w:cs="Times New Roman"/>
          <w:color w:val="auto"/>
          <w:spacing w:val="-8"/>
          <w:sz w:val="24"/>
          <w:szCs w:val="24"/>
          <w:highlight w:val="none"/>
        </w:rPr>
        <w:t>4</w:t>
      </w:r>
      <w:r>
        <w:rPr>
          <w:rFonts w:ascii="宋体" w:hAnsi="宋体" w:eastAsia="宋体" w:cs="宋体"/>
          <w:color w:val="auto"/>
          <w:spacing w:val="-8"/>
          <w:sz w:val="24"/>
          <w:szCs w:val="24"/>
          <w:highlight w:val="none"/>
        </w:rPr>
        <w:t>）在索赔事件影响结束后的</w:t>
      </w:r>
      <w:r>
        <w:rPr>
          <w:rFonts w:ascii="Times New Roman" w:hAnsi="Times New Roman" w:eastAsia="Times New Roman" w:cs="Times New Roman"/>
          <w:color w:val="auto"/>
          <w:spacing w:val="-8"/>
          <w:sz w:val="24"/>
          <w:szCs w:val="24"/>
          <w:highlight w:val="none"/>
        </w:rPr>
        <w:t>28</w:t>
      </w:r>
      <w:r>
        <w:rPr>
          <w:rFonts w:ascii="宋体" w:hAnsi="宋体" w:eastAsia="宋体" w:cs="宋体"/>
          <w:color w:val="auto"/>
          <w:spacing w:val="-8"/>
          <w:sz w:val="24"/>
          <w:szCs w:val="24"/>
          <w:highlight w:val="none"/>
        </w:rPr>
        <w:t>天内，承包人应向监理人递交最终索赔通知书，</w:t>
      </w:r>
      <w:r>
        <w:rPr>
          <w:rFonts w:ascii="宋体" w:hAnsi="宋体" w:eastAsia="宋体" w:cs="宋体"/>
          <w:color w:val="auto"/>
          <w:spacing w:val="-1"/>
          <w:sz w:val="24"/>
          <w:szCs w:val="24"/>
          <w:highlight w:val="none"/>
        </w:rPr>
        <w:t>说明最终要求索赔的追加付款金额和延长的工期，并</w:t>
      </w:r>
      <w:r>
        <w:rPr>
          <w:rFonts w:ascii="宋体" w:hAnsi="宋体" w:eastAsia="宋体" w:cs="宋体"/>
          <w:color w:val="auto"/>
          <w:spacing w:val="-2"/>
          <w:sz w:val="24"/>
          <w:szCs w:val="24"/>
          <w:highlight w:val="none"/>
        </w:rPr>
        <w:t>附必要的记录和证明材料。</w:t>
      </w:r>
    </w:p>
    <w:p w14:paraId="35ACC0A3">
      <w:pPr>
        <w:spacing w:before="183" w:line="220" w:lineRule="auto"/>
        <w:outlineLvl w:val="1"/>
        <w:rPr>
          <w:rFonts w:ascii="宋体" w:hAnsi="宋体" w:eastAsia="宋体" w:cs="宋体"/>
          <w:color w:val="auto"/>
          <w:sz w:val="24"/>
          <w:szCs w:val="24"/>
          <w:highlight w:val="none"/>
        </w:rPr>
      </w:pPr>
      <w:bookmarkStart w:id="764" w:name="bookmark305"/>
      <w:bookmarkEnd w:id="764"/>
      <w:bookmarkStart w:id="765" w:name="_Toc1985"/>
      <w:bookmarkStart w:id="766" w:name="_Toc21944"/>
      <w:r>
        <w:rPr>
          <w:rFonts w:ascii="Times New Roman" w:hAnsi="Times New Roman" w:eastAsia="Times New Roman" w:cs="Times New Roman"/>
          <w:b/>
          <w:bCs/>
          <w:color w:val="auto"/>
          <w:spacing w:val="-2"/>
          <w:sz w:val="24"/>
          <w:szCs w:val="24"/>
          <w:highlight w:val="none"/>
        </w:rPr>
        <w:t xml:space="preserve">23.2  </w:t>
      </w:r>
      <w:r>
        <w:rPr>
          <w:rFonts w:ascii="宋体" w:hAnsi="宋体" w:eastAsia="宋体" w:cs="宋体"/>
          <w:b/>
          <w:bCs/>
          <w:color w:val="auto"/>
          <w:spacing w:val="-2"/>
          <w:sz w:val="24"/>
          <w:szCs w:val="24"/>
          <w:highlight w:val="none"/>
        </w:rPr>
        <w:t>承包人索赔处理程序</w:t>
      </w:r>
      <w:bookmarkEnd w:id="765"/>
      <w:bookmarkEnd w:id="766"/>
    </w:p>
    <w:p w14:paraId="6F85C79E">
      <w:pPr>
        <w:spacing w:before="181" w:line="289" w:lineRule="auto"/>
        <w:ind w:left="6" w:firstLine="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1"/>
          <w:sz w:val="24"/>
          <w:szCs w:val="24"/>
          <w:highlight w:val="none"/>
        </w:rPr>
        <w:t>）监理人收到承包人提交的索赔通知书后，应及时审查索赔通知书的内容、查验承包人的记录和证明材料，必要时监理人可要求承包人提交全部原始记录副本。</w:t>
      </w:r>
    </w:p>
    <w:p w14:paraId="67574FC8">
      <w:pPr>
        <w:spacing w:before="182" w:line="314" w:lineRule="auto"/>
        <w:ind w:left="5" w:right="80" w:firstLine="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）监理人应按第</w:t>
      </w:r>
      <w:r>
        <w:rPr>
          <w:rFonts w:ascii="Times New Roman" w:hAnsi="Times New Roman" w:eastAsia="Times New Roman" w:cs="Times New Roman"/>
          <w:color w:val="auto"/>
          <w:spacing w:val="-1"/>
          <w:sz w:val="24"/>
          <w:szCs w:val="24"/>
          <w:highlight w:val="none"/>
        </w:rPr>
        <w:t>3.5</w:t>
      </w:r>
      <w:r>
        <w:rPr>
          <w:rFonts w:ascii="宋体" w:hAnsi="宋体" w:eastAsia="宋体" w:cs="宋体"/>
          <w:color w:val="auto"/>
          <w:spacing w:val="-1"/>
          <w:sz w:val="24"/>
          <w:szCs w:val="24"/>
          <w:highlight w:val="none"/>
        </w:rPr>
        <w:t>款商定或确定追加的付款和（</w:t>
      </w:r>
      <w:r>
        <w:rPr>
          <w:rFonts w:ascii="宋体" w:hAnsi="宋体" w:eastAsia="宋体" w:cs="宋体"/>
          <w:color w:val="auto"/>
          <w:spacing w:val="-2"/>
          <w:sz w:val="24"/>
          <w:szCs w:val="24"/>
          <w:highlight w:val="none"/>
        </w:rPr>
        <w:t>或）延长的工期，并在收到</w:t>
      </w:r>
      <w:r>
        <w:rPr>
          <w:rFonts w:ascii="宋体" w:hAnsi="宋体" w:eastAsia="宋体" w:cs="宋体"/>
          <w:color w:val="auto"/>
          <w:spacing w:val="-3"/>
          <w:sz w:val="24"/>
          <w:szCs w:val="24"/>
          <w:highlight w:val="none"/>
        </w:rPr>
        <w:t>上述索赔通知书或有关索赔的进一步证明材料后的</w:t>
      </w:r>
      <w:r>
        <w:rPr>
          <w:rFonts w:ascii="Times New Roman" w:hAnsi="Times New Roman" w:eastAsia="Times New Roman" w:cs="Times New Roman"/>
          <w:color w:val="auto"/>
          <w:spacing w:val="-3"/>
          <w:sz w:val="24"/>
          <w:szCs w:val="24"/>
          <w:highlight w:val="none"/>
        </w:rPr>
        <w:t>42</w:t>
      </w:r>
      <w:r>
        <w:rPr>
          <w:rFonts w:ascii="宋体" w:hAnsi="宋体" w:eastAsia="宋体" w:cs="宋体"/>
          <w:color w:val="auto"/>
          <w:spacing w:val="-3"/>
          <w:sz w:val="24"/>
          <w:szCs w:val="24"/>
          <w:highlight w:val="none"/>
        </w:rPr>
        <w:t>天内，将索赔处理结果答复承包</w:t>
      </w:r>
      <w:r>
        <w:rPr>
          <w:rFonts w:ascii="宋体" w:hAnsi="宋体" w:eastAsia="宋体" w:cs="宋体"/>
          <w:color w:val="auto"/>
          <w:spacing w:val="-12"/>
          <w:sz w:val="24"/>
          <w:szCs w:val="24"/>
          <w:highlight w:val="none"/>
        </w:rPr>
        <w:t>人。</w:t>
      </w:r>
    </w:p>
    <w:p w14:paraId="7A7870AA">
      <w:pPr>
        <w:spacing w:before="176" w:line="290" w:lineRule="auto"/>
        <w:ind w:left="5" w:right="80"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3</w:t>
      </w:r>
      <w:r>
        <w:rPr>
          <w:rFonts w:ascii="宋体" w:hAnsi="宋体" w:eastAsia="宋体" w:cs="宋体"/>
          <w:color w:val="auto"/>
          <w:sz w:val="24"/>
          <w:szCs w:val="24"/>
          <w:highlight w:val="none"/>
        </w:rPr>
        <w:t>）承包人接受索赔处理结果的，发包人应在作出索赔处理结果答复后</w:t>
      </w:r>
      <w:r>
        <w:rPr>
          <w:rFonts w:ascii="Times New Roman" w:hAnsi="Times New Roman" w:eastAsia="Times New Roman" w:cs="Times New Roman"/>
          <w:color w:val="auto"/>
          <w:sz w:val="24"/>
          <w:szCs w:val="24"/>
          <w:highlight w:val="none"/>
        </w:rPr>
        <w:t>28</w:t>
      </w:r>
      <w:r>
        <w:rPr>
          <w:rFonts w:ascii="宋体" w:hAnsi="宋体" w:eastAsia="宋体" w:cs="宋体"/>
          <w:color w:val="auto"/>
          <w:sz w:val="24"/>
          <w:szCs w:val="24"/>
          <w:highlight w:val="none"/>
        </w:rPr>
        <w:t>天内</w:t>
      </w:r>
      <w:r>
        <w:rPr>
          <w:rFonts w:ascii="宋体" w:hAnsi="宋体" w:eastAsia="宋体" w:cs="宋体"/>
          <w:color w:val="auto"/>
          <w:spacing w:val="-2"/>
          <w:sz w:val="24"/>
          <w:szCs w:val="24"/>
          <w:highlight w:val="none"/>
        </w:rPr>
        <w:t>完成赔付。承包人不接受索赔处理结果的，按第</w:t>
      </w:r>
      <w:r>
        <w:rPr>
          <w:rFonts w:ascii="Times New Roman" w:hAnsi="Times New Roman" w:eastAsia="Times New Roman" w:cs="Times New Roman"/>
          <w:color w:val="auto"/>
          <w:spacing w:val="-2"/>
          <w:sz w:val="24"/>
          <w:szCs w:val="24"/>
          <w:highlight w:val="none"/>
        </w:rPr>
        <w:t>24</w:t>
      </w:r>
      <w:r>
        <w:rPr>
          <w:rFonts w:ascii="宋体" w:hAnsi="宋体" w:eastAsia="宋体" w:cs="宋体"/>
          <w:color w:val="auto"/>
          <w:spacing w:val="-2"/>
          <w:sz w:val="24"/>
          <w:szCs w:val="24"/>
          <w:highlight w:val="none"/>
        </w:rPr>
        <w:t>条的约定办理。</w:t>
      </w:r>
    </w:p>
    <w:p w14:paraId="05A4ED67">
      <w:pPr>
        <w:spacing w:before="179" w:line="220" w:lineRule="auto"/>
        <w:outlineLvl w:val="1"/>
        <w:rPr>
          <w:rFonts w:ascii="宋体" w:hAnsi="宋体" w:eastAsia="宋体" w:cs="宋体"/>
          <w:color w:val="auto"/>
          <w:sz w:val="24"/>
          <w:szCs w:val="24"/>
          <w:highlight w:val="none"/>
        </w:rPr>
      </w:pPr>
      <w:bookmarkStart w:id="767" w:name="bookmark306"/>
      <w:bookmarkEnd w:id="767"/>
      <w:bookmarkStart w:id="768" w:name="_Toc13398"/>
      <w:bookmarkStart w:id="769" w:name="_Toc26486"/>
      <w:r>
        <w:rPr>
          <w:rFonts w:ascii="Times New Roman" w:hAnsi="Times New Roman" w:eastAsia="Times New Roman" w:cs="Times New Roman"/>
          <w:b/>
          <w:bCs/>
          <w:color w:val="auto"/>
          <w:spacing w:val="-2"/>
          <w:sz w:val="24"/>
          <w:szCs w:val="24"/>
          <w:highlight w:val="none"/>
        </w:rPr>
        <w:t xml:space="preserve">23.3  </w:t>
      </w:r>
      <w:r>
        <w:rPr>
          <w:rFonts w:ascii="宋体" w:hAnsi="宋体" w:eastAsia="宋体" w:cs="宋体"/>
          <w:b/>
          <w:bCs/>
          <w:color w:val="auto"/>
          <w:spacing w:val="-2"/>
          <w:sz w:val="24"/>
          <w:szCs w:val="24"/>
          <w:highlight w:val="none"/>
        </w:rPr>
        <w:t>承包人提出索赔的期限</w:t>
      </w:r>
      <w:bookmarkEnd w:id="768"/>
      <w:bookmarkEnd w:id="769"/>
    </w:p>
    <w:p w14:paraId="44E27176">
      <w:pPr>
        <w:spacing w:before="184" w:line="288" w:lineRule="auto"/>
        <w:ind w:left="2" w:right="80"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23.3.1  </w:t>
      </w:r>
      <w:r>
        <w:rPr>
          <w:rFonts w:ascii="宋体" w:hAnsi="宋体" w:eastAsia="宋体" w:cs="宋体"/>
          <w:color w:val="auto"/>
          <w:spacing w:val="-1"/>
          <w:sz w:val="24"/>
          <w:szCs w:val="24"/>
          <w:highlight w:val="none"/>
        </w:rPr>
        <w:t>承包人按第</w:t>
      </w:r>
      <w:r>
        <w:rPr>
          <w:rFonts w:ascii="Times New Roman" w:hAnsi="Times New Roman" w:eastAsia="Times New Roman" w:cs="Times New Roman"/>
          <w:color w:val="auto"/>
          <w:spacing w:val="-1"/>
          <w:sz w:val="24"/>
          <w:szCs w:val="24"/>
          <w:highlight w:val="none"/>
        </w:rPr>
        <w:t>17.5</w:t>
      </w:r>
      <w:r>
        <w:rPr>
          <w:rFonts w:ascii="宋体" w:hAnsi="宋体" w:eastAsia="宋体" w:cs="宋体"/>
          <w:color w:val="auto"/>
          <w:spacing w:val="-1"/>
          <w:sz w:val="24"/>
          <w:szCs w:val="24"/>
          <w:highlight w:val="none"/>
        </w:rPr>
        <w:t>款的约定接受了完工付款证书后，应被认为已无权再提出</w:t>
      </w:r>
      <w:r>
        <w:rPr>
          <w:rFonts w:ascii="宋体" w:hAnsi="宋体" w:eastAsia="宋体" w:cs="宋体"/>
          <w:color w:val="auto"/>
          <w:spacing w:val="-2"/>
          <w:sz w:val="24"/>
          <w:szCs w:val="24"/>
          <w:highlight w:val="none"/>
        </w:rPr>
        <w:t>在合同工程完工证书颁发前所发生的任何索赔。</w:t>
      </w:r>
    </w:p>
    <w:p w14:paraId="682DD184">
      <w:pPr>
        <w:spacing w:before="185" w:line="288" w:lineRule="auto"/>
        <w:ind w:left="5" w:right="80"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23.3.2  </w:t>
      </w:r>
      <w:r>
        <w:rPr>
          <w:rFonts w:ascii="宋体" w:hAnsi="宋体" w:eastAsia="宋体" w:cs="宋体"/>
          <w:color w:val="auto"/>
          <w:spacing w:val="-1"/>
          <w:sz w:val="24"/>
          <w:szCs w:val="24"/>
          <w:highlight w:val="none"/>
        </w:rPr>
        <w:t>承包人按第</w:t>
      </w:r>
      <w:r>
        <w:rPr>
          <w:rFonts w:ascii="Times New Roman" w:hAnsi="Times New Roman" w:eastAsia="Times New Roman" w:cs="Times New Roman"/>
          <w:color w:val="auto"/>
          <w:spacing w:val="-1"/>
          <w:sz w:val="24"/>
          <w:szCs w:val="24"/>
          <w:highlight w:val="none"/>
        </w:rPr>
        <w:t>17.6</w:t>
      </w:r>
      <w:r>
        <w:rPr>
          <w:rFonts w:ascii="宋体" w:hAnsi="宋体" w:eastAsia="宋体" w:cs="宋体"/>
          <w:color w:val="auto"/>
          <w:spacing w:val="-1"/>
          <w:sz w:val="24"/>
          <w:szCs w:val="24"/>
          <w:highlight w:val="none"/>
        </w:rPr>
        <w:t>款的约定提交的最终结清申请单中，只限于提出合同工程完工证书颁发后发生的索赔。提出索赔的期限</w:t>
      </w:r>
      <w:r>
        <w:rPr>
          <w:rFonts w:ascii="宋体" w:hAnsi="宋体" w:eastAsia="宋体" w:cs="宋体"/>
          <w:color w:val="auto"/>
          <w:spacing w:val="-2"/>
          <w:sz w:val="24"/>
          <w:szCs w:val="24"/>
          <w:highlight w:val="none"/>
        </w:rPr>
        <w:t>自接受最终结清证书时终止。</w:t>
      </w:r>
    </w:p>
    <w:p w14:paraId="39FD0516">
      <w:pPr>
        <w:spacing w:before="183" w:line="220" w:lineRule="auto"/>
        <w:outlineLvl w:val="1"/>
        <w:rPr>
          <w:rFonts w:ascii="宋体" w:hAnsi="宋体" w:eastAsia="宋体" w:cs="宋体"/>
          <w:color w:val="auto"/>
          <w:sz w:val="24"/>
          <w:szCs w:val="24"/>
          <w:highlight w:val="none"/>
        </w:rPr>
      </w:pPr>
      <w:bookmarkStart w:id="770" w:name="bookmark307"/>
      <w:bookmarkEnd w:id="770"/>
      <w:bookmarkStart w:id="771" w:name="_Toc26554"/>
      <w:bookmarkStart w:id="772" w:name="_Toc21144"/>
      <w:r>
        <w:rPr>
          <w:rFonts w:ascii="Times New Roman" w:hAnsi="Times New Roman" w:eastAsia="Times New Roman" w:cs="Times New Roman"/>
          <w:b/>
          <w:bCs/>
          <w:color w:val="auto"/>
          <w:spacing w:val="-2"/>
          <w:sz w:val="24"/>
          <w:szCs w:val="24"/>
          <w:highlight w:val="none"/>
        </w:rPr>
        <w:t xml:space="preserve">23.4  </w:t>
      </w:r>
      <w:r>
        <w:rPr>
          <w:rFonts w:ascii="宋体" w:hAnsi="宋体" w:eastAsia="宋体" w:cs="宋体"/>
          <w:b/>
          <w:bCs/>
          <w:color w:val="auto"/>
          <w:spacing w:val="-2"/>
          <w:sz w:val="24"/>
          <w:szCs w:val="24"/>
          <w:highlight w:val="none"/>
        </w:rPr>
        <w:t>发包人的索赔</w:t>
      </w:r>
      <w:bookmarkEnd w:id="771"/>
      <w:bookmarkEnd w:id="772"/>
    </w:p>
    <w:p w14:paraId="419B6E73">
      <w:pPr>
        <w:spacing w:before="182" w:line="360" w:lineRule="auto"/>
        <w:ind w:left="8" w:right="80" w:firstLine="474"/>
        <w:jc w:val="both"/>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23.4.1  </w:t>
      </w:r>
      <w:r>
        <w:rPr>
          <w:rFonts w:ascii="宋体" w:hAnsi="宋体" w:eastAsia="宋体" w:cs="宋体"/>
          <w:color w:val="auto"/>
          <w:spacing w:val="-3"/>
          <w:sz w:val="24"/>
          <w:szCs w:val="24"/>
          <w:highlight w:val="none"/>
        </w:rPr>
        <w:t>发生索赔事件后，监理人应及时书面通知承包人，详细说明发包人有权得到的索赔金额和（或）延长缺陷责任期的细节和依据。发包人提出索赔的期限和要求</w:t>
      </w:r>
      <w:r>
        <w:rPr>
          <w:rFonts w:ascii="宋体" w:hAnsi="宋体" w:eastAsia="宋体" w:cs="宋体"/>
          <w:color w:val="auto"/>
          <w:spacing w:val="-1"/>
          <w:sz w:val="24"/>
          <w:szCs w:val="24"/>
          <w:highlight w:val="none"/>
        </w:rPr>
        <w:t>与第</w:t>
      </w:r>
      <w:r>
        <w:rPr>
          <w:rFonts w:ascii="Times New Roman" w:hAnsi="Times New Roman" w:eastAsia="Times New Roman" w:cs="Times New Roman"/>
          <w:color w:val="auto"/>
          <w:spacing w:val="-1"/>
          <w:sz w:val="24"/>
          <w:szCs w:val="24"/>
          <w:highlight w:val="none"/>
        </w:rPr>
        <w:t>23.3</w:t>
      </w:r>
      <w:r>
        <w:rPr>
          <w:rFonts w:ascii="宋体" w:hAnsi="宋体" w:eastAsia="宋体" w:cs="宋体"/>
          <w:color w:val="auto"/>
          <w:spacing w:val="-1"/>
          <w:sz w:val="24"/>
          <w:szCs w:val="24"/>
          <w:highlight w:val="none"/>
        </w:rPr>
        <w:t>款的约定相同，延长缺陷责任期的通知</w:t>
      </w:r>
      <w:r>
        <w:rPr>
          <w:rFonts w:ascii="宋体" w:hAnsi="宋体" w:eastAsia="宋体" w:cs="宋体"/>
          <w:color w:val="auto"/>
          <w:spacing w:val="-2"/>
          <w:sz w:val="24"/>
          <w:szCs w:val="24"/>
          <w:highlight w:val="none"/>
        </w:rPr>
        <w:t>应在缺陷责任期届满前发出。</w:t>
      </w:r>
    </w:p>
    <w:p w14:paraId="1E35AC33">
      <w:pPr>
        <w:spacing w:line="360" w:lineRule="auto"/>
        <w:rPr>
          <w:rFonts w:ascii="宋体" w:hAnsi="宋体" w:eastAsia="宋体" w:cs="宋体"/>
          <w:color w:val="auto"/>
          <w:sz w:val="24"/>
          <w:szCs w:val="24"/>
          <w:highlight w:val="none"/>
        </w:rPr>
        <w:sectPr>
          <w:footerReference r:id="rId77" w:type="default"/>
          <w:pgSz w:w="11907" w:h="16841"/>
          <w:pgMar w:top="1428" w:right="1448" w:bottom="1254" w:left="1594" w:header="0" w:footer="1093" w:gutter="0"/>
          <w:pgNumType w:fmt="decimal"/>
          <w:cols w:space="720" w:num="1"/>
        </w:sectPr>
      </w:pPr>
    </w:p>
    <w:p w14:paraId="25F4A045">
      <w:pPr>
        <w:spacing w:before="46" w:line="313" w:lineRule="auto"/>
        <w:ind w:left="17" w:right="186" w:firstLine="464"/>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23.4.2  </w:t>
      </w:r>
      <w:r>
        <w:rPr>
          <w:rFonts w:ascii="宋体" w:hAnsi="宋体" w:eastAsia="宋体" w:cs="宋体"/>
          <w:color w:val="auto"/>
          <w:spacing w:val="-4"/>
          <w:sz w:val="24"/>
          <w:szCs w:val="24"/>
          <w:highlight w:val="none"/>
        </w:rPr>
        <w:t>监理人按第</w:t>
      </w:r>
      <w:r>
        <w:rPr>
          <w:rFonts w:ascii="Times New Roman" w:hAnsi="Times New Roman" w:eastAsia="Times New Roman" w:cs="Times New Roman"/>
          <w:color w:val="auto"/>
          <w:spacing w:val="-4"/>
          <w:sz w:val="24"/>
          <w:szCs w:val="24"/>
          <w:highlight w:val="none"/>
        </w:rPr>
        <w:t>3.5</w:t>
      </w:r>
      <w:r>
        <w:rPr>
          <w:rFonts w:ascii="宋体" w:hAnsi="宋体" w:eastAsia="宋体" w:cs="宋体"/>
          <w:color w:val="auto"/>
          <w:spacing w:val="-4"/>
          <w:sz w:val="24"/>
          <w:szCs w:val="24"/>
          <w:highlight w:val="none"/>
        </w:rPr>
        <w:t>款商定或确定发包人从承包人处得到赔付的金额和（或）缺</w:t>
      </w:r>
      <w:r>
        <w:rPr>
          <w:rFonts w:ascii="宋体" w:hAnsi="宋体" w:eastAsia="宋体" w:cs="宋体"/>
          <w:color w:val="auto"/>
          <w:spacing w:val="-3"/>
          <w:sz w:val="24"/>
          <w:szCs w:val="24"/>
          <w:highlight w:val="none"/>
        </w:rPr>
        <w:t>陷责任期的延长期。承包人应付给发包人的金额可从拟支付给承包人的合</w:t>
      </w:r>
      <w:r>
        <w:rPr>
          <w:rFonts w:ascii="宋体" w:hAnsi="宋体" w:eastAsia="宋体" w:cs="宋体"/>
          <w:color w:val="auto"/>
          <w:spacing w:val="-4"/>
          <w:sz w:val="24"/>
          <w:szCs w:val="24"/>
          <w:highlight w:val="none"/>
        </w:rPr>
        <w:t>同价款中扣</w:t>
      </w:r>
      <w:r>
        <w:rPr>
          <w:rFonts w:ascii="宋体" w:hAnsi="宋体" w:eastAsia="宋体" w:cs="宋体"/>
          <w:color w:val="auto"/>
          <w:spacing w:val="-3"/>
          <w:sz w:val="24"/>
          <w:szCs w:val="24"/>
          <w:highlight w:val="none"/>
        </w:rPr>
        <w:t>除，或由承包人以其他方式支付给发包人。</w:t>
      </w:r>
    </w:p>
    <w:p w14:paraId="6788B7A5">
      <w:pPr>
        <w:spacing w:before="183" w:line="331" w:lineRule="auto"/>
        <w:ind w:left="2" w:right="186"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23.4.3  </w:t>
      </w:r>
      <w:r>
        <w:rPr>
          <w:rFonts w:ascii="宋体" w:hAnsi="宋体" w:eastAsia="宋体" w:cs="宋体"/>
          <w:color w:val="auto"/>
          <w:spacing w:val="1"/>
          <w:sz w:val="24"/>
          <w:szCs w:val="24"/>
          <w:highlight w:val="none"/>
        </w:rPr>
        <w:t>承包人对监理人按第</w:t>
      </w:r>
      <w:r>
        <w:rPr>
          <w:rFonts w:ascii="Times New Roman" w:hAnsi="Times New Roman" w:eastAsia="Times New Roman" w:cs="Times New Roman"/>
          <w:color w:val="auto"/>
          <w:spacing w:val="1"/>
          <w:sz w:val="24"/>
          <w:szCs w:val="24"/>
          <w:highlight w:val="none"/>
        </w:rPr>
        <w:t>23</w:t>
      </w:r>
      <w:r>
        <w:rPr>
          <w:rFonts w:ascii="Times New Roman" w:hAnsi="Times New Roman" w:eastAsia="Times New Roman" w:cs="Times New Roman"/>
          <w:color w:val="auto"/>
          <w:sz w:val="24"/>
          <w:szCs w:val="24"/>
          <w:highlight w:val="none"/>
        </w:rPr>
        <w:t>.4.1</w:t>
      </w:r>
      <w:r>
        <w:rPr>
          <w:rFonts w:ascii="宋体" w:hAnsi="宋体" w:eastAsia="宋体" w:cs="宋体"/>
          <w:color w:val="auto"/>
          <w:sz w:val="24"/>
          <w:szCs w:val="24"/>
          <w:highlight w:val="none"/>
        </w:rPr>
        <w:t>项发出的索赔书面通知内容持异议时，应在收</w:t>
      </w:r>
      <w:r>
        <w:rPr>
          <w:rFonts w:ascii="宋体" w:hAnsi="宋体" w:eastAsia="宋体" w:cs="宋体"/>
          <w:color w:val="auto"/>
          <w:spacing w:val="-3"/>
          <w:sz w:val="24"/>
          <w:szCs w:val="24"/>
          <w:highlight w:val="none"/>
        </w:rPr>
        <w:t>到书面通知后的</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天内，将持有异议的书面报告及其证明材料提交监理人。监理人应</w:t>
      </w:r>
      <w:r>
        <w:rPr>
          <w:rFonts w:ascii="宋体" w:hAnsi="宋体" w:eastAsia="宋体" w:cs="宋体"/>
          <w:color w:val="auto"/>
          <w:spacing w:val="1"/>
          <w:sz w:val="24"/>
          <w:szCs w:val="24"/>
          <w:highlight w:val="none"/>
        </w:rPr>
        <w:t>在收到承包人书面报告后的</w:t>
      </w:r>
      <w:r>
        <w:rPr>
          <w:rFonts w:ascii="Times New Roman" w:hAnsi="Times New Roman" w:eastAsia="Times New Roman" w:cs="Times New Roman"/>
          <w:color w:val="auto"/>
          <w:spacing w:val="1"/>
          <w:sz w:val="24"/>
          <w:szCs w:val="24"/>
          <w:highlight w:val="none"/>
        </w:rPr>
        <w:t>14</w:t>
      </w:r>
      <w:r>
        <w:rPr>
          <w:rFonts w:ascii="宋体" w:hAnsi="宋体" w:eastAsia="宋体" w:cs="宋体"/>
          <w:color w:val="auto"/>
          <w:spacing w:val="1"/>
          <w:sz w:val="24"/>
          <w:szCs w:val="24"/>
          <w:highlight w:val="none"/>
        </w:rPr>
        <w:t>天内，将异</w:t>
      </w:r>
      <w:r>
        <w:rPr>
          <w:rFonts w:ascii="宋体" w:hAnsi="宋体" w:eastAsia="宋体" w:cs="宋体"/>
          <w:color w:val="auto"/>
          <w:sz w:val="24"/>
          <w:szCs w:val="24"/>
          <w:highlight w:val="none"/>
        </w:rPr>
        <w:t>议的处理意见通知承包人，并按第</w:t>
      </w:r>
      <w:r>
        <w:rPr>
          <w:rFonts w:ascii="Times New Roman" w:hAnsi="Times New Roman" w:eastAsia="Times New Roman" w:cs="Times New Roman"/>
          <w:color w:val="auto"/>
          <w:sz w:val="24"/>
          <w:szCs w:val="24"/>
          <w:highlight w:val="none"/>
        </w:rPr>
        <w:t>23.4.2</w:t>
      </w:r>
      <w:r>
        <w:rPr>
          <w:rFonts w:ascii="宋体" w:hAnsi="宋体" w:eastAsia="宋体" w:cs="宋体"/>
          <w:color w:val="auto"/>
          <w:sz w:val="24"/>
          <w:szCs w:val="24"/>
          <w:highlight w:val="none"/>
        </w:rPr>
        <w:t>项</w:t>
      </w:r>
      <w:r>
        <w:rPr>
          <w:rFonts w:ascii="宋体" w:hAnsi="宋体" w:eastAsia="宋体" w:cs="宋体"/>
          <w:color w:val="auto"/>
          <w:spacing w:val="-5"/>
          <w:sz w:val="24"/>
          <w:szCs w:val="24"/>
          <w:highlight w:val="none"/>
        </w:rPr>
        <w:t>的约定执行赔付。若承包人不接受监理人的索赔处理意见，</w:t>
      </w:r>
      <w:r>
        <w:rPr>
          <w:rFonts w:ascii="宋体" w:hAnsi="宋体" w:eastAsia="宋体" w:cs="宋体"/>
          <w:color w:val="auto"/>
          <w:spacing w:val="-31"/>
          <w:sz w:val="24"/>
          <w:szCs w:val="24"/>
          <w:highlight w:val="none"/>
        </w:rPr>
        <w:t xml:space="preserve"> </w:t>
      </w:r>
      <w:r>
        <w:rPr>
          <w:rFonts w:ascii="宋体" w:hAnsi="宋体" w:eastAsia="宋体" w:cs="宋体"/>
          <w:color w:val="auto"/>
          <w:spacing w:val="-5"/>
          <w:sz w:val="24"/>
          <w:szCs w:val="24"/>
          <w:highlight w:val="none"/>
        </w:rPr>
        <w:t>可按本合同第</w:t>
      </w:r>
      <w:r>
        <w:rPr>
          <w:rFonts w:ascii="Times New Roman" w:hAnsi="Times New Roman" w:eastAsia="Times New Roman" w:cs="Times New Roman"/>
          <w:color w:val="auto"/>
          <w:spacing w:val="-5"/>
          <w:sz w:val="24"/>
          <w:szCs w:val="24"/>
          <w:highlight w:val="none"/>
        </w:rPr>
        <w:t>24</w:t>
      </w:r>
      <w:r>
        <w:rPr>
          <w:rFonts w:ascii="宋体" w:hAnsi="宋体" w:eastAsia="宋体" w:cs="宋体"/>
          <w:color w:val="auto"/>
          <w:spacing w:val="-5"/>
          <w:sz w:val="24"/>
          <w:szCs w:val="24"/>
          <w:highlight w:val="none"/>
        </w:rPr>
        <w:t>条的规定</w:t>
      </w:r>
      <w:r>
        <w:rPr>
          <w:rFonts w:ascii="宋体" w:hAnsi="宋体" w:eastAsia="宋体" w:cs="宋体"/>
          <w:color w:val="auto"/>
          <w:spacing w:val="-10"/>
          <w:sz w:val="24"/>
          <w:szCs w:val="24"/>
          <w:highlight w:val="none"/>
        </w:rPr>
        <w:t>办理。</w:t>
      </w:r>
    </w:p>
    <w:p w14:paraId="56C3A9BF">
      <w:pPr>
        <w:spacing w:before="306" w:line="220" w:lineRule="auto"/>
        <w:outlineLvl w:val="0"/>
        <w:rPr>
          <w:rFonts w:ascii="宋体" w:hAnsi="宋体" w:eastAsia="宋体" w:cs="宋体"/>
          <w:color w:val="auto"/>
          <w:sz w:val="28"/>
          <w:szCs w:val="28"/>
          <w:highlight w:val="none"/>
        </w:rPr>
      </w:pPr>
      <w:bookmarkStart w:id="773" w:name="bookmark309"/>
      <w:bookmarkEnd w:id="773"/>
      <w:bookmarkStart w:id="774" w:name="bookmark308"/>
      <w:bookmarkEnd w:id="774"/>
      <w:bookmarkStart w:id="775" w:name="_Toc10370"/>
      <w:bookmarkStart w:id="776" w:name="_Toc3297"/>
      <w:r>
        <w:rPr>
          <w:rFonts w:ascii="Times New Roman" w:hAnsi="Times New Roman" w:eastAsia="Times New Roman" w:cs="Times New Roman"/>
          <w:b/>
          <w:bCs/>
          <w:color w:val="auto"/>
          <w:spacing w:val="-2"/>
          <w:sz w:val="28"/>
          <w:szCs w:val="28"/>
          <w:highlight w:val="none"/>
        </w:rPr>
        <w:t xml:space="preserve">24 </w:t>
      </w:r>
      <w:r>
        <w:rPr>
          <w:rFonts w:hint="eastAsia" w:ascii="Times New Roman" w:hAnsi="Times New Roman" w:eastAsia="宋体" w:cs="Times New Roman"/>
          <w:b/>
          <w:bCs/>
          <w:color w:val="auto"/>
          <w:spacing w:val="-2"/>
          <w:sz w:val="28"/>
          <w:szCs w:val="28"/>
          <w:highlight w:val="none"/>
          <w:lang w:eastAsia="zh-CN"/>
        </w:rPr>
        <w:t>、</w:t>
      </w:r>
      <w:r>
        <w:rPr>
          <w:rFonts w:ascii="宋体" w:hAnsi="宋体" w:eastAsia="宋体" w:cs="宋体"/>
          <w:b/>
          <w:bCs/>
          <w:color w:val="auto"/>
          <w:spacing w:val="-2"/>
          <w:sz w:val="28"/>
          <w:szCs w:val="28"/>
          <w:highlight w:val="none"/>
        </w:rPr>
        <w:t>争议的解决</w:t>
      </w:r>
      <w:bookmarkEnd w:id="775"/>
      <w:bookmarkEnd w:id="776"/>
    </w:p>
    <w:p w14:paraId="1B94C253">
      <w:pPr>
        <w:pStyle w:val="3"/>
        <w:spacing w:line="245" w:lineRule="auto"/>
        <w:rPr>
          <w:color w:val="auto"/>
          <w:highlight w:val="none"/>
        </w:rPr>
      </w:pPr>
    </w:p>
    <w:p w14:paraId="0B10AC4B">
      <w:pPr>
        <w:spacing w:before="78" w:line="220" w:lineRule="auto"/>
        <w:outlineLvl w:val="1"/>
        <w:rPr>
          <w:rFonts w:ascii="宋体" w:hAnsi="宋体" w:eastAsia="宋体" w:cs="宋体"/>
          <w:color w:val="auto"/>
          <w:sz w:val="24"/>
          <w:szCs w:val="24"/>
          <w:highlight w:val="none"/>
        </w:rPr>
      </w:pPr>
      <w:bookmarkStart w:id="777" w:name="bookmark710"/>
      <w:bookmarkEnd w:id="777"/>
      <w:bookmarkStart w:id="778" w:name="_Toc6210"/>
      <w:bookmarkStart w:id="779" w:name="_Toc32416"/>
      <w:r>
        <w:rPr>
          <w:rFonts w:ascii="Times New Roman" w:hAnsi="Times New Roman" w:eastAsia="Times New Roman" w:cs="Times New Roman"/>
          <w:b/>
          <w:bCs/>
          <w:color w:val="auto"/>
          <w:spacing w:val="-2"/>
          <w:sz w:val="24"/>
          <w:szCs w:val="24"/>
          <w:highlight w:val="none"/>
        </w:rPr>
        <w:t xml:space="preserve">24.1  </w:t>
      </w:r>
      <w:r>
        <w:rPr>
          <w:rFonts w:ascii="宋体" w:hAnsi="宋体" w:eastAsia="宋体" w:cs="宋体"/>
          <w:b/>
          <w:bCs/>
          <w:color w:val="auto"/>
          <w:spacing w:val="-2"/>
          <w:sz w:val="24"/>
          <w:szCs w:val="24"/>
          <w:highlight w:val="none"/>
        </w:rPr>
        <w:t>争议的解决方式</w:t>
      </w:r>
      <w:bookmarkEnd w:id="778"/>
      <w:bookmarkEnd w:id="779"/>
    </w:p>
    <w:p w14:paraId="603378F6">
      <w:pPr>
        <w:spacing w:before="181" w:line="359" w:lineRule="auto"/>
        <w:ind w:left="6" w:right="186" w:firstLine="480"/>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6D9373C2">
      <w:pPr>
        <w:spacing w:before="1" w:line="218"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）向约定的仲裁委员会申请仲裁。</w:t>
      </w:r>
    </w:p>
    <w:p w14:paraId="2E9B7D4F">
      <w:pPr>
        <w:spacing w:before="183" w:line="219"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）向有管辖权的人民法院提起诉讼。</w:t>
      </w:r>
    </w:p>
    <w:p w14:paraId="7B8DA69C">
      <w:pPr>
        <w:spacing w:before="180" w:line="220" w:lineRule="auto"/>
        <w:outlineLvl w:val="1"/>
        <w:rPr>
          <w:rFonts w:ascii="宋体" w:hAnsi="宋体" w:eastAsia="宋体" w:cs="宋体"/>
          <w:color w:val="auto"/>
          <w:sz w:val="24"/>
          <w:szCs w:val="24"/>
          <w:highlight w:val="none"/>
        </w:rPr>
      </w:pPr>
      <w:bookmarkStart w:id="780" w:name="bookmark310"/>
      <w:bookmarkEnd w:id="780"/>
      <w:bookmarkStart w:id="781" w:name="_Toc32654"/>
      <w:bookmarkStart w:id="782" w:name="_Toc30439"/>
      <w:r>
        <w:rPr>
          <w:rFonts w:ascii="Times New Roman" w:hAnsi="Times New Roman" w:eastAsia="Times New Roman" w:cs="Times New Roman"/>
          <w:b/>
          <w:bCs/>
          <w:color w:val="auto"/>
          <w:spacing w:val="-2"/>
          <w:sz w:val="24"/>
          <w:szCs w:val="24"/>
          <w:highlight w:val="none"/>
        </w:rPr>
        <w:t xml:space="preserve">24.2  </w:t>
      </w:r>
      <w:r>
        <w:rPr>
          <w:rFonts w:ascii="宋体" w:hAnsi="宋体" w:eastAsia="宋体" w:cs="宋体"/>
          <w:b/>
          <w:bCs/>
          <w:color w:val="auto"/>
          <w:spacing w:val="-2"/>
          <w:sz w:val="24"/>
          <w:szCs w:val="24"/>
          <w:highlight w:val="none"/>
        </w:rPr>
        <w:t>友好解决</w:t>
      </w:r>
      <w:bookmarkEnd w:id="781"/>
      <w:bookmarkEnd w:id="782"/>
    </w:p>
    <w:p w14:paraId="5BE5F4E3">
      <w:pPr>
        <w:spacing w:before="183" w:line="359" w:lineRule="auto"/>
        <w:ind w:left="5" w:right="188" w:firstLine="477"/>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在提请争议评审、仲裁或者诉讼前， 以及在争议评审、仲</w:t>
      </w:r>
      <w:r>
        <w:rPr>
          <w:rFonts w:ascii="宋体" w:hAnsi="宋体" w:eastAsia="宋体" w:cs="宋体"/>
          <w:color w:val="auto"/>
          <w:spacing w:val="-10"/>
          <w:sz w:val="24"/>
          <w:szCs w:val="24"/>
          <w:highlight w:val="none"/>
        </w:rPr>
        <w:t>裁或诉讼过程中， 发包</w:t>
      </w:r>
      <w:r>
        <w:rPr>
          <w:rFonts w:ascii="宋体" w:hAnsi="宋体" w:eastAsia="宋体" w:cs="宋体"/>
          <w:color w:val="auto"/>
          <w:spacing w:val="-3"/>
          <w:sz w:val="24"/>
          <w:szCs w:val="24"/>
          <w:highlight w:val="none"/>
        </w:rPr>
        <w:t>人和承包人均可共同努力友好协商解决争议。</w:t>
      </w:r>
    </w:p>
    <w:p w14:paraId="3B9EEB00">
      <w:pPr>
        <w:spacing w:before="1" w:line="219" w:lineRule="auto"/>
        <w:outlineLvl w:val="1"/>
        <w:rPr>
          <w:rFonts w:ascii="宋体" w:hAnsi="宋体" w:eastAsia="宋体" w:cs="宋体"/>
          <w:color w:val="auto"/>
          <w:sz w:val="24"/>
          <w:szCs w:val="24"/>
          <w:highlight w:val="none"/>
        </w:rPr>
      </w:pPr>
      <w:bookmarkStart w:id="783" w:name="bookmark311"/>
      <w:bookmarkEnd w:id="783"/>
      <w:bookmarkStart w:id="784" w:name="_Toc32655"/>
      <w:bookmarkStart w:id="785" w:name="_Toc22435"/>
      <w:r>
        <w:rPr>
          <w:rFonts w:ascii="Times New Roman" w:hAnsi="Times New Roman" w:eastAsia="Times New Roman" w:cs="Times New Roman"/>
          <w:b/>
          <w:bCs/>
          <w:color w:val="auto"/>
          <w:spacing w:val="-4"/>
          <w:sz w:val="24"/>
          <w:szCs w:val="24"/>
          <w:highlight w:val="none"/>
        </w:rPr>
        <w:t>24.3</w:t>
      </w:r>
      <w:r>
        <w:rPr>
          <w:rFonts w:ascii="Times New Roman" w:hAnsi="Times New Roman" w:eastAsia="Times New Roman" w:cs="Times New Roman"/>
          <w:b/>
          <w:bCs/>
          <w:color w:val="auto"/>
          <w:spacing w:val="9"/>
          <w:sz w:val="24"/>
          <w:szCs w:val="24"/>
          <w:highlight w:val="none"/>
        </w:rPr>
        <w:t xml:space="preserve">  </w:t>
      </w:r>
      <w:r>
        <w:rPr>
          <w:rFonts w:ascii="宋体" w:hAnsi="宋体" w:eastAsia="宋体" w:cs="宋体"/>
          <w:b/>
          <w:bCs/>
          <w:color w:val="auto"/>
          <w:spacing w:val="-4"/>
          <w:sz w:val="24"/>
          <w:szCs w:val="24"/>
          <w:highlight w:val="none"/>
        </w:rPr>
        <w:t>争议评审</w:t>
      </w:r>
      <w:bookmarkEnd w:id="784"/>
      <w:bookmarkEnd w:id="785"/>
    </w:p>
    <w:p w14:paraId="2E34592D">
      <w:pPr>
        <w:spacing w:before="182" w:line="289" w:lineRule="auto"/>
        <w:ind w:left="4"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24.3.1  </w:t>
      </w:r>
      <w:r>
        <w:rPr>
          <w:rFonts w:ascii="宋体" w:hAnsi="宋体" w:eastAsia="宋体" w:cs="宋体"/>
          <w:color w:val="auto"/>
          <w:spacing w:val="-4"/>
          <w:sz w:val="24"/>
          <w:szCs w:val="24"/>
          <w:highlight w:val="none"/>
        </w:rPr>
        <w:t>采用争议评审的，发包人和承包人应在开工日后的</w:t>
      </w:r>
      <w:r>
        <w:rPr>
          <w:rFonts w:ascii="Times New Roman" w:hAnsi="Times New Roman" w:eastAsia="Times New Roman" w:cs="Times New Roman"/>
          <w:color w:val="auto"/>
          <w:spacing w:val="-4"/>
          <w:sz w:val="24"/>
          <w:szCs w:val="24"/>
          <w:highlight w:val="none"/>
        </w:rPr>
        <w:t>28</w:t>
      </w:r>
      <w:r>
        <w:rPr>
          <w:rFonts w:ascii="宋体" w:hAnsi="宋体" w:eastAsia="宋体" w:cs="宋体"/>
          <w:color w:val="auto"/>
          <w:spacing w:val="-4"/>
          <w:sz w:val="24"/>
          <w:szCs w:val="24"/>
          <w:highlight w:val="none"/>
        </w:rPr>
        <w:t>天内或在争议发生后，</w:t>
      </w:r>
      <w:r>
        <w:rPr>
          <w:rFonts w:ascii="宋体" w:hAnsi="宋体" w:eastAsia="宋体" w:cs="宋体"/>
          <w:color w:val="auto"/>
          <w:spacing w:val="-1"/>
          <w:sz w:val="24"/>
          <w:szCs w:val="24"/>
          <w:highlight w:val="none"/>
        </w:rPr>
        <w:t>协商成立争议评审组。争议评审组由有合同管理和工</w:t>
      </w:r>
      <w:r>
        <w:rPr>
          <w:rFonts w:ascii="宋体" w:hAnsi="宋体" w:eastAsia="宋体" w:cs="宋体"/>
          <w:color w:val="auto"/>
          <w:spacing w:val="-2"/>
          <w:sz w:val="24"/>
          <w:szCs w:val="24"/>
          <w:highlight w:val="none"/>
        </w:rPr>
        <w:t>程实践经验的专家组成。</w:t>
      </w:r>
    </w:p>
    <w:p w14:paraId="2D5D8B6A">
      <w:pPr>
        <w:spacing w:before="181" w:line="313" w:lineRule="auto"/>
        <w:ind w:left="1" w:right="186"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24.3.2  </w:t>
      </w:r>
      <w:r>
        <w:rPr>
          <w:rFonts w:ascii="宋体" w:hAnsi="宋体" w:eastAsia="宋体" w:cs="宋体"/>
          <w:color w:val="auto"/>
          <w:spacing w:val="-2"/>
          <w:sz w:val="24"/>
          <w:szCs w:val="24"/>
          <w:highlight w:val="none"/>
        </w:rPr>
        <w:t>合同双方的争议，应首先</w:t>
      </w:r>
      <w:r>
        <w:rPr>
          <w:rFonts w:ascii="宋体" w:hAnsi="宋体" w:eastAsia="宋体" w:cs="宋体"/>
          <w:color w:val="auto"/>
          <w:spacing w:val="-3"/>
          <w:sz w:val="24"/>
          <w:szCs w:val="24"/>
          <w:highlight w:val="none"/>
        </w:rPr>
        <w:t>由申请人向争议评审组提交一份详细的评审申请</w:t>
      </w:r>
      <w:r>
        <w:rPr>
          <w:rFonts w:ascii="宋体" w:hAnsi="宋体" w:eastAsia="宋体" w:cs="宋体"/>
          <w:color w:val="auto"/>
          <w:spacing w:val="-6"/>
          <w:sz w:val="24"/>
          <w:szCs w:val="24"/>
          <w:highlight w:val="none"/>
        </w:rPr>
        <w:t>报告，并附必要的文件、图纸和证明材料， 申请人还应将上述报告的副本同时提交给</w:t>
      </w:r>
      <w:r>
        <w:rPr>
          <w:rFonts w:ascii="宋体" w:hAnsi="宋体" w:eastAsia="宋体" w:cs="宋体"/>
          <w:color w:val="auto"/>
          <w:spacing w:val="-5"/>
          <w:sz w:val="24"/>
          <w:szCs w:val="24"/>
          <w:highlight w:val="none"/>
        </w:rPr>
        <w:t>被申请人和监理人。</w:t>
      </w:r>
    </w:p>
    <w:p w14:paraId="23DA5458">
      <w:pPr>
        <w:spacing w:before="178" w:line="314" w:lineRule="auto"/>
        <w:ind w:left="4" w:right="186" w:firstLine="477"/>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24.3.3  </w:t>
      </w:r>
      <w:r>
        <w:rPr>
          <w:rFonts w:ascii="宋体" w:hAnsi="宋体" w:eastAsia="宋体" w:cs="宋体"/>
          <w:color w:val="auto"/>
          <w:spacing w:val="1"/>
          <w:sz w:val="24"/>
          <w:szCs w:val="24"/>
          <w:highlight w:val="none"/>
        </w:rPr>
        <w:t>被申请人在收到申请人评</w:t>
      </w:r>
      <w:r>
        <w:rPr>
          <w:rFonts w:ascii="宋体" w:hAnsi="宋体" w:eastAsia="宋体" w:cs="宋体"/>
          <w:color w:val="auto"/>
          <w:sz w:val="24"/>
          <w:szCs w:val="24"/>
          <w:highlight w:val="none"/>
        </w:rPr>
        <w:t>审申请报告副本后的</w:t>
      </w:r>
      <w:r>
        <w:rPr>
          <w:rFonts w:ascii="Times New Roman" w:hAnsi="Times New Roman" w:eastAsia="Times New Roman" w:cs="Times New Roman"/>
          <w:color w:val="auto"/>
          <w:sz w:val="24"/>
          <w:szCs w:val="24"/>
          <w:highlight w:val="none"/>
        </w:rPr>
        <w:t xml:space="preserve">28  </w:t>
      </w:r>
      <w:r>
        <w:rPr>
          <w:rFonts w:ascii="宋体" w:hAnsi="宋体" w:eastAsia="宋体" w:cs="宋体"/>
          <w:color w:val="auto"/>
          <w:sz w:val="24"/>
          <w:szCs w:val="24"/>
          <w:highlight w:val="none"/>
        </w:rPr>
        <w:t>天内，向争议评审组提</w:t>
      </w:r>
      <w:r>
        <w:rPr>
          <w:rFonts w:ascii="宋体" w:hAnsi="宋体" w:eastAsia="宋体" w:cs="宋体"/>
          <w:color w:val="auto"/>
          <w:spacing w:val="-3"/>
          <w:sz w:val="24"/>
          <w:szCs w:val="24"/>
          <w:highlight w:val="none"/>
        </w:rPr>
        <w:t>交一份答辩报告，并附证明材料。被申请人应将答辩报告的副本同时提交给申请人和</w:t>
      </w:r>
      <w:r>
        <w:rPr>
          <w:rFonts w:ascii="宋体" w:hAnsi="宋体" w:eastAsia="宋体" w:cs="宋体"/>
          <w:color w:val="auto"/>
          <w:spacing w:val="-9"/>
          <w:sz w:val="24"/>
          <w:szCs w:val="24"/>
          <w:highlight w:val="none"/>
        </w:rPr>
        <w:t>监理人。</w:t>
      </w:r>
    </w:p>
    <w:p w14:paraId="5DAC7B6E">
      <w:pPr>
        <w:spacing w:before="180" w:line="288" w:lineRule="auto"/>
        <w:ind w:left="1"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24.3.4  </w:t>
      </w:r>
      <w:r>
        <w:rPr>
          <w:rFonts w:ascii="宋体" w:hAnsi="宋体" w:eastAsia="宋体" w:cs="宋体"/>
          <w:color w:val="auto"/>
          <w:spacing w:val="-4"/>
          <w:sz w:val="24"/>
          <w:szCs w:val="24"/>
          <w:highlight w:val="none"/>
        </w:rPr>
        <w:t>除专用合同条款另有约定外，争议评审组在收到合同双方报告后的</w:t>
      </w:r>
      <w:r>
        <w:rPr>
          <w:rFonts w:ascii="Times New Roman" w:hAnsi="Times New Roman" w:eastAsia="Times New Roman" w:cs="Times New Roman"/>
          <w:color w:val="auto"/>
          <w:spacing w:val="-4"/>
          <w:sz w:val="24"/>
          <w:szCs w:val="24"/>
          <w:highlight w:val="none"/>
        </w:rPr>
        <w:t>14</w:t>
      </w:r>
      <w:r>
        <w:rPr>
          <w:rFonts w:ascii="宋体" w:hAnsi="宋体" w:eastAsia="宋体" w:cs="宋体"/>
          <w:color w:val="auto"/>
          <w:spacing w:val="-4"/>
          <w:sz w:val="24"/>
          <w:szCs w:val="24"/>
          <w:highlight w:val="none"/>
        </w:rPr>
        <w:t>天内，</w:t>
      </w:r>
      <w:r>
        <w:rPr>
          <w:rFonts w:ascii="宋体" w:hAnsi="宋体" w:eastAsia="宋体" w:cs="宋体"/>
          <w:color w:val="auto"/>
          <w:spacing w:val="-3"/>
          <w:sz w:val="24"/>
          <w:szCs w:val="24"/>
          <w:highlight w:val="none"/>
        </w:rPr>
        <w:t>邀请双方代表和有关人员举行调查会，向双方调查争议细节；必要时争议评审组可要</w:t>
      </w:r>
    </w:p>
    <w:p w14:paraId="09AF1FBE">
      <w:pPr>
        <w:spacing w:line="288" w:lineRule="auto"/>
        <w:rPr>
          <w:rFonts w:ascii="宋体" w:hAnsi="宋体" w:eastAsia="宋体" w:cs="宋体"/>
          <w:color w:val="auto"/>
          <w:sz w:val="24"/>
          <w:szCs w:val="24"/>
          <w:highlight w:val="none"/>
        </w:rPr>
        <w:sectPr>
          <w:footerReference r:id="rId78" w:type="default"/>
          <w:pgSz w:w="11907" w:h="16841"/>
          <w:pgMar w:top="1428" w:right="1342" w:bottom="1254" w:left="1594" w:header="0" w:footer="1093" w:gutter="0"/>
          <w:pgNumType w:fmt="decimal"/>
          <w:cols w:space="720" w:num="1"/>
        </w:sectPr>
      </w:pPr>
    </w:p>
    <w:p w14:paraId="7FF007FD">
      <w:pPr>
        <w:spacing w:before="47" w:line="219" w:lineRule="auto"/>
        <w:ind w:left="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求双方进一步提供补充材料。</w:t>
      </w:r>
    </w:p>
    <w:p w14:paraId="6F22ADB4">
      <w:pPr>
        <w:spacing w:before="181" w:line="313" w:lineRule="auto"/>
        <w:ind w:left="7" w:right="68" w:firstLine="474"/>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24.3.5  </w:t>
      </w:r>
      <w:r>
        <w:rPr>
          <w:rFonts w:ascii="宋体" w:hAnsi="宋体" w:eastAsia="宋体" w:cs="宋体"/>
          <w:color w:val="auto"/>
          <w:spacing w:val="-2"/>
          <w:sz w:val="24"/>
          <w:szCs w:val="24"/>
          <w:highlight w:val="none"/>
        </w:rPr>
        <w:t>除专用合同条款另有约定外</w:t>
      </w:r>
      <w:r>
        <w:rPr>
          <w:rFonts w:ascii="宋体" w:hAnsi="宋体" w:eastAsia="宋体" w:cs="宋体"/>
          <w:color w:val="auto"/>
          <w:spacing w:val="-3"/>
          <w:sz w:val="24"/>
          <w:szCs w:val="24"/>
          <w:highlight w:val="none"/>
        </w:rPr>
        <w:t>，在调查会结束后的</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天内，争议评审组应在</w:t>
      </w:r>
      <w:r>
        <w:rPr>
          <w:rFonts w:ascii="宋体" w:hAnsi="宋体" w:eastAsia="宋体" w:cs="宋体"/>
          <w:color w:val="auto"/>
          <w:spacing w:val="-6"/>
          <w:sz w:val="24"/>
          <w:szCs w:val="24"/>
          <w:highlight w:val="none"/>
        </w:rPr>
        <w:t>不受任何干扰的情况下进行独立、公正的评审， 作出书面评审意见，并说明理由。在</w:t>
      </w:r>
      <w:r>
        <w:rPr>
          <w:rFonts w:ascii="宋体" w:hAnsi="宋体" w:eastAsia="宋体" w:cs="宋体"/>
          <w:color w:val="auto"/>
          <w:spacing w:val="-2"/>
          <w:sz w:val="24"/>
          <w:szCs w:val="24"/>
          <w:highlight w:val="none"/>
        </w:rPr>
        <w:t>争议评审期间，争议双方暂按总监理工程师的确定执行。</w:t>
      </w:r>
    </w:p>
    <w:p w14:paraId="6C8F6089">
      <w:pPr>
        <w:spacing w:before="179" w:line="290" w:lineRule="auto"/>
        <w:ind w:left="5" w:firstLine="476"/>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24.3.6  </w:t>
      </w:r>
      <w:r>
        <w:rPr>
          <w:rFonts w:ascii="宋体" w:hAnsi="宋体" w:eastAsia="宋体" w:cs="宋体"/>
          <w:color w:val="auto"/>
          <w:spacing w:val="-1"/>
          <w:sz w:val="24"/>
          <w:szCs w:val="24"/>
          <w:highlight w:val="none"/>
        </w:rPr>
        <w:t>发包人和承包人接受评审意见的，由监理人根据评审意见拟定执行协议，</w:t>
      </w:r>
      <w:r>
        <w:rPr>
          <w:rFonts w:ascii="宋体" w:hAnsi="宋体" w:eastAsia="宋体" w:cs="宋体"/>
          <w:color w:val="auto"/>
          <w:spacing w:val="-2"/>
          <w:sz w:val="24"/>
          <w:szCs w:val="24"/>
          <w:highlight w:val="none"/>
        </w:rPr>
        <w:t>经争议双方签字后作为合同的补充文件，并遵照执行。</w:t>
      </w:r>
    </w:p>
    <w:p w14:paraId="712D6EEA">
      <w:pPr>
        <w:spacing w:before="178" w:line="313" w:lineRule="auto"/>
        <w:ind w:left="6" w:right="66" w:firstLine="475"/>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24.3.7  </w:t>
      </w:r>
      <w:r>
        <w:rPr>
          <w:rFonts w:ascii="宋体" w:hAnsi="宋体" w:eastAsia="宋体" w:cs="宋体"/>
          <w:color w:val="auto"/>
          <w:spacing w:val="-3"/>
          <w:sz w:val="24"/>
          <w:szCs w:val="24"/>
          <w:highlight w:val="none"/>
        </w:rPr>
        <w:t>发包人或承包人不接受评审意见，并要求提交仲裁或提起诉讼的，应在收到评审意见后的</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天内将仲裁或起诉意向书面通知另一方，并抄送监理人，但在仲裁或诉讼结束前应暂按总监理工程师的确定执行。</w:t>
      </w:r>
    </w:p>
    <w:p w14:paraId="5DC6E90E">
      <w:pPr>
        <w:spacing w:before="182" w:line="220" w:lineRule="auto"/>
        <w:outlineLvl w:val="1"/>
        <w:rPr>
          <w:rFonts w:ascii="宋体" w:hAnsi="宋体" w:eastAsia="宋体" w:cs="宋体"/>
          <w:color w:val="auto"/>
          <w:sz w:val="24"/>
          <w:szCs w:val="24"/>
          <w:highlight w:val="none"/>
        </w:rPr>
      </w:pPr>
      <w:bookmarkStart w:id="786" w:name="bookmark312"/>
      <w:bookmarkEnd w:id="786"/>
      <w:bookmarkStart w:id="787" w:name="_Toc10065"/>
      <w:bookmarkStart w:id="788" w:name="_Toc27755"/>
      <w:r>
        <w:rPr>
          <w:rFonts w:ascii="Times New Roman" w:hAnsi="Times New Roman" w:eastAsia="Times New Roman" w:cs="Times New Roman"/>
          <w:b/>
          <w:bCs/>
          <w:color w:val="auto"/>
          <w:spacing w:val="-3"/>
          <w:sz w:val="24"/>
          <w:szCs w:val="24"/>
          <w:highlight w:val="none"/>
        </w:rPr>
        <w:t>24.4</w:t>
      </w:r>
      <w:r>
        <w:rPr>
          <w:rFonts w:ascii="Times New Roman" w:hAnsi="Times New Roman" w:eastAsia="Times New Roman" w:cs="Times New Roman"/>
          <w:b/>
          <w:bCs/>
          <w:color w:val="auto"/>
          <w:spacing w:val="5"/>
          <w:sz w:val="24"/>
          <w:szCs w:val="24"/>
          <w:highlight w:val="none"/>
        </w:rPr>
        <w:t xml:space="preserve">  </w:t>
      </w:r>
      <w:r>
        <w:rPr>
          <w:rFonts w:ascii="宋体" w:hAnsi="宋体" w:eastAsia="宋体" w:cs="宋体"/>
          <w:b/>
          <w:bCs/>
          <w:color w:val="auto"/>
          <w:spacing w:val="-3"/>
          <w:sz w:val="24"/>
          <w:szCs w:val="24"/>
          <w:highlight w:val="none"/>
        </w:rPr>
        <w:t>仲裁</w:t>
      </w:r>
      <w:bookmarkEnd w:id="787"/>
      <w:bookmarkEnd w:id="788"/>
    </w:p>
    <w:p w14:paraId="4A5F99E9">
      <w:pPr>
        <w:spacing w:before="181" w:line="290" w:lineRule="auto"/>
        <w:ind w:left="6" w:right="66" w:firstLine="475"/>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24.4.1  </w:t>
      </w:r>
      <w:r>
        <w:rPr>
          <w:rFonts w:ascii="宋体" w:hAnsi="宋体" w:eastAsia="宋体" w:cs="宋体"/>
          <w:color w:val="auto"/>
          <w:spacing w:val="-2"/>
          <w:sz w:val="24"/>
          <w:szCs w:val="24"/>
          <w:highlight w:val="none"/>
        </w:rPr>
        <w:t>若合同双方商定直接向仲</w:t>
      </w:r>
      <w:r>
        <w:rPr>
          <w:rFonts w:ascii="宋体" w:hAnsi="宋体" w:eastAsia="宋体" w:cs="宋体"/>
          <w:color w:val="auto"/>
          <w:spacing w:val="-3"/>
          <w:sz w:val="24"/>
          <w:szCs w:val="24"/>
          <w:highlight w:val="none"/>
        </w:rPr>
        <w:t>裁机构申请仲裁，应签订仲裁协议并约定仲裁机</w:t>
      </w:r>
      <w:r>
        <w:rPr>
          <w:rFonts w:ascii="宋体" w:hAnsi="宋体" w:eastAsia="宋体" w:cs="宋体"/>
          <w:color w:val="auto"/>
          <w:spacing w:val="-12"/>
          <w:sz w:val="24"/>
          <w:szCs w:val="24"/>
          <w:highlight w:val="none"/>
        </w:rPr>
        <w:t>构。</w:t>
      </w:r>
    </w:p>
    <w:p w14:paraId="4FAB2484">
      <w:pPr>
        <w:spacing w:before="179" w:line="290" w:lineRule="auto"/>
        <w:ind w:left="28" w:right="68" w:firstLine="454"/>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24.4.2  </w:t>
      </w:r>
      <w:r>
        <w:rPr>
          <w:rFonts w:ascii="宋体" w:hAnsi="宋体" w:eastAsia="宋体" w:cs="宋体"/>
          <w:color w:val="auto"/>
          <w:spacing w:val="-3"/>
          <w:sz w:val="24"/>
          <w:szCs w:val="24"/>
          <w:highlight w:val="none"/>
        </w:rPr>
        <w:t>若合同双方未能达成仲裁协议，则本合同的仲裁条款无效，任一方均有权</w:t>
      </w:r>
      <w:r>
        <w:rPr>
          <w:rFonts w:ascii="宋体" w:hAnsi="宋体" w:eastAsia="宋体" w:cs="宋体"/>
          <w:color w:val="auto"/>
          <w:spacing w:val="-7"/>
          <w:sz w:val="24"/>
          <w:szCs w:val="24"/>
          <w:highlight w:val="none"/>
        </w:rPr>
        <w:t>向人民法院提起诉讼。</w:t>
      </w:r>
    </w:p>
    <w:p w14:paraId="2EB18E03">
      <w:pPr>
        <w:spacing w:line="290" w:lineRule="auto"/>
        <w:rPr>
          <w:rFonts w:ascii="宋体" w:hAnsi="宋体" w:eastAsia="宋体" w:cs="宋体"/>
          <w:color w:val="auto"/>
          <w:sz w:val="24"/>
          <w:szCs w:val="24"/>
          <w:highlight w:val="none"/>
        </w:rPr>
        <w:sectPr>
          <w:footerReference r:id="rId79" w:type="default"/>
          <w:pgSz w:w="11907" w:h="16841"/>
          <w:pgMar w:top="1428" w:right="1462" w:bottom="1254" w:left="1594" w:header="0" w:footer="1093" w:gutter="0"/>
          <w:pgNumType w:fmt="decimal"/>
          <w:cols w:space="720" w:num="1"/>
        </w:sectPr>
      </w:pPr>
    </w:p>
    <w:p w14:paraId="6F3B2D4F">
      <w:pPr>
        <w:spacing w:before="63" w:line="225" w:lineRule="auto"/>
        <w:ind w:left="2793"/>
        <w:outlineLvl w:val="0"/>
        <w:rPr>
          <w:rFonts w:ascii="宋体" w:hAnsi="宋体" w:eastAsia="宋体" w:cs="宋体"/>
          <w:color w:val="auto"/>
          <w:sz w:val="31"/>
          <w:szCs w:val="31"/>
          <w:highlight w:val="none"/>
        </w:rPr>
      </w:pPr>
      <w:bookmarkStart w:id="789" w:name="bookmark314"/>
      <w:bookmarkEnd w:id="789"/>
      <w:bookmarkStart w:id="790" w:name="bookmark315"/>
      <w:bookmarkEnd w:id="790"/>
      <w:bookmarkStart w:id="791" w:name="bookmark313"/>
      <w:bookmarkEnd w:id="791"/>
      <w:bookmarkStart w:id="792" w:name="_Toc3598"/>
      <w:bookmarkStart w:id="793" w:name="_Toc7275"/>
      <w:r>
        <w:rPr>
          <w:rFonts w:ascii="宋体" w:hAnsi="宋体" w:eastAsia="宋体" w:cs="宋体"/>
          <w:b/>
          <w:bCs/>
          <w:color w:val="auto"/>
          <w:spacing w:val="6"/>
          <w:sz w:val="31"/>
          <w:szCs w:val="31"/>
          <w:highlight w:val="none"/>
        </w:rPr>
        <w:t>第二节</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专用合同条款</w:t>
      </w:r>
      <w:bookmarkEnd w:id="792"/>
      <w:bookmarkEnd w:id="793"/>
    </w:p>
    <w:p w14:paraId="01821ABA">
      <w:pPr>
        <w:pStyle w:val="3"/>
        <w:spacing w:line="265" w:lineRule="auto"/>
        <w:rPr>
          <w:color w:val="auto"/>
          <w:highlight w:val="none"/>
        </w:rPr>
      </w:pPr>
    </w:p>
    <w:p w14:paraId="3BAD8548">
      <w:pPr>
        <w:spacing w:before="91" w:line="221" w:lineRule="auto"/>
        <w:ind w:left="12"/>
        <w:outlineLvl w:val="0"/>
        <w:rPr>
          <w:rFonts w:ascii="宋体" w:hAnsi="宋体" w:eastAsia="宋体" w:cs="宋体"/>
          <w:color w:val="auto"/>
          <w:sz w:val="28"/>
          <w:szCs w:val="28"/>
          <w:highlight w:val="none"/>
        </w:rPr>
      </w:pPr>
      <w:bookmarkStart w:id="794" w:name="bookmark711"/>
      <w:bookmarkEnd w:id="794"/>
      <w:bookmarkStart w:id="795" w:name="_Toc3308"/>
      <w:bookmarkStart w:id="796" w:name="_Toc14949"/>
      <w:r>
        <w:rPr>
          <w:rFonts w:ascii="Times New Roman" w:hAnsi="Times New Roman" w:eastAsia="Times New Roman" w:cs="Times New Roman"/>
          <w:b/>
          <w:bCs/>
          <w:color w:val="auto"/>
          <w:spacing w:val="-9"/>
          <w:sz w:val="28"/>
          <w:szCs w:val="28"/>
          <w:highlight w:val="none"/>
        </w:rPr>
        <w:t>1</w:t>
      </w:r>
      <w:r>
        <w:rPr>
          <w:rFonts w:ascii="Times New Roman" w:hAnsi="Times New Roman" w:eastAsia="Times New Roman" w:cs="Times New Roman"/>
          <w:b/>
          <w:bCs/>
          <w:color w:val="auto"/>
          <w:spacing w:val="8"/>
          <w:sz w:val="28"/>
          <w:szCs w:val="28"/>
          <w:highlight w:val="none"/>
        </w:rPr>
        <w:t xml:space="preserve">  </w:t>
      </w:r>
      <w:r>
        <w:rPr>
          <w:rFonts w:ascii="宋体" w:hAnsi="宋体" w:eastAsia="宋体" w:cs="宋体"/>
          <w:b/>
          <w:bCs/>
          <w:color w:val="auto"/>
          <w:spacing w:val="-9"/>
          <w:sz w:val="28"/>
          <w:szCs w:val="28"/>
          <w:highlight w:val="none"/>
        </w:rPr>
        <w:t>一般约定</w:t>
      </w:r>
      <w:bookmarkEnd w:id="795"/>
      <w:bookmarkEnd w:id="796"/>
    </w:p>
    <w:p w14:paraId="6436BCFE">
      <w:pPr>
        <w:pStyle w:val="3"/>
        <w:spacing w:line="245" w:lineRule="auto"/>
        <w:rPr>
          <w:color w:val="auto"/>
          <w:highlight w:val="none"/>
        </w:rPr>
      </w:pPr>
    </w:p>
    <w:p w14:paraId="31A55E38">
      <w:pPr>
        <w:spacing w:before="78" w:line="220" w:lineRule="auto"/>
        <w:ind w:left="10"/>
        <w:outlineLvl w:val="1"/>
        <w:rPr>
          <w:rFonts w:ascii="宋体" w:hAnsi="宋体" w:eastAsia="宋体" w:cs="宋体"/>
          <w:color w:val="auto"/>
          <w:sz w:val="24"/>
          <w:szCs w:val="24"/>
          <w:highlight w:val="none"/>
        </w:rPr>
      </w:pPr>
      <w:bookmarkStart w:id="797" w:name="bookmark712"/>
      <w:bookmarkEnd w:id="797"/>
      <w:bookmarkStart w:id="798" w:name="_Toc19756"/>
      <w:bookmarkStart w:id="799" w:name="_Toc11791"/>
      <w:r>
        <w:rPr>
          <w:rFonts w:ascii="Times New Roman" w:hAnsi="Times New Roman" w:eastAsia="Times New Roman" w:cs="Times New Roman"/>
          <w:b/>
          <w:bCs/>
          <w:color w:val="auto"/>
          <w:spacing w:val="-5"/>
          <w:sz w:val="24"/>
          <w:szCs w:val="24"/>
          <w:highlight w:val="none"/>
        </w:rPr>
        <w:t>1.1</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5"/>
          <w:sz w:val="24"/>
          <w:szCs w:val="24"/>
          <w:highlight w:val="none"/>
        </w:rPr>
        <w:t>词语定义</w:t>
      </w:r>
      <w:bookmarkEnd w:id="798"/>
      <w:bookmarkEnd w:id="799"/>
    </w:p>
    <w:p w14:paraId="0A9DC9D4">
      <w:pPr>
        <w:spacing w:before="182" w:line="220" w:lineRule="auto"/>
        <w:ind w:left="49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1.1.2  </w:t>
      </w:r>
      <w:r>
        <w:rPr>
          <w:rFonts w:ascii="宋体" w:hAnsi="宋体" w:eastAsia="宋体" w:cs="宋体"/>
          <w:color w:val="auto"/>
          <w:spacing w:val="-1"/>
          <w:sz w:val="24"/>
          <w:szCs w:val="24"/>
          <w:highlight w:val="none"/>
        </w:rPr>
        <w:t>合同当事人和人员</w:t>
      </w:r>
    </w:p>
    <w:p w14:paraId="027C6E0D">
      <w:pPr>
        <w:spacing w:before="179" w:line="220" w:lineRule="auto"/>
        <w:ind w:left="502"/>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"1.1.2.2" </w:instrText>
      </w:r>
      <w:r>
        <w:rPr>
          <w:color w:val="auto"/>
          <w:highlight w:val="none"/>
        </w:rPr>
        <w:fldChar w:fldCharType="separate"/>
      </w:r>
      <w:r>
        <w:rPr>
          <w:rFonts w:ascii="Times New Roman" w:hAnsi="Times New Roman" w:eastAsia="Times New Roman" w:cs="Times New Roman"/>
          <w:color w:val="auto"/>
          <w:spacing w:val="-3"/>
          <w:sz w:val="24"/>
          <w:szCs w:val="24"/>
          <w:highlight w:val="none"/>
        </w:rPr>
        <w:t>1.1.2.2</w:t>
      </w:r>
      <w:r>
        <w:rPr>
          <w:rFonts w:ascii="Times New Roman" w:hAnsi="Times New Roman" w:eastAsia="Times New Roman" w:cs="Times New Roman"/>
          <w:color w:val="auto"/>
          <w:spacing w:val="-3"/>
          <w:sz w:val="24"/>
          <w:szCs w:val="24"/>
          <w:highlight w:val="none"/>
        </w:rPr>
        <w:fldChar w:fldCharType="end"/>
      </w:r>
      <w:r>
        <w:rPr>
          <w:rFonts w:ascii="Times New Roman" w:hAnsi="Times New Roman" w:eastAsia="Times New Roman" w:cs="Times New Roman"/>
          <w:color w:val="auto"/>
          <w:spacing w:val="-3"/>
          <w:sz w:val="24"/>
          <w:szCs w:val="24"/>
          <w:highlight w:val="none"/>
        </w:rPr>
        <w:t xml:space="preserve">  </w:t>
      </w:r>
      <w:r>
        <w:rPr>
          <w:rFonts w:ascii="宋体" w:hAnsi="宋体" w:eastAsia="宋体" w:cs="宋体"/>
          <w:color w:val="auto"/>
          <w:spacing w:val="-3"/>
          <w:sz w:val="24"/>
          <w:szCs w:val="24"/>
          <w:highlight w:val="none"/>
        </w:rPr>
        <w:t>发包人：</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
          <w:sz w:val="24"/>
          <w:szCs w:val="24"/>
          <w:highlight w:val="none"/>
        </w:rPr>
        <w:t>。</w:t>
      </w:r>
    </w:p>
    <w:p w14:paraId="14C93B70">
      <w:pPr>
        <w:spacing w:before="181" w:line="220" w:lineRule="auto"/>
        <w:ind w:left="502"/>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"1.1.2.3" </w:instrText>
      </w:r>
      <w:r>
        <w:rPr>
          <w:color w:val="auto"/>
          <w:highlight w:val="none"/>
        </w:rPr>
        <w:fldChar w:fldCharType="separate"/>
      </w:r>
      <w:r>
        <w:rPr>
          <w:rFonts w:ascii="Times New Roman" w:hAnsi="Times New Roman" w:eastAsia="Times New Roman" w:cs="Times New Roman"/>
          <w:color w:val="auto"/>
          <w:spacing w:val="-3"/>
          <w:sz w:val="24"/>
          <w:szCs w:val="24"/>
          <w:highlight w:val="none"/>
        </w:rPr>
        <w:t>1.1.2.3</w:t>
      </w:r>
      <w:r>
        <w:rPr>
          <w:rFonts w:ascii="Times New Roman" w:hAnsi="Times New Roman" w:eastAsia="Times New Roman" w:cs="Times New Roman"/>
          <w:color w:val="auto"/>
          <w:spacing w:val="-3"/>
          <w:sz w:val="24"/>
          <w:szCs w:val="24"/>
          <w:highlight w:val="none"/>
        </w:rPr>
        <w:fldChar w:fldCharType="end"/>
      </w:r>
      <w:r>
        <w:rPr>
          <w:rFonts w:ascii="Times New Roman" w:hAnsi="Times New Roman" w:eastAsia="Times New Roman" w:cs="Times New Roman"/>
          <w:color w:val="auto"/>
          <w:spacing w:val="-3"/>
          <w:sz w:val="24"/>
          <w:szCs w:val="24"/>
          <w:highlight w:val="none"/>
        </w:rPr>
        <w:t xml:space="preserve">  </w:t>
      </w:r>
      <w:r>
        <w:rPr>
          <w:rFonts w:ascii="宋体" w:hAnsi="宋体" w:eastAsia="宋体" w:cs="宋体"/>
          <w:color w:val="auto"/>
          <w:spacing w:val="-3"/>
          <w:sz w:val="24"/>
          <w:szCs w:val="24"/>
          <w:highlight w:val="none"/>
        </w:rPr>
        <w:t>承包人</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签约后填入）。</w:t>
      </w:r>
    </w:p>
    <w:p w14:paraId="52542BFF">
      <w:pPr>
        <w:spacing w:before="180" w:line="220" w:lineRule="auto"/>
        <w:ind w:left="502"/>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"1.1.2.5" </w:instrText>
      </w:r>
      <w:r>
        <w:rPr>
          <w:color w:val="auto"/>
          <w:highlight w:val="none"/>
        </w:rPr>
        <w:fldChar w:fldCharType="separate"/>
      </w:r>
      <w:r>
        <w:rPr>
          <w:rFonts w:ascii="Times New Roman" w:hAnsi="Times New Roman" w:eastAsia="Times New Roman" w:cs="Times New Roman"/>
          <w:color w:val="auto"/>
          <w:spacing w:val="-3"/>
          <w:sz w:val="24"/>
          <w:szCs w:val="24"/>
          <w:highlight w:val="none"/>
        </w:rPr>
        <w:t>1.1.2.5</w:t>
      </w:r>
      <w:r>
        <w:rPr>
          <w:rFonts w:ascii="Times New Roman" w:hAnsi="Times New Roman" w:eastAsia="Times New Roman" w:cs="Times New Roman"/>
          <w:color w:val="auto"/>
          <w:spacing w:val="-3"/>
          <w:sz w:val="24"/>
          <w:szCs w:val="24"/>
          <w:highlight w:val="none"/>
        </w:rPr>
        <w:fldChar w:fldCharType="end"/>
      </w:r>
      <w:r>
        <w:rPr>
          <w:rFonts w:ascii="Times New Roman" w:hAnsi="Times New Roman" w:eastAsia="Times New Roman" w:cs="Times New Roman"/>
          <w:color w:val="auto"/>
          <w:spacing w:val="-3"/>
          <w:sz w:val="24"/>
          <w:szCs w:val="24"/>
          <w:highlight w:val="none"/>
        </w:rPr>
        <w:t xml:space="preserve">  </w:t>
      </w:r>
      <w:r>
        <w:rPr>
          <w:rFonts w:ascii="宋体" w:hAnsi="宋体" w:eastAsia="宋体" w:cs="宋体"/>
          <w:color w:val="auto"/>
          <w:spacing w:val="-3"/>
          <w:sz w:val="24"/>
          <w:szCs w:val="24"/>
          <w:highlight w:val="none"/>
        </w:rPr>
        <w:t>分包人</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签约后填入）。</w:t>
      </w:r>
    </w:p>
    <w:p w14:paraId="333CC268">
      <w:pPr>
        <w:spacing w:before="182" w:line="222" w:lineRule="auto"/>
        <w:ind w:left="502"/>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"1.1.2.6" </w:instrText>
      </w:r>
      <w:r>
        <w:rPr>
          <w:color w:val="auto"/>
          <w:highlight w:val="none"/>
        </w:rPr>
        <w:fldChar w:fldCharType="separate"/>
      </w:r>
      <w:r>
        <w:rPr>
          <w:rFonts w:ascii="Times New Roman" w:hAnsi="Times New Roman" w:eastAsia="Times New Roman" w:cs="Times New Roman"/>
          <w:color w:val="auto"/>
          <w:spacing w:val="-3"/>
          <w:sz w:val="24"/>
          <w:szCs w:val="24"/>
          <w:highlight w:val="none"/>
        </w:rPr>
        <w:t>1.1.2.6</w:t>
      </w:r>
      <w:r>
        <w:rPr>
          <w:rFonts w:ascii="Times New Roman" w:hAnsi="Times New Roman" w:eastAsia="Times New Roman" w:cs="Times New Roman"/>
          <w:color w:val="auto"/>
          <w:spacing w:val="-3"/>
          <w:sz w:val="24"/>
          <w:szCs w:val="24"/>
          <w:highlight w:val="none"/>
        </w:rPr>
        <w:fldChar w:fldCharType="end"/>
      </w:r>
      <w:r>
        <w:rPr>
          <w:rFonts w:ascii="Times New Roman" w:hAnsi="Times New Roman" w:eastAsia="Times New Roman" w:cs="Times New Roman"/>
          <w:color w:val="auto"/>
          <w:spacing w:val="-3"/>
          <w:sz w:val="24"/>
          <w:szCs w:val="24"/>
          <w:highlight w:val="none"/>
        </w:rPr>
        <w:t xml:space="preserve">  </w:t>
      </w:r>
      <w:r>
        <w:rPr>
          <w:rFonts w:ascii="宋体" w:hAnsi="宋体" w:eastAsia="宋体" w:cs="宋体"/>
          <w:color w:val="auto"/>
          <w:spacing w:val="-3"/>
          <w:sz w:val="24"/>
          <w:szCs w:val="24"/>
          <w:highlight w:val="none"/>
        </w:rPr>
        <w:t>监理人：</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
          <w:sz w:val="24"/>
          <w:szCs w:val="24"/>
          <w:highlight w:val="none"/>
        </w:rPr>
        <w:t>。</w:t>
      </w:r>
    </w:p>
    <w:p w14:paraId="69283513">
      <w:pPr>
        <w:spacing w:before="179" w:line="220" w:lineRule="auto"/>
        <w:ind w:left="492"/>
        <w:rPr>
          <w:rFonts w:ascii="宋体" w:hAnsi="宋体" w:eastAsia="宋体" w:cs="宋体"/>
          <w:color w:val="auto"/>
          <w:sz w:val="24"/>
          <w:szCs w:val="24"/>
          <w:highlight w:val="none"/>
        </w:rPr>
      </w:pPr>
      <w:r>
        <w:rPr>
          <w:rFonts w:ascii="Times New Roman" w:hAnsi="Times New Roman" w:eastAsia="Times New Roman" w:cs="Times New Roman"/>
          <w:b/>
          <w:bCs/>
          <w:color w:val="auto"/>
          <w:spacing w:val="-6"/>
          <w:sz w:val="24"/>
          <w:szCs w:val="24"/>
          <w:highlight w:val="none"/>
        </w:rPr>
        <w:t>1.1.4</w:t>
      </w:r>
      <w:r>
        <w:rPr>
          <w:rFonts w:ascii="Times New Roman" w:hAnsi="Times New Roman" w:eastAsia="Times New Roman" w:cs="Times New Roman"/>
          <w:b/>
          <w:bCs/>
          <w:color w:val="auto"/>
          <w:spacing w:val="25"/>
          <w:sz w:val="24"/>
          <w:szCs w:val="24"/>
          <w:highlight w:val="none"/>
        </w:rPr>
        <w:t xml:space="preserve">  </w:t>
      </w:r>
      <w:r>
        <w:rPr>
          <w:rFonts w:ascii="宋体" w:hAnsi="宋体" w:eastAsia="宋体" w:cs="宋体"/>
          <w:color w:val="auto"/>
          <w:spacing w:val="-6"/>
          <w:sz w:val="24"/>
          <w:szCs w:val="24"/>
          <w:highlight w:val="none"/>
        </w:rPr>
        <w:t>日期</w:t>
      </w:r>
    </w:p>
    <w:p w14:paraId="5C5ECF50">
      <w:pPr>
        <w:spacing w:before="179" w:line="220" w:lineRule="auto"/>
        <w:ind w:left="502"/>
        <w:rPr>
          <w:rFonts w:ascii="宋体" w:hAnsi="宋体" w:eastAsia="宋体" w:cs="宋体"/>
          <w:color w:val="auto"/>
          <w:sz w:val="24"/>
          <w:szCs w:val="24"/>
          <w:highlight w:val="none"/>
        </w:rPr>
      </w:pPr>
      <w:r>
        <w:rPr>
          <w:color w:val="auto"/>
          <w:highlight w:val="none"/>
        </w:rPr>
        <w:fldChar w:fldCharType="begin"/>
      </w:r>
      <w:r>
        <w:rPr>
          <w:color w:val="auto"/>
          <w:highlight w:val="none"/>
        </w:rPr>
        <w:instrText xml:space="preserve"> HYPERLINK "1.1.4.5" </w:instrText>
      </w:r>
      <w:r>
        <w:rPr>
          <w:color w:val="auto"/>
          <w:highlight w:val="none"/>
        </w:rPr>
        <w:fldChar w:fldCharType="separate"/>
      </w:r>
      <w:r>
        <w:rPr>
          <w:rFonts w:ascii="Times New Roman" w:hAnsi="Times New Roman" w:eastAsia="Times New Roman" w:cs="Times New Roman"/>
          <w:color w:val="auto"/>
          <w:spacing w:val="-2"/>
          <w:sz w:val="24"/>
          <w:szCs w:val="24"/>
          <w:highlight w:val="none"/>
        </w:rPr>
        <w:t>1.1.4.5</w:t>
      </w:r>
      <w:r>
        <w:rPr>
          <w:rFonts w:ascii="Times New Roman" w:hAnsi="Times New Roman" w:eastAsia="Times New Roman" w:cs="Times New Roman"/>
          <w:color w:val="auto"/>
          <w:spacing w:val="-2"/>
          <w:sz w:val="24"/>
          <w:szCs w:val="24"/>
          <w:highlight w:val="none"/>
        </w:rPr>
        <w:fldChar w:fldCharType="end"/>
      </w:r>
      <w:r>
        <w:rPr>
          <w:rFonts w:ascii="Times New Roman" w:hAnsi="Times New Roman" w:eastAsia="Times New Roman" w:cs="Times New Roman"/>
          <w:color w:val="auto"/>
          <w:spacing w:val="-2"/>
          <w:sz w:val="24"/>
          <w:szCs w:val="24"/>
          <w:highlight w:val="none"/>
        </w:rPr>
        <w:t xml:space="preserve">  </w:t>
      </w:r>
      <w:r>
        <w:rPr>
          <w:rFonts w:ascii="宋体" w:hAnsi="宋体" w:eastAsia="宋体" w:cs="宋体"/>
          <w:color w:val="auto"/>
          <w:spacing w:val="-2"/>
          <w:sz w:val="24"/>
          <w:szCs w:val="24"/>
          <w:highlight w:val="none"/>
        </w:rPr>
        <w:t>缺陷责任期（工程质量保修期</w:t>
      </w:r>
      <w:r>
        <w:rPr>
          <w:rFonts w:ascii="宋体" w:hAnsi="宋体" w:eastAsia="宋体" w:cs="宋体"/>
          <w:color w:val="auto"/>
          <w:spacing w:val="4"/>
          <w:sz w:val="24"/>
          <w:szCs w:val="24"/>
          <w:highlight w:val="none"/>
        </w:rPr>
        <w:t>）：</w:t>
      </w:r>
      <w:r>
        <w:rPr>
          <w:rFonts w:ascii="宋体" w:hAnsi="宋体" w:eastAsia="宋体" w:cs="宋体"/>
          <w:color w:val="auto"/>
          <w:spacing w:val="-2"/>
          <w:sz w:val="24"/>
          <w:szCs w:val="24"/>
          <w:highlight w:val="none"/>
        </w:rPr>
        <w:t>为</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2</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2"/>
          <w:sz w:val="24"/>
          <w:szCs w:val="24"/>
          <w:highlight w:val="none"/>
        </w:rPr>
        <w:t>年。</w:t>
      </w:r>
    </w:p>
    <w:p w14:paraId="0D3C8B83">
      <w:pPr>
        <w:spacing w:before="182" w:line="220" w:lineRule="auto"/>
        <w:ind w:left="10"/>
        <w:outlineLvl w:val="1"/>
        <w:rPr>
          <w:rFonts w:ascii="宋体" w:hAnsi="宋体" w:eastAsia="宋体" w:cs="宋体"/>
          <w:color w:val="auto"/>
          <w:sz w:val="24"/>
          <w:szCs w:val="24"/>
          <w:highlight w:val="none"/>
        </w:rPr>
      </w:pPr>
      <w:bookmarkStart w:id="800" w:name="bookmark316"/>
      <w:bookmarkEnd w:id="800"/>
      <w:bookmarkStart w:id="801" w:name="_Toc5008"/>
      <w:bookmarkStart w:id="802" w:name="_Toc9138"/>
      <w:r>
        <w:rPr>
          <w:rFonts w:ascii="Times New Roman" w:hAnsi="Times New Roman" w:eastAsia="Times New Roman" w:cs="Times New Roman"/>
          <w:b/>
          <w:bCs/>
          <w:color w:val="auto"/>
          <w:spacing w:val="-3"/>
          <w:sz w:val="24"/>
          <w:szCs w:val="24"/>
          <w:highlight w:val="none"/>
        </w:rPr>
        <w:t xml:space="preserve">1.4  </w:t>
      </w:r>
      <w:r>
        <w:rPr>
          <w:rFonts w:ascii="宋体" w:hAnsi="宋体" w:eastAsia="宋体" w:cs="宋体"/>
          <w:b/>
          <w:bCs/>
          <w:color w:val="auto"/>
          <w:spacing w:val="-3"/>
          <w:sz w:val="24"/>
          <w:szCs w:val="24"/>
          <w:highlight w:val="none"/>
        </w:rPr>
        <w:t>合同文件的优先顺序</w:t>
      </w:r>
      <w:bookmarkEnd w:id="801"/>
      <w:bookmarkEnd w:id="802"/>
    </w:p>
    <w:p w14:paraId="6F52F294">
      <w:pPr>
        <w:spacing w:before="180" w:line="220" w:lineRule="auto"/>
        <w:ind w:left="49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除合同另有规定外，解释合同文件的优先顺序如下：</w:t>
      </w:r>
    </w:p>
    <w:p w14:paraId="65253089">
      <w:pPr>
        <w:spacing w:before="182" w:line="219"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）合同协议书（包括补充协议书）。</w:t>
      </w:r>
    </w:p>
    <w:p w14:paraId="1BC28C12">
      <w:pPr>
        <w:spacing w:before="181" w:line="219" w:lineRule="auto"/>
        <w:ind w:left="490"/>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w:t>
      </w:r>
      <w:r>
        <w:rPr>
          <w:rFonts w:ascii="Times New Roman" w:hAnsi="Times New Roman" w:eastAsia="Times New Roman" w:cs="Times New Roman"/>
          <w:color w:val="auto"/>
          <w:spacing w:val="-6"/>
          <w:sz w:val="24"/>
          <w:szCs w:val="24"/>
          <w:highlight w:val="none"/>
        </w:rPr>
        <w:t>2</w:t>
      </w:r>
      <w:r>
        <w:rPr>
          <w:rFonts w:ascii="宋体" w:hAnsi="宋体" w:eastAsia="宋体" w:cs="宋体"/>
          <w:color w:val="auto"/>
          <w:spacing w:val="-6"/>
          <w:sz w:val="24"/>
          <w:szCs w:val="24"/>
          <w:highlight w:val="none"/>
        </w:rPr>
        <w:t>）中标通知书。</w:t>
      </w:r>
    </w:p>
    <w:p w14:paraId="1D0CA371">
      <w:pPr>
        <w:spacing w:before="183" w:line="219" w:lineRule="auto"/>
        <w:ind w:left="49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）投标函及投标函附录。</w:t>
      </w:r>
    </w:p>
    <w:p w14:paraId="3688B29A">
      <w:pPr>
        <w:spacing w:before="181" w:line="220"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）招投标文件澄清问题、澄清问题的复函、补充通知等相关资料。</w:t>
      </w:r>
    </w:p>
    <w:p w14:paraId="36B300BC">
      <w:pPr>
        <w:spacing w:before="182" w:line="220" w:lineRule="auto"/>
        <w:ind w:left="49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5</w:t>
      </w:r>
      <w:r>
        <w:rPr>
          <w:rFonts w:ascii="宋体" w:hAnsi="宋体" w:eastAsia="宋体" w:cs="宋体"/>
          <w:color w:val="auto"/>
          <w:spacing w:val="-5"/>
          <w:sz w:val="24"/>
          <w:szCs w:val="24"/>
          <w:highlight w:val="none"/>
        </w:rPr>
        <w:t>）专用合同条款。</w:t>
      </w:r>
    </w:p>
    <w:p w14:paraId="74434E88">
      <w:pPr>
        <w:spacing w:before="179" w:line="220" w:lineRule="auto"/>
        <w:ind w:left="49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6</w:t>
      </w:r>
      <w:r>
        <w:rPr>
          <w:rFonts w:ascii="宋体" w:hAnsi="宋体" w:eastAsia="宋体" w:cs="宋体"/>
          <w:color w:val="auto"/>
          <w:spacing w:val="-5"/>
          <w:sz w:val="24"/>
          <w:szCs w:val="24"/>
          <w:highlight w:val="none"/>
        </w:rPr>
        <w:t>）通用合同条款。</w:t>
      </w:r>
    </w:p>
    <w:p w14:paraId="75C9489C">
      <w:pPr>
        <w:spacing w:before="182" w:line="220" w:lineRule="auto"/>
        <w:ind w:left="49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7</w:t>
      </w:r>
      <w:r>
        <w:rPr>
          <w:rFonts w:ascii="宋体" w:hAnsi="宋体" w:eastAsia="宋体" w:cs="宋体"/>
          <w:color w:val="auto"/>
          <w:spacing w:val="-5"/>
          <w:sz w:val="24"/>
          <w:szCs w:val="24"/>
          <w:highlight w:val="none"/>
        </w:rPr>
        <w:t>）技术标准和要求。</w:t>
      </w:r>
    </w:p>
    <w:p w14:paraId="3C70895A">
      <w:pPr>
        <w:spacing w:before="180" w:line="221" w:lineRule="auto"/>
        <w:ind w:left="490"/>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w:t>
      </w:r>
      <w:r>
        <w:rPr>
          <w:rFonts w:ascii="Times New Roman" w:hAnsi="Times New Roman" w:eastAsia="Times New Roman" w:cs="Times New Roman"/>
          <w:color w:val="auto"/>
          <w:spacing w:val="-7"/>
          <w:sz w:val="24"/>
          <w:szCs w:val="24"/>
          <w:highlight w:val="none"/>
        </w:rPr>
        <w:t>8</w:t>
      </w:r>
      <w:r>
        <w:rPr>
          <w:rFonts w:ascii="宋体" w:hAnsi="宋体" w:eastAsia="宋体" w:cs="宋体"/>
          <w:color w:val="auto"/>
          <w:spacing w:val="-7"/>
          <w:sz w:val="24"/>
          <w:szCs w:val="24"/>
          <w:highlight w:val="none"/>
        </w:rPr>
        <w:t>）图纸。</w:t>
      </w:r>
    </w:p>
    <w:p w14:paraId="1ECB1A0E">
      <w:pPr>
        <w:spacing w:before="181" w:line="218" w:lineRule="auto"/>
        <w:ind w:left="49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9</w:t>
      </w:r>
      <w:r>
        <w:rPr>
          <w:rFonts w:ascii="宋体" w:hAnsi="宋体" w:eastAsia="宋体" w:cs="宋体"/>
          <w:color w:val="auto"/>
          <w:spacing w:val="-4"/>
          <w:sz w:val="24"/>
          <w:szCs w:val="24"/>
          <w:highlight w:val="none"/>
        </w:rPr>
        <w:t>）已标价的工程量清单。</w:t>
      </w:r>
    </w:p>
    <w:p w14:paraId="48CAE822">
      <w:pPr>
        <w:spacing w:before="182" w:line="220"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10</w:t>
      </w:r>
      <w:r>
        <w:rPr>
          <w:rFonts w:ascii="宋体" w:hAnsi="宋体" w:eastAsia="宋体" w:cs="宋体"/>
          <w:color w:val="auto"/>
          <w:spacing w:val="-3"/>
          <w:sz w:val="24"/>
          <w:szCs w:val="24"/>
          <w:highlight w:val="none"/>
        </w:rPr>
        <w:t>）经双方确认进入合同的其他文件。</w:t>
      </w:r>
    </w:p>
    <w:p w14:paraId="4306D0A3">
      <w:pPr>
        <w:spacing w:before="182" w:line="222" w:lineRule="auto"/>
        <w:ind w:left="10"/>
        <w:outlineLvl w:val="1"/>
        <w:rPr>
          <w:rFonts w:ascii="宋体" w:hAnsi="宋体" w:eastAsia="宋体" w:cs="宋体"/>
          <w:color w:val="auto"/>
          <w:sz w:val="24"/>
          <w:szCs w:val="24"/>
          <w:highlight w:val="none"/>
        </w:rPr>
      </w:pPr>
      <w:bookmarkStart w:id="803" w:name="bookmark317"/>
      <w:bookmarkEnd w:id="803"/>
      <w:bookmarkStart w:id="804" w:name="_Toc24785"/>
      <w:bookmarkStart w:id="805" w:name="_Toc13740"/>
      <w:r>
        <w:rPr>
          <w:rFonts w:ascii="Times New Roman" w:hAnsi="Times New Roman" w:eastAsia="Times New Roman" w:cs="Times New Roman"/>
          <w:b/>
          <w:bCs/>
          <w:color w:val="auto"/>
          <w:spacing w:val="-5"/>
          <w:sz w:val="24"/>
          <w:szCs w:val="24"/>
          <w:highlight w:val="none"/>
        </w:rPr>
        <w:t>1.7</w:t>
      </w:r>
      <w:r>
        <w:rPr>
          <w:rFonts w:ascii="Times New Roman" w:hAnsi="Times New Roman" w:eastAsia="Times New Roman" w:cs="Times New Roman"/>
          <w:b/>
          <w:bCs/>
          <w:color w:val="auto"/>
          <w:spacing w:val="5"/>
          <w:sz w:val="24"/>
          <w:szCs w:val="24"/>
          <w:highlight w:val="none"/>
        </w:rPr>
        <w:t xml:space="preserve">  </w:t>
      </w:r>
      <w:r>
        <w:rPr>
          <w:rFonts w:ascii="宋体" w:hAnsi="宋体" w:eastAsia="宋体" w:cs="宋体"/>
          <w:b/>
          <w:bCs/>
          <w:color w:val="auto"/>
          <w:spacing w:val="-5"/>
          <w:sz w:val="24"/>
          <w:szCs w:val="24"/>
          <w:highlight w:val="none"/>
        </w:rPr>
        <w:t>联络</w:t>
      </w:r>
      <w:bookmarkEnd w:id="804"/>
      <w:bookmarkEnd w:id="805"/>
    </w:p>
    <w:p w14:paraId="1AB9A19E">
      <w:pPr>
        <w:spacing w:before="178" w:line="362" w:lineRule="auto"/>
        <w:ind w:left="10" w:right="12" w:firstLine="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1.7.2  </w:t>
      </w:r>
      <w:r>
        <w:rPr>
          <w:rFonts w:ascii="宋体" w:hAnsi="宋体" w:eastAsia="宋体" w:cs="宋体"/>
          <w:color w:val="auto"/>
          <w:spacing w:val="-2"/>
          <w:sz w:val="24"/>
          <w:szCs w:val="24"/>
          <w:highlight w:val="none"/>
        </w:rPr>
        <w:t>来往函件均应按技术标准和要求（合</w:t>
      </w:r>
      <w:r>
        <w:rPr>
          <w:rFonts w:ascii="宋体" w:hAnsi="宋体" w:eastAsia="宋体" w:cs="宋体"/>
          <w:color w:val="auto"/>
          <w:spacing w:val="-3"/>
          <w:sz w:val="24"/>
          <w:szCs w:val="24"/>
          <w:highlight w:val="none"/>
        </w:rPr>
        <w:t>同技术条款）约定的期限送达</w:t>
      </w:r>
      <w:r>
        <w:rPr>
          <w:rFonts w:ascii="宋体" w:hAnsi="宋体" w:eastAsia="宋体" w:cs="宋体"/>
          <w:color w:val="auto"/>
          <w:spacing w:val="44"/>
          <w:sz w:val="24"/>
          <w:szCs w:val="24"/>
          <w:highlight w:val="none"/>
          <w:u w:val="single" w:color="auto"/>
        </w:rPr>
        <w:t xml:space="preserve">  </w:t>
      </w:r>
      <w:r>
        <w:rPr>
          <w:rFonts w:ascii="宋体" w:hAnsi="宋体" w:eastAsia="宋体" w:cs="宋体"/>
          <w:color w:val="auto"/>
          <w:spacing w:val="-3"/>
          <w:sz w:val="24"/>
          <w:szCs w:val="24"/>
          <w:highlight w:val="none"/>
          <w:u w:val="single" w:color="auto"/>
        </w:rPr>
        <w:t>（填</w:t>
      </w:r>
      <w:r>
        <w:rPr>
          <w:rFonts w:ascii="宋体" w:hAnsi="宋体" w:eastAsia="宋体" w:cs="宋体"/>
          <w:color w:val="auto"/>
          <w:spacing w:val="-2"/>
          <w:sz w:val="24"/>
          <w:szCs w:val="24"/>
          <w:highlight w:val="none"/>
          <w:u w:val="single" w:color="auto"/>
        </w:rPr>
        <w:t xml:space="preserve">写文件送达地点）  </w:t>
      </w:r>
      <w:r>
        <w:rPr>
          <w:rFonts w:ascii="宋体" w:hAnsi="宋体" w:eastAsia="宋体" w:cs="宋体"/>
          <w:color w:val="auto"/>
          <w:spacing w:val="-2"/>
          <w:sz w:val="24"/>
          <w:szCs w:val="24"/>
          <w:highlight w:val="none"/>
        </w:rPr>
        <w:t>。</w:t>
      </w:r>
    </w:p>
    <w:p w14:paraId="2B7C6668">
      <w:pPr>
        <w:spacing w:before="120" w:line="220" w:lineRule="auto"/>
        <w:outlineLvl w:val="0"/>
        <w:rPr>
          <w:rFonts w:ascii="宋体" w:hAnsi="宋体" w:eastAsia="宋体" w:cs="宋体"/>
          <w:color w:val="auto"/>
          <w:sz w:val="28"/>
          <w:szCs w:val="28"/>
          <w:highlight w:val="none"/>
        </w:rPr>
      </w:pPr>
      <w:bookmarkStart w:id="806" w:name="bookmark319"/>
      <w:bookmarkEnd w:id="806"/>
      <w:bookmarkStart w:id="807" w:name="bookmark318"/>
      <w:bookmarkEnd w:id="807"/>
      <w:bookmarkStart w:id="808" w:name="_Toc3955"/>
      <w:bookmarkStart w:id="809" w:name="_Toc24464"/>
      <w:r>
        <w:rPr>
          <w:rFonts w:ascii="Times New Roman" w:hAnsi="Times New Roman" w:eastAsia="Times New Roman" w:cs="Times New Roman"/>
          <w:b/>
          <w:bCs/>
          <w:color w:val="auto"/>
          <w:spacing w:val="-6"/>
          <w:sz w:val="28"/>
          <w:szCs w:val="28"/>
          <w:highlight w:val="none"/>
        </w:rPr>
        <w:t>2</w:t>
      </w:r>
      <w:r>
        <w:rPr>
          <w:rFonts w:ascii="Times New Roman" w:hAnsi="Times New Roman" w:eastAsia="Times New Roman" w:cs="Times New Roman"/>
          <w:b/>
          <w:bCs/>
          <w:color w:val="auto"/>
          <w:spacing w:val="10"/>
          <w:sz w:val="28"/>
          <w:szCs w:val="28"/>
          <w:highlight w:val="none"/>
        </w:rPr>
        <w:t xml:space="preserve">  </w:t>
      </w:r>
      <w:r>
        <w:rPr>
          <w:rFonts w:ascii="宋体" w:hAnsi="宋体" w:eastAsia="宋体" w:cs="宋体"/>
          <w:b/>
          <w:bCs/>
          <w:color w:val="auto"/>
          <w:spacing w:val="-6"/>
          <w:sz w:val="28"/>
          <w:szCs w:val="28"/>
          <w:highlight w:val="none"/>
        </w:rPr>
        <w:t>发包人义务</w:t>
      </w:r>
      <w:bookmarkEnd w:id="808"/>
      <w:bookmarkEnd w:id="809"/>
    </w:p>
    <w:p w14:paraId="748ADA80">
      <w:pPr>
        <w:pStyle w:val="3"/>
        <w:spacing w:line="245" w:lineRule="auto"/>
        <w:rPr>
          <w:color w:val="auto"/>
          <w:highlight w:val="none"/>
        </w:rPr>
      </w:pPr>
    </w:p>
    <w:p w14:paraId="388783F2">
      <w:pPr>
        <w:spacing w:before="79" w:line="219" w:lineRule="auto"/>
        <w:outlineLvl w:val="1"/>
        <w:rPr>
          <w:rFonts w:ascii="宋体" w:hAnsi="宋体" w:eastAsia="宋体" w:cs="宋体"/>
          <w:color w:val="auto"/>
          <w:sz w:val="24"/>
          <w:szCs w:val="24"/>
          <w:highlight w:val="none"/>
        </w:rPr>
      </w:pPr>
      <w:bookmarkStart w:id="810" w:name="bookmark713"/>
      <w:bookmarkEnd w:id="810"/>
      <w:bookmarkStart w:id="811" w:name="_Toc8703"/>
      <w:bookmarkStart w:id="812" w:name="_Toc20587"/>
      <w:r>
        <w:rPr>
          <w:rFonts w:ascii="Times New Roman" w:hAnsi="Times New Roman" w:eastAsia="Times New Roman" w:cs="Times New Roman"/>
          <w:b/>
          <w:bCs/>
          <w:color w:val="auto"/>
          <w:spacing w:val="-2"/>
          <w:sz w:val="24"/>
          <w:szCs w:val="24"/>
          <w:highlight w:val="none"/>
        </w:rPr>
        <w:t xml:space="preserve">2.3  </w:t>
      </w:r>
      <w:r>
        <w:rPr>
          <w:rFonts w:ascii="宋体" w:hAnsi="宋体" w:eastAsia="宋体" w:cs="宋体"/>
          <w:b/>
          <w:bCs/>
          <w:color w:val="auto"/>
          <w:spacing w:val="-2"/>
          <w:sz w:val="24"/>
          <w:szCs w:val="24"/>
          <w:highlight w:val="none"/>
        </w:rPr>
        <w:t>提供施工场地</w:t>
      </w:r>
      <w:bookmarkEnd w:id="811"/>
      <w:bookmarkEnd w:id="812"/>
    </w:p>
    <w:p w14:paraId="2146CB05">
      <w:pPr>
        <w:spacing w:before="180" w:line="219" w:lineRule="auto"/>
        <w:ind w:right="1"/>
        <w:jc w:val="both"/>
        <w:rPr>
          <w:rFonts w:hint="eastAsia" w:ascii="宋体" w:hAnsi="宋体" w:eastAsia="宋体" w:cs="宋体"/>
          <w:color w:val="auto"/>
          <w:sz w:val="24"/>
          <w:szCs w:val="24"/>
          <w:highlight w:val="none"/>
          <w:lang w:eastAsia="zh-CN"/>
        </w:rPr>
        <w:sectPr>
          <w:footerReference r:id="rId80" w:type="default"/>
          <w:pgSz w:w="11907" w:h="16841"/>
          <w:pgMar w:top="1423" w:right="1527" w:bottom="1254" w:left="1594" w:header="0" w:footer="1093" w:gutter="0"/>
          <w:pgNumType w:fmt="decimal"/>
          <w:cols w:space="720" w:num="1"/>
        </w:sectPr>
      </w:pPr>
      <w:r>
        <w:rPr>
          <w:rFonts w:ascii="Times New Roman" w:hAnsi="Times New Roman" w:eastAsia="Times New Roman" w:cs="Times New Roman"/>
          <w:b/>
          <w:bCs/>
          <w:color w:val="auto"/>
          <w:sz w:val="24"/>
          <w:szCs w:val="24"/>
          <w:highlight w:val="none"/>
        </w:rPr>
        <w:t xml:space="preserve">2.3.2  </w:t>
      </w:r>
      <w:r>
        <w:rPr>
          <w:rFonts w:ascii="宋体" w:hAnsi="宋体" w:eastAsia="宋体" w:cs="宋体"/>
          <w:color w:val="auto"/>
          <w:sz w:val="24"/>
          <w:szCs w:val="24"/>
          <w:highlight w:val="none"/>
        </w:rPr>
        <w:t>发包人提供的用地范围为：</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见施工图</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87"/>
          <w:sz w:val="24"/>
          <w:szCs w:val="24"/>
          <w:highlight w:val="none"/>
        </w:rPr>
        <w:t xml:space="preserve"> </w:t>
      </w:r>
      <w:r>
        <w:rPr>
          <w:rFonts w:ascii="宋体" w:hAnsi="宋体" w:eastAsia="宋体" w:cs="宋体"/>
          <w:color w:val="auto"/>
          <w:spacing w:val="-1"/>
          <w:sz w:val="24"/>
          <w:szCs w:val="24"/>
          <w:highlight w:val="none"/>
        </w:rPr>
        <w:t>。承包人自行勘察的施工场地范围为：</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eastAsia="zh-CN"/>
        </w:rPr>
        <w:t>。</w:t>
      </w:r>
    </w:p>
    <w:p w14:paraId="386F743B">
      <w:pPr>
        <w:spacing w:before="181" w:line="220" w:lineRule="auto"/>
        <w:ind w:left="1"/>
        <w:outlineLvl w:val="1"/>
        <w:rPr>
          <w:rFonts w:ascii="宋体" w:hAnsi="宋体" w:eastAsia="宋体" w:cs="宋体"/>
          <w:color w:val="auto"/>
          <w:sz w:val="24"/>
          <w:szCs w:val="24"/>
          <w:highlight w:val="none"/>
        </w:rPr>
      </w:pPr>
      <w:bookmarkStart w:id="813" w:name="bookmark320"/>
      <w:bookmarkEnd w:id="813"/>
      <w:bookmarkStart w:id="814" w:name="_Toc18496"/>
      <w:bookmarkStart w:id="815" w:name="_Toc10791"/>
      <w:r>
        <w:rPr>
          <w:rFonts w:ascii="Times New Roman" w:hAnsi="Times New Roman" w:eastAsia="Times New Roman" w:cs="Times New Roman"/>
          <w:b/>
          <w:bCs/>
          <w:color w:val="auto"/>
          <w:spacing w:val="-2"/>
          <w:sz w:val="24"/>
          <w:szCs w:val="24"/>
          <w:highlight w:val="none"/>
        </w:rPr>
        <w:t xml:space="preserve">2.8  </w:t>
      </w:r>
      <w:r>
        <w:rPr>
          <w:rFonts w:ascii="宋体" w:hAnsi="宋体" w:eastAsia="宋体" w:cs="宋体"/>
          <w:b/>
          <w:bCs/>
          <w:color w:val="auto"/>
          <w:spacing w:val="-2"/>
          <w:sz w:val="24"/>
          <w:szCs w:val="24"/>
          <w:highlight w:val="none"/>
        </w:rPr>
        <w:t>其他义务</w:t>
      </w:r>
      <w:bookmarkEnd w:id="814"/>
      <w:bookmarkEnd w:id="815"/>
    </w:p>
    <w:p w14:paraId="62631CC2">
      <w:pPr>
        <w:spacing w:before="180" w:line="359" w:lineRule="auto"/>
        <w:ind w:left="27" w:right="1" w:firstLine="455"/>
        <w:rPr>
          <w:rFonts w:hint="eastAsia" w:ascii="宋体" w:hAnsi="宋体" w:eastAsia="宋体" w:cs="宋体"/>
          <w:color w:val="auto"/>
          <w:spacing w:val="1"/>
          <w:sz w:val="24"/>
          <w:szCs w:val="24"/>
          <w:highlight w:val="none"/>
          <w:u w:val="single"/>
          <w:lang w:eastAsia="zh-CN"/>
        </w:rPr>
      </w:pPr>
      <w:r>
        <w:rPr>
          <w:rFonts w:hint="eastAsia" w:ascii="宋体" w:hAnsi="宋体" w:eastAsia="宋体" w:cs="宋体"/>
          <w:color w:val="auto"/>
          <w:spacing w:val="1"/>
          <w:sz w:val="24"/>
          <w:szCs w:val="24"/>
          <w:highlight w:val="none"/>
          <w:u w:val="none"/>
          <w:lang w:eastAsia="zh-CN"/>
        </w:rPr>
        <w:t>（根据发包人合同管理的要求补充）</w:t>
      </w:r>
    </w:p>
    <w:p w14:paraId="30CAA582">
      <w:pPr>
        <w:spacing w:before="180" w:line="359" w:lineRule="auto"/>
        <w:ind w:left="27" w:right="1" w:firstLine="455"/>
        <w:rPr>
          <w:rFonts w:hint="eastAsia" w:ascii="宋体" w:hAnsi="宋体" w:eastAsia="宋体" w:cs="宋体"/>
          <w:color w:val="auto"/>
          <w:spacing w:val="1"/>
          <w:sz w:val="24"/>
          <w:szCs w:val="24"/>
          <w:highlight w:val="none"/>
          <w:u w:val="single"/>
          <w:lang w:eastAsia="zh-CN"/>
        </w:rPr>
      </w:pPr>
      <w:bookmarkStart w:id="816" w:name="bookmark321"/>
      <w:bookmarkEnd w:id="816"/>
      <w:bookmarkStart w:id="817" w:name="bookmark322"/>
      <w:bookmarkEnd w:id="817"/>
      <w:r>
        <w:rPr>
          <w:rFonts w:hint="eastAsia" w:ascii="宋体" w:hAnsi="宋体" w:eastAsia="宋体" w:cs="宋体"/>
          <w:color w:val="auto"/>
          <w:spacing w:val="1"/>
          <w:sz w:val="24"/>
          <w:szCs w:val="24"/>
          <w:highlight w:val="none"/>
          <w:u w:val="none"/>
          <w:lang w:eastAsia="zh-CN"/>
        </w:rPr>
        <w:t>（</w:t>
      </w:r>
      <w:r>
        <w:rPr>
          <w:rFonts w:hint="eastAsia" w:ascii="宋体" w:hAnsi="宋体" w:eastAsia="宋体" w:cs="宋体"/>
          <w:color w:val="auto"/>
          <w:spacing w:val="1"/>
          <w:sz w:val="24"/>
          <w:szCs w:val="24"/>
          <w:highlight w:val="none"/>
          <w:u w:val="none"/>
          <w:lang w:val="en-US" w:eastAsia="zh-CN"/>
        </w:rPr>
        <w:t>1</w:t>
      </w:r>
      <w:r>
        <w:rPr>
          <w:rFonts w:hint="eastAsia" w:ascii="宋体" w:hAnsi="宋体" w:eastAsia="宋体" w:cs="宋体"/>
          <w:color w:val="auto"/>
          <w:spacing w:val="1"/>
          <w:sz w:val="24"/>
          <w:szCs w:val="24"/>
          <w:highlight w:val="none"/>
          <w:u w:val="none"/>
          <w:lang w:eastAsia="zh-CN"/>
        </w:rPr>
        <w:t>）</w:t>
      </w:r>
      <w:r>
        <w:rPr>
          <w:rFonts w:hint="eastAsia" w:ascii="宋体" w:hAnsi="宋体" w:eastAsia="宋体" w:cs="宋体"/>
          <w:color w:val="auto"/>
          <w:spacing w:val="1"/>
          <w:sz w:val="24"/>
          <w:szCs w:val="24"/>
          <w:highlight w:val="none"/>
          <w:u w:val="single"/>
          <w:lang w:eastAsia="zh-CN"/>
        </w:rPr>
        <w:t xml:space="preserve">                  /                  </w:t>
      </w:r>
    </w:p>
    <w:p w14:paraId="3111BF9C">
      <w:pPr>
        <w:spacing w:before="180" w:line="359" w:lineRule="auto"/>
        <w:ind w:left="27" w:right="1" w:firstLine="455"/>
        <w:rPr>
          <w:rFonts w:hint="eastAsia" w:ascii="宋体" w:hAnsi="宋体" w:eastAsia="宋体" w:cs="宋体"/>
          <w:color w:val="auto"/>
          <w:spacing w:val="1"/>
          <w:sz w:val="24"/>
          <w:szCs w:val="24"/>
          <w:highlight w:val="none"/>
          <w:u w:val="single"/>
          <w:lang w:eastAsia="zh-CN"/>
        </w:rPr>
      </w:pPr>
      <w:r>
        <w:rPr>
          <w:rFonts w:hint="eastAsia" w:ascii="宋体" w:hAnsi="宋体" w:eastAsia="宋体" w:cs="宋体"/>
          <w:color w:val="auto"/>
          <w:spacing w:val="1"/>
          <w:sz w:val="24"/>
          <w:szCs w:val="24"/>
          <w:highlight w:val="none"/>
          <w:u w:val="none"/>
          <w:lang w:eastAsia="zh-CN"/>
        </w:rPr>
        <w:t>（</w:t>
      </w:r>
      <w:r>
        <w:rPr>
          <w:rFonts w:hint="eastAsia" w:ascii="宋体" w:hAnsi="宋体" w:eastAsia="宋体" w:cs="宋体"/>
          <w:color w:val="auto"/>
          <w:spacing w:val="1"/>
          <w:sz w:val="24"/>
          <w:szCs w:val="24"/>
          <w:highlight w:val="none"/>
          <w:u w:val="none"/>
          <w:lang w:val="en-US" w:eastAsia="zh-CN"/>
        </w:rPr>
        <w:t>2</w:t>
      </w:r>
      <w:r>
        <w:rPr>
          <w:rFonts w:hint="eastAsia" w:ascii="宋体" w:hAnsi="宋体" w:eastAsia="宋体" w:cs="宋体"/>
          <w:color w:val="auto"/>
          <w:spacing w:val="1"/>
          <w:sz w:val="24"/>
          <w:szCs w:val="24"/>
          <w:highlight w:val="none"/>
          <w:u w:val="none"/>
          <w:lang w:eastAsia="zh-CN"/>
        </w:rPr>
        <w:t>）</w:t>
      </w:r>
      <w:r>
        <w:rPr>
          <w:rFonts w:hint="eastAsia" w:ascii="宋体" w:hAnsi="宋体" w:eastAsia="宋体" w:cs="宋体"/>
          <w:color w:val="auto"/>
          <w:spacing w:val="1"/>
          <w:sz w:val="24"/>
          <w:szCs w:val="24"/>
          <w:highlight w:val="none"/>
          <w:u w:val="single"/>
          <w:lang w:eastAsia="zh-CN"/>
        </w:rPr>
        <w:t xml:space="preserve">                  /                  </w:t>
      </w:r>
    </w:p>
    <w:p w14:paraId="43C73D37">
      <w:pPr>
        <w:spacing w:before="292" w:line="223" w:lineRule="auto"/>
        <w:outlineLvl w:val="0"/>
        <w:rPr>
          <w:rFonts w:ascii="宋体" w:hAnsi="宋体" w:eastAsia="宋体" w:cs="宋体"/>
          <w:color w:val="auto"/>
          <w:sz w:val="28"/>
          <w:szCs w:val="28"/>
          <w:highlight w:val="none"/>
        </w:rPr>
      </w:pPr>
      <w:bookmarkStart w:id="818" w:name="_Toc13305"/>
      <w:bookmarkStart w:id="819" w:name="_Toc3200"/>
      <w:r>
        <w:rPr>
          <w:rFonts w:ascii="Times New Roman" w:hAnsi="Times New Roman" w:eastAsia="Times New Roman" w:cs="Times New Roman"/>
          <w:b/>
          <w:bCs/>
          <w:color w:val="auto"/>
          <w:spacing w:val="-5"/>
          <w:sz w:val="28"/>
          <w:szCs w:val="28"/>
          <w:highlight w:val="none"/>
        </w:rPr>
        <w:t>3</w:t>
      </w:r>
      <w:r>
        <w:rPr>
          <w:rFonts w:hint="eastAsia" w:ascii="Times New Roman" w:hAnsi="Times New Roman" w:eastAsia="宋体" w:cs="Times New Roman"/>
          <w:b/>
          <w:bCs/>
          <w:color w:val="auto"/>
          <w:spacing w:val="6"/>
          <w:sz w:val="28"/>
          <w:szCs w:val="28"/>
          <w:highlight w:val="none"/>
          <w:lang w:eastAsia="zh-CN"/>
        </w:rPr>
        <w:t>、</w:t>
      </w:r>
      <w:r>
        <w:rPr>
          <w:rFonts w:ascii="宋体" w:hAnsi="宋体" w:eastAsia="宋体" w:cs="宋体"/>
          <w:b/>
          <w:bCs/>
          <w:color w:val="auto"/>
          <w:spacing w:val="-5"/>
          <w:sz w:val="28"/>
          <w:szCs w:val="28"/>
          <w:highlight w:val="none"/>
        </w:rPr>
        <w:t>监理人</w:t>
      </w:r>
      <w:bookmarkEnd w:id="818"/>
      <w:bookmarkEnd w:id="819"/>
    </w:p>
    <w:p w14:paraId="39E5C3F0">
      <w:pPr>
        <w:pStyle w:val="3"/>
        <w:rPr>
          <w:color w:val="auto"/>
          <w:highlight w:val="none"/>
        </w:rPr>
      </w:pPr>
    </w:p>
    <w:p w14:paraId="27557E6F">
      <w:pPr>
        <w:spacing w:before="78" w:line="220" w:lineRule="auto"/>
        <w:outlineLvl w:val="1"/>
        <w:rPr>
          <w:rFonts w:ascii="宋体" w:hAnsi="宋体" w:eastAsia="宋体" w:cs="宋体"/>
          <w:color w:val="auto"/>
          <w:sz w:val="24"/>
          <w:szCs w:val="24"/>
          <w:highlight w:val="none"/>
        </w:rPr>
      </w:pPr>
      <w:bookmarkStart w:id="820" w:name="bookmark714"/>
      <w:bookmarkEnd w:id="820"/>
      <w:bookmarkStart w:id="821" w:name="_Toc19091"/>
      <w:bookmarkStart w:id="822" w:name="_Toc23479"/>
      <w:r>
        <w:rPr>
          <w:rFonts w:ascii="Times New Roman" w:hAnsi="Times New Roman" w:eastAsia="Times New Roman" w:cs="Times New Roman"/>
          <w:b/>
          <w:bCs/>
          <w:color w:val="auto"/>
          <w:spacing w:val="-2"/>
          <w:sz w:val="24"/>
          <w:szCs w:val="24"/>
          <w:highlight w:val="none"/>
        </w:rPr>
        <w:t xml:space="preserve">3.1  </w:t>
      </w:r>
      <w:r>
        <w:rPr>
          <w:rFonts w:ascii="宋体" w:hAnsi="宋体" w:eastAsia="宋体" w:cs="宋体"/>
          <w:b/>
          <w:bCs/>
          <w:color w:val="auto"/>
          <w:spacing w:val="-2"/>
          <w:sz w:val="24"/>
          <w:szCs w:val="24"/>
          <w:highlight w:val="none"/>
        </w:rPr>
        <w:t>监理人的职责和权力</w:t>
      </w:r>
      <w:bookmarkEnd w:id="821"/>
      <w:bookmarkEnd w:id="822"/>
    </w:p>
    <w:p w14:paraId="5767C2CF">
      <w:pPr>
        <w:spacing w:before="180" w:line="359" w:lineRule="auto"/>
        <w:ind w:left="27" w:right="1" w:firstLine="455"/>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3.1.1  </w:t>
      </w:r>
      <w:r>
        <w:rPr>
          <w:rFonts w:ascii="宋体" w:hAnsi="宋体" w:eastAsia="宋体" w:cs="宋体"/>
          <w:color w:val="auto"/>
          <w:spacing w:val="1"/>
          <w:sz w:val="24"/>
          <w:szCs w:val="24"/>
          <w:highlight w:val="none"/>
        </w:rPr>
        <w:t>监理人须根据发包人事先批准的</w:t>
      </w:r>
      <w:r>
        <w:rPr>
          <w:rFonts w:ascii="宋体" w:hAnsi="宋体" w:eastAsia="宋体" w:cs="宋体"/>
          <w:color w:val="auto"/>
          <w:sz w:val="24"/>
          <w:szCs w:val="24"/>
          <w:highlight w:val="none"/>
        </w:rPr>
        <w:t>权力范围行使权力，发包人批准的权利范</w:t>
      </w:r>
      <w:r>
        <w:rPr>
          <w:rFonts w:ascii="宋体" w:hAnsi="宋体" w:eastAsia="宋体" w:cs="宋体"/>
          <w:color w:val="auto"/>
          <w:spacing w:val="-2"/>
          <w:sz w:val="24"/>
          <w:szCs w:val="24"/>
          <w:highlight w:val="none"/>
        </w:rPr>
        <w:t>围</w:t>
      </w:r>
      <w:r>
        <w:rPr>
          <w:rFonts w:ascii="宋体" w:hAnsi="宋体" w:eastAsia="宋体" w:cs="宋体"/>
          <w:color w:val="auto"/>
          <w:spacing w:val="6"/>
          <w:sz w:val="24"/>
          <w:szCs w:val="24"/>
          <w:highlight w:val="none"/>
        </w:rPr>
        <w:t>：（</w:t>
      </w:r>
      <w:r>
        <w:rPr>
          <w:rFonts w:ascii="宋体" w:hAnsi="宋体" w:eastAsia="宋体" w:cs="宋体"/>
          <w:color w:val="auto"/>
          <w:spacing w:val="-2"/>
          <w:sz w:val="24"/>
          <w:szCs w:val="24"/>
          <w:highlight w:val="none"/>
        </w:rPr>
        <w:t>填写监理人须经发包人的批准才能行使的权利，以下示例供参考）</w:t>
      </w:r>
    </w:p>
    <w:p w14:paraId="4FD424AA">
      <w:pPr>
        <w:spacing w:before="1" w:line="219" w:lineRule="auto"/>
        <w:ind w:left="49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）按第</w:t>
      </w:r>
      <w:r>
        <w:rPr>
          <w:rFonts w:ascii="Times New Roman" w:hAnsi="Times New Roman" w:eastAsia="Times New Roman" w:cs="Times New Roman"/>
          <w:color w:val="auto"/>
          <w:spacing w:val="-3"/>
          <w:sz w:val="24"/>
          <w:szCs w:val="24"/>
          <w:highlight w:val="none"/>
        </w:rPr>
        <w:t>4.3</w:t>
      </w:r>
      <w:r>
        <w:rPr>
          <w:rFonts w:ascii="宋体" w:hAnsi="宋体" w:eastAsia="宋体" w:cs="宋体"/>
          <w:color w:val="auto"/>
          <w:spacing w:val="-3"/>
          <w:sz w:val="24"/>
          <w:szCs w:val="24"/>
          <w:highlight w:val="none"/>
        </w:rPr>
        <w:t>条规定，批准工程分包。</w:t>
      </w:r>
    </w:p>
    <w:p w14:paraId="718CA0C6">
      <w:pPr>
        <w:spacing w:before="182" w:line="220" w:lineRule="auto"/>
        <w:ind w:left="49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2</w:t>
      </w:r>
      <w:r>
        <w:rPr>
          <w:rFonts w:ascii="宋体" w:hAnsi="宋体" w:eastAsia="宋体" w:cs="宋体"/>
          <w:color w:val="auto"/>
          <w:spacing w:val="-3"/>
          <w:sz w:val="24"/>
          <w:szCs w:val="24"/>
          <w:highlight w:val="none"/>
        </w:rPr>
        <w:t>）按第</w:t>
      </w:r>
      <w:r>
        <w:rPr>
          <w:rFonts w:ascii="Times New Roman" w:hAnsi="Times New Roman" w:eastAsia="Times New Roman" w:cs="Times New Roman"/>
          <w:color w:val="auto"/>
          <w:spacing w:val="-3"/>
          <w:sz w:val="24"/>
          <w:szCs w:val="24"/>
          <w:highlight w:val="none"/>
        </w:rPr>
        <w:t>11.3</w:t>
      </w:r>
      <w:r>
        <w:rPr>
          <w:rFonts w:ascii="宋体" w:hAnsi="宋体" w:eastAsia="宋体" w:cs="宋体"/>
          <w:color w:val="auto"/>
          <w:spacing w:val="-3"/>
          <w:sz w:val="24"/>
          <w:szCs w:val="24"/>
          <w:highlight w:val="none"/>
        </w:rPr>
        <w:t>款规定，确定延长完工期限。</w:t>
      </w:r>
    </w:p>
    <w:p w14:paraId="6ECF0180">
      <w:pPr>
        <w:spacing w:before="180" w:line="220" w:lineRule="auto"/>
        <w:ind w:left="49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）按第</w:t>
      </w:r>
      <w:r>
        <w:rPr>
          <w:rFonts w:ascii="Times New Roman" w:hAnsi="Times New Roman" w:eastAsia="Times New Roman" w:cs="Times New Roman"/>
          <w:color w:val="auto"/>
          <w:spacing w:val="-3"/>
          <w:sz w:val="24"/>
          <w:szCs w:val="24"/>
          <w:highlight w:val="none"/>
        </w:rPr>
        <w:t>15.6</w:t>
      </w:r>
      <w:r>
        <w:rPr>
          <w:rFonts w:ascii="宋体" w:hAnsi="宋体" w:eastAsia="宋体" w:cs="宋体"/>
          <w:color w:val="auto"/>
          <w:spacing w:val="-3"/>
          <w:sz w:val="24"/>
          <w:szCs w:val="24"/>
          <w:highlight w:val="none"/>
        </w:rPr>
        <w:t>条规定，批准预留金的使用。</w:t>
      </w:r>
    </w:p>
    <w:p w14:paraId="1F236E54">
      <w:pPr>
        <w:spacing w:before="290" w:line="220" w:lineRule="auto"/>
        <w:ind w:left="3"/>
        <w:outlineLvl w:val="0"/>
        <w:rPr>
          <w:rFonts w:ascii="宋体" w:hAnsi="宋体" w:eastAsia="宋体" w:cs="宋体"/>
          <w:color w:val="auto"/>
          <w:sz w:val="28"/>
          <w:szCs w:val="28"/>
          <w:highlight w:val="none"/>
        </w:rPr>
      </w:pPr>
      <w:bookmarkStart w:id="823" w:name="bookmark323"/>
      <w:bookmarkEnd w:id="823"/>
      <w:bookmarkStart w:id="824" w:name="bookmark324"/>
      <w:bookmarkEnd w:id="824"/>
      <w:bookmarkStart w:id="825" w:name="_Toc22977"/>
      <w:bookmarkStart w:id="826" w:name="_Toc31903"/>
      <w:r>
        <w:rPr>
          <w:rFonts w:ascii="Times New Roman" w:hAnsi="Times New Roman" w:eastAsia="Times New Roman" w:cs="Times New Roman"/>
          <w:b/>
          <w:bCs/>
          <w:color w:val="auto"/>
          <w:spacing w:val="-6"/>
          <w:sz w:val="28"/>
          <w:szCs w:val="28"/>
          <w:highlight w:val="none"/>
        </w:rPr>
        <w:t>4</w:t>
      </w:r>
      <w:r>
        <w:rPr>
          <w:rFonts w:hint="eastAsia" w:ascii="Times New Roman" w:hAnsi="Times New Roman" w:eastAsia="宋体" w:cs="Times New Roman"/>
          <w:b/>
          <w:bCs/>
          <w:color w:val="auto"/>
          <w:spacing w:val="6"/>
          <w:sz w:val="28"/>
          <w:szCs w:val="28"/>
          <w:highlight w:val="none"/>
          <w:lang w:eastAsia="zh-CN"/>
        </w:rPr>
        <w:t>、</w:t>
      </w:r>
      <w:r>
        <w:rPr>
          <w:rFonts w:ascii="宋体" w:hAnsi="宋体" w:eastAsia="宋体" w:cs="宋体"/>
          <w:b/>
          <w:bCs/>
          <w:color w:val="auto"/>
          <w:spacing w:val="-6"/>
          <w:sz w:val="28"/>
          <w:szCs w:val="28"/>
          <w:highlight w:val="none"/>
        </w:rPr>
        <w:t>承包人</w:t>
      </w:r>
      <w:bookmarkEnd w:id="825"/>
      <w:bookmarkEnd w:id="826"/>
    </w:p>
    <w:p w14:paraId="18F9FE3D">
      <w:pPr>
        <w:pStyle w:val="3"/>
        <w:spacing w:line="245" w:lineRule="auto"/>
        <w:rPr>
          <w:color w:val="auto"/>
          <w:highlight w:val="none"/>
        </w:rPr>
      </w:pPr>
    </w:p>
    <w:p w14:paraId="62819F5E">
      <w:pPr>
        <w:spacing w:before="78" w:line="220" w:lineRule="auto"/>
        <w:ind w:left="2"/>
        <w:outlineLvl w:val="1"/>
        <w:rPr>
          <w:rFonts w:ascii="宋体" w:hAnsi="宋体" w:eastAsia="宋体" w:cs="宋体"/>
          <w:color w:val="auto"/>
          <w:sz w:val="24"/>
          <w:szCs w:val="24"/>
          <w:highlight w:val="none"/>
        </w:rPr>
      </w:pPr>
      <w:bookmarkStart w:id="827" w:name="bookmark715"/>
      <w:bookmarkEnd w:id="827"/>
      <w:bookmarkStart w:id="828" w:name="_Toc9658"/>
      <w:bookmarkStart w:id="829" w:name="_Toc1773"/>
      <w:r>
        <w:rPr>
          <w:rFonts w:ascii="Times New Roman" w:hAnsi="Times New Roman" w:eastAsia="Times New Roman" w:cs="Times New Roman"/>
          <w:b/>
          <w:bCs/>
          <w:color w:val="auto"/>
          <w:spacing w:val="-2"/>
          <w:sz w:val="24"/>
          <w:szCs w:val="24"/>
          <w:highlight w:val="none"/>
        </w:rPr>
        <w:t xml:space="preserve">4.1  </w:t>
      </w:r>
      <w:r>
        <w:rPr>
          <w:rFonts w:ascii="宋体" w:hAnsi="宋体" w:eastAsia="宋体" w:cs="宋体"/>
          <w:b/>
          <w:bCs/>
          <w:color w:val="auto"/>
          <w:spacing w:val="-2"/>
          <w:sz w:val="24"/>
          <w:szCs w:val="24"/>
          <w:highlight w:val="none"/>
        </w:rPr>
        <w:t>承包人一般义务</w:t>
      </w:r>
      <w:bookmarkEnd w:id="828"/>
      <w:bookmarkEnd w:id="829"/>
    </w:p>
    <w:p w14:paraId="0170EE3D">
      <w:pPr>
        <w:spacing w:before="180" w:line="359" w:lineRule="auto"/>
        <w:ind w:left="27" w:right="1" w:firstLine="455"/>
        <w:rPr>
          <w:rFonts w:ascii="Times New Roman" w:hAnsi="Times New Roman" w:eastAsia="Times New Roman" w:cs="Times New Roman"/>
          <w:color w:val="auto"/>
          <w:sz w:val="24"/>
          <w:szCs w:val="24"/>
          <w:highlight w:val="none"/>
        </w:rPr>
      </w:pPr>
      <w:r>
        <w:rPr>
          <w:rFonts w:ascii="宋体" w:hAnsi="宋体" w:eastAsia="宋体" w:cs="宋体"/>
          <w:color w:val="auto"/>
          <w:spacing w:val="1"/>
          <w:sz w:val="24"/>
          <w:szCs w:val="24"/>
          <w:highlight w:val="none"/>
        </w:rPr>
        <w:t>4.1.11  其他义务</w:t>
      </w:r>
      <w:r>
        <w:rPr>
          <w:rFonts w:hint="eastAsia" w:ascii="宋体" w:hAnsi="宋体" w:eastAsia="宋体" w:cs="宋体"/>
          <w:color w:val="auto"/>
          <w:spacing w:val="1"/>
          <w:sz w:val="24"/>
          <w:szCs w:val="24"/>
          <w:highlight w:val="none"/>
          <w:lang w:eastAsia="zh-CN"/>
        </w:rPr>
        <w:t xml:space="preserve">   </w:t>
      </w:r>
      <w:r>
        <w:rPr>
          <w:rFonts w:hint="eastAsia" w:ascii="宋体" w:hAnsi="宋体" w:eastAsia="宋体" w:cs="宋体"/>
          <w:color w:val="auto"/>
          <w:spacing w:val="1"/>
          <w:sz w:val="24"/>
          <w:szCs w:val="24"/>
          <w:highlight w:val="none"/>
          <w:u w:val="single"/>
          <w:lang w:eastAsia="zh-CN"/>
        </w:rPr>
        <w:t xml:space="preserve">       /       </w:t>
      </w:r>
      <w:r>
        <w:rPr>
          <w:rFonts w:hint="eastAsia" w:ascii="宋体" w:hAnsi="宋体" w:eastAsia="宋体" w:cs="宋体"/>
          <w:color w:val="auto"/>
          <w:spacing w:val="1"/>
          <w:sz w:val="24"/>
          <w:szCs w:val="24"/>
          <w:highlight w:val="none"/>
          <w:lang w:eastAsia="zh-CN"/>
        </w:rPr>
        <w:t xml:space="preserve">               </w:t>
      </w:r>
    </w:p>
    <w:p w14:paraId="08F5C9B0">
      <w:pPr>
        <w:spacing w:before="165" w:line="220" w:lineRule="auto"/>
        <w:ind w:left="2"/>
        <w:outlineLvl w:val="1"/>
        <w:rPr>
          <w:rFonts w:ascii="宋体" w:hAnsi="宋体" w:eastAsia="宋体" w:cs="宋体"/>
          <w:color w:val="auto"/>
          <w:sz w:val="24"/>
          <w:szCs w:val="24"/>
          <w:highlight w:val="none"/>
        </w:rPr>
      </w:pPr>
      <w:bookmarkStart w:id="830" w:name="bookmark325"/>
      <w:bookmarkEnd w:id="830"/>
      <w:bookmarkStart w:id="831" w:name="_Toc15863"/>
      <w:bookmarkStart w:id="832" w:name="_Toc5861"/>
      <w:r>
        <w:rPr>
          <w:rFonts w:ascii="Times New Roman" w:hAnsi="Times New Roman" w:eastAsia="Times New Roman" w:cs="Times New Roman"/>
          <w:b/>
          <w:bCs/>
          <w:color w:val="auto"/>
          <w:spacing w:val="-4"/>
          <w:sz w:val="24"/>
          <w:szCs w:val="24"/>
          <w:highlight w:val="none"/>
        </w:rPr>
        <w:t>4.3</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4"/>
          <w:sz w:val="24"/>
          <w:szCs w:val="24"/>
          <w:highlight w:val="none"/>
        </w:rPr>
        <w:t>分包</w:t>
      </w:r>
      <w:bookmarkEnd w:id="831"/>
      <w:bookmarkEnd w:id="832"/>
    </w:p>
    <w:p w14:paraId="0C7B2E1D">
      <w:pPr>
        <w:spacing w:before="181" w:line="220"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4.3.2  </w:t>
      </w:r>
      <w:r>
        <w:rPr>
          <w:rFonts w:ascii="宋体" w:hAnsi="宋体" w:eastAsia="宋体" w:cs="宋体"/>
          <w:color w:val="auto"/>
          <w:spacing w:val="-2"/>
          <w:sz w:val="24"/>
          <w:szCs w:val="24"/>
          <w:highlight w:val="none"/>
        </w:rPr>
        <w:t>允许承包人分包的工程项目、工作内容与分包金额为：</w:t>
      </w:r>
    </w:p>
    <w:p w14:paraId="3760FD1B">
      <w:pPr>
        <w:spacing w:before="180" w:line="220" w:lineRule="auto"/>
        <w:ind w:left="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1"/>
          <w:sz w:val="24"/>
          <w:szCs w:val="24"/>
          <w:highlight w:val="none"/>
        </w:rPr>
        <w:t>）工程项目：</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6F4220DD">
      <w:pPr>
        <w:spacing w:before="182" w:line="220" w:lineRule="auto"/>
        <w:ind w:left="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）工作内容：</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1F808111">
      <w:pPr>
        <w:spacing w:before="182" w:line="220" w:lineRule="auto"/>
        <w:ind w:left="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）分包金额限额：</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19459C15">
      <w:pPr>
        <w:spacing w:before="179" w:line="219" w:lineRule="auto"/>
        <w:ind w:left="484"/>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4.3.10  </w:t>
      </w:r>
      <w:r>
        <w:rPr>
          <w:rFonts w:ascii="宋体" w:hAnsi="宋体" w:eastAsia="宋体" w:cs="宋体"/>
          <w:color w:val="auto"/>
          <w:sz w:val="24"/>
          <w:szCs w:val="24"/>
          <w:highlight w:val="none"/>
        </w:rPr>
        <w:t>分包人项目管理机构的设立：</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4C159A7F">
      <w:pPr>
        <w:spacing w:before="183" w:line="220" w:lineRule="auto"/>
        <w:ind w:left="2"/>
        <w:outlineLvl w:val="1"/>
        <w:rPr>
          <w:rFonts w:ascii="宋体" w:hAnsi="宋体" w:eastAsia="宋体" w:cs="宋体"/>
          <w:color w:val="auto"/>
          <w:sz w:val="24"/>
          <w:szCs w:val="24"/>
          <w:highlight w:val="none"/>
        </w:rPr>
      </w:pPr>
      <w:bookmarkStart w:id="833" w:name="bookmark326"/>
      <w:bookmarkEnd w:id="833"/>
      <w:bookmarkStart w:id="834" w:name="_Toc1717"/>
      <w:bookmarkStart w:id="835" w:name="_Toc14471"/>
      <w:r>
        <w:rPr>
          <w:rFonts w:ascii="Times New Roman" w:hAnsi="Times New Roman" w:eastAsia="Times New Roman" w:cs="Times New Roman"/>
          <w:b/>
          <w:bCs/>
          <w:color w:val="auto"/>
          <w:spacing w:val="-2"/>
          <w:sz w:val="24"/>
          <w:szCs w:val="24"/>
          <w:highlight w:val="none"/>
        </w:rPr>
        <w:t xml:space="preserve">4.5  </w:t>
      </w:r>
      <w:r>
        <w:rPr>
          <w:rFonts w:ascii="宋体" w:hAnsi="宋体" w:eastAsia="宋体" w:cs="宋体"/>
          <w:b/>
          <w:bCs/>
          <w:color w:val="auto"/>
          <w:spacing w:val="-2"/>
          <w:sz w:val="24"/>
          <w:szCs w:val="24"/>
          <w:highlight w:val="none"/>
        </w:rPr>
        <w:t>项目负责人、副项目负责人（若有）</w:t>
      </w:r>
      <w:bookmarkEnd w:id="834"/>
      <w:bookmarkEnd w:id="835"/>
    </w:p>
    <w:p w14:paraId="73F1B18D">
      <w:pPr>
        <w:spacing w:before="180" w:line="219" w:lineRule="auto"/>
        <w:ind w:left="48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本款</w:t>
      </w:r>
      <w:r>
        <w:rPr>
          <w:rFonts w:ascii="Times New Roman" w:hAnsi="Times New Roman" w:eastAsia="Times New Roman" w:cs="Times New Roman"/>
          <w:color w:val="auto"/>
          <w:spacing w:val="-5"/>
          <w:sz w:val="24"/>
          <w:szCs w:val="24"/>
          <w:highlight w:val="none"/>
        </w:rPr>
        <w:t>4.5.5</w:t>
      </w:r>
      <w:r>
        <w:rPr>
          <w:rFonts w:ascii="宋体" w:hAnsi="宋体" w:eastAsia="宋体" w:cs="宋体"/>
          <w:color w:val="auto"/>
          <w:spacing w:val="-5"/>
          <w:sz w:val="24"/>
          <w:szCs w:val="24"/>
          <w:highlight w:val="none"/>
        </w:rPr>
        <w:t>项补充：</w:t>
      </w:r>
    </w:p>
    <w:p w14:paraId="0EBA06A1">
      <w:pPr>
        <w:keepNext w:val="0"/>
        <w:keepLines w:val="0"/>
        <w:pageBreakBefore w:val="0"/>
        <w:widowControl/>
        <w:kinsoku w:val="0"/>
        <w:wordWrap/>
        <w:overflowPunct/>
        <w:topLinePunct w:val="0"/>
        <w:autoSpaceDE w:val="0"/>
        <w:autoSpaceDN w:val="0"/>
        <w:bidi w:val="0"/>
        <w:adjustRightInd w:val="0"/>
        <w:snapToGrid w:val="0"/>
        <w:spacing w:before="181" w:line="400" w:lineRule="exact"/>
        <w:ind w:left="4" w:right="205" w:firstLine="480"/>
        <w:textAlignment w:val="baseline"/>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3"/>
          <w:sz w:val="24"/>
          <w:szCs w:val="24"/>
          <w:highlight w:val="none"/>
        </w:rPr>
        <w:t>项目负</w:t>
      </w:r>
      <w:r>
        <w:rPr>
          <w:rFonts w:hint="eastAsia" w:ascii="宋体" w:hAnsi="宋体" w:eastAsia="宋体" w:cs="宋体"/>
          <w:strike w:val="0"/>
          <w:dstrike w:val="0"/>
          <w:color w:val="auto"/>
          <w:spacing w:val="-3"/>
          <w:sz w:val="24"/>
          <w:szCs w:val="24"/>
          <w:highlight w:val="none"/>
        </w:rPr>
        <w:t>责人、副项目负责人（若有）实</w:t>
      </w:r>
      <w:r>
        <w:rPr>
          <w:rFonts w:hint="eastAsia" w:ascii="宋体" w:hAnsi="宋体" w:eastAsia="宋体" w:cs="宋体"/>
          <w:color w:val="auto"/>
          <w:spacing w:val="-3"/>
          <w:sz w:val="24"/>
          <w:szCs w:val="24"/>
          <w:highlight w:val="none"/>
        </w:rPr>
        <w:t>行</w:t>
      </w:r>
      <w:r>
        <w:rPr>
          <w:rFonts w:hint="eastAsia" w:ascii="宋体" w:hAnsi="宋体" w:eastAsia="宋体" w:cs="宋体"/>
          <w:color w:val="auto"/>
          <w:spacing w:val="-3"/>
          <w:sz w:val="24"/>
          <w:szCs w:val="24"/>
          <w:highlight w:val="none"/>
          <w:lang w:val="en-US" w:eastAsia="zh-CN"/>
        </w:rPr>
        <w:t>嵊州市</w:t>
      </w:r>
      <w:r>
        <w:rPr>
          <w:rFonts w:hint="eastAsia" w:ascii="宋体" w:hAnsi="宋体" w:eastAsia="宋体" w:cs="宋体"/>
          <w:color w:val="auto"/>
          <w:spacing w:val="-3"/>
          <w:sz w:val="24"/>
          <w:szCs w:val="24"/>
          <w:highlight w:val="none"/>
        </w:rPr>
        <w:t>公建项目全生命周期监管系统考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，考勤采用浙里办定位打卡方式，考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时间时</w:t>
      </w:r>
      <w:r>
        <w:rPr>
          <w:rFonts w:hint="eastAsia" w:ascii="宋体" w:hAnsi="宋体" w:eastAsia="宋体" w:cs="宋体"/>
          <w:color w:val="auto"/>
          <w:spacing w:val="-3"/>
          <w:sz w:val="24"/>
          <w:szCs w:val="24"/>
          <w:highlight w:val="none"/>
          <w:lang w:val="en-US" w:eastAsia="zh-CN"/>
        </w:rPr>
        <w:t>6</w:t>
      </w:r>
      <w:r>
        <w:rPr>
          <w:rFonts w:hint="eastAsia" w:ascii="宋体" w:hAnsi="宋体" w:eastAsia="宋体" w:cs="宋体"/>
          <w:color w:val="auto"/>
          <w:spacing w:val="-3"/>
          <w:sz w:val="24"/>
          <w:szCs w:val="24"/>
          <w:highlight w:val="none"/>
        </w:rPr>
        <w:t>至</w:t>
      </w:r>
      <w:r>
        <w:rPr>
          <w:rFonts w:hint="eastAsia" w:ascii="宋体" w:hAnsi="宋体" w:eastAsia="宋体" w:cs="宋体"/>
          <w:color w:val="auto"/>
          <w:spacing w:val="-3"/>
          <w:sz w:val="24"/>
          <w:szCs w:val="24"/>
          <w:highlight w:val="none"/>
          <w:lang w:val="en-US" w:eastAsia="zh-CN"/>
        </w:rPr>
        <w:t>18</w:t>
      </w:r>
      <w:r>
        <w:rPr>
          <w:rFonts w:hint="eastAsia" w:ascii="宋体" w:hAnsi="宋体" w:eastAsia="宋体" w:cs="宋体"/>
          <w:color w:val="auto"/>
          <w:spacing w:val="-3"/>
          <w:sz w:val="24"/>
          <w:szCs w:val="24"/>
          <w:highlight w:val="none"/>
        </w:rPr>
        <w:t>时，以每日两次、时间间隔不少于4小时为</w:t>
      </w:r>
      <w:r>
        <w:rPr>
          <w:rFonts w:hint="eastAsia" w:ascii="宋体" w:hAnsi="宋体" w:eastAsia="宋体" w:cs="宋体"/>
          <w:color w:val="auto"/>
          <w:spacing w:val="0"/>
          <w:sz w:val="24"/>
          <w:szCs w:val="24"/>
          <w:highlight w:val="none"/>
        </w:rPr>
        <w:t>有效</w:t>
      </w:r>
      <w:r>
        <w:rPr>
          <w:rFonts w:hint="eastAsia" w:ascii="宋体" w:hAnsi="宋体" w:eastAsia="宋体" w:cs="宋体"/>
          <w:color w:val="auto"/>
          <w:spacing w:val="0"/>
          <w:sz w:val="24"/>
          <w:szCs w:val="24"/>
          <w:highlight w:val="none"/>
          <w:lang w:eastAsia="zh-CN"/>
        </w:rPr>
        <w:t>。</w:t>
      </w:r>
    </w:p>
    <w:p w14:paraId="389441E0">
      <w:pPr>
        <w:keepNext w:val="0"/>
        <w:keepLines w:val="0"/>
        <w:pageBreakBefore w:val="0"/>
        <w:widowControl/>
        <w:kinsoku w:val="0"/>
        <w:wordWrap/>
        <w:overflowPunct/>
        <w:topLinePunct w:val="0"/>
        <w:autoSpaceDE w:val="0"/>
        <w:autoSpaceDN w:val="0"/>
        <w:bidi w:val="0"/>
        <w:adjustRightInd w:val="0"/>
        <w:snapToGrid w:val="0"/>
        <w:spacing w:before="48" w:line="308" w:lineRule="auto"/>
        <w:ind w:left="11" w:firstLine="468" w:firstLineChars="200"/>
        <w:textAlignment w:val="baseline"/>
        <w:rPr>
          <w:rFonts w:ascii="宋体" w:hAnsi="宋体" w:eastAsia="宋体" w:cs="宋体"/>
          <w:color w:val="auto"/>
          <w:spacing w:val="-12"/>
          <w:sz w:val="24"/>
          <w:szCs w:val="24"/>
          <w:highlight w:val="none"/>
        </w:rPr>
      </w:pPr>
      <w:r>
        <w:rPr>
          <w:rFonts w:ascii="宋体" w:hAnsi="宋体" w:eastAsia="宋体" w:cs="宋体"/>
          <w:color w:val="auto"/>
          <w:spacing w:val="-3"/>
          <w:sz w:val="24"/>
          <w:szCs w:val="24"/>
          <w:highlight w:val="none"/>
        </w:rPr>
        <w:t>项目负责人、副项目负责人（若有）每月驻工地的天数不少于</w:t>
      </w:r>
      <w:r>
        <w:rPr>
          <w:rFonts w:ascii="Times New Roman" w:hAnsi="Times New Roman" w:eastAsia="Times New Roman" w:cs="Times New Roman"/>
          <w:color w:val="auto"/>
          <w:spacing w:val="-3"/>
          <w:sz w:val="24"/>
          <w:szCs w:val="24"/>
          <w:highlight w:val="none"/>
        </w:rPr>
        <w:t>22</w:t>
      </w:r>
      <w:r>
        <w:rPr>
          <w:rFonts w:ascii="宋体" w:hAnsi="宋体" w:eastAsia="宋体" w:cs="宋体"/>
          <w:color w:val="auto"/>
          <w:spacing w:val="-3"/>
          <w:sz w:val="24"/>
          <w:szCs w:val="24"/>
          <w:highlight w:val="none"/>
        </w:rPr>
        <w:t>天（遇法定节假</w:t>
      </w:r>
      <w:r>
        <w:rPr>
          <w:rFonts w:ascii="宋体" w:hAnsi="宋体" w:eastAsia="宋体" w:cs="宋体"/>
          <w:color w:val="auto"/>
          <w:spacing w:val="-1"/>
          <w:sz w:val="24"/>
          <w:szCs w:val="24"/>
          <w:highlight w:val="none"/>
        </w:rPr>
        <w:t>日可扣减</w:t>
      </w:r>
      <w:r>
        <w:rPr>
          <w:rFonts w:ascii="宋体" w:hAnsi="宋体" w:eastAsia="宋体" w:cs="宋体"/>
          <w:color w:val="auto"/>
          <w:spacing w:val="6"/>
          <w:sz w:val="24"/>
          <w:szCs w:val="24"/>
          <w:highlight w:val="none"/>
        </w:rPr>
        <w:t>），</w:t>
      </w:r>
      <w:r>
        <w:rPr>
          <w:rFonts w:ascii="宋体" w:hAnsi="宋体" w:eastAsia="宋体" w:cs="宋体"/>
          <w:color w:val="auto"/>
          <w:spacing w:val="-1"/>
          <w:sz w:val="24"/>
          <w:szCs w:val="24"/>
          <w:highlight w:val="none"/>
        </w:rPr>
        <w:t>每少一天支付违约金</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3000</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
          <w:sz w:val="24"/>
          <w:szCs w:val="24"/>
          <w:highlight w:val="none"/>
        </w:rPr>
        <w:t>元，但扣款最终</w:t>
      </w:r>
      <w:r>
        <w:rPr>
          <w:rFonts w:ascii="宋体" w:hAnsi="宋体" w:eastAsia="宋体" w:cs="宋体"/>
          <w:color w:val="auto"/>
          <w:spacing w:val="-2"/>
          <w:sz w:val="24"/>
          <w:szCs w:val="24"/>
          <w:highlight w:val="none"/>
        </w:rPr>
        <w:t>的累计总金额不应超过</w:t>
      </w:r>
      <w:r>
        <w:rPr>
          <w:rFonts w:hint="eastAsia" w:ascii="宋体" w:hAnsi="宋体" w:eastAsia="宋体" w:cs="宋体"/>
          <w:color w:val="auto"/>
          <w:spacing w:val="-2"/>
          <w:sz w:val="24"/>
          <w:szCs w:val="24"/>
          <w:highlight w:val="none"/>
          <w:u w:val="single"/>
          <w:lang w:val="en-US" w:eastAsia="zh-CN"/>
        </w:rPr>
        <w:t xml:space="preserve"> 10 </w:t>
      </w:r>
      <w:r>
        <w:rPr>
          <w:rFonts w:ascii="宋体" w:hAnsi="宋体" w:eastAsia="宋体" w:cs="宋体"/>
          <w:color w:val="auto"/>
          <w:spacing w:val="-12"/>
          <w:sz w:val="24"/>
          <w:szCs w:val="24"/>
          <w:highlight w:val="none"/>
        </w:rPr>
        <w:t>万元。</w:t>
      </w:r>
    </w:p>
    <w:p w14:paraId="50BDE866">
      <w:pPr>
        <w:keepNext w:val="0"/>
        <w:keepLines w:val="0"/>
        <w:pageBreakBefore w:val="0"/>
        <w:widowControl/>
        <w:kinsoku w:val="0"/>
        <w:wordWrap/>
        <w:overflowPunct/>
        <w:topLinePunct w:val="0"/>
        <w:autoSpaceDE w:val="0"/>
        <w:autoSpaceDN w:val="0"/>
        <w:bidi w:val="0"/>
        <w:adjustRightInd w:val="0"/>
        <w:snapToGrid w:val="0"/>
        <w:spacing w:before="48" w:line="308" w:lineRule="auto"/>
        <w:ind w:left="11" w:firstLine="468" w:firstLineChars="200"/>
        <w:textAlignment w:val="baseline"/>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上述违约金</w:t>
      </w:r>
      <w:r>
        <w:rPr>
          <w:rFonts w:hint="eastAsia" w:ascii="宋体" w:hAnsi="宋体" w:eastAsia="宋体" w:cs="宋体"/>
          <w:color w:val="auto"/>
          <w:spacing w:val="-3"/>
          <w:sz w:val="24"/>
          <w:szCs w:val="24"/>
          <w:highlight w:val="none"/>
          <w:lang w:val="en-US" w:eastAsia="zh-CN"/>
        </w:rPr>
        <w:t>单独汇入发包人指定账户</w:t>
      </w:r>
      <w:r>
        <w:rPr>
          <w:rFonts w:ascii="宋体" w:hAnsi="宋体" w:eastAsia="宋体" w:cs="宋体"/>
          <w:color w:val="auto"/>
          <w:spacing w:val="-3"/>
          <w:sz w:val="24"/>
          <w:szCs w:val="24"/>
          <w:highlight w:val="none"/>
        </w:rPr>
        <w:t>，在工地工作天数按监理人实际考勤记</w:t>
      </w:r>
      <w:r>
        <w:rPr>
          <w:rFonts w:ascii="宋体" w:hAnsi="宋体" w:eastAsia="宋体" w:cs="宋体"/>
          <w:color w:val="auto"/>
          <w:spacing w:val="-9"/>
          <w:sz w:val="24"/>
          <w:szCs w:val="24"/>
          <w:highlight w:val="none"/>
        </w:rPr>
        <w:t>录为准。</w:t>
      </w:r>
    </w:p>
    <w:p w14:paraId="37CF4057">
      <w:pPr>
        <w:spacing w:line="359" w:lineRule="auto"/>
        <w:ind w:left="5" w:right="205" w:firstLine="47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承包人的项目负责人连续</w:t>
      </w:r>
      <w:r>
        <w:rPr>
          <w:rFonts w:ascii="宋体" w:hAnsi="宋体" w:eastAsia="宋体" w:cs="宋体"/>
          <w:color w:val="auto"/>
          <w:spacing w:val="-3"/>
          <w:sz w:val="24"/>
          <w:szCs w:val="24"/>
          <w:highlight w:val="none"/>
          <w:u w:val="single" w:color="auto"/>
        </w:rPr>
        <w:t xml:space="preserve">  </w:t>
      </w:r>
      <w:r>
        <w:rPr>
          <w:rFonts w:hint="eastAsia" w:ascii="宋体" w:hAnsi="宋体" w:eastAsia="宋体" w:cs="宋体"/>
          <w:color w:val="auto"/>
          <w:spacing w:val="-3"/>
          <w:sz w:val="24"/>
          <w:szCs w:val="24"/>
          <w:highlight w:val="none"/>
          <w:u w:val="single" w:color="auto"/>
          <w:lang w:val="en-US" w:eastAsia="zh-CN"/>
        </w:rPr>
        <w:t>2</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3"/>
          <w:sz w:val="24"/>
          <w:szCs w:val="24"/>
          <w:highlight w:val="none"/>
        </w:rPr>
        <w:t>个月及以上每月驻工地的天数少于</w:t>
      </w:r>
      <w:r>
        <w:rPr>
          <w:rFonts w:ascii="宋体" w:hAnsi="宋体" w:eastAsia="宋体" w:cs="宋体"/>
          <w:color w:val="auto"/>
          <w:spacing w:val="-3"/>
          <w:sz w:val="24"/>
          <w:szCs w:val="24"/>
          <w:highlight w:val="none"/>
          <w:u w:val="single" w:color="auto"/>
        </w:rPr>
        <w:t xml:space="preserve">  </w:t>
      </w:r>
      <w:r>
        <w:rPr>
          <w:rFonts w:hint="eastAsia" w:ascii="宋体" w:hAnsi="宋体" w:eastAsia="宋体" w:cs="宋体"/>
          <w:color w:val="auto"/>
          <w:spacing w:val="-3"/>
          <w:sz w:val="24"/>
          <w:szCs w:val="24"/>
          <w:highlight w:val="none"/>
          <w:u w:val="single" w:color="auto"/>
          <w:lang w:val="en-US" w:eastAsia="zh-CN"/>
        </w:rPr>
        <w:t>22</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4"/>
          <w:sz w:val="24"/>
          <w:szCs w:val="24"/>
          <w:highlight w:val="none"/>
        </w:rPr>
        <w:t>天，发包</w:t>
      </w:r>
      <w:r>
        <w:rPr>
          <w:rFonts w:ascii="宋体" w:hAnsi="宋体" w:eastAsia="宋体" w:cs="宋体"/>
          <w:color w:val="auto"/>
          <w:spacing w:val="-6"/>
          <w:sz w:val="24"/>
          <w:szCs w:val="24"/>
          <w:highlight w:val="none"/>
        </w:rPr>
        <w:t>人有权解除合同。</w:t>
      </w:r>
    </w:p>
    <w:p w14:paraId="14C678E3">
      <w:pPr>
        <w:spacing w:line="219" w:lineRule="auto"/>
        <w:outlineLvl w:val="1"/>
        <w:rPr>
          <w:rFonts w:ascii="宋体" w:hAnsi="宋体" w:eastAsia="宋体" w:cs="宋体"/>
          <w:color w:val="auto"/>
          <w:sz w:val="24"/>
          <w:szCs w:val="24"/>
          <w:highlight w:val="none"/>
        </w:rPr>
      </w:pPr>
      <w:bookmarkStart w:id="836" w:name="bookmark327"/>
      <w:bookmarkEnd w:id="836"/>
      <w:bookmarkStart w:id="837" w:name="_Toc9803"/>
      <w:bookmarkStart w:id="838" w:name="_Toc1138"/>
      <w:r>
        <w:rPr>
          <w:rFonts w:ascii="Times New Roman" w:hAnsi="Times New Roman" w:eastAsia="Times New Roman" w:cs="Times New Roman"/>
          <w:b/>
          <w:bCs/>
          <w:color w:val="auto"/>
          <w:spacing w:val="-2"/>
          <w:sz w:val="24"/>
          <w:szCs w:val="24"/>
          <w:highlight w:val="none"/>
        </w:rPr>
        <w:t xml:space="preserve">4.6  </w:t>
      </w:r>
      <w:r>
        <w:rPr>
          <w:rFonts w:ascii="宋体" w:hAnsi="宋体" w:eastAsia="宋体" w:cs="宋体"/>
          <w:b/>
          <w:bCs/>
          <w:color w:val="auto"/>
          <w:spacing w:val="-2"/>
          <w:sz w:val="24"/>
          <w:szCs w:val="24"/>
          <w:highlight w:val="none"/>
        </w:rPr>
        <w:t>承包人人员的管理</w:t>
      </w:r>
      <w:bookmarkEnd w:id="837"/>
      <w:bookmarkEnd w:id="838"/>
    </w:p>
    <w:p w14:paraId="1717504B">
      <w:pPr>
        <w:spacing w:before="180" w:line="219" w:lineRule="auto"/>
        <w:ind w:left="48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本款</w:t>
      </w:r>
      <w:r>
        <w:rPr>
          <w:rFonts w:ascii="Times New Roman" w:hAnsi="Times New Roman" w:eastAsia="Times New Roman" w:cs="Times New Roman"/>
          <w:color w:val="auto"/>
          <w:spacing w:val="-5"/>
          <w:sz w:val="24"/>
          <w:szCs w:val="24"/>
          <w:highlight w:val="none"/>
        </w:rPr>
        <w:t>4.6.3</w:t>
      </w:r>
      <w:r>
        <w:rPr>
          <w:rFonts w:ascii="宋体" w:hAnsi="宋体" w:eastAsia="宋体" w:cs="宋体"/>
          <w:color w:val="auto"/>
          <w:spacing w:val="-5"/>
          <w:sz w:val="24"/>
          <w:szCs w:val="24"/>
          <w:highlight w:val="none"/>
        </w:rPr>
        <w:t>项补充：</w:t>
      </w:r>
    </w:p>
    <w:p w14:paraId="73E06BA9">
      <w:pPr>
        <w:spacing w:before="183" w:line="359" w:lineRule="auto"/>
        <w:ind w:left="7" w:right="228" w:firstLine="480"/>
        <w:rPr>
          <w:rFonts w:hint="eastAsia" w:ascii="宋体" w:hAnsi="宋体" w:eastAsia="宋体" w:cs="宋体"/>
          <w:color w:val="auto"/>
          <w:spacing w:val="0"/>
          <w:sz w:val="24"/>
          <w:szCs w:val="24"/>
          <w:highlight w:val="none"/>
          <w:lang w:eastAsia="zh-CN"/>
        </w:rPr>
      </w:pPr>
      <w:bookmarkStart w:id="839" w:name="bookmark328"/>
      <w:bookmarkEnd w:id="839"/>
      <w:bookmarkStart w:id="840" w:name="_Toc3981"/>
      <w:bookmarkStart w:id="841" w:name="_Toc24048"/>
      <w:r>
        <w:rPr>
          <w:rFonts w:ascii="宋体" w:hAnsi="宋体" w:eastAsia="宋体" w:cs="宋体"/>
          <w:spacing w:val="-3"/>
          <w:sz w:val="24"/>
          <w:szCs w:val="24"/>
          <w:highlight w:val="none"/>
        </w:rPr>
        <w:t>项目技术负责人</w:t>
      </w:r>
      <w:r>
        <w:rPr>
          <w:rFonts w:hint="eastAsia" w:ascii="宋体" w:hAnsi="宋体" w:eastAsia="宋体" w:cs="宋体"/>
          <w:spacing w:val="-3"/>
          <w:sz w:val="24"/>
          <w:szCs w:val="24"/>
          <w:highlight w:val="none"/>
          <w:lang w:eastAsia="zh-CN"/>
        </w:rPr>
        <w:t>、</w:t>
      </w:r>
      <w:r>
        <w:rPr>
          <w:rFonts w:ascii="宋体" w:hAnsi="宋体" w:eastAsia="宋体" w:cs="宋体"/>
          <w:spacing w:val="-4"/>
          <w:sz w:val="24"/>
          <w:szCs w:val="24"/>
          <w:highlight w:val="none"/>
        </w:rPr>
        <w:t>专职安全生产管理人员</w:t>
      </w:r>
      <w:r>
        <w:rPr>
          <w:rFonts w:hint="eastAsia" w:ascii="宋体" w:hAnsi="宋体" w:eastAsia="宋体" w:cs="宋体"/>
          <w:spacing w:val="-4"/>
          <w:sz w:val="24"/>
          <w:szCs w:val="24"/>
          <w:highlight w:val="none"/>
          <w:lang w:eastAsia="zh-CN"/>
        </w:rPr>
        <w:t>、</w:t>
      </w:r>
      <w:r>
        <w:rPr>
          <w:rFonts w:hint="eastAsia" w:ascii="宋体" w:hAnsi="宋体" w:eastAsia="宋体" w:cs="宋体"/>
          <w:color w:val="auto"/>
          <w:kern w:val="0"/>
          <w:sz w:val="24"/>
          <w:szCs w:val="24"/>
          <w:highlight w:val="none"/>
          <w:lang w:val="en-US" w:eastAsia="zh-CN"/>
        </w:rPr>
        <w:t>质量</w:t>
      </w:r>
      <w:r>
        <w:rPr>
          <w:rFonts w:hint="eastAsia" w:ascii="宋体" w:hAnsi="宋体" w:eastAsia="宋体" w:cs="宋体"/>
          <w:color w:val="auto"/>
          <w:kern w:val="0"/>
          <w:sz w:val="24"/>
          <w:szCs w:val="24"/>
          <w:highlight w:val="none"/>
          <w:lang w:val="zh-CN"/>
        </w:rPr>
        <w:t>员、施工员</w:t>
      </w:r>
      <w:r>
        <w:rPr>
          <w:rFonts w:hint="eastAsia" w:ascii="宋体" w:hAnsi="宋体" w:eastAsia="宋体" w:cs="宋体"/>
          <w:color w:val="auto"/>
          <w:spacing w:val="-3"/>
          <w:sz w:val="24"/>
          <w:szCs w:val="24"/>
          <w:highlight w:val="none"/>
        </w:rPr>
        <w:t>实行</w:t>
      </w:r>
      <w:r>
        <w:rPr>
          <w:rFonts w:hint="eastAsia" w:ascii="宋体" w:hAnsi="宋体" w:eastAsia="宋体" w:cs="宋体"/>
          <w:color w:val="auto"/>
          <w:spacing w:val="-3"/>
          <w:sz w:val="24"/>
          <w:szCs w:val="24"/>
          <w:highlight w:val="none"/>
          <w:lang w:val="en-US" w:eastAsia="zh-CN"/>
        </w:rPr>
        <w:t>嵊州市</w:t>
      </w:r>
      <w:r>
        <w:rPr>
          <w:rFonts w:hint="eastAsia" w:ascii="宋体" w:hAnsi="宋体" w:eastAsia="宋体" w:cs="宋体"/>
          <w:color w:val="auto"/>
          <w:spacing w:val="-3"/>
          <w:sz w:val="24"/>
          <w:szCs w:val="24"/>
          <w:highlight w:val="none"/>
        </w:rPr>
        <w:t>公建项目全生命周期监管系统考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，考勤采用浙里办定位打卡方式，考</w:t>
      </w:r>
      <w:r>
        <w:rPr>
          <w:rFonts w:hint="eastAsia" w:ascii="宋体" w:hAnsi="宋体" w:eastAsia="宋体" w:cs="宋体"/>
          <w:color w:val="auto"/>
          <w:spacing w:val="-3"/>
          <w:sz w:val="24"/>
          <w:szCs w:val="24"/>
          <w:highlight w:val="none"/>
          <w:lang w:val="en-US" w:eastAsia="zh-CN"/>
        </w:rPr>
        <w:t>勤</w:t>
      </w:r>
      <w:r>
        <w:rPr>
          <w:rFonts w:hint="eastAsia" w:ascii="宋体" w:hAnsi="宋体" w:eastAsia="宋体" w:cs="宋体"/>
          <w:color w:val="auto"/>
          <w:spacing w:val="-3"/>
          <w:sz w:val="24"/>
          <w:szCs w:val="24"/>
          <w:highlight w:val="none"/>
        </w:rPr>
        <w:t>时间时</w:t>
      </w:r>
      <w:r>
        <w:rPr>
          <w:rFonts w:hint="eastAsia" w:ascii="宋体" w:hAnsi="宋体" w:eastAsia="宋体" w:cs="宋体"/>
          <w:color w:val="auto"/>
          <w:spacing w:val="-3"/>
          <w:sz w:val="24"/>
          <w:szCs w:val="24"/>
          <w:highlight w:val="none"/>
          <w:lang w:val="en-US" w:eastAsia="zh-CN"/>
        </w:rPr>
        <w:t>6</w:t>
      </w:r>
      <w:r>
        <w:rPr>
          <w:rFonts w:hint="eastAsia" w:ascii="宋体" w:hAnsi="宋体" w:eastAsia="宋体" w:cs="宋体"/>
          <w:color w:val="auto"/>
          <w:spacing w:val="-3"/>
          <w:sz w:val="24"/>
          <w:szCs w:val="24"/>
          <w:highlight w:val="none"/>
        </w:rPr>
        <w:t>至</w:t>
      </w:r>
      <w:r>
        <w:rPr>
          <w:rFonts w:hint="eastAsia" w:ascii="宋体" w:hAnsi="宋体" w:eastAsia="宋体" w:cs="宋体"/>
          <w:color w:val="auto"/>
          <w:spacing w:val="-3"/>
          <w:sz w:val="24"/>
          <w:szCs w:val="24"/>
          <w:highlight w:val="none"/>
          <w:lang w:val="en-US" w:eastAsia="zh-CN"/>
        </w:rPr>
        <w:t>18</w:t>
      </w:r>
      <w:r>
        <w:rPr>
          <w:rFonts w:hint="eastAsia" w:ascii="宋体" w:hAnsi="宋体" w:eastAsia="宋体" w:cs="宋体"/>
          <w:color w:val="auto"/>
          <w:spacing w:val="-3"/>
          <w:sz w:val="24"/>
          <w:szCs w:val="24"/>
          <w:highlight w:val="none"/>
        </w:rPr>
        <w:t>时，以每日两次、时间间隔不少于4小时为</w:t>
      </w:r>
      <w:r>
        <w:rPr>
          <w:rFonts w:hint="eastAsia" w:ascii="宋体" w:hAnsi="宋体" w:eastAsia="宋体" w:cs="宋体"/>
          <w:color w:val="auto"/>
          <w:spacing w:val="0"/>
          <w:sz w:val="24"/>
          <w:szCs w:val="24"/>
          <w:highlight w:val="none"/>
        </w:rPr>
        <w:t>有效</w:t>
      </w:r>
      <w:r>
        <w:rPr>
          <w:rFonts w:hint="eastAsia" w:ascii="宋体" w:hAnsi="宋体" w:eastAsia="宋体" w:cs="宋体"/>
          <w:color w:val="auto"/>
          <w:spacing w:val="0"/>
          <w:sz w:val="24"/>
          <w:szCs w:val="24"/>
          <w:highlight w:val="none"/>
          <w:lang w:eastAsia="zh-CN"/>
        </w:rPr>
        <w:t>。</w:t>
      </w:r>
    </w:p>
    <w:p w14:paraId="76E0555A">
      <w:pPr>
        <w:spacing w:before="183" w:line="359" w:lineRule="auto"/>
        <w:ind w:left="7" w:right="228" w:firstLine="480"/>
        <w:rPr>
          <w:rFonts w:ascii="宋体" w:hAnsi="宋体" w:eastAsia="宋体" w:cs="宋体"/>
          <w:sz w:val="24"/>
          <w:szCs w:val="24"/>
        </w:rPr>
      </w:pPr>
      <w:r>
        <w:rPr>
          <w:rFonts w:ascii="宋体" w:hAnsi="宋体" w:eastAsia="宋体" w:cs="宋体"/>
          <w:spacing w:val="-3"/>
          <w:sz w:val="24"/>
          <w:szCs w:val="24"/>
          <w:highlight w:val="none"/>
        </w:rPr>
        <w:t>项目技术负责人每月驻工地时间不得少于</w:t>
      </w:r>
      <w:r>
        <w:rPr>
          <w:rFonts w:hint="eastAsia" w:ascii="宋体" w:hAnsi="宋体" w:eastAsia="宋体" w:cs="宋体"/>
          <w:spacing w:val="-3"/>
          <w:sz w:val="24"/>
          <w:szCs w:val="24"/>
          <w:highlight w:val="none"/>
          <w:u w:val="single" w:color="auto"/>
          <w:lang w:val="en-US" w:eastAsia="zh-CN"/>
        </w:rPr>
        <w:t xml:space="preserve"> 22</w:t>
      </w:r>
      <w:r>
        <w:rPr>
          <w:rFonts w:hint="eastAsia" w:ascii="宋体" w:hAnsi="宋体" w:eastAsia="宋体" w:cs="宋体"/>
          <w:spacing w:val="-3"/>
          <w:sz w:val="24"/>
          <w:szCs w:val="24"/>
          <w:u w:val="single" w:color="auto"/>
          <w:lang w:val="en-US" w:eastAsia="zh-CN"/>
        </w:rPr>
        <w:t xml:space="preserve"> </w:t>
      </w:r>
      <w:r>
        <w:rPr>
          <w:rFonts w:ascii="宋体" w:hAnsi="宋体" w:eastAsia="宋体" w:cs="宋体"/>
          <w:spacing w:val="-3"/>
          <w:sz w:val="24"/>
          <w:szCs w:val="24"/>
        </w:rPr>
        <w:t>天（遇法定节假日可扣减</w:t>
      </w:r>
      <w:r>
        <w:rPr>
          <w:rFonts w:ascii="宋体" w:hAnsi="宋体" w:eastAsia="宋体" w:cs="宋体"/>
          <w:spacing w:val="-19"/>
          <w:sz w:val="24"/>
          <w:szCs w:val="24"/>
        </w:rPr>
        <w:t>），</w:t>
      </w:r>
      <w:r>
        <w:rPr>
          <w:rFonts w:ascii="宋体" w:hAnsi="宋体" w:eastAsia="宋体" w:cs="宋体"/>
          <w:spacing w:val="-3"/>
          <w:sz w:val="24"/>
          <w:szCs w:val="24"/>
        </w:rPr>
        <w:t>每少</w:t>
      </w:r>
      <w:r>
        <w:rPr>
          <w:rFonts w:ascii="宋体" w:hAnsi="宋体" w:eastAsia="宋体" w:cs="宋体"/>
          <w:spacing w:val="-2"/>
          <w:sz w:val="24"/>
          <w:szCs w:val="24"/>
        </w:rPr>
        <w:t>一天支付违约金</w:t>
      </w:r>
      <w:r>
        <w:rPr>
          <w:rFonts w:hint="eastAsia" w:ascii="宋体" w:hAnsi="宋体" w:eastAsia="宋体" w:cs="宋体"/>
          <w:spacing w:val="-2"/>
          <w:sz w:val="24"/>
          <w:szCs w:val="24"/>
          <w:u w:val="single" w:color="auto"/>
          <w:lang w:val="en-US" w:eastAsia="zh-CN"/>
        </w:rPr>
        <w:t xml:space="preserve"> 1000 </w:t>
      </w:r>
      <w:r>
        <w:rPr>
          <w:rFonts w:ascii="宋体" w:hAnsi="宋体" w:eastAsia="宋体" w:cs="宋体"/>
          <w:spacing w:val="-98"/>
          <w:sz w:val="24"/>
          <w:szCs w:val="24"/>
          <w:u w:val="single" w:color="auto"/>
        </w:rPr>
        <w:t xml:space="preserve"> </w:t>
      </w:r>
      <w:r>
        <w:rPr>
          <w:rFonts w:hint="eastAsia" w:ascii="宋体" w:hAnsi="宋体" w:eastAsia="宋体" w:cs="宋体"/>
          <w:spacing w:val="-98"/>
          <w:sz w:val="24"/>
          <w:szCs w:val="24"/>
          <w:lang w:val="en-US" w:eastAsia="zh-CN"/>
        </w:rPr>
        <w:t xml:space="preserve">  </w:t>
      </w:r>
      <w:r>
        <w:rPr>
          <w:rFonts w:ascii="宋体" w:hAnsi="宋体" w:eastAsia="宋体" w:cs="宋体"/>
          <w:spacing w:val="-2"/>
          <w:sz w:val="24"/>
          <w:szCs w:val="24"/>
        </w:rPr>
        <w:t>元，但扣款最终的累计总金额不应超过</w:t>
      </w:r>
      <w:r>
        <w:rPr>
          <w:rFonts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5 </w:t>
      </w:r>
      <w:r>
        <w:rPr>
          <w:rFonts w:ascii="宋体" w:hAnsi="宋体" w:eastAsia="宋体" w:cs="宋体"/>
          <w:spacing w:val="-2"/>
          <w:sz w:val="24"/>
          <w:szCs w:val="24"/>
        </w:rPr>
        <w:t>万元。</w:t>
      </w:r>
    </w:p>
    <w:p w14:paraId="0E309ED8">
      <w:pPr>
        <w:spacing w:before="1" w:line="359" w:lineRule="auto"/>
        <w:ind w:left="3" w:right="138" w:firstLine="480"/>
        <w:rPr>
          <w:rFonts w:ascii="宋体" w:hAnsi="宋体" w:eastAsia="宋体" w:cs="宋体"/>
          <w:color w:val="auto"/>
          <w:spacing w:val="-2"/>
          <w:sz w:val="24"/>
          <w:szCs w:val="24"/>
          <w:highlight w:val="none"/>
        </w:rPr>
      </w:pPr>
      <w:r>
        <w:rPr>
          <w:rFonts w:ascii="宋体" w:hAnsi="宋体" w:eastAsia="宋体" w:cs="宋体"/>
          <w:spacing w:val="-4"/>
          <w:sz w:val="24"/>
          <w:szCs w:val="24"/>
        </w:rPr>
        <w:t>专职安</w:t>
      </w:r>
      <w:r>
        <w:rPr>
          <w:rFonts w:ascii="宋体" w:hAnsi="宋体" w:eastAsia="宋体" w:cs="宋体"/>
          <w:spacing w:val="-4"/>
          <w:sz w:val="24"/>
          <w:szCs w:val="24"/>
          <w:highlight w:val="none"/>
        </w:rPr>
        <w:t>全生产管理人员每月驻工地时间不得少于</w:t>
      </w:r>
      <w:r>
        <w:rPr>
          <w:rFonts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u w:val="single" w:color="auto"/>
          <w:lang w:val="en-US" w:eastAsia="zh-CN"/>
        </w:rPr>
        <w:t xml:space="preserve">22 </w:t>
      </w:r>
      <w:r>
        <w:rPr>
          <w:rFonts w:ascii="宋体" w:hAnsi="宋体" w:eastAsia="宋体" w:cs="宋体"/>
          <w:spacing w:val="-106"/>
          <w:sz w:val="24"/>
          <w:szCs w:val="24"/>
          <w:highlight w:val="none"/>
        </w:rPr>
        <w:t xml:space="preserve"> </w:t>
      </w:r>
      <w:r>
        <w:rPr>
          <w:rFonts w:ascii="宋体" w:hAnsi="宋体" w:eastAsia="宋体" w:cs="宋体"/>
          <w:spacing w:val="-4"/>
          <w:sz w:val="24"/>
          <w:szCs w:val="24"/>
          <w:highlight w:val="none"/>
        </w:rPr>
        <w:t>天（遇法定节假日可扣减</w:t>
      </w:r>
      <w:r>
        <w:rPr>
          <w:rFonts w:ascii="宋体" w:hAnsi="宋体" w:eastAsia="宋体" w:cs="宋体"/>
          <w:spacing w:val="-59"/>
          <w:w w:val="94"/>
          <w:sz w:val="24"/>
          <w:szCs w:val="24"/>
          <w:highlight w:val="none"/>
        </w:rPr>
        <w:t>），</w:t>
      </w:r>
      <w:r>
        <w:rPr>
          <w:rFonts w:ascii="宋体" w:hAnsi="宋体" w:eastAsia="宋体" w:cs="宋体"/>
          <w:spacing w:val="-1"/>
          <w:sz w:val="24"/>
          <w:szCs w:val="24"/>
          <w:highlight w:val="none"/>
        </w:rPr>
        <w:t>每人每少</w:t>
      </w:r>
      <w:r>
        <w:rPr>
          <w:rFonts w:ascii="宋体" w:hAnsi="宋体" w:eastAsia="宋体" w:cs="宋体"/>
          <w:color w:val="auto"/>
          <w:spacing w:val="-1"/>
          <w:sz w:val="24"/>
          <w:szCs w:val="24"/>
          <w:highlight w:val="none"/>
        </w:rPr>
        <w:t>一天支付违约金</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 xml:space="preserve">500 </w:t>
      </w:r>
      <w:r>
        <w:rPr>
          <w:rFonts w:ascii="宋体" w:hAnsi="宋体" w:eastAsia="宋体" w:cs="宋体"/>
          <w:color w:val="auto"/>
          <w:spacing w:val="-1"/>
          <w:sz w:val="24"/>
          <w:szCs w:val="24"/>
          <w:highlight w:val="none"/>
        </w:rPr>
        <w:t>元，但扣款最终的</w:t>
      </w:r>
      <w:r>
        <w:rPr>
          <w:rFonts w:ascii="宋体" w:hAnsi="宋体" w:eastAsia="宋体" w:cs="宋体"/>
          <w:color w:val="auto"/>
          <w:spacing w:val="-2"/>
          <w:sz w:val="24"/>
          <w:szCs w:val="24"/>
          <w:highlight w:val="none"/>
        </w:rPr>
        <w:t>累计总金额不应超过</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 xml:space="preserve">3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2"/>
          <w:sz w:val="24"/>
          <w:szCs w:val="24"/>
          <w:highlight w:val="none"/>
        </w:rPr>
        <w:t>万元。</w:t>
      </w:r>
    </w:p>
    <w:p w14:paraId="6EC01414">
      <w:pPr>
        <w:spacing w:line="360" w:lineRule="auto"/>
        <w:ind w:firstLine="480" w:firstLineChars="200"/>
        <w:jc w:val="left"/>
        <w:rPr>
          <w:rFonts w:ascii="宋体" w:hAnsi="宋体" w:eastAsia="宋体" w:cs="宋体"/>
          <w:color w:val="auto"/>
          <w:spacing w:val="-2"/>
          <w:sz w:val="24"/>
          <w:szCs w:val="24"/>
          <w:highlight w:val="none"/>
        </w:rPr>
      </w:pPr>
      <w:r>
        <w:rPr>
          <w:rFonts w:hint="eastAsia" w:ascii="宋体" w:hAnsi="宋体" w:eastAsia="宋体" w:cs="宋体"/>
          <w:color w:val="auto"/>
          <w:kern w:val="0"/>
          <w:sz w:val="24"/>
          <w:szCs w:val="24"/>
          <w:highlight w:val="none"/>
          <w:lang w:val="en-US" w:eastAsia="zh-CN"/>
        </w:rPr>
        <w:t>承包人的质量</w:t>
      </w:r>
      <w:r>
        <w:rPr>
          <w:rFonts w:hint="eastAsia" w:ascii="宋体" w:hAnsi="宋体" w:eastAsia="宋体" w:cs="宋体"/>
          <w:color w:val="auto"/>
          <w:kern w:val="0"/>
          <w:sz w:val="24"/>
          <w:szCs w:val="24"/>
          <w:highlight w:val="none"/>
          <w:lang w:val="zh-CN"/>
        </w:rPr>
        <w:t>员、施工员每月驻工地的天数不少于</w:t>
      </w:r>
      <w:r>
        <w:rPr>
          <w:rFonts w:hint="eastAsia" w:ascii="宋体" w:hAnsi="宋体" w:eastAsia="宋体" w:cs="宋体"/>
          <w:color w:val="auto"/>
          <w:kern w:val="0"/>
          <w:sz w:val="24"/>
          <w:szCs w:val="24"/>
          <w:highlight w:val="none"/>
          <w:u w:val="single"/>
          <w:lang w:val="zh-CN"/>
        </w:rPr>
        <w:t xml:space="preserve"> 22 </w:t>
      </w:r>
      <w:r>
        <w:rPr>
          <w:rFonts w:hint="eastAsia" w:ascii="宋体" w:hAnsi="宋体" w:eastAsia="宋体" w:cs="宋体"/>
          <w:color w:val="auto"/>
          <w:kern w:val="0"/>
          <w:sz w:val="24"/>
          <w:szCs w:val="24"/>
          <w:highlight w:val="none"/>
          <w:lang w:val="zh-CN"/>
        </w:rPr>
        <w:t>天，每人每少一天罚款</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u w:val="single"/>
          <w:lang w:val="en-US" w:eastAsia="zh-CN"/>
        </w:rPr>
        <w:t xml:space="preserve">500 </w:t>
      </w:r>
      <w:r>
        <w:rPr>
          <w:rFonts w:hint="eastAsia" w:ascii="宋体" w:hAnsi="宋体" w:eastAsia="宋体" w:cs="宋体"/>
          <w:color w:val="auto"/>
          <w:kern w:val="0"/>
          <w:sz w:val="24"/>
          <w:szCs w:val="24"/>
          <w:highlight w:val="none"/>
          <w:lang w:val="zh-CN"/>
        </w:rPr>
        <w:t>元。</w:t>
      </w:r>
    </w:p>
    <w:p w14:paraId="5FF6B992">
      <w:pPr>
        <w:spacing w:before="1" w:line="359" w:lineRule="auto"/>
        <w:ind w:left="3" w:right="138" w:firstLine="480"/>
        <w:rPr>
          <w:rFonts w:ascii="宋体" w:hAnsi="宋体" w:eastAsia="宋体" w:cs="宋体"/>
          <w:spacing w:val="-9"/>
          <w:sz w:val="24"/>
          <w:szCs w:val="24"/>
        </w:rPr>
      </w:pPr>
      <w:r>
        <w:rPr>
          <w:rFonts w:ascii="宋体" w:hAnsi="宋体" w:eastAsia="宋体" w:cs="宋体"/>
          <w:color w:val="auto"/>
          <w:spacing w:val="-3"/>
          <w:sz w:val="24"/>
          <w:szCs w:val="24"/>
          <w:highlight w:val="none"/>
        </w:rPr>
        <w:t>上述违约金在当月工程进度</w:t>
      </w:r>
      <w:r>
        <w:rPr>
          <w:rFonts w:ascii="宋体" w:hAnsi="宋体" w:eastAsia="宋体" w:cs="宋体"/>
          <w:color w:val="auto"/>
          <w:spacing w:val="-3"/>
          <w:sz w:val="24"/>
          <w:szCs w:val="24"/>
        </w:rPr>
        <w:t>款中直接扣除，在</w:t>
      </w:r>
      <w:r>
        <w:rPr>
          <w:rFonts w:ascii="宋体" w:hAnsi="宋体" w:eastAsia="宋体" w:cs="宋体"/>
          <w:spacing w:val="-3"/>
          <w:sz w:val="24"/>
          <w:szCs w:val="24"/>
        </w:rPr>
        <w:t>工地工作天数按监理人实际考勤记</w:t>
      </w:r>
      <w:r>
        <w:rPr>
          <w:rFonts w:ascii="宋体" w:hAnsi="宋体" w:eastAsia="宋体" w:cs="宋体"/>
          <w:spacing w:val="-9"/>
          <w:sz w:val="24"/>
          <w:szCs w:val="24"/>
        </w:rPr>
        <w:t>录为准。</w:t>
      </w:r>
    </w:p>
    <w:p w14:paraId="6834B9B1">
      <w:pPr>
        <w:spacing w:line="219" w:lineRule="auto"/>
        <w:outlineLvl w:val="1"/>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4.7  </w:t>
      </w:r>
      <w:r>
        <w:rPr>
          <w:rFonts w:ascii="宋体" w:hAnsi="宋体" w:eastAsia="宋体" w:cs="宋体"/>
          <w:b/>
          <w:bCs/>
          <w:color w:val="auto"/>
          <w:spacing w:val="-2"/>
          <w:sz w:val="24"/>
          <w:szCs w:val="24"/>
          <w:highlight w:val="none"/>
        </w:rPr>
        <w:t>撤换承包人项目负责人和其他人员</w:t>
      </w:r>
      <w:bookmarkEnd w:id="840"/>
      <w:bookmarkEnd w:id="841"/>
    </w:p>
    <w:p w14:paraId="2CC9DF31">
      <w:pPr>
        <w:spacing w:before="180" w:line="219" w:lineRule="auto"/>
        <w:ind w:left="484"/>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本款补充：</w:t>
      </w:r>
    </w:p>
    <w:p w14:paraId="5B8C10ED">
      <w:pPr>
        <w:spacing w:before="181" w:line="357" w:lineRule="auto"/>
        <w:ind w:left="1" w:right="205" w:firstLine="485"/>
        <w:rPr>
          <w:rFonts w:hint="default" w:ascii="宋体" w:hAnsi="宋体" w:eastAsia="宋体" w:cs="宋体"/>
          <w:color w:val="auto"/>
          <w:sz w:val="25"/>
          <w:szCs w:val="25"/>
          <w:highlight w:val="none"/>
          <w:lang w:val="en-US" w:eastAsia="zh-CN"/>
        </w:rPr>
      </w:pPr>
      <w:r>
        <w:rPr>
          <w:rFonts w:ascii="宋体" w:hAnsi="宋体" w:eastAsia="宋体" w:cs="宋体"/>
          <w:color w:val="auto"/>
          <w:spacing w:val="-7"/>
          <w:sz w:val="24"/>
          <w:szCs w:val="24"/>
          <w:highlight w:val="none"/>
        </w:rPr>
        <w:t>项目负责人、技术负责人</w:t>
      </w:r>
      <w:r>
        <w:rPr>
          <w:rFonts w:hint="eastAsia" w:ascii="宋体" w:hAnsi="宋体" w:eastAsia="宋体" w:cs="宋体"/>
          <w:color w:val="auto"/>
          <w:spacing w:val="-7"/>
          <w:sz w:val="24"/>
          <w:szCs w:val="24"/>
          <w:highlight w:val="none"/>
          <w:lang w:eastAsia="zh-CN"/>
        </w:rPr>
        <w:t>、</w:t>
      </w:r>
      <w:r>
        <w:rPr>
          <w:rFonts w:ascii="宋体" w:hAnsi="宋体" w:eastAsia="宋体" w:cs="宋体"/>
          <w:color w:val="auto"/>
          <w:spacing w:val="-7"/>
          <w:sz w:val="24"/>
          <w:szCs w:val="24"/>
          <w:highlight w:val="none"/>
        </w:rPr>
        <w:t>副项目负责人（若有）不得</w:t>
      </w:r>
      <w:r>
        <w:rPr>
          <w:rFonts w:ascii="宋体" w:hAnsi="宋体" w:eastAsia="宋体" w:cs="宋体"/>
          <w:color w:val="auto"/>
          <w:spacing w:val="-8"/>
          <w:sz w:val="24"/>
          <w:szCs w:val="24"/>
          <w:highlight w:val="none"/>
        </w:rPr>
        <w:t>擅自更换。若承包人擅自</w:t>
      </w:r>
      <w:r>
        <w:rPr>
          <w:rFonts w:ascii="宋体" w:hAnsi="宋体" w:eastAsia="宋体" w:cs="宋体"/>
          <w:color w:val="auto"/>
          <w:spacing w:val="-3"/>
          <w:sz w:val="24"/>
          <w:szCs w:val="24"/>
          <w:highlight w:val="none"/>
        </w:rPr>
        <w:t>更换的，除每人次需支付</w:t>
      </w:r>
      <w:r>
        <w:rPr>
          <w:rFonts w:ascii="宋体" w:hAnsi="宋体" w:eastAsia="宋体" w:cs="宋体"/>
          <w:color w:val="auto"/>
          <w:spacing w:val="-120"/>
          <w:sz w:val="24"/>
          <w:szCs w:val="24"/>
          <w:highlight w:val="none"/>
        </w:rPr>
        <w:t xml:space="preserve"> </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10</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
          <w:sz w:val="24"/>
          <w:szCs w:val="24"/>
          <w:highlight w:val="none"/>
        </w:rPr>
        <w:t>万元的违约金</w:t>
      </w:r>
      <w:r>
        <w:rPr>
          <w:rFonts w:hint="eastAsia" w:ascii="宋体" w:hAnsi="宋体" w:eastAsia="宋体" w:cs="宋体"/>
          <w:color w:val="auto"/>
          <w:spacing w:val="-3"/>
          <w:sz w:val="24"/>
          <w:szCs w:val="24"/>
          <w:highlight w:val="none"/>
          <w:lang w:eastAsia="zh-CN"/>
        </w:rPr>
        <w:t>（违约金单独汇入发包人指定账户），</w:t>
      </w:r>
      <w:r>
        <w:rPr>
          <w:rFonts w:ascii="宋体" w:hAnsi="宋体" w:eastAsia="宋体" w:cs="宋体"/>
          <w:color w:val="auto"/>
          <w:spacing w:val="-3"/>
          <w:sz w:val="24"/>
          <w:szCs w:val="24"/>
          <w:highlight w:val="none"/>
        </w:rPr>
        <w:t>发包人有权将</w:t>
      </w:r>
      <w:r>
        <w:rPr>
          <w:rFonts w:ascii="宋体" w:hAnsi="宋体" w:eastAsia="宋体" w:cs="宋体"/>
          <w:color w:val="auto"/>
          <w:spacing w:val="-4"/>
          <w:sz w:val="24"/>
          <w:szCs w:val="24"/>
          <w:highlight w:val="none"/>
        </w:rPr>
        <w:t>其作为不良行为记录上</w:t>
      </w:r>
      <w:r>
        <w:rPr>
          <w:rFonts w:ascii="宋体" w:hAnsi="宋体" w:eastAsia="宋体" w:cs="宋体"/>
          <w:color w:val="auto"/>
          <w:spacing w:val="-3"/>
          <w:sz w:val="24"/>
          <w:szCs w:val="24"/>
          <w:highlight w:val="none"/>
        </w:rPr>
        <w:t>报</w:t>
      </w:r>
      <w:r>
        <w:rPr>
          <w:rFonts w:hint="eastAsia" w:ascii="宋体" w:hAnsi="宋体" w:eastAsia="宋体" w:cs="宋体"/>
          <w:color w:val="auto"/>
          <w:spacing w:val="-3"/>
          <w:sz w:val="24"/>
          <w:szCs w:val="24"/>
          <w:highlight w:val="none"/>
          <w:lang w:val="en-US" w:eastAsia="zh-CN"/>
        </w:rPr>
        <w:t>行业</w:t>
      </w:r>
      <w:r>
        <w:rPr>
          <w:rFonts w:ascii="宋体" w:hAnsi="宋体" w:eastAsia="宋体" w:cs="宋体"/>
          <w:color w:val="auto"/>
          <w:spacing w:val="-3"/>
          <w:sz w:val="24"/>
          <w:szCs w:val="24"/>
          <w:highlight w:val="none"/>
        </w:rPr>
        <w:t>主管部门；情节特别严重的，发包人有权终止合同。在合同工程未通过完工验收或合同解除前，项目负责人、技术负责人、</w:t>
      </w:r>
      <w:r>
        <w:rPr>
          <w:rFonts w:ascii="宋体" w:hAnsi="宋体" w:eastAsia="宋体" w:cs="宋体"/>
          <w:strike/>
          <w:dstrike w:val="0"/>
          <w:color w:val="auto"/>
          <w:spacing w:val="-6"/>
          <w:sz w:val="24"/>
          <w:szCs w:val="24"/>
          <w:highlight w:val="none"/>
        </w:rPr>
        <w:t>副项目负责人</w:t>
      </w:r>
      <w:r>
        <w:rPr>
          <w:rFonts w:ascii="宋体" w:hAnsi="宋体" w:eastAsia="宋体" w:cs="宋体"/>
          <w:color w:val="auto"/>
          <w:spacing w:val="-6"/>
          <w:sz w:val="24"/>
          <w:szCs w:val="24"/>
          <w:highlight w:val="none"/>
        </w:rPr>
        <w:t>确需更换的，应征得发包人同意，并经原项目负责人备案主管部门备案，且更换后的人员不得低于原投标承诺人员所具有的资格和业绩条件</w:t>
      </w:r>
      <w:r>
        <w:rPr>
          <w:rFonts w:hint="eastAsia" w:ascii="宋体" w:hAnsi="宋体" w:eastAsia="宋体" w:cs="宋体"/>
          <w:color w:val="auto"/>
          <w:spacing w:val="-6"/>
          <w:sz w:val="24"/>
          <w:szCs w:val="24"/>
          <w:highlight w:val="none"/>
          <w:lang w:val="en-US" w:eastAsia="zh-CN"/>
        </w:rPr>
        <w:t>。</w:t>
      </w:r>
    </w:p>
    <w:p w14:paraId="7CEC9D8A">
      <w:pPr>
        <w:spacing w:line="359" w:lineRule="auto"/>
        <w:ind w:firstLine="436" w:firstLineChars="200"/>
        <w:rPr>
          <w:rFonts w:ascii="宋体" w:hAnsi="宋体" w:eastAsia="宋体" w:cs="宋体"/>
          <w:color w:val="auto"/>
          <w:spacing w:val="-11"/>
          <w:sz w:val="24"/>
          <w:szCs w:val="24"/>
          <w:highlight w:val="none"/>
        </w:rPr>
      </w:pPr>
      <w:r>
        <w:rPr>
          <w:rFonts w:ascii="宋体" w:hAnsi="宋体" w:eastAsia="宋体" w:cs="宋体"/>
          <w:color w:val="auto"/>
          <w:spacing w:val="-11"/>
          <w:sz w:val="24"/>
          <w:szCs w:val="24"/>
          <w:highlight w:val="none"/>
        </w:rPr>
        <w:t>承包人的专职安全生产管理人员等人员</w:t>
      </w:r>
      <w:r>
        <w:rPr>
          <w:rFonts w:hint="eastAsia" w:ascii="宋体" w:hAnsi="宋体" w:eastAsia="宋体" w:cs="宋体"/>
          <w:color w:val="auto"/>
          <w:spacing w:val="-11"/>
          <w:sz w:val="24"/>
          <w:szCs w:val="24"/>
          <w:highlight w:val="none"/>
        </w:rPr>
        <w:t>在合同实施期间，施工管理人员原则上不得变更（死亡或不具有完全民事行为能力除外）。如有其他原因确需变更的，须经发包人书面同意</w:t>
      </w:r>
      <w:r>
        <w:rPr>
          <w:rFonts w:hint="eastAsia" w:ascii="宋体" w:hAnsi="宋体" w:eastAsia="宋体" w:cs="宋体"/>
          <w:color w:val="auto"/>
          <w:spacing w:val="-11"/>
          <w:sz w:val="24"/>
          <w:szCs w:val="24"/>
          <w:highlight w:val="none"/>
          <w:lang w:eastAsia="zh-CN"/>
        </w:rPr>
        <w:t>，</w:t>
      </w:r>
      <w:r>
        <w:rPr>
          <w:rFonts w:ascii="宋体" w:hAnsi="宋体" w:eastAsia="宋体" w:cs="宋体"/>
          <w:color w:val="auto"/>
          <w:spacing w:val="-11"/>
          <w:sz w:val="24"/>
          <w:szCs w:val="24"/>
          <w:highlight w:val="none"/>
        </w:rPr>
        <w:t>每人次需支付违约金</w:t>
      </w:r>
      <w:r>
        <w:rPr>
          <w:rFonts w:hint="eastAsia" w:ascii="宋体" w:hAnsi="宋体" w:eastAsia="宋体" w:cs="宋体"/>
          <w:color w:val="auto"/>
          <w:spacing w:val="-11"/>
          <w:sz w:val="24"/>
          <w:szCs w:val="24"/>
          <w:highlight w:val="none"/>
          <w:u w:val="single"/>
          <w:lang w:val="en-US" w:eastAsia="zh-CN"/>
        </w:rPr>
        <w:t xml:space="preserve"> 5 </w:t>
      </w:r>
      <w:r>
        <w:rPr>
          <w:rFonts w:ascii="宋体" w:hAnsi="宋体" w:eastAsia="宋体" w:cs="宋体"/>
          <w:color w:val="auto"/>
          <w:spacing w:val="-11"/>
          <w:sz w:val="24"/>
          <w:szCs w:val="24"/>
          <w:highlight w:val="none"/>
        </w:rPr>
        <w:t xml:space="preserve"> 万元</w:t>
      </w:r>
      <w:r>
        <w:rPr>
          <w:rFonts w:hint="eastAsia" w:ascii="宋体" w:hAnsi="宋体" w:eastAsia="宋体" w:cs="宋体"/>
          <w:color w:val="auto"/>
          <w:spacing w:val="-11"/>
          <w:sz w:val="24"/>
          <w:szCs w:val="24"/>
          <w:highlight w:val="none"/>
          <w:lang w:eastAsia="zh-CN"/>
        </w:rPr>
        <w:t>（违约金单独汇入发包人指定账户）</w:t>
      </w:r>
      <w:r>
        <w:rPr>
          <w:rFonts w:ascii="宋体" w:hAnsi="宋体" w:eastAsia="宋体" w:cs="宋体"/>
          <w:color w:val="auto"/>
          <w:spacing w:val="-11"/>
          <w:sz w:val="24"/>
          <w:szCs w:val="24"/>
          <w:highlight w:val="none"/>
        </w:rPr>
        <w:t>。</w:t>
      </w:r>
    </w:p>
    <w:p w14:paraId="4C179291">
      <w:pPr>
        <w:spacing w:before="1" w:line="219" w:lineRule="auto"/>
        <w:outlineLvl w:val="1"/>
        <w:rPr>
          <w:rFonts w:ascii="宋体" w:hAnsi="宋体" w:eastAsia="宋体" w:cs="宋体"/>
          <w:color w:val="auto"/>
          <w:sz w:val="24"/>
          <w:szCs w:val="24"/>
          <w:highlight w:val="none"/>
        </w:rPr>
      </w:pPr>
      <w:bookmarkStart w:id="842" w:name="bookmark329"/>
      <w:bookmarkEnd w:id="842"/>
      <w:bookmarkStart w:id="843" w:name="_Toc7018"/>
      <w:bookmarkStart w:id="844" w:name="_Toc27302"/>
      <w:r>
        <w:rPr>
          <w:rFonts w:ascii="Times New Roman" w:hAnsi="Times New Roman" w:eastAsia="Times New Roman" w:cs="Times New Roman"/>
          <w:b/>
          <w:bCs/>
          <w:color w:val="auto"/>
          <w:spacing w:val="-2"/>
          <w:sz w:val="24"/>
          <w:szCs w:val="24"/>
          <w:highlight w:val="none"/>
        </w:rPr>
        <w:t xml:space="preserve">4.11  </w:t>
      </w:r>
      <w:r>
        <w:rPr>
          <w:rFonts w:ascii="宋体" w:hAnsi="宋体" w:eastAsia="宋体" w:cs="宋体"/>
          <w:b/>
          <w:bCs/>
          <w:color w:val="auto"/>
          <w:spacing w:val="-2"/>
          <w:sz w:val="24"/>
          <w:szCs w:val="24"/>
          <w:highlight w:val="none"/>
        </w:rPr>
        <w:t>不利物质条件</w:t>
      </w:r>
      <w:bookmarkEnd w:id="843"/>
      <w:bookmarkEnd w:id="844"/>
    </w:p>
    <w:p w14:paraId="14F2CC7E">
      <w:pPr>
        <w:spacing w:before="182"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4.11.1  </w:t>
      </w:r>
      <w:r>
        <w:rPr>
          <w:rFonts w:ascii="宋体" w:hAnsi="宋体" w:eastAsia="宋体" w:cs="宋体"/>
          <w:color w:val="auto"/>
          <w:sz w:val="24"/>
          <w:szCs w:val="24"/>
          <w:highlight w:val="none"/>
        </w:rPr>
        <w:t>不利物质条件的范围：</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rPr>
        <w:t>按照通用合同条款执行</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79D2F4E9">
      <w:pPr>
        <w:spacing w:before="306" w:line="219" w:lineRule="auto"/>
        <w:ind w:left="3"/>
        <w:outlineLvl w:val="0"/>
        <w:rPr>
          <w:rFonts w:ascii="宋体" w:hAnsi="宋体" w:eastAsia="宋体" w:cs="宋体"/>
          <w:color w:val="auto"/>
          <w:sz w:val="28"/>
          <w:szCs w:val="28"/>
          <w:highlight w:val="none"/>
        </w:rPr>
      </w:pPr>
      <w:bookmarkStart w:id="845" w:name="bookmark330"/>
      <w:bookmarkEnd w:id="845"/>
      <w:bookmarkStart w:id="846" w:name="bookmark331"/>
      <w:bookmarkEnd w:id="846"/>
      <w:bookmarkStart w:id="847" w:name="_Toc473"/>
      <w:bookmarkStart w:id="848" w:name="_Toc17953"/>
      <w:r>
        <w:rPr>
          <w:rFonts w:ascii="Times New Roman" w:hAnsi="Times New Roman" w:eastAsia="Times New Roman" w:cs="Times New Roman"/>
          <w:b/>
          <w:bCs/>
          <w:color w:val="auto"/>
          <w:spacing w:val="-3"/>
          <w:sz w:val="28"/>
          <w:szCs w:val="28"/>
          <w:highlight w:val="none"/>
        </w:rPr>
        <w:t>5</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材料和工程设备</w:t>
      </w:r>
      <w:bookmarkEnd w:id="847"/>
      <w:bookmarkEnd w:id="848"/>
    </w:p>
    <w:p w14:paraId="1C0D78F5">
      <w:pPr>
        <w:pStyle w:val="3"/>
        <w:spacing w:line="246" w:lineRule="auto"/>
        <w:rPr>
          <w:color w:val="auto"/>
          <w:highlight w:val="none"/>
        </w:rPr>
      </w:pPr>
    </w:p>
    <w:p w14:paraId="62340314">
      <w:pPr>
        <w:spacing w:before="79" w:line="219" w:lineRule="auto"/>
        <w:ind w:left="2"/>
        <w:outlineLvl w:val="1"/>
        <w:rPr>
          <w:rFonts w:ascii="宋体" w:hAnsi="宋体" w:eastAsia="宋体" w:cs="宋体"/>
          <w:color w:val="auto"/>
          <w:sz w:val="24"/>
          <w:szCs w:val="24"/>
          <w:highlight w:val="none"/>
        </w:rPr>
      </w:pPr>
      <w:bookmarkStart w:id="849" w:name="bookmark716"/>
      <w:bookmarkEnd w:id="849"/>
      <w:bookmarkStart w:id="850" w:name="_Toc19883"/>
      <w:bookmarkStart w:id="851" w:name="_Toc1871"/>
      <w:r>
        <w:rPr>
          <w:rFonts w:ascii="Times New Roman" w:hAnsi="Times New Roman" w:eastAsia="Times New Roman" w:cs="Times New Roman"/>
          <w:b/>
          <w:bCs/>
          <w:color w:val="auto"/>
          <w:spacing w:val="-2"/>
          <w:sz w:val="24"/>
          <w:szCs w:val="24"/>
          <w:highlight w:val="none"/>
        </w:rPr>
        <w:t xml:space="preserve">5.2  </w:t>
      </w:r>
      <w:r>
        <w:rPr>
          <w:rFonts w:ascii="宋体" w:hAnsi="宋体" w:eastAsia="宋体" w:cs="宋体"/>
          <w:b/>
          <w:bCs/>
          <w:color w:val="auto"/>
          <w:spacing w:val="-2"/>
          <w:sz w:val="24"/>
          <w:szCs w:val="24"/>
          <w:highlight w:val="none"/>
        </w:rPr>
        <w:t>发包人提供的材料和工程设备</w:t>
      </w:r>
      <w:bookmarkEnd w:id="850"/>
      <w:bookmarkEnd w:id="851"/>
    </w:p>
    <w:p w14:paraId="64776CC6">
      <w:pPr>
        <w:spacing w:before="183" w:line="219" w:lineRule="auto"/>
        <w:ind w:left="485"/>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5.2.1  </w:t>
      </w:r>
      <w:r>
        <w:rPr>
          <w:rFonts w:ascii="宋体" w:hAnsi="宋体" w:eastAsia="宋体" w:cs="宋体"/>
          <w:color w:val="auto"/>
          <w:spacing w:val="-2"/>
          <w:sz w:val="24"/>
          <w:szCs w:val="24"/>
          <w:highlight w:val="none"/>
        </w:rPr>
        <w:t>发包人提供的材料和设备见下表。</w:t>
      </w:r>
    </w:p>
    <w:p w14:paraId="25775028">
      <w:pPr>
        <w:spacing w:line="219" w:lineRule="auto"/>
        <w:rPr>
          <w:rFonts w:ascii="宋体" w:hAnsi="宋体" w:eastAsia="宋体" w:cs="宋体"/>
          <w:color w:val="auto"/>
          <w:sz w:val="24"/>
          <w:szCs w:val="24"/>
          <w:highlight w:val="none"/>
        </w:rPr>
      </w:pPr>
    </w:p>
    <w:p w14:paraId="26CC8398">
      <w:pPr>
        <w:bidi w:val="0"/>
        <w:rPr>
          <w:rFonts w:ascii="Arial" w:hAnsi="Arial" w:eastAsia="Arial" w:cs="Arial"/>
          <w:snapToGrid w:val="0"/>
          <w:color w:val="auto"/>
          <w:kern w:val="0"/>
          <w:sz w:val="21"/>
          <w:szCs w:val="21"/>
          <w:highlight w:val="none"/>
          <w:lang w:val="en-US" w:eastAsia="en-US" w:bidi="ar-SA"/>
        </w:rPr>
      </w:pPr>
    </w:p>
    <w:p w14:paraId="54F17D36">
      <w:pPr>
        <w:tabs>
          <w:tab w:val="left" w:pos="657"/>
        </w:tabs>
        <w:bidi w:val="0"/>
        <w:jc w:val="left"/>
        <w:rPr>
          <w:rFonts w:ascii="宋体" w:hAnsi="宋体" w:eastAsia="宋体" w:cs="宋体"/>
          <w:color w:val="auto"/>
          <w:sz w:val="21"/>
          <w:szCs w:val="21"/>
          <w:highlight w:val="none"/>
        </w:rPr>
      </w:pPr>
      <w:r>
        <w:rPr>
          <w:rFonts w:hint="eastAsia" w:eastAsia="宋体"/>
          <w:color w:val="auto"/>
          <w:highlight w:val="none"/>
          <w:lang w:val="en-US" w:eastAsia="zh-CN"/>
        </w:rPr>
        <w:tab/>
      </w:r>
      <w:r>
        <w:rPr>
          <w:rFonts w:ascii="宋体" w:hAnsi="宋体" w:eastAsia="宋体" w:cs="宋体"/>
          <w:b/>
          <w:bCs/>
          <w:color w:val="auto"/>
          <w:spacing w:val="-4"/>
          <w:sz w:val="21"/>
          <w:szCs w:val="21"/>
          <w:highlight w:val="none"/>
        </w:rPr>
        <w:t>发包人提供的材料表（参考格式）</w:t>
      </w:r>
    </w:p>
    <w:p w14:paraId="3A5CD969">
      <w:pPr>
        <w:spacing w:line="128" w:lineRule="exact"/>
        <w:rPr>
          <w:color w:val="auto"/>
          <w:highlight w:val="none"/>
        </w:rPr>
      </w:pPr>
    </w:p>
    <w:tbl>
      <w:tblPr>
        <w:tblStyle w:val="16"/>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9"/>
        <w:gridCol w:w="1596"/>
        <w:gridCol w:w="1229"/>
        <w:gridCol w:w="807"/>
        <w:gridCol w:w="1112"/>
        <w:gridCol w:w="1112"/>
        <w:gridCol w:w="1555"/>
        <w:gridCol w:w="675"/>
      </w:tblGrid>
      <w:tr w14:paraId="63630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19" w:type="dxa"/>
            <w:tcBorders>
              <w:top w:val="single" w:color="000000" w:sz="6" w:space="0"/>
              <w:left w:val="single" w:color="000000" w:sz="6" w:space="0"/>
            </w:tcBorders>
            <w:vAlign w:val="top"/>
          </w:tcPr>
          <w:p w14:paraId="29CB02B0">
            <w:pPr>
              <w:pStyle w:val="17"/>
              <w:spacing w:before="125" w:line="222" w:lineRule="auto"/>
              <w:ind w:left="196"/>
              <w:rPr>
                <w:color w:val="auto"/>
                <w:sz w:val="21"/>
                <w:szCs w:val="21"/>
                <w:highlight w:val="none"/>
              </w:rPr>
            </w:pPr>
            <w:r>
              <w:rPr>
                <w:color w:val="auto"/>
                <w:spacing w:val="-2"/>
                <w:sz w:val="21"/>
                <w:szCs w:val="21"/>
                <w:highlight w:val="none"/>
              </w:rPr>
              <w:t>序号</w:t>
            </w:r>
          </w:p>
        </w:tc>
        <w:tc>
          <w:tcPr>
            <w:tcW w:w="1596" w:type="dxa"/>
            <w:tcBorders>
              <w:top w:val="single" w:color="000000" w:sz="6" w:space="0"/>
            </w:tcBorders>
            <w:vAlign w:val="top"/>
          </w:tcPr>
          <w:p w14:paraId="26B639CF">
            <w:pPr>
              <w:pStyle w:val="17"/>
              <w:spacing w:before="125" w:line="220" w:lineRule="auto"/>
              <w:ind w:left="376"/>
              <w:rPr>
                <w:color w:val="auto"/>
                <w:sz w:val="21"/>
                <w:szCs w:val="21"/>
                <w:highlight w:val="none"/>
              </w:rPr>
            </w:pPr>
            <w:r>
              <w:rPr>
                <w:color w:val="auto"/>
                <w:spacing w:val="-2"/>
                <w:sz w:val="21"/>
                <w:szCs w:val="21"/>
                <w:highlight w:val="none"/>
              </w:rPr>
              <w:t>材料名称</w:t>
            </w:r>
          </w:p>
        </w:tc>
        <w:tc>
          <w:tcPr>
            <w:tcW w:w="1229" w:type="dxa"/>
            <w:tcBorders>
              <w:top w:val="single" w:color="000000" w:sz="6" w:space="0"/>
            </w:tcBorders>
            <w:vAlign w:val="top"/>
          </w:tcPr>
          <w:p w14:paraId="0BF8137E">
            <w:pPr>
              <w:pStyle w:val="17"/>
              <w:spacing w:before="125" w:line="220" w:lineRule="auto"/>
              <w:ind w:left="196"/>
              <w:rPr>
                <w:color w:val="auto"/>
                <w:sz w:val="21"/>
                <w:szCs w:val="21"/>
                <w:highlight w:val="none"/>
              </w:rPr>
            </w:pPr>
            <w:r>
              <w:rPr>
                <w:color w:val="auto"/>
                <w:spacing w:val="-2"/>
                <w:sz w:val="21"/>
                <w:szCs w:val="21"/>
                <w:highlight w:val="none"/>
              </w:rPr>
              <w:t>材料规格</w:t>
            </w:r>
          </w:p>
        </w:tc>
        <w:tc>
          <w:tcPr>
            <w:tcW w:w="807" w:type="dxa"/>
            <w:tcBorders>
              <w:top w:val="single" w:color="000000" w:sz="6" w:space="0"/>
            </w:tcBorders>
            <w:vAlign w:val="top"/>
          </w:tcPr>
          <w:p w14:paraId="35E66DFA">
            <w:pPr>
              <w:pStyle w:val="17"/>
              <w:spacing w:before="124" w:line="221" w:lineRule="auto"/>
              <w:ind w:left="200"/>
              <w:rPr>
                <w:color w:val="auto"/>
                <w:sz w:val="21"/>
                <w:szCs w:val="21"/>
                <w:highlight w:val="none"/>
              </w:rPr>
            </w:pPr>
            <w:r>
              <w:rPr>
                <w:color w:val="auto"/>
                <w:spacing w:val="-2"/>
                <w:sz w:val="21"/>
                <w:szCs w:val="21"/>
                <w:highlight w:val="none"/>
              </w:rPr>
              <w:t>数量</w:t>
            </w:r>
          </w:p>
        </w:tc>
        <w:tc>
          <w:tcPr>
            <w:tcW w:w="1112" w:type="dxa"/>
            <w:tcBorders>
              <w:top w:val="single" w:color="000000" w:sz="6" w:space="0"/>
            </w:tcBorders>
            <w:vAlign w:val="top"/>
          </w:tcPr>
          <w:p w14:paraId="2F60042C">
            <w:pPr>
              <w:pStyle w:val="17"/>
              <w:spacing w:before="125" w:line="220" w:lineRule="auto"/>
              <w:ind w:left="147"/>
              <w:rPr>
                <w:color w:val="auto"/>
                <w:sz w:val="21"/>
                <w:szCs w:val="21"/>
                <w:highlight w:val="none"/>
              </w:rPr>
            </w:pPr>
            <w:r>
              <w:rPr>
                <w:color w:val="auto"/>
                <w:spacing w:val="-3"/>
                <w:sz w:val="21"/>
                <w:szCs w:val="21"/>
                <w:highlight w:val="none"/>
              </w:rPr>
              <w:t>交货地点</w:t>
            </w:r>
          </w:p>
        </w:tc>
        <w:tc>
          <w:tcPr>
            <w:tcW w:w="1112" w:type="dxa"/>
            <w:tcBorders>
              <w:top w:val="single" w:color="000000" w:sz="6" w:space="0"/>
            </w:tcBorders>
            <w:vAlign w:val="top"/>
          </w:tcPr>
          <w:p w14:paraId="131C3237">
            <w:pPr>
              <w:pStyle w:val="17"/>
              <w:spacing w:before="125" w:line="220" w:lineRule="auto"/>
              <w:ind w:left="146"/>
              <w:rPr>
                <w:color w:val="auto"/>
                <w:sz w:val="21"/>
                <w:szCs w:val="21"/>
                <w:highlight w:val="none"/>
              </w:rPr>
            </w:pPr>
            <w:r>
              <w:rPr>
                <w:color w:val="auto"/>
                <w:spacing w:val="-3"/>
                <w:sz w:val="21"/>
                <w:szCs w:val="21"/>
                <w:highlight w:val="none"/>
              </w:rPr>
              <w:t>交货方式</w:t>
            </w:r>
          </w:p>
        </w:tc>
        <w:tc>
          <w:tcPr>
            <w:tcW w:w="1555" w:type="dxa"/>
            <w:tcBorders>
              <w:top w:val="single" w:color="000000" w:sz="6" w:space="0"/>
            </w:tcBorders>
            <w:vAlign w:val="top"/>
          </w:tcPr>
          <w:p w14:paraId="6D9A7BF2">
            <w:pPr>
              <w:pStyle w:val="17"/>
              <w:spacing w:before="125" w:line="220" w:lineRule="auto"/>
              <w:ind w:left="155"/>
              <w:rPr>
                <w:color w:val="auto"/>
                <w:sz w:val="21"/>
                <w:szCs w:val="21"/>
                <w:highlight w:val="none"/>
              </w:rPr>
            </w:pPr>
            <w:r>
              <w:rPr>
                <w:color w:val="auto"/>
                <w:spacing w:val="-1"/>
                <w:sz w:val="21"/>
                <w:szCs w:val="21"/>
                <w:highlight w:val="none"/>
              </w:rPr>
              <w:t>计划交货日期</w:t>
            </w:r>
          </w:p>
        </w:tc>
        <w:tc>
          <w:tcPr>
            <w:tcW w:w="675" w:type="dxa"/>
            <w:tcBorders>
              <w:top w:val="single" w:color="000000" w:sz="6" w:space="0"/>
              <w:right w:val="single" w:color="000000" w:sz="6" w:space="0"/>
            </w:tcBorders>
            <w:vAlign w:val="top"/>
          </w:tcPr>
          <w:p w14:paraId="009F1F4F">
            <w:pPr>
              <w:pStyle w:val="17"/>
              <w:spacing w:before="125" w:line="222" w:lineRule="auto"/>
              <w:ind w:left="136"/>
              <w:rPr>
                <w:color w:val="auto"/>
                <w:sz w:val="21"/>
                <w:szCs w:val="21"/>
                <w:highlight w:val="none"/>
              </w:rPr>
            </w:pPr>
            <w:r>
              <w:rPr>
                <w:color w:val="auto"/>
                <w:spacing w:val="-3"/>
                <w:sz w:val="21"/>
                <w:szCs w:val="21"/>
                <w:highlight w:val="none"/>
              </w:rPr>
              <w:t>备注</w:t>
            </w:r>
          </w:p>
        </w:tc>
      </w:tr>
      <w:tr w14:paraId="03567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819" w:type="dxa"/>
            <w:tcBorders>
              <w:left w:val="single" w:color="000000" w:sz="6" w:space="0"/>
            </w:tcBorders>
            <w:vAlign w:val="top"/>
          </w:tcPr>
          <w:p w14:paraId="3ECFE682">
            <w:pPr>
              <w:rPr>
                <w:rFonts w:ascii="Arial"/>
                <w:color w:val="auto"/>
                <w:sz w:val="21"/>
                <w:highlight w:val="none"/>
              </w:rPr>
            </w:pPr>
          </w:p>
        </w:tc>
        <w:tc>
          <w:tcPr>
            <w:tcW w:w="1596" w:type="dxa"/>
            <w:vAlign w:val="top"/>
          </w:tcPr>
          <w:p w14:paraId="03F35F2D">
            <w:pPr>
              <w:rPr>
                <w:rFonts w:ascii="Arial"/>
                <w:color w:val="auto"/>
                <w:sz w:val="21"/>
                <w:highlight w:val="none"/>
              </w:rPr>
            </w:pPr>
          </w:p>
        </w:tc>
        <w:tc>
          <w:tcPr>
            <w:tcW w:w="1229" w:type="dxa"/>
            <w:vAlign w:val="top"/>
          </w:tcPr>
          <w:p w14:paraId="0BFF1D13">
            <w:pPr>
              <w:rPr>
                <w:rFonts w:ascii="Arial"/>
                <w:color w:val="auto"/>
                <w:sz w:val="21"/>
                <w:highlight w:val="none"/>
              </w:rPr>
            </w:pPr>
          </w:p>
        </w:tc>
        <w:tc>
          <w:tcPr>
            <w:tcW w:w="807" w:type="dxa"/>
            <w:vAlign w:val="top"/>
          </w:tcPr>
          <w:p w14:paraId="7B101A86">
            <w:pPr>
              <w:rPr>
                <w:rFonts w:ascii="Arial"/>
                <w:color w:val="auto"/>
                <w:sz w:val="21"/>
                <w:highlight w:val="none"/>
              </w:rPr>
            </w:pPr>
          </w:p>
        </w:tc>
        <w:tc>
          <w:tcPr>
            <w:tcW w:w="1112" w:type="dxa"/>
            <w:vAlign w:val="top"/>
          </w:tcPr>
          <w:p w14:paraId="4CFE6660">
            <w:pPr>
              <w:rPr>
                <w:rFonts w:ascii="Arial"/>
                <w:color w:val="auto"/>
                <w:sz w:val="21"/>
                <w:highlight w:val="none"/>
              </w:rPr>
            </w:pPr>
          </w:p>
        </w:tc>
        <w:tc>
          <w:tcPr>
            <w:tcW w:w="1112" w:type="dxa"/>
            <w:vAlign w:val="top"/>
          </w:tcPr>
          <w:p w14:paraId="6B666E08">
            <w:pPr>
              <w:rPr>
                <w:rFonts w:ascii="Arial"/>
                <w:color w:val="auto"/>
                <w:sz w:val="21"/>
                <w:highlight w:val="none"/>
              </w:rPr>
            </w:pPr>
          </w:p>
        </w:tc>
        <w:tc>
          <w:tcPr>
            <w:tcW w:w="1555" w:type="dxa"/>
            <w:vAlign w:val="top"/>
          </w:tcPr>
          <w:p w14:paraId="04FCA427">
            <w:pPr>
              <w:rPr>
                <w:rFonts w:ascii="Arial"/>
                <w:color w:val="auto"/>
                <w:sz w:val="21"/>
                <w:highlight w:val="none"/>
              </w:rPr>
            </w:pPr>
          </w:p>
        </w:tc>
        <w:tc>
          <w:tcPr>
            <w:tcW w:w="675" w:type="dxa"/>
            <w:tcBorders>
              <w:right w:val="single" w:color="000000" w:sz="6" w:space="0"/>
            </w:tcBorders>
            <w:vAlign w:val="top"/>
          </w:tcPr>
          <w:p w14:paraId="186BB6D1">
            <w:pPr>
              <w:rPr>
                <w:rFonts w:ascii="Arial"/>
                <w:color w:val="auto"/>
                <w:sz w:val="21"/>
                <w:highlight w:val="none"/>
              </w:rPr>
            </w:pPr>
          </w:p>
        </w:tc>
      </w:tr>
      <w:tr w14:paraId="29E92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19" w:type="dxa"/>
            <w:tcBorders>
              <w:left w:val="single" w:color="000000" w:sz="6" w:space="0"/>
            </w:tcBorders>
            <w:vAlign w:val="top"/>
          </w:tcPr>
          <w:p w14:paraId="14A2756B">
            <w:pPr>
              <w:rPr>
                <w:rFonts w:ascii="Arial"/>
                <w:color w:val="auto"/>
                <w:sz w:val="21"/>
                <w:highlight w:val="none"/>
              </w:rPr>
            </w:pPr>
          </w:p>
        </w:tc>
        <w:tc>
          <w:tcPr>
            <w:tcW w:w="1596" w:type="dxa"/>
            <w:vAlign w:val="top"/>
          </w:tcPr>
          <w:p w14:paraId="1F5BB67A">
            <w:pPr>
              <w:rPr>
                <w:rFonts w:ascii="Arial"/>
                <w:color w:val="auto"/>
                <w:sz w:val="21"/>
                <w:highlight w:val="none"/>
              </w:rPr>
            </w:pPr>
          </w:p>
        </w:tc>
        <w:tc>
          <w:tcPr>
            <w:tcW w:w="1229" w:type="dxa"/>
            <w:vAlign w:val="top"/>
          </w:tcPr>
          <w:p w14:paraId="2258BA41">
            <w:pPr>
              <w:rPr>
                <w:rFonts w:ascii="Arial"/>
                <w:color w:val="auto"/>
                <w:sz w:val="21"/>
                <w:highlight w:val="none"/>
              </w:rPr>
            </w:pPr>
          </w:p>
        </w:tc>
        <w:tc>
          <w:tcPr>
            <w:tcW w:w="807" w:type="dxa"/>
            <w:vAlign w:val="top"/>
          </w:tcPr>
          <w:p w14:paraId="365244E7">
            <w:pPr>
              <w:rPr>
                <w:rFonts w:ascii="Arial"/>
                <w:color w:val="auto"/>
                <w:sz w:val="21"/>
                <w:highlight w:val="none"/>
              </w:rPr>
            </w:pPr>
          </w:p>
        </w:tc>
        <w:tc>
          <w:tcPr>
            <w:tcW w:w="1112" w:type="dxa"/>
            <w:vAlign w:val="top"/>
          </w:tcPr>
          <w:p w14:paraId="7437078C">
            <w:pPr>
              <w:rPr>
                <w:rFonts w:ascii="Arial"/>
                <w:color w:val="auto"/>
                <w:sz w:val="21"/>
                <w:highlight w:val="none"/>
              </w:rPr>
            </w:pPr>
          </w:p>
        </w:tc>
        <w:tc>
          <w:tcPr>
            <w:tcW w:w="1112" w:type="dxa"/>
            <w:vAlign w:val="top"/>
          </w:tcPr>
          <w:p w14:paraId="6343E5E8">
            <w:pPr>
              <w:rPr>
                <w:rFonts w:ascii="Arial"/>
                <w:color w:val="auto"/>
                <w:sz w:val="21"/>
                <w:highlight w:val="none"/>
              </w:rPr>
            </w:pPr>
          </w:p>
        </w:tc>
        <w:tc>
          <w:tcPr>
            <w:tcW w:w="1555" w:type="dxa"/>
            <w:vAlign w:val="top"/>
          </w:tcPr>
          <w:p w14:paraId="44A3AB2C">
            <w:pPr>
              <w:rPr>
                <w:rFonts w:ascii="Arial"/>
                <w:color w:val="auto"/>
                <w:sz w:val="21"/>
                <w:highlight w:val="none"/>
              </w:rPr>
            </w:pPr>
          </w:p>
        </w:tc>
        <w:tc>
          <w:tcPr>
            <w:tcW w:w="675" w:type="dxa"/>
            <w:tcBorders>
              <w:right w:val="single" w:color="000000" w:sz="6" w:space="0"/>
            </w:tcBorders>
            <w:vAlign w:val="top"/>
          </w:tcPr>
          <w:p w14:paraId="72C060BE">
            <w:pPr>
              <w:rPr>
                <w:rFonts w:ascii="Arial"/>
                <w:color w:val="auto"/>
                <w:sz w:val="21"/>
                <w:highlight w:val="none"/>
              </w:rPr>
            </w:pPr>
          </w:p>
        </w:tc>
      </w:tr>
      <w:tr w14:paraId="107F3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19" w:type="dxa"/>
            <w:tcBorders>
              <w:left w:val="single" w:color="000000" w:sz="6" w:space="0"/>
              <w:bottom w:val="single" w:color="000000" w:sz="6" w:space="0"/>
            </w:tcBorders>
            <w:vAlign w:val="top"/>
          </w:tcPr>
          <w:p w14:paraId="1385D039">
            <w:pPr>
              <w:rPr>
                <w:rFonts w:ascii="Arial"/>
                <w:color w:val="auto"/>
                <w:sz w:val="21"/>
                <w:highlight w:val="none"/>
              </w:rPr>
            </w:pPr>
          </w:p>
        </w:tc>
        <w:tc>
          <w:tcPr>
            <w:tcW w:w="1596" w:type="dxa"/>
            <w:tcBorders>
              <w:bottom w:val="single" w:color="000000" w:sz="6" w:space="0"/>
            </w:tcBorders>
            <w:vAlign w:val="top"/>
          </w:tcPr>
          <w:p w14:paraId="68C97984">
            <w:pPr>
              <w:rPr>
                <w:rFonts w:ascii="Arial"/>
                <w:color w:val="auto"/>
                <w:sz w:val="21"/>
                <w:highlight w:val="none"/>
              </w:rPr>
            </w:pPr>
          </w:p>
        </w:tc>
        <w:tc>
          <w:tcPr>
            <w:tcW w:w="1229" w:type="dxa"/>
            <w:tcBorders>
              <w:bottom w:val="single" w:color="000000" w:sz="6" w:space="0"/>
            </w:tcBorders>
            <w:vAlign w:val="top"/>
          </w:tcPr>
          <w:p w14:paraId="01E85055">
            <w:pPr>
              <w:rPr>
                <w:rFonts w:ascii="Arial"/>
                <w:color w:val="auto"/>
                <w:sz w:val="21"/>
                <w:highlight w:val="none"/>
              </w:rPr>
            </w:pPr>
          </w:p>
        </w:tc>
        <w:tc>
          <w:tcPr>
            <w:tcW w:w="807" w:type="dxa"/>
            <w:tcBorders>
              <w:bottom w:val="single" w:color="000000" w:sz="6" w:space="0"/>
            </w:tcBorders>
            <w:vAlign w:val="top"/>
          </w:tcPr>
          <w:p w14:paraId="6742B16D">
            <w:pPr>
              <w:rPr>
                <w:rFonts w:ascii="Arial"/>
                <w:color w:val="auto"/>
                <w:sz w:val="21"/>
                <w:highlight w:val="none"/>
              </w:rPr>
            </w:pPr>
          </w:p>
        </w:tc>
        <w:tc>
          <w:tcPr>
            <w:tcW w:w="1112" w:type="dxa"/>
            <w:tcBorders>
              <w:bottom w:val="single" w:color="000000" w:sz="6" w:space="0"/>
            </w:tcBorders>
            <w:vAlign w:val="top"/>
          </w:tcPr>
          <w:p w14:paraId="02473145">
            <w:pPr>
              <w:rPr>
                <w:rFonts w:ascii="Arial"/>
                <w:color w:val="auto"/>
                <w:sz w:val="21"/>
                <w:highlight w:val="none"/>
              </w:rPr>
            </w:pPr>
          </w:p>
        </w:tc>
        <w:tc>
          <w:tcPr>
            <w:tcW w:w="1112" w:type="dxa"/>
            <w:tcBorders>
              <w:bottom w:val="single" w:color="000000" w:sz="6" w:space="0"/>
            </w:tcBorders>
            <w:vAlign w:val="top"/>
          </w:tcPr>
          <w:p w14:paraId="7FA652FF">
            <w:pPr>
              <w:rPr>
                <w:rFonts w:ascii="Arial"/>
                <w:color w:val="auto"/>
                <w:sz w:val="21"/>
                <w:highlight w:val="none"/>
              </w:rPr>
            </w:pPr>
          </w:p>
        </w:tc>
        <w:tc>
          <w:tcPr>
            <w:tcW w:w="1555" w:type="dxa"/>
            <w:tcBorders>
              <w:bottom w:val="single" w:color="000000" w:sz="6" w:space="0"/>
            </w:tcBorders>
            <w:vAlign w:val="top"/>
          </w:tcPr>
          <w:p w14:paraId="111B75BA">
            <w:pPr>
              <w:rPr>
                <w:rFonts w:ascii="Arial"/>
                <w:color w:val="auto"/>
                <w:sz w:val="21"/>
                <w:highlight w:val="none"/>
              </w:rPr>
            </w:pPr>
          </w:p>
        </w:tc>
        <w:tc>
          <w:tcPr>
            <w:tcW w:w="675" w:type="dxa"/>
            <w:tcBorders>
              <w:bottom w:val="single" w:color="000000" w:sz="6" w:space="0"/>
              <w:right w:val="single" w:color="000000" w:sz="6" w:space="0"/>
            </w:tcBorders>
            <w:vAlign w:val="top"/>
          </w:tcPr>
          <w:p w14:paraId="0C0F4E6A">
            <w:pPr>
              <w:rPr>
                <w:rFonts w:ascii="Arial"/>
                <w:color w:val="auto"/>
                <w:sz w:val="21"/>
                <w:highlight w:val="none"/>
              </w:rPr>
            </w:pPr>
          </w:p>
        </w:tc>
      </w:tr>
    </w:tbl>
    <w:p w14:paraId="2492F983">
      <w:pPr>
        <w:pStyle w:val="3"/>
        <w:spacing w:line="374" w:lineRule="auto"/>
        <w:rPr>
          <w:color w:val="auto"/>
          <w:highlight w:val="none"/>
        </w:rPr>
      </w:pPr>
    </w:p>
    <w:p w14:paraId="1AC3C539">
      <w:pPr>
        <w:spacing w:before="68" w:line="220" w:lineRule="auto"/>
        <w:ind w:left="2831"/>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发包人提供的工程设备表（参考格式）</w:t>
      </w:r>
    </w:p>
    <w:p w14:paraId="021F500B">
      <w:pPr>
        <w:spacing w:line="128" w:lineRule="exact"/>
        <w:rPr>
          <w:color w:val="auto"/>
          <w:highlight w:val="none"/>
        </w:rPr>
      </w:pPr>
    </w:p>
    <w:tbl>
      <w:tblPr>
        <w:tblStyle w:val="16"/>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7"/>
        <w:gridCol w:w="1778"/>
        <w:gridCol w:w="1229"/>
        <w:gridCol w:w="802"/>
        <w:gridCol w:w="1119"/>
        <w:gridCol w:w="1107"/>
        <w:gridCol w:w="1557"/>
        <w:gridCol w:w="676"/>
      </w:tblGrid>
      <w:tr w14:paraId="642CA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37" w:type="dxa"/>
            <w:tcBorders>
              <w:top w:val="single" w:color="000000" w:sz="6" w:space="0"/>
              <w:left w:val="single" w:color="000000" w:sz="6" w:space="0"/>
            </w:tcBorders>
            <w:vAlign w:val="top"/>
          </w:tcPr>
          <w:p w14:paraId="7E03F07A">
            <w:pPr>
              <w:pStyle w:val="17"/>
              <w:spacing w:before="125" w:line="222" w:lineRule="auto"/>
              <w:ind w:left="105"/>
              <w:rPr>
                <w:color w:val="auto"/>
                <w:sz w:val="21"/>
                <w:szCs w:val="21"/>
                <w:highlight w:val="none"/>
              </w:rPr>
            </w:pPr>
            <w:r>
              <w:rPr>
                <w:color w:val="auto"/>
                <w:spacing w:val="-2"/>
                <w:sz w:val="21"/>
                <w:szCs w:val="21"/>
                <w:highlight w:val="none"/>
              </w:rPr>
              <w:t>序号</w:t>
            </w:r>
          </w:p>
        </w:tc>
        <w:tc>
          <w:tcPr>
            <w:tcW w:w="1778" w:type="dxa"/>
            <w:tcBorders>
              <w:top w:val="single" w:color="000000" w:sz="6" w:space="0"/>
            </w:tcBorders>
            <w:vAlign w:val="top"/>
          </w:tcPr>
          <w:p w14:paraId="6DEECEA7">
            <w:pPr>
              <w:pStyle w:val="17"/>
              <w:spacing w:before="125" w:line="221" w:lineRule="auto"/>
              <w:ind w:left="261"/>
              <w:rPr>
                <w:color w:val="auto"/>
                <w:sz w:val="21"/>
                <w:szCs w:val="21"/>
                <w:highlight w:val="none"/>
              </w:rPr>
            </w:pPr>
            <w:r>
              <w:rPr>
                <w:color w:val="auto"/>
                <w:spacing w:val="-2"/>
                <w:sz w:val="21"/>
                <w:szCs w:val="21"/>
                <w:highlight w:val="none"/>
              </w:rPr>
              <w:t>工程设备名称</w:t>
            </w:r>
          </w:p>
        </w:tc>
        <w:tc>
          <w:tcPr>
            <w:tcW w:w="1229" w:type="dxa"/>
            <w:tcBorders>
              <w:top w:val="single" w:color="000000" w:sz="6" w:space="0"/>
            </w:tcBorders>
            <w:vAlign w:val="top"/>
          </w:tcPr>
          <w:p w14:paraId="6C177EE4">
            <w:pPr>
              <w:pStyle w:val="17"/>
              <w:spacing w:before="124" w:line="221" w:lineRule="auto"/>
              <w:ind w:left="97"/>
              <w:rPr>
                <w:color w:val="auto"/>
                <w:sz w:val="21"/>
                <w:szCs w:val="21"/>
                <w:highlight w:val="none"/>
              </w:rPr>
            </w:pPr>
            <w:r>
              <w:rPr>
                <w:color w:val="auto"/>
                <w:spacing w:val="-3"/>
                <w:sz w:val="21"/>
                <w:szCs w:val="21"/>
                <w:highlight w:val="none"/>
              </w:rPr>
              <w:t>型号及规格</w:t>
            </w:r>
          </w:p>
        </w:tc>
        <w:tc>
          <w:tcPr>
            <w:tcW w:w="802" w:type="dxa"/>
            <w:tcBorders>
              <w:top w:val="single" w:color="000000" w:sz="6" w:space="0"/>
            </w:tcBorders>
            <w:vAlign w:val="top"/>
          </w:tcPr>
          <w:p w14:paraId="2746BFDD">
            <w:pPr>
              <w:pStyle w:val="17"/>
              <w:spacing w:before="124" w:line="221" w:lineRule="auto"/>
              <w:ind w:left="198"/>
              <w:rPr>
                <w:color w:val="auto"/>
                <w:sz w:val="21"/>
                <w:szCs w:val="21"/>
                <w:highlight w:val="none"/>
              </w:rPr>
            </w:pPr>
            <w:r>
              <w:rPr>
                <w:color w:val="auto"/>
                <w:spacing w:val="-2"/>
                <w:sz w:val="21"/>
                <w:szCs w:val="21"/>
                <w:highlight w:val="none"/>
              </w:rPr>
              <w:t>数量</w:t>
            </w:r>
          </w:p>
        </w:tc>
        <w:tc>
          <w:tcPr>
            <w:tcW w:w="1119" w:type="dxa"/>
            <w:tcBorders>
              <w:top w:val="single" w:color="000000" w:sz="6" w:space="0"/>
            </w:tcBorders>
            <w:vAlign w:val="top"/>
          </w:tcPr>
          <w:p w14:paraId="2B1020B3">
            <w:pPr>
              <w:pStyle w:val="17"/>
              <w:spacing w:before="125" w:line="220" w:lineRule="auto"/>
              <w:ind w:left="152"/>
              <w:rPr>
                <w:color w:val="auto"/>
                <w:sz w:val="21"/>
                <w:szCs w:val="21"/>
                <w:highlight w:val="none"/>
              </w:rPr>
            </w:pPr>
            <w:r>
              <w:rPr>
                <w:color w:val="auto"/>
                <w:spacing w:val="-3"/>
                <w:sz w:val="21"/>
                <w:szCs w:val="21"/>
                <w:highlight w:val="none"/>
              </w:rPr>
              <w:t>交货地点</w:t>
            </w:r>
          </w:p>
        </w:tc>
        <w:tc>
          <w:tcPr>
            <w:tcW w:w="1107" w:type="dxa"/>
            <w:tcBorders>
              <w:top w:val="single" w:color="000000" w:sz="6" w:space="0"/>
            </w:tcBorders>
            <w:vAlign w:val="top"/>
          </w:tcPr>
          <w:p w14:paraId="33F7EFE2">
            <w:pPr>
              <w:pStyle w:val="17"/>
              <w:spacing w:before="125" w:line="220" w:lineRule="auto"/>
              <w:ind w:left="147"/>
              <w:rPr>
                <w:color w:val="auto"/>
                <w:sz w:val="21"/>
                <w:szCs w:val="21"/>
                <w:highlight w:val="none"/>
              </w:rPr>
            </w:pPr>
            <w:r>
              <w:rPr>
                <w:color w:val="auto"/>
                <w:spacing w:val="-3"/>
                <w:sz w:val="21"/>
                <w:szCs w:val="21"/>
                <w:highlight w:val="none"/>
              </w:rPr>
              <w:t>交货方式</w:t>
            </w:r>
          </w:p>
        </w:tc>
        <w:tc>
          <w:tcPr>
            <w:tcW w:w="1557" w:type="dxa"/>
            <w:tcBorders>
              <w:top w:val="single" w:color="000000" w:sz="6" w:space="0"/>
            </w:tcBorders>
            <w:vAlign w:val="top"/>
          </w:tcPr>
          <w:p w14:paraId="30010BAF">
            <w:pPr>
              <w:pStyle w:val="17"/>
              <w:spacing w:before="125" w:line="220" w:lineRule="auto"/>
              <w:ind w:left="159"/>
              <w:rPr>
                <w:color w:val="auto"/>
                <w:sz w:val="21"/>
                <w:szCs w:val="21"/>
                <w:highlight w:val="none"/>
              </w:rPr>
            </w:pPr>
            <w:r>
              <w:rPr>
                <w:color w:val="auto"/>
                <w:spacing w:val="-1"/>
                <w:sz w:val="21"/>
                <w:szCs w:val="21"/>
                <w:highlight w:val="none"/>
              </w:rPr>
              <w:t>计划交货日期</w:t>
            </w:r>
          </w:p>
        </w:tc>
        <w:tc>
          <w:tcPr>
            <w:tcW w:w="676" w:type="dxa"/>
            <w:tcBorders>
              <w:top w:val="single" w:color="000000" w:sz="6" w:space="0"/>
              <w:right w:val="single" w:color="000000" w:sz="6" w:space="0"/>
            </w:tcBorders>
            <w:vAlign w:val="top"/>
          </w:tcPr>
          <w:p w14:paraId="0EC492BE">
            <w:pPr>
              <w:pStyle w:val="17"/>
              <w:spacing w:before="125" w:line="222" w:lineRule="auto"/>
              <w:ind w:left="138"/>
              <w:rPr>
                <w:color w:val="auto"/>
                <w:sz w:val="21"/>
                <w:szCs w:val="21"/>
                <w:highlight w:val="none"/>
              </w:rPr>
            </w:pPr>
            <w:r>
              <w:rPr>
                <w:color w:val="auto"/>
                <w:spacing w:val="-3"/>
                <w:sz w:val="21"/>
                <w:szCs w:val="21"/>
                <w:highlight w:val="none"/>
              </w:rPr>
              <w:t>备注</w:t>
            </w:r>
          </w:p>
        </w:tc>
      </w:tr>
      <w:tr w14:paraId="11DDB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637" w:type="dxa"/>
            <w:tcBorders>
              <w:left w:val="single" w:color="000000" w:sz="6" w:space="0"/>
            </w:tcBorders>
            <w:vAlign w:val="top"/>
          </w:tcPr>
          <w:p w14:paraId="618DE54E">
            <w:pPr>
              <w:rPr>
                <w:rFonts w:ascii="Arial"/>
                <w:color w:val="auto"/>
                <w:sz w:val="21"/>
                <w:highlight w:val="none"/>
              </w:rPr>
            </w:pPr>
          </w:p>
        </w:tc>
        <w:tc>
          <w:tcPr>
            <w:tcW w:w="1778" w:type="dxa"/>
            <w:vAlign w:val="top"/>
          </w:tcPr>
          <w:p w14:paraId="42CC75F2">
            <w:pPr>
              <w:rPr>
                <w:rFonts w:ascii="Arial"/>
                <w:color w:val="auto"/>
                <w:sz w:val="21"/>
                <w:highlight w:val="none"/>
              </w:rPr>
            </w:pPr>
          </w:p>
        </w:tc>
        <w:tc>
          <w:tcPr>
            <w:tcW w:w="1229" w:type="dxa"/>
            <w:vAlign w:val="top"/>
          </w:tcPr>
          <w:p w14:paraId="53E5F71C">
            <w:pPr>
              <w:rPr>
                <w:rFonts w:ascii="Arial"/>
                <w:color w:val="auto"/>
                <w:sz w:val="21"/>
                <w:highlight w:val="none"/>
              </w:rPr>
            </w:pPr>
          </w:p>
        </w:tc>
        <w:tc>
          <w:tcPr>
            <w:tcW w:w="802" w:type="dxa"/>
            <w:vAlign w:val="top"/>
          </w:tcPr>
          <w:p w14:paraId="253A1266">
            <w:pPr>
              <w:rPr>
                <w:rFonts w:ascii="Arial"/>
                <w:color w:val="auto"/>
                <w:sz w:val="21"/>
                <w:highlight w:val="none"/>
              </w:rPr>
            </w:pPr>
          </w:p>
        </w:tc>
        <w:tc>
          <w:tcPr>
            <w:tcW w:w="1119" w:type="dxa"/>
            <w:vAlign w:val="top"/>
          </w:tcPr>
          <w:p w14:paraId="0E7E5B7A">
            <w:pPr>
              <w:rPr>
                <w:rFonts w:ascii="Arial"/>
                <w:color w:val="auto"/>
                <w:sz w:val="21"/>
                <w:highlight w:val="none"/>
              </w:rPr>
            </w:pPr>
          </w:p>
        </w:tc>
        <w:tc>
          <w:tcPr>
            <w:tcW w:w="1107" w:type="dxa"/>
            <w:vAlign w:val="top"/>
          </w:tcPr>
          <w:p w14:paraId="5C11B7BD">
            <w:pPr>
              <w:rPr>
                <w:rFonts w:ascii="Arial"/>
                <w:color w:val="auto"/>
                <w:sz w:val="21"/>
                <w:highlight w:val="none"/>
              </w:rPr>
            </w:pPr>
          </w:p>
        </w:tc>
        <w:tc>
          <w:tcPr>
            <w:tcW w:w="1557" w:type="dxa"/>
            <w:vAlign w:val="top"/>
          </w:tcPr>
          <w:p w14:paraId="7F50ED5A">
            <w:pPr>
              <w:rPr>
                <w:rFonts w:ascii="Arial"/>
                <w:color w:val="auto"/>
                <w:sz w:val="21"/>
                <w:highlight w:val="none"/>
              </w:rPr>
            </w:pPr>
          </w:p>
        </w:tc>
        <w:tc>
          <w:tcPr>
            <w:tcW w:w="676" w:type="dxa"/>
            <w:tcBorders>
              <w:right w:val="single" w:color="000000" w:sz="6" w:space="0"/>
            </w:tcBorders>
            <w:vAlign w:val="top"/>
          </w:tcPr>
          <w:p w14:paraId="67B4DCB4">
            <w:pPr>
              <w:rPr>
                <w:rFonts w:ascii="Arial"/>
                <w:color w:val="auto"/>
                <w:sz w:val="21"/>
                <w:highlight w:val="none"/>
              </w:rPr>
            </w:pPr>
          </w:p>
        </w:tc>
      </w:tr>
      <w:tr w14:paraId="70DC3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37" w:type="dxa"/>
            <w:tcBorders>
              <w:left w:val="single" w:color="000000" w:sz="6" w:space="0"/>
            </w:tcBorders>
            <w:vAlign w:val="top"/>
          </w:tcPr>
          <w:p w14:paraId="3414B95D">
            <w:pPr>
              <w:rPr>
                <w:rFonts w:ascii="Arial"/>
                <w:color w:val="auto"/>
                <w:sz w:val="21"/>
                <w:highlight w:val="none"/>
              </w:rPr>
            </w:pPr>
          </w:p>
        </w:tc>
        <w:tc>
          <w:tcPr>
            <w:tcW w:w="1778" w:type="dxa"/>
            <w:vAlign w:val="top"/>
          </w:tcPr>
          <w:p w14:paraId="2D870655">
            <w:pPr>
              <w:rPr>
                <w:rFonts w:ascii="Arial"/>
                <w:color w:val="auto"/>
                <w:sz w:val="21"/>
                <w:highlight w:val="none"/>
              </w:rPr>
            </w:pPr>
          </w:p>
        </w:tc>
        <w:tc>
          <w:tcPr>
            <w:tcW w:w="1229" w:type="dxa"/>
            <w:vAlign w:val="top"/>
          </w:tcPr>
          <w:p w14:paraId="27AD0847">
            <w:pPr>
              <w:rPr>
                <w:rFonts w:ascii="Arial"/>
                <w:color w:val="auto"/>
                <w:sz w:val="21"/>
                <w:highlight w:val="none"/>
              </w:rPr>
            </w:pPr>
          </w:p>
        </w:tc>
        <w:tc>
          <w:tcPr>
            <w:tcW w:w="802" w:type="dxa"/>
            <w:vAlign w:val="top"/>
          </w:tcPr>
          <w:p w14:paraId="7B8C0634">
            <w:pPr>
              <w:rPr>
                <w:rFonts w:ascii="Arial"/>
                <w:color w:val="auto"/>
                <w:sz w:val="21"/>
                <w:highlight w:val="none"/>
              </w:rPr>
            </w:pPr>
          </w:p>
        </w:tc>
        <w:tc>
          <w:tcPr>
            <w:tcW w:w="1119" w:type="dxa"/>
            <w:vAlign w:val="top"/>
          </w:tcPr>
          <w:p w14:paraId="12020C43">
            <w:pPr>
              <w:rPr>
                <w:rFonts w:ascii="Arial"/>
                <w:color w:val="auto"/>
                <w:sz w:val="21"/>
                <w:highlight w:val="none"/>
              </w:rPr>
            </w:pPr>
          </w:p>
        </w:tc>
        <w:tc>
          <w:tcPr>
            <w:tcW w:w="1107" w:type="dxa"/>
            <w:vAlign w:val="top"/>
          </w:tcPr>
          <w:p w14:paraId="6A2BC58C">
            <w:pPr>
              <w:rPr>
                <w:rFonts w:ascii="Arial"/>
                <w:color w:val="auto"/>
                <w:sz w:val="21"/>
                <w:highlight w:val="none"/>
              </w:rPr>
            </w:pPr>
          </w:p>
        </w:tc>
        <w:tc>
          <w:tcPr>
            <w:tcW w:w="1557" w:type="dxa"/>
            <w:vAlign w:val="top"/>
          </w:tcPr>
          <w:p w14:paraId="57260EB4">
            <w:pPr>
              <w:rPr>
                <w:rFonts w:ascii="Arial"/>
                <w:color w:val="auto"/>
                <w:sz w:val="21"/>
                <w:highlight w:val="none"/>
              </w:rPr>
            </w:pPr>
          </w:p>
        </w:tc>
        <w:tc>
          <w:tcPr>
            <w:tcW w:w="676" w:type="dxa"/>
            <w:tcBorders>
              <w:right w:val="single" w:color="000000" w:sz="6" w:space="0"/>
            </w:tcBorders>
            <w:vAlign w:val="top"/>
          </w:tcPr>
          <w:p w14:paraId="163483C5">
            <w:pPr>
              <w:rPr>
                <w:rFonts w:ascii="Arial"/>
                <w:color w:val="auto"/>
                <w:sz w:val="21"/>
                <w:highlight w:val="none"/>
              </w:rPr>
            </w:pPr>
          </w:p>
        </w:tc>
      </w:tr>
      <w:tr w14:paraId="60433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637" w:type="dxa"/>
            <w:tcBorders>
              <w:left w:val="single" w:color="000000" w:sz="6" w:space="0"/>
              <w:bottom w:val="single" w:color="000000" w:sz="6" w:space="0"/>
            </w:tcBorders>
            <w:vAlign w:val="top"/>
          </w:tcPr>
          <w:p w14:paraId="0F023611">
            <w:pPr>
              <w:rPr>
                <w:rFonts w:ascii="Arial"/>
                <w:color w:val="auto"/>
                <w:sz w:val="21"/>
                <w:highlight w:val="none"/>
              </w:rPr>
            </w:pPr>
          </w:p>
        </w:tc>
        <w:tc>
          <w:tcPr>
            <w:tcW w:w="1778" w:type="dxa"/>
            <w:tcBorders>
              <w:bottom w:val="single" w:color="000000" w:sz="6" w:space="0"/>
            </w:tcBorders>
            <w:vAlign w:val="top"/>
          </w:tcPr>
          <w:p w14:paraId="086EF760">
            <w:pPr>
              <w:rPr>
                <w:rFonts w:ascii="Arial"/>
                <w:color w:val="auto"/>
                <w:sz w:val="21"/>
                <w:highlight w:val="none"/>
              </w:rPr>
            </w:pPr>
          </w:p>
        </w:tc>
        <w:tc>
          <w:tcPr>
            <w:tcW w:w="1229" w:type="dxa"/>
            <w:tcBorders>
              <w:bottom w:val="single" w:color="000000" w:sz="6" w:space="0"/>
            </w:tcBorders>
            <w:vAlign w:val="top"/>
          </w:tcPr>
          <w:p w14:paraId="3DD07D27">
            <w:pPr>
              <w:rPr>
                <w:rFonts w:ascii="Arial"/>
                <w:color w:val="auto"/>
                <w:sz w:val="21"/>
                <w:highlight w:val="none"/>
              </w:rPr>
            </w:pPr>
          </w:p>
        </w:tc>
        <w:tc>
          <w:tcPr>
            <w:tcW w:w="802" w:type="dxa"/>
            <w:tcBorders>
              <w:bottom w:val="single" w:color="000000" w:sz="6" w:space="0"/>
            </w:tcBorders>
            <w:vAlign w:val="top"/>
          </w:tcPr>
          <w:p w14:paraId="641E1F00">
            <w:pPr>
              <w:rPr>
                <w:rFonts w:ascii="Arial"/>
                <w:color w:val="auto"/>
                <w:sz w:val="21"/>
                <w:highlight w:val="none"/>
              </w:rPr>
            </w:pPr>
          </w:p>
        </w:tc>
        <w:tc>
          <w:tcPr>
            <w:tcW w:w="1119" w:type="dxa"/>
            <w:tcBorders>
              <w:bottom w:val="single" w:color="000000" w:sz="6" w:space="0"/>
            </w:tcBorders>
            <w:vAlign w:val="top"/>
          </w:tcPr>
          <w:p w14:paraId="78A75662">
            <w:pPr>
              <w:rPr>
                <w:rFonts w:ascii="Arial"/>
                <w:color w:val="auto"/>
                <w:sz w:val="21"/>
                <w:highlight w:val="none"/>
              </w:rPr>
            </w:pPr>
          </w:p>
        </w:tc>
        <w:tc>
          <w:tcPr>
            <w:tcW w:w="1107" w:type="dxa"/>
            <w:tcBorders>
              <w:bottom w:val="single" w:color="000000" w:sz="6" w:space="0"/>
            </w:tcBorders>
            <w:vAlign w:val="top"/>
          </w:tcPr>
          <w:p w14:paraId="748BACEF">
            <w:pPr>
              <w:rPr>
                <w:rFonts w:ascii="Arial"/>
                <w:color w:val="auto"/>
                <w:sz w:val="21"/>
                <w:highlight w:val="none"/>
              </w:rPr>
            </w:pPr>
          </w:p>
        </w:tc>
        <w:tc>
          <w:tcPr>
            <w:tcW w:w="1557" w:type="dxa"/>
            <w:tcBorders>
              <w:bottom w:val="single" w:color="000000" w:sz="6" w:space="0"/>
            </w:tcBorders>
            <w:vAlign w:val="top"/>
          </w:tcPr>
          <w:p w14:paraId="5AE7D954">
            <w:pPr>
              <w:rPr>
                <w:rFonts w:ascii="Arial"/>
                <w:color w:val="auto"/>
                <w:sz w:val="21"/>
                <w:highlight w:val="none"/>
              </w:rPr>
            </w:pPr>
          </w:p>
        </w:tc>
        <w:tc>
          <w:tcPr>
            <w:tcW w:w="676" w:type="dxa"/>
            <w:tcBorders>
              <w:bottom w:val="single" w:color="000000" w:sz="6" w:space="0"/>
              <w:right w:val="single" w:color="000000" w:sz="6" w:space="0"/>
            </w:tcBorders>
            <w:vAlign w:val="top"/>
          </w:tcPr>
          <w:p w14:paraId="1A1ECC3F">
            <w:pPr>
              <w:rPr>
                <w:rFonts w:ascii="Arial"/>
                <w:color w:val="auto"/>
                <w:sz w:val="21"/>
                <w:highlight w:val="none"/>
              </w:rPr>
            </w:pPr>
          </w:p>
        </w:tc>
      </w:tr>
    </w:tbl>
    <w:p w14:paraId="19AA637D">
      <w:pPr>
        <w:pStyle w:val="3"/>
        <w:rPr>
          <w:color w:val="auto"/>
          <w:highlight w:val="none"/>
        </w:rPr>
      </w:pPr>
    </w:p>
    <w:p w14:paraId="5DC07583">
      <w:pPr>
        <w:pStyle w:val="3"/>
        <w:rPr>
          <w:color w:val="auto"/>
          <w:highlight w:val="none"/>
        </w:rPr>
      </w:pPr>
    </w:p>
    <w:p w14:paraId="1035BC05">
      <w:pPr>
        <w:spacing w:before="91" w:line="220" w:lineRule="auto"/>
        <w:ind w:left="10"/>
        <w:outlineLvl w:val="0"/>
        <w:rPr>
          <w:rFonts w:ascii="宋体" w:hAnsi="宋体" w:eastAsia="宋体" w:cs="宋体"/>
          <w:color w:val="auto"/>
          <w:sz w:val="28"/>
          <w:szCs w:val="28"/>
          <w:highlight w:val="none"/>
        </w:rPr>
      </w:pPr>
      <w:bookmarkStart w:id="852" w:name="bookmark332"/>
      <w:bookmarkEnd w:id="852"/>
      <w:bookmarkStart w:id="853" w:name="bookmark333"/>
      <w:bookmarkEnd w:id="853"/>
      <w:bookmarkStart w:id="854" w:name="_Toc21831"/>
      <w:bookmarkStart w:id="855" w:name="_Toc32666"/>
      <w:r>
        <w:rPr>
          <w:rFonts w:ascii="Times New Roman" w:hAnsi="Times New Roman" w:eastAsia="Times New Roman" w:cs="Times New Roman"/>
          <w:b/>
          <w:bCs/>
          <w:color w:val="auto"/>
          <w:spacing w:val="-3"/>
          <w:sz w:val="28"/>
          <w:szCs w:val="28"/>
          <w:highlight w:val="none"/>
        </w:rPr>
        <w:t>6</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施工设备和临时设施</w:t>
      </w:r>
      <w:bookmarkEnd w:id="854"/>
      <w:bookmarkEnd w:id="855"/>
    </w:p>
    <w:p w14:paraId="539C6893">
      <w:pPr>
        <w:pStyle w:val="3"/>
        <w:spacing w:line="245" w:lineRule="auto"/>
        <w:rPr>
          <w:color w:val="auto"/>
          <w:highlight w:val="none"/>
        </w:rPr>
      </w:pPr>
    </w:p>
    <w:p w14:paraId="34E3C6F5">
      <w:pPr>
        <w:spacing w:before="78" w:line="219" w:lineRule="auto"/>
        <w:ind w:left="8"/>
        <w:outlineLvl w:val="1"/>
        <w:rPr>
          <w:rFonts w:ascii="宋体" w:hAnsi="宋体" w:eastAsia="宋体" w:cs="宋体"/>
          <w:color w:val="auto"/>
          <w:sz w:val="24"/>
          <w:szCs w:val="24"/>
          <w:highlight w:val="none"/>
        </w:rPr>
      </w:pPr>
      <w:bookmarkStart w:id="856" w:name="bookmark717"/>
      <w:bookmarkEnd w:id="856"/>
      <w:bookmarkStart w:id="857" w:name="_Toc1004"/>
      <w:bookmarkStart w:id="858" w:name="_Toc32548"/>
      <w:r>
        <w:rPr>
          <w:rFonts w:ascii="Times New Roman" w:hAnsi="Times New Roman" w:eastAsia="Times New Roman" w:cs="Times New Roman"/>
          <w:b/>
          <w:bCs/>
          <w:color w:val="auto"/>
          <w:spacing w:val="-2"/>
          <w:sz w:val="24"/>
          <w:szCs w:val="24"/>
          <w:highlight w:val="none"/>
        </w:rPr>
        <w:t xml:space="preserve">6.2  </w:t>
      </w:r>
      <w:r>
        <w:rPr>
          <w:rFonts w:ascii="宋体" w:hAnsi="宋体" w:eastAsia="宋体" w:cs="宋体"/>
          <w:b/>
          <w:bCs/>
          <w:color w:val="auto"/>
          <w:spacing w:val="-2"/>
          <w:sz w:val="24"/>
          <w:szCs w:val="24"/>
          <w:highlight w:val="none"/>
        </w:rPr>
        <w:t>发包人提供的施工设备和临时设施</w:t>
      </w:r>
      <w:bookmarkEnd w:id="857"/>
      <w:bookmarkEnd w:id="858"/>
    </w:p>
    <w:p w14:paraId="64E3E3A1">
      <w:pPr>
        <w:spacing w:before="183" w:line="219" w:lineRule="auto"/>
        <w:ind w:left="49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）发包人提供的施工设备见下表：</w:t>
      </w:r>
    </w:p>
    <w:p w14:paraId="422327A1">
      <w:pPr>
        <w:spacing w:before="175" w:line="220" w:lineRule="auto"/>
        <w:ind w:left="2831"/>
        <w:rPr>
          <w:rFonts w:ascii="宋体" w:hAnsi="宋体" w:eastAsia="宋体" w:cs="宋体"/>
          <w:color w:val="auto"/>
          <w:sz w:val="21"/>
          <w:szCs w:val="21"/>
          <w:highlight w:val="none"/>
        </w:rPr>
      </w:pPr>
      <w:r>
        <w:rPr>
          <w:rFonts w:ascii="宋体" w:hAnsi="宋体" w:eastAsia="宋体" w:cs="宋体"/>
          <w:b/>
          <w:bCs/>
          <w:color w:val="auto"/>
          <w:spacing w:val="-3"/>
          <w:sz w:val="21"/>
          <w:szCs w:val="21"/>
          <w:highlight w:val="none"/>
        </w:rPr>
        <w:t>发包人提供的施工设备表（参考格式）</w:t>
      </w:r>
    </w:p>
    <w:p w14:paraId="674FB960">
      <w:pPr>
        <w:spacing w:line="128" w:lineRule="exact"/>
        <w:rPr>
          <w:color w:val="auto"/>
          <w:highlight w:val="none"/>
        </w:rPr>
      </w:pPr>
    </w:p>
    <w:tbl>
      <w:tblPr>
        <w:tblStyle w:val="16"/>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1536"/>
        <w:gridCol w:w="1325"/>
        <w:gridCol w:w="1215"/>
        <w:gridCol w:w="707"/>
        <w:gridCol w:w="1107"/>
        <w:gridCol w:w="1557"/>
        <w:gridCol w:w="675"/>
      </w:tblGrid>
      <w:tr w14:paraId="18300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83" w:type="dxa"/>
            <w:tcBorders>
              <w:top w:val="single" w:color="000000" w:sz="6" w:space="0"/>
              <w:left w:val="single" w:color="000000" w:sz="6" w:space="0"/>
            </w:tcBorders>
            <w:vAlign w:val="top"/>
          </w:tcPr>
          <w:p w14:paraId="48818072">
            <w:pPr>
              <w:pStyle w:val="17"/>
              <w:spacing w:before="125" w:line="222" w:lineRule="auto"/>
              <w:ind w:left="179"/>
              <w:rPr>
                <w:color w:val="auto"/>
                <w:sz w:val="21"/>
                <w:szCs w:val="21"/>
                <w:highlight w:val="none"/>
              </w:rPr>
            </w:pPr>
            <w:r>
              <w:rPr>
                <w:color w:val="auto"/>
                <w:spacing w:val="-2"/>
                <w:sz w:val="21"/>
                <w:szCs w:val="21"/>
                <w:highlight w:val="none"/>
              </w:rPr>
              <w:t>序号</w:t>
            </w:r>
          </w:p>
        </w:tc>
        <w:tc>
          <w:tcPr>
            <w:tcW w:w="1536" w:type="dxa"/>
            <w:tcBorders>
              <w:top w:val="single" w:color="000000" w:sz="6" w:space="0"/>
            </w:tcBorders>
            <w:vAlign w:val="top"/>
          </w:tcPr>
          <w:p w14:paraId="447DCD34">
            <w:pPr>
              <w:pStyle w:val="17"/>
              <w:spacing w:before="125" w:line="222" w:lineRule="auto"/>
              <w:ind w:left="138"/>
              <w:rPr>
                <w:color w:val="auto"/>
                <w:sz w:val="21"/>
                <w:szCs w:val="21"/>
                <w:highlight w:val="none"/>
              </w:rPr>
            </w:pPr>
            <w:r>
              <w:rPr>
                <w:color w:val="auto"/>
                <w:spacing w:val="-1"/>
                <w:sz w:val="21"/>
                <w:szCs w:val="21"/>
                <w:highlight w:val="none"/>
              </w:rPr>
              <w:t>施工设备名称</w:t>
            </w:r>
          </w:p>
        </w:tc>
        <w:tc>
          <w:tcPr>
            <w:tcW w:w="1325" w:type="dxa"/>
            <w:tcBorders>
              <w:top w:val="single" w:color="000000" w:sz="6" w:space="0"/>
            </w:tcBorders>
            <w:vAlign w:val="top"/>
          </w:tcPr>
          <w:p w14:paraId="24E8C82E">
            <w:pPr>
              <w:pStyle w:val="17"/>
              <w:spacing w:before="124" w:line="221" w:lineRule="auto"/>
              <w:ind w:left="145"/>
              <w:rPr>
                <w:color w:val="auto"/>
                <w:sz w:val="21"/>
                <w:szCs w:val="21"/>
                <w:highlight w:val="none"/>
              </w:rPr>
            </w:pPr>
            <w:r>
              <w:rPr>
                <w:color w:val="auto"/>
                <w:spacing w:val="-3"/>
                <w:sz w:val="21"/>
                <w:szCs w:val="21"/>
                <w:highlight w:val="none"/>
              </w:rPr>
              <w:t>型号及规格</w:t>
            </w:r>
          </w:p>
        </w:tc>
        <w:tc>
          <w:tcPr>
            <w:tcW w:w="1215" w:type="dxa"/>
            <w:tcBorders>
              <w:top w:val="single" w:color="000000" w:sz="6" w:space="0"/>
            </w:tcBorders>
            <w:vAlign w:val="top"/>
          </w:tcPr>
          <w:p w14:paraId="0FF103E9">
            <w:pPr>
              <w:pStyle w:val="17"/>
              <w:spacing w:before="124" w:line="221" w:lineRule="auto"/>
              <w:ind w:left="195"/>
              <w:rPr>
                <w:color w:val="auto"/>
                <w:sz w:val="21"/>
                <w:szCs w:val="21"/>
                <w:highlight w:val="none"/>
              </w:rPr>
            </w:pPr>
            <w:r>
              <w:rPr>
                <w:color w:val="auto"/>
                <w:spacing w:val="-3"/>
                <w:sz w:val="21"/>
                <w:szCs w:val="21"/>
                <w:highlight w:val="none"/>
              </w:rPr>
              <w:t>设备状况</w:t>
            </w:r>
          </w:p>
        </w:tc>
        <w:tc>
          <w:tcPr>
            <w:tcW w:w="707" w:type="dxa"/>
            <w:tcBorders>
              <w:top w:val="single" w:color="000000" w:sz="6" w:space="0"/>
            </w:tcBorders>
            <w:vAlign w:val="top"/>
          </w:tcPr>
          <w:p w14:paraId="66680F0C">
            <w:pPr>
              <w:pStyle w:val="17"/>
              <w:spacing w:before="124" w:line="221" w:lineRule="auto"/>
              <w:ind w:left="152"/>
              <w:rPr>
                <w:color w:val="auto"/>
                <w:sz w:val="21"/>
                <w:szCs w:val="21"/>
                <w:highlight w:val="none"/>
              </w:rPr>
            </w:pPr>
            <w:r>
              <w:rPr>
                <w:color w:val="auto"/>
                <w:spacing w:val="-2"/>
                <w:sz w:val="21"/>
                <w:szCs w:val="21"/>
                <w:highlight w:val="none"/>
              </w:rPr>
              <w:t>数量</w:t>
            </w:r>
          </w:p>
        </w:tc>
        <w:tc>
          <w:tcPr>
            <w:tcW w:w="1107" w:type="dxa"/>
            <w:tcBorders>
              <w:top w:val="single" w:color="000000" w:sz="6" w:space="0"/>
            </w:tcBorders>
            <w:vAlign w:val="top"/>
          </w:tcPr>
          <w:p w14:paraId="7451213A">
            <w:pPr>
              <w:pStyle w:val="17"/>
              <w:spacing w:before="125" w:line="222" w:lineRule="auto"/>
              <w:ind w:left="142"/>
              <w:rPr>
                <w:color w:val="auto"/>
                <w:sz w:val="21"/>
                <w:szCs w:val="21"/>
                <w:highlight w:val="none"/>
              </w:rPr>
            </w:pPr>
            <w:r>
              <w:rPr>
                <w:color w:val="auto"/>
                <w:spacing w:val="-2"/>
                <w:sz w:val="21"/>
                <w:szCs w:val="21"/>
                <w:highlight w:val="none"/>
              </w:rPr>
              <w:t>移交地点</w:t>
            </w:r>
          </w:p>
        </w:tc>
        <w:tc>
          <w:tcPr>
            <w:tcW w:w="1557" w:type="dxa"/>
            <w:tcBorders>
              <w:top w:val="single" w:color="000000" w:sz="6" w:space="0"/>
            </w:tcBorders>
            <w:vAlign w:val="top"/>
          </w:tcPr>
          <w:p w14:paraId="2DFB9A0C">
            <w:pPr>
              <w:pStyle w:val="17"/>
              <w:spacing w:before="125" w:line="221" w:lineRule="auto"/>
              <w:ind w:left="158"/>
              <w:rPr>
                <w:color w:val="auto"/>
                <w:sz w:val="21"/>
                <w:szCs w:val="21"/>
                <w:highlight w:val="none"/>
              </w:rPr>
            </w:pPr>
            <w:r>
              <w:rPr>
                <w:color w:val="auto"/>
                <w:spacing w:val="-1"/>
                <w:sz w:val="21"/>
                <w:szCs w:val="21"/>
                <w:highlight w:val="none"/>
              </w:rPr>
              <w:t>计划移交日期</w:t>
            </w:r>
          </w:p>
        </w:tc>
        <w:tc>
          <w:tcPr>
            <w:tcW w:w="675" w:type="dxa"/>
            <w:tcBorders>
              <w:top w:val="single" w:color="000000" w:sz="6" w:space="0"/>
              <w:right w:val="single" w:color="000000" w:sz="6" w:space="0"/>
            </w:tcBorders>
            <w:vAlign w:val="top"/>
          </w:tcPr>
          <w:p w14:paraId="0061CA89">
            <w:pPr>
              <w:pStyle w:val="17"/>
              <w:spacing w:before="125" w:line="222" w:lineRule="auto"/>
              <w:ind w:left="137"/>
              <w:rPr>
                <w:color w:val="auto"/>
                <w:sz w:val="21"/>
                <w:szCs w:val="21"/>
                <w:highlight w:val="none"/>
              </w:rPr>
            </w:pPr>
            <w:r>
              <w:rPr>
                <w:color w:val="auto"/>
                <w:spacing w:val="-3"/>
                <w:sz w:val="21"/>
                <w:szCs w:val="21"/>
                <w:highlight w:val="none"/>
              </w:rPr>
              <w:t>备注</w:t>
            </w:r>
          </w:p>
        </w:tc>
      </w:tr>
      <w:tr w14:paraId="01114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83" w:type="dxa"/>
            <w:tcBorders>
              <w:left w:val="single" w:color="000000" w:sz="6" w:space="0"/>
            </w:tcBorders>
            <w:vAlign w:val="top"/>
          </w:tcPr>
          <w:p w14:paraId="7578A785">
            <w:pPr>
              <w:rPr>
                <w:rFonts w:ascii="Arial"/>
                <w:color w:val="auto"/>
                <w:sz w:val="21"/>
                <w:highlight w:val="none"/>
              </w:rPr>
            </w:pPr>
          </w:p>
        </w:tc>
        <w:tc>
          <w:tcPr>
            <w:tcW w:w="1536" w:type="dxa"/>
            <w:vAlign w:val="top"/>
          </w:tcPr>
          <w:p w14:paraId="418364E6">
            <w:pPr>
              <w:rPr>
                <w:rFonts w:ascii="Arial"/>
                <w:color w:val="auto"/>
                <w:sz w:val="21"/>
                <w:highlight w:val="none"/>
              </w:rPr>
            </w:pPr>
          </w:p>
        </w:tc>
        <w:tc>
          <w:tcPr>
            <w:tcW w:w="1325" w:type="dxa"/>
            <w:vAlign w:val="top"/>
          </w:tcPr>
          <w:p w14:paraId="168CE7E3">
            <w:pPr>
              <w:rPr>
                <w:rFonts w:ascii="Arial"/>
                <w:color w:val="auto"/>
                <w:sz w:val="21"/>
                <w:highlight w:val="none"/>
              </w:rPr>
            </w:pPr>
          </w:p>
        </w:tc>
        <w:tc>
          <w:tcPr>
            <w:tcW w:w="1215" w:type="dxa"/>
            <w:vAlign w:val="top"/>
          </w:tcPr>
          <w:p w14:paraId="672B34FF">
            <w:pPr>
              <w:rPr>
                <w:rFonts w:ascii="Arial"/>
                <w:color w:val="auto"/>
                <w:sz w:val="21"/>
                <w:highlight w:val="none"/>
              </w:rPr>
            </w:pPr>
          </w:p>
        </w:tc>
        <w:tc>
          <w:tcPr>
            <w:tcW w:w="707" w:type="dxa"/>
            <w:vAlign w:val="top"/>
          </w:tcPr>
          <w:p w14:paraId="10038CDF">
            <w:pPr>
              <w:rPr>
                <w:rFonts w:ascii="Arial"/>
                <w:color w:val="auto"/>
                <w:sz w:val="21"/>
                <w:highlight w:val="none"/>
              </w:rPr>
            </w:pPr>
          </w:p>
        </w:tc>
        <w:tc>
          <w:tcPr>
            <w:tcW w:w="1107" w:type="dxa"/>
            <w:vAlign w:val="top"/>
          </w:tcPr>
          <w:p w14:paraId="3B9E2362">
            <w:pPr>
              <w:rPr>
                <w:rFonts w:ascii="Arial"/>
                <w:color w:val="auto"/>
                <w:sz w:val="21"/>
                <w:highlight w:val="none"/>
              </w:rPr>
            </w:pPr>
          </w:p>
        </w:tc>
        <w:tc>
          <w:tcPr>
            <w:tcW w:w="1557" w:type="dxa"/>
            <w:vAlign w:val="top"/>
          </w:tcPr>
          <w:p w14:paraId="15CE33BB">
            <w:pPr>
              <w:rPr>
                <w:rFonts w:ascii="Arial"/>
                <w:color w:val="auto"/>
                <w:sz w:val="21"/>
                <w:highlight w:val="none"/>
              </w:rPr>
            </w:pPr>
          </w:p>
        </w:tc>
        <w:tc>
          <w:tcPr>
            <w:tcW w:w="675" w:type="dxa"/>
            <w:tcBorders>
              <w:right w:val="single" w:color="000000" w:sz="6" w:space="0"/>
            </w:tcBorders>
            <w:vAlign w:val="top"/>
          </w:tcPr>
          <w:p w14:paraId="7CE92F69">
            <w:pPr>
              <w:rPr>
                <w:rFonts w:ascii="Arial"/>
                <w:color w:val="auto"/>
                <w:sz w:val="21"/>
                <w:highlight w:val="none"/>
              </w:rPr>
            </w:pPr>
          </w:p>
        </w:tc>
      </w:tr>
      <w:tr w14:paraId="1ED5F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83" w:type="dxa"/>
            <w:tcBorders>
              <w:left w:val="single" w:color="000000" w:sz="6" w:space="0"/>
            </w:tcBorders>
            <w:vAlign w:val="top"/>
          </w:tcPr>
          <w:p w14:paraId="2135A3C7">
            <w:pPr>
              <w:rPr>
                <w:rFonts w:ascii="Arial"/>
                <w:color w:val="auto"/>
                <w:sz w:val="21"/>
                <w:highlight w:val="none"/>
              </w:rPr>
            </w:pPr>
          </w:p>
        </w:tc>
        <w:tc>
          <w:tcPr>
            <w:tcW w:w="1536" w:type="dxa"/>
            <w:vAlign w:val="top"/>
          </w:tcPr>
          <w:p w14:paraId="296651FF">
            <w:pPr>
              <w:rPr>
                <w:rFonts w:ascii="Arial"/>
                <w:color w:val="auto"/>
                <w:sz w:val="21"/>
                <w:highlight w:val="none"/>
              </w:rPr>
            </w:pPr>
          </w:p>
        </w:tc>
        <w:tc>
          <w:tcPr>
            <w:tcW w:w="1325" w:type="dxa"/>
            <w:vAlign w:val="top"/>
          </w:tcPr>
          <w:p w14:paraId="385B18A3">
            <w:pPr>
              <w:rPr>
                <w:rFonts w:ascii="Arial"/>
                <w:color w:val="auto"/>
                <w:sz w:val="21"/>
                <w:highlight w:val="none"/>
              </w:rPr>
            </w:pPr>
          </w:p>
        </w:tc>
        <w:tc>
          <w:tcPr>
            <w:tcW w:w="1215" w:type="dxa"/>
            <w:vAlign w:val="top"/>
          </w:tcPr>
          <w:p w14:paraId="1CA57BA2">
            <w:pPr>
              <w:rPr>
                <w:rFonts w:ascii="Arial"/>
                <w:color w:val="auto"/>
                <w:sz w:val="21"/>
                <w:highlight w:val="none"/>
              </w:rPr>
            </w:pPr>
          </w:p>
        </w:tc>
        <w:tc>
          <w:tcPr>
            <w:tcW w:w="707" w:type="dxa"/>
            <w:vAlign w:val="top"/>
          </w:tcPr>
          <w:p w14:paraId="3D19A8F1">
            <w:pPr>
              <w:rPr>
                <w:rFonts w:ascii="Arial"/>
                <w:color w:val="auto"/>
                <w:sz w:val="21"/>
                <w:highlight w:val="none"/>
              </w:rPr>
            </w:pPr>
          </w:p>
        </w:tc>
        <w:tc>
          <w:tcPr>
            <w:tcW w:w="1107" w:type="dxa"/>
            <w:vAlign w:val="top"/>
          </w:tcPr>
          <w:p w14:paraId="714DDA0D">
            <w:pPr>
              <w:rPr>
                <w:rFonts w:ascii="Arial"/>
                <w:color w:val="auto"/>
                <w:sz w:val="21"/>
                <w:highlight w:val="none"/>
              </w:rPr>
            </w:pPr>
          </w:p>
        </w:tc>
        <w:tc>
          <w:tcPr>
            <w:tcW w:w="1557" w:type="dxa"/>
            <w:vAlign w:val="top"/>
          </w:tcPr>
          <w:p w14:paraId="045998DB">
            <w:pPr>
              <w:rPr>
                <w:rFonts w:ascii="Arial"/>
                <w:color w:val="auto"/>
                <w:sz w:val="21"/>
                <w:highlight w:val="none"/>
              </w:rPr>
            </w:pPr>
          </w:p>
        </w:tc>
        <w:tc>
          <w:tcPr>
            <w:tcW w:w="675" w:type="dxa"/>
            <w:tcBorders>
              <w:right w:val="single" w:color="000000" w:sz="6" w:space="0"/>
            </w:tcBorders>
            <w:vAlign w:val="top"/>
          </w:tcPr>
          <w:p w14:paraId="120D3DDD">
            <w:pPr>
              <w:rPr>
                <w:rFonts w:ascii="Arial"/>
                <w:color w:val="auto"/>
                <w:sz w:val="21"/>
                <w:highlight w:val="none"/>
              </w:rPr>
            </w:pPr>
          </w:p>
        </w:tc>
      </w:tr>
      <w:tr w14:paraId="08990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783" w:type="dxa"/>
            <w:tcBorders>
              <w:left w:val="single" w:color="000000" w:sz="6" w:space="0"/>
              <w:bottom w:val="single" w:color="000000" w:sz="6" w:space="0"/>
            </w:tcBorders>
            <w:vAlign w:val="top"/>
          </w:tcPr>
          <w:p w14:paraId="35A6D68A">
            <w:pPr>
              <w:rPr>
                <w:rFonts w:ascii="Arial"/>
                <w:color w:val="auto"/>
                <w:sz w:val="21"/>
                <w:highlight w:val="none"/>
              </w:rPr>
            </w:pPr>
          </w:p>
        </w:tc>
        <w:tc>
          <w:tcPr>
            <w:tcW w:w="1536" w:type="dxa"/>
            <w:tcBorders>
              <w:bottom w:val="single" w:color="000000" w:sz="6" w:space="0"/>
            </w:tcBorders>
            <w:vAlign w:val="top"/>
          </w:tcPr>
          <w:p w14:paraId="11668AA7">
            <w:pPr>
              <w:rPr>
                <w:rFonts w:ascii="Arial"/>
                <w:color w:val="auto"/>
                <w:sz w:val="21"/>
                <w:highlight w:val="none"/>
              </w:rPr>
            </w:pPr>
          </w:p>
        </w:tc>
        <w:tc>
          <w:tcPr>
            <w:tcW w:w="1325" w:type="dxa"/>
            <w:tcBorders>
              <w:bottom w:val="single" w:color="000000" w:sz="6" w:space="0"/>
            </w:tcBorders>
            <w:vAlign w:val="top"/>
          </w:tcPr>
          <w:p w14:paraId="36E315D3">
            <w:pPr>
              <w:rPr>
                <w:rFonts w:ascii="Arial"/>
                <w:color w:val="auto"/>
                <w:sz w:val="21"/>
                <w:highlight w:val="none"/>
              </w:rPr>
            </w:pPr>
          </w:p>
        </w:tc>
        <w:tc>
          <w:tcPr>
            <w:tcW w:w="1215" w:type="dxa"/>
            <w:tcBorders>
              <w:bottom w:val="single" w:color="000000" w:sz="6" w:space="0"/>
            </w:tcBorders>
            <w:vAlign w:val="top"/>
          </w:tcPr>
          <w:p w14:paraId="546E67B8">
            <w:pPr>
              <w:rPr>
                <w:rFonts w:ascii="Arial"/>
                <w:color w:val="auto"/>
                <w:sz w:val="21"/>
                <w:highlight w:val="none"/>
              </w:rPr>
            </w:pPr>
          </w:p>
        </w:tc>
        <w:tc>
          <w:tcPr>
            <w:tcW w:w="707" w:type="dxa"/>
            <w:tcBorders>
              <w:bottom w:val="single" w:color="000000" w:sz="6" w:space="0"/>
            </w:tcBorders>
            <w:vAlign w:val="top"/>
          </w:tcPr>
          <w:p w14:paraId="77F84DB8">
            <w:pPr>
              <w:rPr>
                <w:rFonts w:ascii="Arial"/>
                <w:color w:val="auto"/>
                <w:sz w:val="21"/>
                <w:highlight w:val="none"/>
              </w:rPr>
            </w:pPr>
          </w:p>
        </w:tc>
        <w:tc>
          <w:tcPr>
            <w:tcW w:w="1107" w:type="dxa"/>
            <w:tcBorders>
              <w:bottom w:val="single" w:color="000000" w:sz="6" w:space="0"/>
            </w:tcBorders>
            <w:vAlign w:val="top"/>
          </w:tcPr>
          <w:p w14:paraId="3DBC71C5">
            <w:pPr>
              <w:rPr>
                <w:rFonts w:ascii="Arial"/>
                <w:color w:val="auto"/>
                <w:sz w:val="21"/>
                <w:highlight w:val="none"/>
              </w:rPr>
            </w:pPr>
          </w:p>
        </w:tc>
        <w:tc>
          <w:tcPr>
            <w:tcW w:w="1557" w:type="dxa"/>
            <w:tcBorders>
              <w:bottom w:val="single" w:color="000000" w:sz="6" w:space="0"/>
            </w:tcBorders>
            <w:vAlign w:val="top"/>
          </w:tcPr>
          <w:p w14:paraId="489E470C">
            <w:pPr>
              <w:rPr>
                <w:rFonts w:ascii="Arial"/>
                <w:color w:val="auto"/>
                <w:sz w:val="21"/>
                <w:highlight w:val="none"/>
              </w:rPr>
            </w:pPr>
          </w:p>
        </w:tc>
        <w:tc>
          <w:tcPr>
            <w:tcW w:w="675" w:type="dxa"/>
            <w:tcBorders>
              <w:bottom w:val="single" w:color="000000" w:sz="6" w:space="0"/>
              <w:right w:val="single" w:color="000000" w:sz="6" w:space="0"/>
            </w:tcBorders>
            <w:vAlign w:val="top"/>
          </w:tcPr>
          <w:p w14:paraId="3EE283A0">
            <w:pPr>
              <w:rPr>
                <w:rFonts w:ascii="Arial"/>
                <w:color w:val="auto"/>
                <w:sz w:val="21"/>
                <w:highlight w:val="none"/>
              </w:rPr>
            </w:pPr>
          </w:p>
        </w:tc>
      </w:tr>
    </w:tbl>
    <w:p w14:paraId="6661EF85">
      <w:pPr>
        <w:spacing w:before="29" w:line="221" w:lineRule="auto"/>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注：设备状况栏内填写该设备的新旧程度、购进时间、已使用小时数和最近一次大修时间。</w:t>
      </w:r>
    </w:p>
    <w:p w14:paraId="789DF0C1">
      <w:pPr>
        <w:pStyle w:val="3"/>
        <w:spacing w:line="325" w:lineRule="auto"/>
        <w:rPr>
          <w:color w:val="auto"/>
          <w:highlight w:val="none"/>
        </w:rPr>
      </w:pPr>
    </w:p>
    <w:p w14:paraId="6016046D">
      <w:pPr>
        <w:keepNext w:val="0"/>
        <w:keepLines w:val="0"/>
        <w:pageBreakBefore w:val="0"/>
        <w:widowControl/>
        <w:numPr>
          <w:ilvl w:val="0"/>
          <w:numId w:val="2"/>
        </w:numPr>
        <w:kinsoku w:val="0"/>
        <w:wordWrap/>
        <w:overflowPunct/>
        <w:topLinePunct w:val="0"/>
        <w:autoSpaceDE w:val="0"/>
        <w:autoSpaceDN w:val="0"/>
        <w:bidi w:val="0"/>
        <w:adjustRightInd w:val="0"/>
        <w:snapToGrid w:val="0"/>
        <w:spacing w:before="79" w:line="308" w:lineRule="auto"/>
        <w:ind w:left="495"/>
        <w:textAlignment w:val="baseline"/>
        <w:rPr>
          <w:rFonts w:hint="eastAsia" w:ascii="宋体" w:hAnsi="宋体" w:eastAsia="宋体" w:cs="宋体"/>
          <w:color w:val="auto"/>
          <w:spacing w:val="-1"/>
          <w:sz w:val="24"/>
          <w:szCs w:val="24"/>
          <w:highlight w:val="none"/>
          <w:u w:val="single" w:color="auto"/>
        </w:rPr>
      </w:pPr>
      <w:r>
        <w:rPr>
          <w:rFonts w:ascii="宋体" w:hAnsi="宋体" w:eastAsia="宋体" w:cs="宋体"/>
          <w:color w:val="auto"/>
          <w:spacing w:val="-1"/>
          <w:sz w:val="24"/>
          <w:szCs w:val="24"/>
          <w:highlight w:val="none"/>
        </w:rPr>
        <w:t>发包人提供的临时设施：</w:t>
      </w:r>
      <w:r>
        <w:rPr>
          <w:rFonts w:hint="eastAsia" w:ascii="宋体" w:hAnsi="宋体" w:eastAsia="宋体" w:cs="宋体"/>
          <w:color w:val="auto"/>
          <w:spacing w:val="-1"/>
          <w:sz w:val="24"/>
          <w:szCs w:val="24"/>
          <w:highlight w:val="none"/>
          <w:u w:val="single" w:color="auto"/>
        </w:rPr>
        <w:t>发包人不提供临时设施，均由承包人自行解决，</w:t>
      </w:r>
    </w:p>
    <w:p w14:paraId="752FED2C">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79" w:line="308" w:lineRule="auto"/>
        <w:textAlignment w:val="baseline"/>
        <w:rPr>
          <w:rFonts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u w:val="single" w:color="auto"/>
        </w:rPr>
        <w:t>费用由承包人负责，包括道路及场外设施的修建、使用、维护及政策处理费用等</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0CEA7D35">
      <w:pPr>
        <w:spacing w:before="307" w:line="220" w:lineRule="auto"/>
        <w:ind w:left="9"/>
        <w:outlineLvl w:val="0"/>
        <w:rPr>
          <w:rFonts w:ascii="宋体" w:hAnsi="宋体" w:eastAsia="宋体" w:cs="宋体"/>
          <w:color w:val="auto"/>
          <w:sz w:val="28"/>
          <w:szCs w:val="28"/>
          <w:highlight w:val="none"/>
        </w:rPr>
      </w:pPr>
      <w:bookmarkStart w:id="859" w:name="bookmark335"/>
      <w:bookmarkEnd w:id="859"/>
      <w:bookmarkStart w:id="860" w:name="bookmark334"/>
      <w:bookmarkEnd w:id="860"/>
      <w:bookmarkStart w:id="861" w:name="_Toc21373"/>
      <w:bookmarkStart w:id="862" w:name="_Toc13167"/>
      <w:r>
        <w:rPr>
          <w:rFonts w:ascii="Times New Roman" w:hAnsi="Times New Roman" w:eastAsia="Times New Roman" w:cs="Times New Roman"/>
          <w:b/>
          <w:bCs/>
          <w:color w:val="auto"/>
          <w:spacing w:val="-7"/>
          <w:sz w:val="28"/>
          <w:szCs w:val="28"/>
          <w:highlight w:val="none"/>
        </w:rPr>
        <w:t>7</w:t>
      </w:r>
      <w:r>
        <w:rPr>
          <w:rFonts w:hint="eastAsia" w:ascii="Times New Roman" w:hAnsi="Times New Roman" w:eastAsia="宋体" w:cs="Times New Roman"/>
          <w:b/>
          <w:bCs/>
          <w:color w:val="auto"/>
          <w:spacing w:val="10"/>
          <w:sz w:val="28"/>
          <w:szCs w:val="28"/>
          <w:highlight w:val="none"/>
          <w:lang w:eastAsia="zh-CN"/>
        </w:rPr>
        <w:t>、</w:t>
      </w:r>
      <w:r>
        <w:rPr>
          <w:rFonts w:ascii="宋体" w:hAnsi="宋体" w:eastAsia="宋体" w:cs="宋体"/>
          <w:b/>
          <w:bCs/>
          <w:color w:val="auto"/>
          <w:spacing w:val="-7"/>
          <w:sz w:val="28"/>
          <w:szCs w:val="28"/>
          <w:highlight w:val="none"/>
        </w:rPr>
        <w:t>交通运输</w:t>
      </w:r>
      <w:bookmarkEnd w:id="861"/>
      <w:bookmarkEnd w:id="862"/>
    </w:p>
    <w:p w14:paraId="1BF310B5">
      <w:pPr>
        <w:pStyle w:val="3"/>
        <w:spacing w:line="245" w:lineRule="auto"/>
        <w:rPr>
          <w:color w:val="auto"/>
          <w:highlight w:val="none"/>
        </w:rPr>
      </w:pPr>
    </w:p>
    <w:p w14:paraId="7153FBE1">
      <w:pPr>
        <w:spacing w:before="78" w:line="220" w:lineRule="auto"/>
        <w:ind w:left="8"/>
        <w:outlineLvl w:val="1"/>
        <w:rPr>
          <w:rFonts w:ascii="宋体" w:hAnsi="宋体" w:eastAsia="宋体" w:cs="宋体"/>
          <w:color w:val="auto"/>
          <w:sz w:val="24"/>
          <w:szCs w:val="24"/>
          <w:highlight w:val="none"/>
        </w:rPr>
      </w:pPr>
      <w:bookmarkStart w:id="863" w:name="bookmark718"/>
      <w:bookmarkEnd w:id="863"/>
      <w:bookmarkStart w:id="864" w:name="_Toc31048"/>
      <w:bookmarkStart w:id="865" w:name="_Toc3703"/>
      <w:r>
        <w:rPr>
          <w:rFonts w:ascii="Times New Roman" w:hAnsi="Times New Roman" w:eastAsia="Times New Roman" w:cs="Times New Roman"/>
          <w:b/>
          <w:bCs/>
          <w:color w:val="auto"/>
          <w:spacing w:val="-2"/>
          <w:sz w:val="24"/>
          <w:szCs w:val="24"/>
          <w:highlight w:val="none"/>
        </w:rPr>
        <w:t xml:space="preserve">7.1  </w:t>
      </w:r>
      <w:r>
        <w:rPr>
          <w:rFonts w:ascii="宋体" w:hAnsi="宋体" w:eastAsia="宋体" w:cs="宋体"/>
          <w:b/>
          <w:bCs/>
          <w:color w:val="auto"/>
          <w:spacing w:val="-2"/>
          <w:sz w:val="24"/>
          <w:szCs w:val="24"/>
          <w:highlight w:val="none"/>
        </w:rPr>
        <w:t>道路通行权和场外设施</w:t>
      </w:r>
      <w:bookmarkEnd w:id="864"/>
      <w:bookmarkEnd w:id="865"/>
    </w:p>
    <w:p w14:paraId="7EE89E6B">
      <w:pPr>
        <w:spacing w:before="182" w:line="220" w:lineRule="auto"/>
        <w:ind w:left="488"/>
        <w:rPr>
          <w:rFonts w:ascii="宋体" w:hAnsi="宋体" w:eastAsia="宋体" w:cs="宋体"/>
          <w:color w:val="auto"/>
          <w:sz w:val="24"/>
          <w:szCs w:val="24"/>
          <w:highlight w:val="none"/>
        </w:rPr>
      </w:pPr>
      <w:r>
        <w:rPr>
          <w:rFonts w:ascii="宋体" w:hAnsi="宋体" w:eastAsia="宋体" w:cs="宋体"/>
          <w:color w:val="auto"/>
          <w:sz w:val="24"/>
          <w:szCs w:val="24"/>
          <w:highlight w:val="none"/>
        </w:rPr>
        <w:t>道路通行权和场外设施的约定：</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按照通用合同条款执行</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06BDE126">
      <w:pPr>
        <w:spacing w:before="308" w:line="221" w:lineRule="auto"/>
        <w:ind w:left="9"/>
        <w:outlineLvl w:val="0"/>
        <w:rPr>
          <w:rFonts w:ascii="宋体" w:hAnsi="宋体" w:eastAsia="宋体" w:cs="宋体"/>
          <w:color w:val="auto"/>
          <w:sz w:val="28"/>
          <w:szCs w:val="28"/>
          <w:highlight w:val="none"/>
        </w:rPr>
      </w:pPr>
      <w:bookmarkStart w:id="866" w:name="bookmark336"/>
      <w:bookmarkEnd w:id="866"/>
      <w:bookmarkStart w:id="867" w:name="bookmark337"/>
      <w:bookmarkEnd w:id="867"/>
      <w:bookmarkStart w:id="868" w:name="_Toc27638"/>
      <w:bookmarkStart w:id="869" w:name="_Toc19781"/>
      <w:r>
        <w:rPr>
          <w:rFonts w:ascii="Times New Roman" w:hAnsi="Times New Roman" w:eastAsia="Times New Roman" w:cs="Times New Roman"/>
          <w:b/>
          <w:bCs/>
          <w:color w:val="auto"/>
          <w:spacing w:val="-6"/>
          <w:sz w:val="28"/>
          <w:szCs w:val="28"/>
          <w:highlight w:val="none"/>
        </w:rPr>
        <w:t>8</w:t>
      </w:r>
      <w:r>
        <w:rPr>
          <w:rFonts w:hint="eastAsia" w:ascii="Times New Roman" w:hAnsi="Times New Roman" w:eastAsia="宋体" w:cs="Times New Roman"/>
          <w:b/>
          <w:bCs/>
          <w:color w:val="auto"/>
          <w:spacing w:val="6"/>
          <w:sz w:val="28"/>
          <w:szCs w:val="28"/>
          <w:highlight w:val="none"/>
          <w:lang w:eastAsia="zh-CN"/>
        </w:rPr>
        <w:t>、</w:t>
      </w:r>
      <w:r>
        <w:rPr>
          <w:rFonts w:ascii="宋体" w:hAnsi="宋体" w:eastAsia="宋体" w:cs="宋体"/>
          <w:b/>
          <w:bCs/>
          <w:color w:val="auto"/>
          <w:spacing w:val="-6"/>
          <w:sz w:val="28"/>
          <w:szCs w:val="28"/>
          <w:highlight w:val="none"/>
        </w:rPr>
        <w:t>测量放线</w:t>
      </w:r>
      <w:bookmarkEnd w:id="868"/>
      <w:bookmarkEnd w:id="869"/>
    </w:p>
    <w:p w14:paraId="0B99DFFA">
      <w:pPr>
        <w:pStyle w:val="3"/>
        <w:spacing w:line="242" w:lineRule="auto"/>
        <w:rPr>
          <w:color w:val="auto"/>
          <w:highlight w:val="none"/>
        </w:rPr>
      </w:pPr>
    </w:p>
    <w:p w14:paraId="286E7409">
      <w:pPr>
        <w:spacing w:before="79" w:line="220" w:lineRule="auto"/>
        <w:ind w:left="8"/>
        <w:outlineLvl w:val="1"/>
        <w:rPr>
          <w:rFonts w:ascii="宋体" w:hAnsi="宋体" w:eastAsia="宋体" w:cs="宋体"/>
          <w:color w:val="auto"/>
          <w:sz w:val="24"/>
          <w:szCs w:val="24"/>
          <w:highlight w:val="none"/>
        </w:rPr>
      </w:pPr>
      <w:bookmarkStart w:id="870" w:name="bookmark719"/>
      <w:bookmarkEnd w:id="870"/>
      <w:bookmarkStart w:id="871" w:name="_Toc14244"/>
      <w:bookmarkStart w:id="872" w:name="_Toc17893"/>
      <w:r>
        <w:rPr>
          <w:rFonts w:ascii="Times New Roman" w:hAnsi="Times New Roman" w:eastAsia="Times New Roman" w:cs="Times New Roman"/>
          <w:b/>
          <w:bCs/>
          <w:color w:val="auto"/>
          <w:spacing w:val="-2"/>
          <w:sz w:val="24"/>
          <w:szCs w:val="24"/>
          <w:highlight w:val="none"/>
        </w:rPr>
        <w:t xml:space="preserve">8.1  </w:t>
      </w:r>
      <w:r>
        <w:rPr>
          <w:rFonts w:ascii="宋体" w:hAnsi="宋体" w:eastAsia="宋体" w:cs="宋体"/>
          <w:b/>
          <w:bCs/>
          <w:color w:val="auto"/>
          <w:spacing w:val="-2"/>
          <w:sz w:val="24"/>
          <w:szCs w:val="24"/>
          <w:highlight w:val="none"/>
        </w:rPr>
        <w:t>施工控制网</w:t>
      </w:r>
      <w:bookmarkEnd w:id="871"/>
      <w:bookmarkEnd w:id="872"/>
    </w:p>
    <w:p w14:paraId="574F2141">
      <w:pPr>
        <w:keepNext w:val="0"/>
        <w:keepLines w:val="0"/>
        <w:pageBreakBefore w:val="0"/>
        <w:widowControl/>
        <w:kinsoku w:val="0"/>
        <w:wordWrap/>
        <w:overflowPunct/>
        <w:topLinePunct w:val="0"/>
        <w:autoSpaceDE w:val="0"/>
        <w:autoSpaceDN w:val="0"/>
        <w:bidi w:val="0"/>
        <w:adjustRightInd w:val="0"/>
        <w:snapToGrid w:val="0"/>
        <w:spacing w:before="182" w:line="308" w:lineRule="auto"/>
        <w:ind w:left="488"/>
        <w:textAlignment w:val="baseline"/>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 xml:space="preserve">8.1.1  </w:t>
      </w:r>
      <w:r>
        <w:rPr>
          <w:rFonts w:ascii="宋体" w:hAnsi="宋体" w:eastAsia="宋体" w:cs="宋体"/>
          <w:color w:val="auto"/>
          <w:sz w:val="24"/>
          <w:szCs w:val="24"/>
          <w:highlight w:val="none"/>
        </w:rPr>
        <w:t>施工控制网的约定：</w:t>
      </w:r>
      <w:r>
        <w:rPr>
          <w:rFonts w:hint="eastAsia" w:ascii="宋体" w:hAnsi="宋体" w:eastAsia="宋体" w:cs="宋体"/>
          <w:color w:val="auto"/>
          <w:sz w:val="24"/>
          <w:szCs w:val="24"/>
          <w:highlight w:val="none"/>
          <w:u w:val="single"/>
        </w:rPr>
        <w:t>本合同协议书签订后的14天内，发包人通过监理人向承包人提供测量基准点、基准线和水准点及其相关资料</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6A6A310C">
      <w:pPr>
        <w:bidi w:val="0"/>
        <w:rPr>
          <w:color w:val="auto"/>
          <w:highlight w:val="none"/>
          <w:lang w:val="en-US" w:eastAsia="en-US"/>
        </w:rPr>
      </w:pPr>
    </w:p>
    <w:p w14:paraId="0A0BF193">
      <w:pPr>
        <w:tabs>
          <w:tab w:val="left" w:pos="204"/>
        </w:tabs>
        <w:bidi w:val="0"/>
        <w:jc w:val="left"/>
        <w:rPr>
          <w:rFonts w:ascii="宋体" w:hAnsi="宋体" w:eastAsia="宋体" w:cs="宋体"/>
          <w:color w:val="auto"/>
          <w:sz w:val="28"/>
          <w:szCs w:val="28"/>
          <w:highlight w:val="none"/>
        </w:rPr>
      </w:pPr>
      <w:bookmarkStart w:id="873" w:name="bookmark339"/>
      <w:bookmarkEnd w:id="873"/>
      <w:bookmarkStart w:id="874" w:name="bookmark338"/>
      <w:bookmarkEnd w:id="874"/>
      <w:r>
        <w:rPr>
          <w:rFonts w:ascii="Times New Roman" w:hAnsi="Times New Roman" w:eastAsia="Times New Roman" w:cs="Times New Roman"/>
          <w:b/>
          <w:bCs/>
          <w:color w:val="auto"/>
          <w:spacing w:val="-2"/>
          <w:sz w:val="28"/>
          <w:szCs w:val="28"/>
          <w:highlight w:val="none"/>
        </w:rPr>
        <w:t>9</w:t>
      </w:r>
      <w:r>
        <w:rPr>
          <w:rFonts w:hint="eastAsia" w:ascii="Times New Roman" w:hAnsi="Times New Roman" w:eastAsia="宋体" w:cs="Times New Roman"/>
          <w:b/>
          <w:bCs/>
          <w:color w:val="auto"/>
          <w:spacing w:val="-2"/>
          <w:sz w:val="28"/>
          <w:szCs w:val="28"/>
          <w:highlight w:val="none"/>
          <w:lang w:eastAsia="zh-CN"/>
        </w:rPr>
        <w:t>、</w:t>
      </w:r>
      <w:r>
        <w:rPr>
          <w:rFonts w:ascii="宋体" w:hAnsi="宋体" w:eastAsia="宋体" w:cs="宋体"/>
          <w:b/>
          <w:bCs/>
          <w:color w:val="auto"/>
          <w:spacing w:val="-2"/>
          <w:sz w:val="28"/>
          <w:szCs w:val="28"/>
          <w:highlight w:val="none"/>
        </w:rPr>
        <w:t>施工安全、治安保卫和环境保护</w:t>
      </w:r>
    </w:p>
    <w:p w14:paraId="161CFB98">
      <w:pPr>
        <w:pStyle w:val="3"/>
        <w:spacing w:line="244" w:lineRule="auto"/>
        <w:rPr>
          <w:color w:val="auto"/>
          <w:highlight w:val="none"/>
        </w:rPr>
      </w:pPr>
    </w:p>
    <w:p w14:paraId="557DB5C7">
      <w:pPr>
        <w:spacing w:before="78" w:line="220" w:lineRule="auto"/>
        <w:outlineLvl w:val="1"/>
        <w:rPr>
          <w:rFonts w:ascii="宋体" w:hAnsi="宋体" w:eastAsia="宋体" w:cs="宋体"/>
          <w:color w:val="auto"/>
          <w:sz w:val="24"/>
          <w:szCs w:val="24"/>
          <w:highlight w:val="none"/>
        </w:rPr>
      </w:pPr>
      <w:bookmarkStart w:id="875" w:name="bookmark720"/>
      <w:bookmarkEnd w:id="875"/>
      <w:bookmarkStart w:id="876" w:name="_Toc18369"/>
      <w:bookmarkStart w:id="877" w:name="_Toc183"/>
      <w:r>
        <w:rPr>
          <w:rFonts w:ascii="Times New Roman" w:hAnsi="Times New Roman" w:eastAsia="Times New Roman" w:cs="Times New Roman"/>
          <w:b/>
          <w:bCs/>
          <w:color w:val="auto"/>
          <w:spacing w:val="-2"/>
          <w:sz w:val="24"/>
          <w:szCs w:val="24"/>
          <w:highlight w:val="none"/>
        </w:rPr>
        <w:t xml:space="preserve">9.1  </w:t>
      </w:r>
      <w:r>
        <w:rPr>
          <w:rFonts w:ascii="宋体" w:hAnsi="宋体" w:eastAsia="宋体" w:cs="宋体"/>
          <w:b/>
          <w:bCs/>
          <w:color w:val="auto"/>
          <w:spacing w:val="-2"/>
          <w:sz w:val="24"/>
          <w:szCs w:val="24"/>
          <w:highlight w:val="none"/>
        </w:rPr>
        <w:t>发包人的施工安全责任</w:t>
      </w:r>
      <w:bookmarkEnd w:id="876"/>
      <w:bookmarkEnd w:id="877"/>
    </w:p>
    <w:p w14:paraId="1AE59F0E">
      <w:pPr>
        <w:spacing w:before="179" w:line="219"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9.1.4  </w:t>
      </w:r>
      <w:r>
        <w:rPr>
          <w:rFonts w:ascii="宋体" w:hAnsi="宋体" w:eastAsia="宋体" w:cs="宋体"/>
          <w:color w:val="auto"/>
          <w:spacing w:val="-2"/>
          <w:sz w:val="24"/>
          <w:szCs w:val="24"/>
          <w:highlight w:val="none"/>
        </w:rPr>
        <w:t>发包人提供</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施工图</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90"/>
          <w:sz w:val="24"/>
          <w:szCs w:val="24"/>
          <w:highlight w:val="none"/>
        </w:rPr>
        <w:t xml:space="preserve"> </w:t>
      </w:r>
      <w:r>
        <w:rPr>
          <w:rFonts w:ascii="宋体" w:hAnsi="宋体" w:eastAsia="宋体" w:cs="宋体"/>
          <w:color w:val="auto"/>
          <w:spacing w:val="-2"/>
          <w:sz w:val="24"/>
          <w:szCs w:val="24"/>
          <w:highlight w:val="none"/>
        </w:rPr>
        <w:t>资料，其余资料由承包人负责收集。</w:t>
      </w:r>
    </w:p>
    <w:p w14:paraId="6402AD8E">
      <w:pPr>
        <w:spacing w:before="182" w:line="220" w:lineRule="auto"/>
        <w:outlineLvl w:val="1"/>
        <w:rPr>
          <w:rFonts w:ascii="宋体" w:hAnsi="宋体" w:eastAsia="宋体" w:cs="宋体"/>
          <w:color w:val="auto"/>
          <w:sz w:val="24"/>
          <w:szCs w:val="24"/>
          <w:highlight w:val="none"/>
        </w:rPr>
      </w:pPr>
      <w:bookmarkStart w:id="878" w:name="bookmark340"/>
      <w:bookmarkEnd w:id="878"/>
      <w:bookmarkStart w:id="879" w:name="_Toc7003"/>
      <w:bookmarkStart w:id="880" w:name="_Toc7777"/>
      <w:r>
        <w:rPr>
          <w:rFonts w:ascii="Times New Roman" w:hAnsi="Times New Roman" w:eastAsia="Times New Roman" w:cs="Times New Roman"/>
          <w:b/>
          <w:bCs/>
          <w:color w:val="auto"/>
          <w:spacing w:val="-2"/>
          <w:sz w:val="24"/>
          <w:szCs w:val="24"/>
          <w:highlight w:val="none"/>
        </w:rPr>
        <w:t xml:space="preserve">9.2  </w:t>
      </w:r>
      <w:r>
        <w:rPr>
          <w:rFonts w:ascii="宋体" w:hAnsi="宋体" w:eastAsia="宋体" w:cs="宋体"/>
          <w:b/>
          <w:bCs/>
          <w:color w:val="auto"/>
          <w:spacing w:val="-2"/>
          <w:sz w:val="24"/>
          <w:szCs w:val="24"/>
          <w:highlight w:val="none"/>
        </w:rPr>
        <w:t>承包人的施工安全责任</w:t>
      </w:r>
      <w:bookmarkEnd w:id="879"/>
      <w:bookmarkEnd w:id="880"/>
    </w:p>
    <w:p w14:paraId="41B4A279">
      <w:pPr>
        <w:spacing w:before="183" w:line="359" w:lineRule="auto"/>
        <w:ind w:left="2" w:right="50" w:firstLine="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9.2.12  </w:t>
      </w:r>
      <w:r>
        <w:rPr>
          <w:rFonts w:ascii="宋体" w:hAnsi="宋体" w:eastAsia="宋体" w:cs="宋体"/>
          <w:color w:val="auto"/>
          <w:spacing w:val="-2"/>
          <w:sz w:val="24"/>
          <w:szCs w:val="24"/>
          <w:highlight w:val="none"/>
        </w:rPr>
        <w:t>下列工程应编制专项施工方案</w:t>
      </w:r>
      <w:r>
        <w:rPr>
          <w:rFonts w:ascii="宋体" w:hAnsi="宋体" w:eastAsia="宋体" w:cs="宋体"/>
          <w:color w:val="auto"/>
          <w:spacing w:val="-17"/>
          <w:sz w:val="24"/>
          <w:szCs w:val="24"/>
          <w:highlight w:val="none"/>
        </w:rPr>
        <w:t>：</w:t>
      </w:r>
      <w:r>
        <w:rPr>
          <w:rFonts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8"/>
          <w:sz w:val="24"/>
          <w:szCs w:val="24"/>
          <w:highlight w:val="none"/>
          <w:u w:val="single" w:color="auto"/>
          <w:lang w:val="en-US" w:eastAsia="zh-CN"/>
        </w:rPr>
        <w:t>按监理人要求</w:t>
      </w:r>
      <w:r>
        <w:rPr>
          <w:rFonts w:ascii="宋体" w:hAnsi="宋体" w:eastAsia="宋体" w:cs="宋体"/>
          <w:color w:val="auto"/>
          <w:spacing w:val="8"/>
          <w:sz w:val="24"/>
          <w:szCs w:val="24"/>
          <w:highlight w:val="none"/>
          <w:u w:val="single" w:color="auto"/>
        </w:rPr>
        <w:t xml:space="preserve">  </w:t>
      </w:r>
      <w:r>
        <w:rPr>
          <w:rFonts w:ascii="宋体" w:hAnsi="宋体" w:eastAsia="宋体" w:cs="宋体"/>
          <w:color w:val="auto"/>
          <w:spacing w:val="-17"/>
          <w:sz w:val="24"/>
          <w:szCs w:val="24"/>
          <w:highlight w:val="none"/>
        </w:rPr>
        <w:t>，</w:t>
      </w:r>
      <w:r>
        <w:rPr>
          <w:rFonts w:ascii="宋体" w:hAnsi="宋体" w:eastAsia="宋体" w:cs="宋体"/>
          <w:color w:val="auto"/>
          <w:spacing w:val="-3"/>
          <w:sz w:val="24"/>
          <w:szCs w:val="24"/>
          <w:highlight w:val="none"/>
        </w:rPr>
        <w:t>其中</w:t>
      </w:r>
      <w:r>
        <w:rPr>
          <w:rFonts w:ascii="宋体" w:hAnsi="宋体" w:eastAsia="宋体" w:cs="宋体"/>
          <w:color w:val="auto"/>
          <w:spacing w:val="-3"/>
          <w:sz w:val="24"/>
          <w:szCs w:val="24"/>
          <w:highlight w:val="none"/>
          <w:u w:val="single" w:color="auto"/>
        </w:rPr>
        <w:t xml:space="preserve">   </w:t>
      </w:r>
      <w:r>
        <w:rPr>
          <w:rFonts w:hint="eastAsia" w:ascii="宋体" w:hAnsi="宋体" w:eastAsia="宋体" w:cs="宋体"/>
          <w:color w:val="auto"/>
          <w:spacing w:val="-3"/>
          <w:sz w:val="24"/>
          <w:szCs w:val="24"/>
          <w:highlight w:val="none"/>
          <w:u w:val="single" w:color="auto"/>
          <w:lang w:val="en-US" w:eastAsia="zh-CN"/>
        </w:rPr>
        <w:t>/</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3"/>
          <w:sz w:val="24"/>
          <w:szCs w:val="24"/>
          <w:highlight w:val="none"/>
        </w:rPr>
        <w:t>应组织</w:t>
      </w:r>
      <w:r>
        <w:rPr>
          <w:rFonts w:ascii="宋体" w:hAnsi="宋体" w:eastAsia="宋体" w:cs="宋体"/>
          <w:color w:val="auto"/>
          <w:spacing w:val="-5"/>
          <w:sz w:val="24"/>
          <w:szCs w:val="24"/>
          <w:highlight w:val="none"/>
        </w:rPr>
        <w:t>专家论证和审查。</w:t>
      </w:r>
    </w:p>
    <w:p w14:paraId="1355D086">
      <w:pPr>
        <w:spacing w:before="1" w:line="219" w:lineRule="auto"/>
        <w:outlineLvl w:val="1"/>
        <w:rPr>
          <w:rFonts w:ascii="宋体" w:hAnsi="宋体" w:eastAsia="宋体" w:cs="宋体"/>
          <w:color w:val="auto"/>
          <w:sz w:val="24"/>
          <w:szCs w:val="24"/>
          <w:highlight w:val="none"/>
        </w:rPr>
      </w:pPr>
      <w:bookmarkStart w:id="881" w:name="bookmark341"/>
      <w:bookmarkEnd w:id="881"/>
      <w:bookmarkStart w:id="882" w:name="_Toc9300"/>
      <w:bookmarkStart w:id="883" w:name="_Toc32391"/>
      <w:r>
        <w:rPr>
          <w:rFonts w:ascii="Times New Roman" w:hAnsi="Times New Roman" w:eastAsia="Times New Roman" w:cs="Times New Roman"/>
          <w:b/>
          <w:bCs/>
          <w:color w:val="auto"/>
          <w:spacing w:val="-4"/>
          <w:sz w:val="24"/>
          <w:szCs w:val="24"/>
          <w:highlight w:val="none"/>
        </w:rPr>
        <w:t>9.7</w:t>
      </w:r>
      <w:r>
        <w:rPr>
          <w:rFonts w:ascii="Times New Roman" w:hAnsi="Times New Roman" w:eastAsia="Times New Roman" w:cs="Times New Roman"/>
          <w:b/>
          <w:bCs/>
          <w:color w:val="auto"/>
          <w:spacing w:val="7"/>
          <w:sz w:val="24"/>
          <w:szCs w:val="24"/>
          <w:highlight w:val="none"/>
        </w:rPr>
        <w:t xml:space="preserve">  </w:t>
      </w:r>
      <w:r>
        <w:rPr>
          <w:rFonts w:ascii="宋体" w:hAnsi="宋体" w:eastAsia="宋体" w:cs="宋体"/>
          <w:b/>
          <w:bCs/>
          <w:color w:val="auto"/>
          <w:spacing w:val="-4"/>
          <w:sz w:val="24"/>
          <w:szCs w:val="24"/>
          <w:highlight w:val="none"/>
        </w:rPr>
        <w:t>文明工地</w:t>
      </w:r>
      <w:bookmarkEnd w:id="882"/>
      <w:bookmarkEnd w:id="883"/>
    </w:p>
    <w:p w14:paraId="4FA0C3A8">
      <w:pPr>
        <w:spacing w:before="180" w:line="219" w:lineRule="auto"/>
        <w:ind w:left="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本合同文明工地的约定：</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529B3E91">
      <w:pPr>
        <w:spacing w:before="309" w:line="220" w:lineRule="auto"/>
        <w:ind w:left="11"/>
        <w:outlineLvl w:val="0"/>
        <w:rPr>
          <w:rFonts w:ascii="宋体" w:hAnsi="宋体" w:eastAsia="宋体" w:cs="宋体"/>
          <w:color w:val="auto"/>
          <w:sz w:val="28"/>
          <w:szCs w:val="28"/>
          <w:highlight w:val="none"/>
        </w:rPr>
      </w:pPr>
      <w:bookmarkStart w:id="884" w:name="bookmark342"/>
      <w:bookmarkEnd w:id="884"/>
      <w:bookmarkStart w:id="885" w:name="bookmark343"/>
      <w:bookmarkEnd w:id="885"/>
      <w:bookmarkStart w:id="886" w:name="_Toc15789"/>
      <w:bookmarkStart w:id="887" w:name="_Toc22967"/>
      <w:r>
        <w:rPr>
          <w:rFonts w:ascii="Times New Roman" w:hAnsi="Times New Roman" w:eastAsia="Times New Roman" w:cs="Times New Roman"/>
          <w:b/>
          <w:bCs/>
          <w:color w:val="auto"/>
          <w:spacing w:val="-3"/>
          <w:sz w:val="28"/>
          <w:szCs w:val="28"/>
          <w:highlight w:val="none"/>
        </w:rPr>
        <w:t>11</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开工和完工</w:t>
      </w:r>
      <w:bookmarkEnd w:id="886"/>
      <w:bookmarkEnd w:id="887"/>
    </w:p>
    <w:p w14:paraId="4B2368BE">
      <w:pPr>
        <w:pStyle w:val="3"/>
        <w:spacing w:line="245" w:lineRule="auto"/>
        <w:rPr>
          <w:color w:val="auto"/>
          <w:highlight w:val="none"/>
        </w:rPr>
      </w:pPr>
    </w:p>
    <w:p w14:paraId="5EEBCE56">
      <w:pPr>
        <w:spacing w:before="78" w:line="220" w:lineRule="auto"/>
        <w:ind w:left="8"/>
        <w:outlineLvl w:val="1"/>
        <w:rPr>
          <w:rFonts w:ascii="宋体" w:hAnsi="宋体" w:eastAsia="宋体" w:cs="宋体"/>
          <w:color w:val="auto"/>
          <w:sz w:val="24"/>
          <w:szCs w:val="24"/>
          <w:highlight w:val="none"/>
        </w:rPr>
      </w:pPr>
      <w:bookmarkStart w:id="888" w:name="bookmark721"/>
      <w:bookmarkEnd w:id="888"/>
      <w:bookmarkStart w:id="889" w:name="_Toc30154"/>
      <w:bookmarkStart w:id="890" w:name="_Toc112"/>
      <w:r>
        <w:rPr>
          <w:rFonts w:ascii="Times New Roman" w:hAnsi="Times New Roman" w:eastAsia="Times New Roman" w:cs="Times New Roman"/>
          <w:b/>
          <w:bCs/>
          <w:color w:val="auto"/>
          <w:spacing w:val="-2"/>
          <w:sz w:val="24"/>
          <w:szCs w:val="24"/>
          <w:highlight w:val="none"/>
        </w:rPr>
        <w:t xml:space="preserve">11.4  </w:t>
      </w:r>
      <w:r>
        <w:rPr>
          <w:rFonts w:ascii="宋体" w:hAnsi="宋体" w:eastAsia="宋体" w:cs="宋体"/>
          <w:b/>
          <w:bCs/>
          <w:color w:val="auto"/>
          <w:spacing w:val="-2"/>
          <w:sz w:val="24"/>
          <w:szCs w:val="24"/>
          <w:highlight w:val="none"/>
        </w:rPr>
        <w:t>异常恶劣的气候条件</w:t>
      </w:r>
      <w:bookmarkEnd w:id="889"/>
      <w:bookmarkEnd w:id="890"/>
    </w:p>
    <w:p w14:paraId="35BDFA31">
      <w:pPr>
        <w:spacing w:before="180" w:line="219" w:lineRule="auto"/>
        <w:ind w:left="490"/>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11.4.3  </w:t>
      </w:r>
      <w:r>
        <w:rPr>
          <w:rFonts w:ascii="宋体" w:hAnsi="宋体" w:eastAsia="宋体" w:cs="宋体"/>
          <w:color w:val="auto"/>
          <w:spacing w:val="-3"/>
          <w:sz w:val="24"/>
          <w:szCs w:val="24"/>
          <w:highlight w:val="none"/>
        </w:rPr>
        <w:t>本合同工程界定异常恶劣的气候条件的范围为：</w:t>
      </w:r>
    </w:p>
    <w:p w14:paraId="001923F1">
      <w:pPr>
        <w:spacing w:before="183" w:line="220" w:lineRule="auto"/>
        <w:ind w:left="48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）日降雨量大于</w:t>
      </w:r>
      <w:r>
        <w:rPr>
          <w:rFonts w:ascii="宋体" w:hAnsi="宋体" w:eastAsia="宋体" w:cs="宋体"/>
          <w:color w:val="auto"/>
          <w:spacing w:val="-96"/>
          <w:sz w:val="24"/>
          <w:szCs w:val="24"/>
          <w:highlight w:val="none"/>
        </w:rPr>
        <w:t xml:space="preserve"> </w:t>
      </w:r>
      <w:r>
        <w:rPr>
          <w:rFonts w:ascii="宋体" w:hAnsi="宋体" w:eastAsia="宋体" w:cs="宋体"/>
          <w:color w:val="auto"/>
          <w:spacing w:val="40"/>
          <w:sz w:val="24"/>
          <w:szCs w:val="24"/>
          <w:highlight w:val="none"/>
          <w:u w:val="single" w:color="auto"/>
        </w:rPr>
        <w:t xml:space="preserve"> </w:t>
      </w:r>
      <w:r>
        <w:rPr>
          <w:rFonts w:hint="eastAsia" w:ascii="宋体" w:hAnsi="宋体" w:eastAsia="宋体" w:cs="宋体"/>
          <w:color w:val="auto"/>
          <w:spacing w:val="40"/>
          <w:sz w:val="24"/>
          <w:szCs w:val="24"/>
          <w:highlight w:val="none"/>
          <w:u w:val="single" w:color="auto"/>
          <w:lang w:val="en-US" w:eastAsia="zh-CN"/>
        </w:rPr>
        <w:t>50</w:t>
      </w:r>
      <w:r>
        <w:rPr>
          <w:rFonts w:ascii="宋体" w:hAnsi="宋体" w:eastAsia="宋体" w:cs="宋体"/>
          <w:color w:val="auto"/>
          <w:spacing w:val="-118"/>
          <w:sz w:val="24"/>
          <w:szCs w:val="24"/>
          <w:highlight w:val="none"/>
        </w:rPr>
        <w:t xml:space="preserve"> </w:t>
      </w:r>
      <w:r>
        <w:rPr>
          <w:rFonts w:ascii="Times New Roman" w:hAnsi="Times New Roman" w:eastAsia="Times New Roman" w:cs="Times New Roman"/>
          <w:color w:val="auto"/>
          <w:spacing w:val="-4"/>
          <w:sz w:val="24"/>
          <w:szCs w:val="24"/>
          <w:highlight w:val="none"/>
        </w:rPr>
        <w:t>mm</w:t>
      </w:r>
      <w:r>
        <w:rPr>
          <w:rFonts w:ascii="Times New Roman" w:hAnsi="Times New Roman" w:eastAsia="Times New Roman" w:cs="Times New Roman"/>
          <w:color w:val="auto"/>
          <w:spacing w:val="-31"/>
          <w:sz w:val="24"/>
          <w:szCs w:val="24"/>
          <w:highlight w:val="none"/>
        </w:rPr>
        <w:t xml:space="preserve"> </w:t>
      </w:r>
      <w:r>
        <w:rPr>
          <w:rFonts w:ascii="宋体" w:hAnsi="宋体" w:eastAsia="宋体" w:cs="宋体"/>
          <w:color w:val="auto"/>
          <w:spacing w:val="-4"/>
          <w:sz w:val="24"/>
          <w:szCs w:val="24"/>
          <w:highlight w:val="none"/>
        </w:rPr>
        <w:t>的雨日连续超过</w:t>
      </w:r>
      <w:r>
        <w:rPr>
          <w:rFonts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4"/>
          <w:sz w:val="24"/>
          <w:szCs w:val="24"/>
          <w:highlight w:val="none"/>
          <w:u w:val="single" w:color="auto"/>
          <w:lang w:val="en-US" w:eastAsia="zh-CN"/>
        </w:rPr>
        <w:t>1</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4"/>
          <w:sz w:val="24"/>
          <w:szCs w:val="24"/>
          <w:highlight w:val="none"/>
        </w:rPr>
        <w:t>天。</w:t>
      </w:r>
    </w:p>
    <w:p w14:paraId="425A7059">
      <w:pPr>
        <w:spacing w:before="181" w:line="220" w:lineRule="auto"/>
        <w:ind w:left="48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）风速大于</w:t>
      </w:r>
      <w:r>
        <w:rPr>
          <w:rFonts w:ascii="宋体" w:hAnsi="宋体" w:eastAsia="宋体" w:cs="宋体"/>
          <w:color w:val="auto"/>
          <w:spacing w:val="-88"/>
          <w:sz w:val="24"/>
          <w:szCs w:val="24"/>
          <w:highlight w:val="none"/>
        </w:rPr>
        <w:t xml:space="preserve"> </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14</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8"/>
          <w:sz w:val="24"/>
          <w:szCs w:val="24"/>
          <w:highlight w:val="none"/>
        </w:rPr>
        <w:t xml:space="preserve"> </w:t>
      </w:r>
      <w:r>
        <w:rPr>
          <w:rFonts w:ascii="Times New Roman" w:hAnsi="Times New Roman" w:eastAsia="Times New Roman" w:cs="Times New Roman"/>
          <w:color w:val="auto"/>
          <w:spacing w:val="-4"/>
          <w:sz w:val="24"/>
          <w:szCs w:val="24"/>
          <w:highlight w:val="none"/>
        </w:rPr>
        <w:t>m/s</w:t>
      </w:r>
      <w:r>
        <w:rPr>
          <w:rFonts w:ascii="宋体" w:hAnsi="宋体" w:eastAsia="宋体" w:cs="宋体"/>
          <w:color w:val="auto"/>
          <w:spacing w:val="-4"/>
          <w:sz w:val="24"/>
          <w:szCs w:val="24"/>
          <w:highlight w:val="none"/>
        </w:rPr>
        <w:t>的</w:t>
      </w:r>
      <w:r>
        <w:rPr>
          <w:rFonts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4"/>
          <w:sz w:val="24"/>
          <w:szCs w:val="24"/>
          <w:highlight w:val="none"/>
          <w:u w:val="single" w:color="auto"/>
          <w:lang w:val="en-US" w:eastAsia="zh-CN"/>
        </w:rPr>
        <w:t>7</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7"/>
          <w:sz w:val="24"/>
          <w:szCs w:val="24"/>
          <w:highlight w:val="none"/>
        </w:rPr>
        <w:t xml:space="preserve"> </w:t>
      </w:r>
      <w:r>
        <w:rPr>
          <w:rFonts w:ascii="宋体" w:hAnsi="宋体" w:eastAsia="宋体" w:cs="宋体"/>
          <w:color w:val="auto"/>
          <w:spacing w:val="-4"/>
          <w:sz w:val="24"/>
          <w:szCs w:val="24"/>
          <w:highlight w:val="none"/>
        </w:rPr>
        <w:t>级以上台风灾害。</w:t>
      </w:r>
    </w:p>
    <w:p w14:paraId="0E8B552D">
      <w:pPr>
        <w:spacing w:before="181" w:line="220" w:lineRule="auto"/>
        <w:ind w:left="48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）日最高气温超过</w:t>
      </w:r>
      <w:r>
        <w:rPr>
          <w:rFonts w:ascii="宋体" w:hAnsi="宋体" w:eastAsia="宋体" w:cs="宋体"/>
          <w:color w:val="auto"/>
          <w:spacing w:val="-97"/>
          <w:sz w:val="24"/>
          <w:szCs w:val="24"/>
          <w:highlight w:val="none"/>
        </w:rPr>
        <w:t xml:space="preserve"> </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40</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93"/>
          <w:sz w:val="24"/>
          <w:szCs w:val="24"/>
          <w:highlight w:val="none"/>
        </w:rPr>
        <w:t xml:space="preserve"> </w:t>
      </w:r>
      <w:r>
        <w:rPr>
          <w:rFonts w:ascii="宋体" w:hAnsi="宋体" w:eastAsia="宋体" w:cs="宋体"/>
          <w:color w:val="auto"/>
          <w:spacing w:val="-4"/>
          <w:sz w:val="24"/>
          <w:szCs w:val="24"/>
          <w:highlight w:val="none"/>
        </w:rPr>
        <w:t>℃的高温连续大于</w:t>
      </w:r>
      <w:r>
        <w:rPr>
          <w:rFonts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4"/>
          <w:sz w:val="24"/>
          <w:szCs w:val="24"/>
          <w:highlight w:val="none"/>
          <w:u w:val="single" w:color="auto"/>
          <w:lang w:val="en-US" w:eastAsia="zh-CN"/>
        </w:rPr>
        <w:t>3</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4"/>
          <w:sz w:val="24"/>
          <w:szCs w:val="24"/>
          <w:highlight w:val="none"/>
        </w:rPr>
        <w:t>天。</w:t>
      </w:r>
    </w:p>
    <w:p w14:paraId="65981261">
      <w:pPr>
        <w:spacing w:before="179" w:line="220" w:lineRule="auto"/>
        <w:ind w:left="48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4</w:t>
      </w:r>
      <w:r>
        <w:rPr>
          <w:rFonts w:ascii="宋体" w:hAnsi="宋体" w:eastAsia="宋体" w:cs="宋体"/>
          <w:color w:val="auto"/>
          <w:spacing w:val="-4"/>
          <w:sz w:val="24"/>
          <w:szCs w:val="24"/>
          <w:highlight w:val="none"/>
        </w:rPr>
        <w:t>）日最低气温低于</w:t>
      </w:r>
      <w:r>
        <w:rPr>
          <w:rFonts w:ascii="宋体" w:hAnsi="宋体" w:eastAsia="宋体" w:cs="宋体"/>
          <w:color w:val="auto"/>
          <w:spacing w:val="-97"/>
          <w:sz w:val="24"/>
          <w:szCs w:val="24"/>
          <w:highlight w:val="none"/>
        </w:rPr>
        <w:t xml:space="preserve"> </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-5</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93"/>
          <w:sz w:val="24"/>
          <w:szCs w:val="24"/>
          <w:highlight w:val="none"/>
        </w:rPr>
        <w:t xml:space="preserve"> </w:t>
      </w:r>
      <w:r>
        <w:rPr>
          <w:rFonts w:ascii="宋体" w:hAnsi="宋体" w:eastAsia="宋体" w:cs="宋体"/>
          <w:color w:val="auto"/>
          <w:spacing w:val="-4"/>
          <w:sz w:val="24"/>
          <w:szCs w:val="24"/>
          <w:highlight w:val="none"/>
        </w:rPr>
        <w:t>℃的严寒连续大于</w:t>
      </w:r>
      <w:r>
        <w:rPr>
          <w:rFonts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4"/>
          <w:sz w:val="24"/>
          <w:szCs w:val="24"/>
          <w:highlight w:val="none"/>
          <w:u w:val="single" w:color="auto"/>
          <w:lang w:val="en-US" w:eastAsia="zh-CN"/>
        </w:rPr>
        <w:t>3</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4"/>
          <w:sz w:val="24"/>
          <w:szCs w:val="24"/>
          <w:highlight w:val="none"/>
        </w:rPr>
        <w:t>天。</w:t>
      </w:r>
    </w:p>
    <w:p w14:paraId="086580B0">
      <w:pPr>
        <w:spacing w:before="183" w:line="220" w:lineRule="auto"/>
        <w:ind w:left="48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5</w:t>
      </w:r>
      <w:r>
        <w:rPr>
          <w:rFonts w:ascii="宋体" w:hAnsi="宋体" w:eastAsia="宋体" w:cs="宋体"/>
          <w:color w:val="auto"/>
          <w:spacing w:val="-2"/>
          <w:sz w:val="24"/>
          <w:szCs w:val="24"/>
          <w:highlight w:val="none"/>
        </w:rPr>
        <w:t>）造成工程损失的冰雹和大雪灾害</w:t>
      </w:r>
      <w:r>
        <w:rPr>
          <w:rFonts w:ascii="宋体" w:hAnsi="宋体" w:eastAsia="宋体" w:cs="宋体"/>
          <w:color w:val="auto"/>
          <w:spacing w:val="-87"/>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w:t>
      </w:r>
    </w:p>
    <w:p w14:paraId="3CD088D1">
      <w:pPr>
        <w:spacing w:before="179" w:line="220" w:lineRule="auto"/>
        <w:ind w:left="48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6</w:t>
      </w:r>
      <w:r>
        <w:rPr>
          <w:rFonts w:ascii="宋体" w:hAnsi="宋体" w:eastAsia="宋体" w:cs="宋体"/>
          <w:color w:val="auto"/>
          <w:spacing w:val="-4"/>
          <w:sz w:val="24"/>
          <w:szCs w:val="24"/>
          <w:highlight w:val="none"/>
        </w:rPr>
        <w:t>）其它异常恶劣气候灾害。</w:t>
      </w:r>
    </w:p>
    <w:p w14:paraId="4F7603C2">
      <w:pPr>
        <w:spacing w:before="182" w:line="220" w:lineRule="auto"/>
        <w:ind w:left="8"/>
        <w:outlineLvl w:val="1"/>
        <w:rPr>
          <w:rFonts w:ascii="宋体" w:hAnsi="宋体" w:eastAsia="宋体" w:cs="宋体"/>
          <w:color w:val="auto"/>
          <w:sz w:val="24"/>
          <w:szCs w:val="24"/>
          <w:highlight w:val="none"/>
        </w:rPr>
      </w:pPr>
      <w:bookmarkStart w:id="891" w:name="bookmark344"/>
      <w:bookmarkEnd w:id="891"/>
      <w:bookmarkStart w:id="892" w:name="_Toc30476"/>
      <w:bookmarkStart w:id="893" w:name="_Toc18676"/>
      <w:r>
        <w:rPr>
          <w:rFonts w:ascii="Times New Roman" w:hAnsi="Times New Roman" w:eastAsia="Times New Roman" w:cs="Times New Roman"/>
          <w:b/>
          <w:bCs/>
          <w:color w:val="auto"/>
          <w:spacing w:val="-3"/>
          <w:sz w:val="24"/>
          <w:szCs w:val="24"/>
          <w:highlight w:val="none"/>
        </w:rPr>
        <w:t xml:space="preserve">11.5  </w:t>
      </w:r>
      <w:r>
        <w:rPr>
          <w:rFonts w:ascii="宋体" w:hAnsi="宋体" w:eastAsia="宋体" w:cs="宋体"/>
          <w:b/>
          <w:bCs/>
          <w:color w:val="auto"/>
          <w:spacing w:val="-3"/>
          <w:sz w:val="24"/>
          <w:szCs w:val="24"/>
          <w:highlight w:val="none"/>
        </w:rPr>
        <w:t>承包人的工期延误</w:t>
      </w:r>
      <w:bookmarkEnd w:id="892"/>
      <w:bookmarkEnd w:id="893"/>
    </w:p>
    <w:p w14:paraId="3B6CCFE1">
      <w:pPr>
        <w:spacing w:before="180" w:line="220" w:lineRule="auto"/>
        <w:ind w:left="48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）逾期完工违约金表。</w:t>
      </w:r>
    </w:p>
    <w:p w14:paraId="5FBB7B2D">
      <w:pPr>
        <w:spacing w:before="175" w:line="221" w:lineRule="auto"/>
        <w:ind w:left="3759"/>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逾期完工违约金表</w:t>
      </w:r>
    </w:p>
    <w:p w14:paraId="17A63957">
      <w:pPr>
        <w:spacing w:line="128" w:lineRule="exact"/>
        <w:rPr>
          <w:color w:val="auto"/>
          <w:highlight w:val="none"/>
        </w:rPr>
      </w:pPr>
    </w:p>
    <w:tbl>
      <w:tblPr>
        <w:tblStyle w:val="16"/>
        <w:tblW w:w="8793"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6"/>
        <w:gridCol w:w="2664"/>
        <w:gridCol w:w="2475"/>
        <w:gridCol w:w="2688"/>
      </w:tblGrid>
      <w:tr w14:paraId="6F62F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966" w:type="dxa"/>
            <w:tcBorders>
              <w:top w:val="single" w:color="000000" w:sz="6" w:space="0"/>
              <w:left w:val="single" w:color="000000" w:sz="6" w:space="0"/>
            </w:tcBorders>
            <w:vAlign w:val="top"/>
          </w:tcPr>
          <w:p w14:paraId="2C3B71BC">
            <w:pPr>
              <w:pStyle w:val="17"/>
              <w:spacing w:before="125" w:line="222" w:lineRule="auto"/>
              <w:ind w:left="268"/>
              <w:rPr>
                <w:color w:val="auto"/>
                <w:sz w:val="21"/>
                <w:szCs w:val="21"/>
                <w:highlight w:val="none"/>
              </w:rPr>
            </w:pPr>
            <w:r>
              <w:rPr>
                <w:color w:val="auto"/>
                <w:spacing w:val="-2"/>
                <w:sz w:val="21"/>
                <w:szCs w:val="21"/>
                <w:highlight w:val="none"/>
              </w:rPr>
              <w:t>序号</w:t>
            </w:r>
          </w:p>
        </w:tc>
        <w:tc>
          <w:tcPr>
            <w:tcW w:w="2664" w:type="dxa"/>
            <w:tcBorders>
              <w:top w:val="single" w:color="000000" w:sz="6" w:space="0"/>
            </w:tcBorders>
            <w:vAlign w:val="top"/>
          </w:tcPr>
          <w:p w14:paraId="0E0C6373">
            <w:pPr>
              <w:pStyle w:val="17"/>
              <w:spacing w:before="124" w:line="221" w:lineRule="auto"/>
              <w:ind w:left="706"/>
              <w:rPr>
                <w:color w:val="auto"/>
                <w:sz w:val="21"/>
                <w:szCs w:val="21"/>
                <w:highlight w:val="none"/>
              </w:rPr>
            </w:pPr>
            <w:r>
              <w:rPr>
                <w:color w:val="auto"/>
                <w:spacing w:val="-2"/>
                <w:sz w:val="21"/>
                <w:szCs w:val="21"/>
                <w:highlight w:val="none"/>
              </w:rPr>
              <w:t>项目及其说明</w:t>
            </w:r>
          </w:p>
        </w:tc>
        <w:tc>
          <w:tcPr>
            <w:tcW w:w="2475" w:type="dxa"/>
            <w:tcBorders>
              <w:top w:val="single" w:color="000000" w:sz="6" w:space="0"/>
            </w:tcBorders>
            <w:vAlign w:val="top"/>
          </w:tcPr>
          <w:p w14:paraId="5A64C789">
            <w:pPr>
              <w:pStyle w:val="17"/>
              <w:spacing w:before="124" w:line="221" w:lineRule="auto"/>
              <w:ind w:left="612"/>
              <w:rPr>
                <w:color w:val="auto"/>
                <w:sz w:val="21"/>
                <w:szCs w:val="21"/>
                <w:highlight w:val="none"/>
              </w:rPr>
            </w:pPr>
            <w:r>
              <w:rPr>
                <w:color w:val="auto"/>
                <w:spacing w:val="-1"/>
                <w:sz w:val="21"/>
                <w:szCs w:val="21"/>
                <w:highlight w:val="none"/>
              </w:rPr>
              <w:t>要求完工日期</w:t>
            </w:r>
          </w:p>
        </w:tc>
        <w:tc>
          <w:tcPr>
            <w:tcW w:w="2688" w:type="dxa"/>
            <w:tcBorders>
              <w:top w:val="single" w:color="000000" w:sz="6" w:space="0"/>
              <w:right w:val="single" w:color="000000" w:sz="6" w:space="0"/>
            </w:tcBorders>
            <w:vAlign w:val="top"/>
          </w:tcPr>
          <w:p w14:paraId="19A21F89">
            <w:pPr>
              <w:pStyle w:val="17"/>
              <w:spacing w:before="125" w:line="221" w:lineRule="auto"/>
              <w:ind w:left="584"/>
              <w:rPr>
                <w:color w:val="auto"/>
                <w:sz w:val="21"/>
                <w:szCs w:val="21"/>
                <w:highlight w:val="none"/>
              </w:rPr>
            </w:pPr>
            <w:r>
              <w:rPr>
                <w:color w:val="auto"/>
                <w:spacing w:val="-2"/>
                <w:sz w:val="21"/>
                <w:szCs w:val="21"/>
                <w:highlight w:val="none"/>
              </w:rPr>
              <w:t>违约金（元</w:t>
            </w:r>
            <w:r>
              <w:rPr>
                <w:rFonts w:ascii="Times New Roman" w:hAnsi="Times New Roman" w:eastAsia="Times New Roman" w:cs="Times New Roman"/>
                <w:color w:val="auto"/>
                <w:spacing w:val="-2"/>
                <w:sz w:val="21"/>
                <w:szCs w:val="21"/>
                <w:highlight w:val="none"/>
              </w:rPr>
              <w:t>/</w:t>
            </w:r>
            <w:r>
              <w:rPr>
                <w:color w:val="auto"/>
                <w:spacing w:val="-2"/>
                <w:sz w:val="21"/>
                <w:szCs w:val="21"/>
                <w:highlight w:val="none"/>
              </w:rPr>
              <w:t>天）</w:t>
            </w:r>
          </w:p>
        </w:tc>
      </w:tr>
      <w:tr w14:paraId="43CF3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66" w:type="dxa"/>
            <w:tcBorders>
              <w:left w:val="single" w:color="000000" w:sz="6" w:space="0"/>
            </w:tcBorders>
            <w:vAlign w:val="top"/>
          </w:tcPr>
          <w:p w14:paraId="3313FF3D">
            <w:pPr>
              <w:rPr>
                <w:rFonts w:ascii="Arial"/>
                <w:color w:val="auto"/>
                <w:sz w:val="21"/>
                <w:highlight w:val="none"/>
              </w:rPr>
            </w:pPr>
          </w:p>
        </w:tc>
        <w:tc>
          <w:tcPr>
            <w:tcW w:w="2664" w:type="dxa"/>
            <w:vAlign w:val="center"/>
          </w:tcPr>
          <w:p w14:paraId="5AC4445D">
            <w:pPr>
              <w:jc w:val="center"/>
              <w:rPr>
                <w:rFonts w:hint="default" w:ascii="Arial" w:eastAsia="宋体"/>
                <w:color w:val="auto"/>
                <w:sz w:val="21"/>
                <w:highlight w:val="none"/>
                <w:lang w:val="en-US" w:eastAsia="zh-CN"/>
              </w:rPr>
            </w:pPr>
            <w:r>
              <w:rPr>
                <w:rFonts w:hint="eastAsia" w:eastAsia="宋体"/>
                <w:color w:val="auto"/>
                <w:sz w:val="21"/>
                <w:highlight w:val="none"/>
                <w:lang w:val="en-US" w:eastAsia="zh-CN"/>
              </w:rPr>
              <w:t>全部工程</w:t>
            </w:r>
          </w:p>
        </w:tc>
        <w:tc>
          <w:tcPr>
            <w:tcW w:w="2475" w:type="dxa"/>
            <w:vAlign w:val="top"/>
          </w:tcPr>
          <w:p w14:paraId="3F06C095">
            <w:pPr>
              <w:rPr>
                <w:rFonts w:ascii="Arial"/>
                <w:color w:val="auto"/>
                <w:sz w:val="21"/>
                <w:highlight w:val="none"/>
              </w:rPr>
            </w:pPr>
          </w:p>
        </w:tc>
        <w:tc>
          <w:tcPr>
            <w:tcW w:w="2688" w:type="dxa"/>
            <w:tcBorders>
              <w:right w:val="single" w:color="000000" w:sz="6" w:space="0"/>
            </w:tcBorders>
            <w:vAlign w:val="center"/>
          </w:tcPr>
          <w:p w14:paraId="4A1C8131">
            <w:pPr>
              <w:jc w:val="center"/>
              <w:rPr>
                <w:rFonts w:hint="default" w:ascii="Arial" w:eastAsia="宋体"/>
                <w:color w:val="auto"/>
                <w:sz w:val="21"/>
                <w:highlight w:val="none"/>
                <w:lang w:val="en-US" w:eastAsia="zh-CN"/>
              </w:rPr>
            </w:pPr>
            <w:r>
              <w:rPr>
                <w:rFonts w:hint="eastAsia" w:eastAsia="宋体"/>
                <w:color w:val="auto"/>
                <w:sz w:val="21"/>
                <w:highlight w:val="none"/>
                <w:lang w:val="en-US" w:eastAsia="zh-CN"/>
              </w:rPr>
              <w:t>1000</w:t>
            </w:r>
          </w:p>
        </w:tc>
      </w:tr>
      <w:tr w14:paraId="5E303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66" w:type="dxa"/>
            <w:tcBorders>
              <w:left w:val="single" w:color="000000" w:sz="6" w:space="0"/>
            </w:tcBorders>
            <w:vAlign w:val="top"/>
          </w:tcPr>
          <w:p w14:paraId="40927039">
            <w:pPr>
              <w:rPr>
                <w:rFonts w:ascii="Arial"/>
                <w:color w:val="auto"/>
                <w:sz w:val="21"/>
                <w:highlight w:val="none"/>
              </w:rPr>
            </w:pPr>
          </w:p>
        </w:tc>
        <w:tc>
          <w:tcPr>
            <w:tcW w:w="2664" w:type="dxa"/>
            <w:vAlign w:val="top"/>
          </w:tcPr>
          <w:p w14:paraId="21445590">
            <w:pPr>
              <w:rPr>
                <w:rFonts w:ascii="Arial"/>
                <w:color w:val="auto"/>
                <w:sz w:val="21"/>
                <w:highlight w:val="none"/>
              </w:rPr>
            </w:pPr>
          </w:p>
        </w:tc>
        <w:tc>
          <w:tcPr>
            <w:tcW w:w="2475" w:type="dxa"/>
            <w:vAlign w:val="top"/>
          </w:tcPr>
          <w:p w14:paraId="0F17C13A">
            <w:pPr>
              <w:rPr>
                <w:rFonts w:ascii="Arial"/>
                <w:color w:val="auto"/>
                <w:sz w:val="21"/>
                <w:highlight w:val="none"/>
              </w:rPr>
            </w:pPr>
          </w:p>
        </w:tc>
        <w:tc>
          <w:tcPr>
            <w:tcW w:w="2688" w:type="dxa"/>
            <w:tcBorders>
              <w:right w:val="single" w:color="000000" w:sz="6" w:space="0"/>
            </w:tcBorders>
            <w:vAlign w:val="top"/>
          </w:tcPr>
          <w:p w14:paraId="38C09D6D">
            <w:pPr>
              <w:rPr>
                <w:rFonts w:ascii="Arial"/>
                <w:color w:val="auto"/>
                <w:sz w:val="21"/>
                <w:highlight w:val="none"/>
              </w:rPr>
            </w:pPr>
          </w:p>
        </w:tc>
      </w:tr>
      <w:tr w14:paraId="75C0B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6" w:type="dxa"/>
            <w:tcBorders>
              <w:left w:val="single" w:color="000000" w:sz="6" w:space="0"/>
              <w:bottom w:val="single" w:color="000000" w:sz="6" w:space="0"/>
            </w:tcBorders>
            <w:vAlign w:val="top"/>
          </w:tcPr>
          <w:p w14:paraId="2406B6A7">
            <w:pPr>
              <w:rPr>
                <w:rFonts w:ascii="Arial"/>
                <w:color w:val="auto"/>
                <w:sz w:val="21"/>
                <w:highlight w:val="none"/>
              </w:rPr>
            </w:pPr>
          </w:p>
        </w:tc>
        <w:tc>
          <w:tcPr>
            <w:tcW w:w="2664" w:type="dxa"/>
            <w:tcBorders>
              <w:bottom w:val="single" w:color="000000" w:sz="6" w:space="0"/>
            </w:tcBorders>
            <w:vAlign w:val="top"/>
          </w:tcPr>
          <w:p w14:paraId="35089A4F">
            <w:pPr>
              <w:rPr>
                <w:rFonts w:ascii="Arial"/>
                <w:color w:val="auto"/>
                <w:sz w:val="21"/>
                <w:highlight w:val="none"/>
              </w:rPr>
            </w:pPr>
          </w:p>
        </w:tc>
        <w:tc>
          <w:tcPr>
            <w:tcW w:w="2475" w:type="dxa"/>
            <w:tcBorders>
              <w:bottom w:val="single" w:color="000000" w:sz="6" w:space="0"/>
            </w:tcBorders>
            <w:vAlign w:val="top"/>
          </w:tcPr>
          <w:p w14:paraId="699AC5A1">
            <w:pPr>
              <w:rPr>
                <w:rFonts w:ascii="Arial"/>
                <w:color w:val="auto"/>
                <w:sz w:val="21"/>
                <w:highlight w:val="none"/>
              </w:rPr>
            </w:pPr>
          </w:p>
        </w:tc>
        <w:tc>
          <w:tcPr>
            <w:tcW w:w="2688" w:type="dxa"/>
            <w:tcBorders>
              <w:bottom w:val="single" w:color="000000" w:sz="6" w:space="0"/>
              <w:right w:val="single" w:color="000000" w:sz="6" w:space="0"/>
            </w:tcBorders>
            <w:vAlign w:val="top"/>
          </w:tcPr>
          <w:p w14:paraId="48C19AFC">
            <w:pPr>
              <w:rPr>
                <w:rFonts w:ascii="Arial"/>
                <w:color w:val="auto"/>
                <w:sz w:val="21"/>
                <w:highlight w:val="none"/>
              </w:rPr>
            </w:pPr>
          </w:p>
        </w:tc>
      </w:tr>
    </w:tbl>
    <w:p w14:paraId="67906A64">
      <w:pPr>
        <w:pStyle w:val="3"/>
        <w:spacing w:line="368" w:lineRule="auto"/>
        <w:rPr>
          <w:color w:val="auto"/>
          <w:highlight w:val="none"/>
        </w:rPr>
      </w:pPr>
    </w:p>
    <w:p w14:paraId="3231316C">
      <w:pPr>
        <w:spacing w:before="78" w:line="218" w:lineRule="auto"/>
        <w:ind w:left="48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）全部逾期完工违约金的总限额不超过签约合同价的</w:t>
      </w:r>
      <w:r>
        <w:rPr>
          <w:rFonts w:ascii="宋体" w:hAnsi="宋体" w:eastAsia="宋体" w:cs="宋体"/>
          <w:color w:val="auto"/>
          <w:spacing w:val="-92"/>
          <w:sz w:val="24"/>
          <w:szCs w:val="24"/>
          <w:highlight w:val="none"/>
        </w:rPr>
        <w:t xml:space="preserve"> </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 xml:space="preserve">2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1"/>
          <w:sz w:val="24"/>
          <w:szCs w:val="24"/>
          <w:highlight w:val="none"/>
        </w:rPr>
        <w:t xml:space="preserve"> </w:t>
      </w:r>
      <w:r>
        <w:rPr>
          <w:rFonts w:ascii="Times New Roman" w:hAnsi="Times New Roman" w:eastAsia="Times New Roman" w:cs="Times New Roman"/>
          <w:color w:val="auto"/>
          <w:spacing w:val="-2"/>
          <w:sz w:val="24"/>
          <w:szCs w:val="24"/>
          <w:highlight w:val="none"/>
        </w:rPr>
        <w:t>%</w:t>
      </w:r>
      <w:r>
        <w:rPr>
          <w:rFonts w:ascii="宋体" w:hAnsi="宋体" w:eastAsia="宋体" w:cs="宋体"/>
          <w:color w:val="auto"/>
          <w:spacing w:val="-2"/>
          <w:sz w:val="24"/>
          <w:szCs w:val="24"/>
          <w:highlight w:val="none"/>
        </w:rPr>
        <w:t>。</w:t>
      </w:r>
    </w:p>
    <w:p w14:paraId="58DDDB9C">
      <w:pPr>
        <w:spacing w:before="185" w:line="220" w:lineRule="auto"/>
        <w:ind w:left="8"/>
        <w:outlineLvl w:val="1"/>
        <w:rPr>
          <w:rFonts w:ascii="宋体" w:hAnsi="宋体" w:eastAsia="宋体" w:cs="宋体"/>
          <w:color w:val="auto"/>
          <w:sz w:val="24"/>
          <w:szCs w:val="24"/>
          <w:highlight w:val="none"/>
        </w:rPr>
      </w:pPr>
      <w:bookmarkStart w:id="894" w:name="bookmark345"/>
      <w:bookmarkEnd w:id="894"/>
      <w:bookmarkStart w:id="895" w:name="_Toc5193"/>
      <w:bookmarkStart w:id="896" w:name="_Toc18603"/>
      <w:r>
        <w:rPr>
          <w:rFonts w:ascii="Times New Roman" w:hAnsi="Times New Roman" w:eastAsia="Times New Roman" w:cs="Times New Roman"/>
          <w:b/>
          <w:bCs/>
          <w:color w:val="auto"/>
          <w:spacing w:val="-5"/>
          <w:sz w:val="24"/>
          <w:szCs w:val="24"/>
          <w:highlight w:val="none"/>
        </w:rPr>
        <w:t>11.6</w:t>
      </w:r>
      <w:r>
        <w:rPr>
          <w:rFonts w:ascii="Times New Roman" w:hAnsi="Times New Roman" w:eastAsia="Times New Roman" w:cs="Times New Roman"/>
          <w:b/>
          <w:bCs/>
          <w:color w:val="auto"/>
          <w:spacing w:val="8"/>
          <w:sz w:val="24"/>
          <w:szCs w:val="24"/>
          <w:highlight w:val="none"/>
        </w:rPr>
        <w:t xml:space="preserve">  </w:t>
      </w:r>
      <w:r>
        <w:rPr>
          <w:rFonts w:ascii="宋体" w:hAnsi="宋体" w:eastAsia="宋体" w:cs="宋体"/>
          <w:b/>
          <w:bCs/>
          <w:color w:val="auto"/>
          <w:spacing w:val="-5"/>
          <w:sz w:val="24"/>
          <w:szCs w:val="24"/>
          <w:highlight w:val="none"/>
        </w:rPr>
        <w:t>工期提前</w:t>
      </w:r>
      <w:bookmarkEnd w:id="895"/>
      <w:bookmarkEnd w:id="896"/>
    </w:p>
    <w:p w14:paraId="0CAFA29B">
      <w:pPr>
        <w:spacing w:before="182" w:line="220" w:lineRule="auto"/>
        <w:ind w:left="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工期提前的奖金约定：</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14E6D420">
      <w:pPr>
        <w:spacing w:line="220" w:lineRule="auto"/>
        <w:rPr>
          <w:rFonts w:ascii="宋体" w:hAnsi="宋体" w:eastAsia="宋体" w:cs="宋体"/>
          <w:color w:val="auto"/>
          <w:sz w:val="24"/>
          <w:szCs w:val="24"/>
          <w:highlight w:val="none"/>
        </w:rPr>
      </w:pPr>
    </w:p>
    <w:p w14:paraId="43C216A3">
      <w:pPr>
        <w:tabs>
          <w:tab w:val="left" w:pos="301"/>
        </w:tabs>
        <w:bidi w:val="0"/>
        <w:jc w:val="left"/>
        <w:rPr>
          <w:rFonts w:ascii="宋体" w:hAnsi="宋体" w:eastAsia="宋体" w:cs="宋体"/>
          <w:color w:val="auto"/>
          <w:sz w:val="28"/>
          <w:szCs w:val="28"/>
          <w:highlight w:val="none"/>
        </w:rPr>
      </w:pPr>
      <w:bookmarkStart w:id="897" w:name="bookmark347"/>
      <w:bookmarkEnd w:id="897"/>
      <w:bookmarkStart w:id="898" w:name="bookmark346"/>
      <w:bookmarkEnd w:id="898"/>
      <w:r>
        <w:rPr>
          <w:rFonts w:ascii="Times New Roman" w:hAnsi="Times New Roman" w:eastAsia="Times New Roman" w:cs="Times New Roman"/>
          <w:b/>
          <w:bCs/>
          <w:color w:val="auto"/>
          <w:spacing w:val="-8"/>
          <w:sz w:val="28"/>
          <w:szCs w:val="28"/>
          <w:highlight w:val="none"/>
        </w:rPr>
        <w:t>12</w:t>
      </w:r>
      <w:r>
        <w:rPr>
          <w:rFonts w:hint="eastAsia" w:ascii="Times New Roman" w:hAnsi="Times New Roman" w:eastAsia="宋体" w:cs="Times New Roman"/>
          <w:b/>
          <w:bCs/>
          <w:color w:val="auto"/>
          <w:spacing w:val="11"/>
          <w:sz w:val="28"/>
          <w:szCs w:val="28"/>
          <w:highlight w:val="none"/>
          <w:lang w:eastAsia="zh-CN"/>
        </w:rPr>
        <w:t>、</w:t>
      </w:r>
      <w:r>
        <w:rPr>
          <w:rFonts w:ascii="宋体" w:hAnsi="宋体" w:eastAsia="宋体" w:cs="宋体"/>
          <w:b/>
          <w:bCs/>
          <w:color w:val="auto"/>
          <w:spacing w:val="-8"/>
          <w:sz w:val="28"/>
          <w:szCs w:val="28"/>
          <w:highlight w:val="none"/>
        </w:rPr>
        <w:t>暂停施工</w:t>
      </w:r>
    </w:p>
    <w:p w14:paraId="641779BF">
      <w:pPr>
        <w:pStyle w:val="3"/>
        <w:spacing w:line="244" w:lineRule="auto"/>
        <w:rPr>
          <w:color w:val="auto"/>
          <w:highlight w:val="none"/>
        </w:rPr>
      </w:pPr>
    </w:p>
    <w:p w14:paraId="3D53E456">
      <w:pPr>
        <w:spacing w:before="78" w:line="220" w:lineRule="auto"/>
        <w:ind w:left="6"/>
        <w:outlineLvl w:val="1"/>
        <w:rPr>
          <w:rFonts w:ascii="宋体" w:hAnsi="宋体" w:eastAsia="宋体" w:cs="宋体"/>
          <w:color w:val="auto"/>
          <w:sz w:val="24"/>
          <w:szCs w:val="24"/>
          <w:highlight w:val="none"/>
        </w:rPr>
      </w:pPr>
      <w:bookmarkStart w:id="899" w:name="bookmark722"/>
      <w:bookmarkEnd w:id="899"/>
      <w:bookmarkStart w:id="900" w:name="_Toc23216"/>
      <w:bookmarkStart w:id="901" w:name="_Toc13625"/>
      <w:r>
        <w:rPr>
          <w:rFonts w:ascii="Times New Roman" w:hAnsi="Times New Roman" w:eastAsia="Times New Roman" w:cs="Times New Roman"/>
          <w:b/>
          <w:bCs/>
          <w:color w:val="auto"/>
          <w:spacing w:val="-2"/>
          <w:sz w:val="24"/>
          <w:szCs w:val="24"/>
          <w:highlight w:val="none"/>
        </w:rPr>
        <w:t xml:space="preserve">12.1  </w:t>
      </w:r>
      <w:r>
        <w:rPr>
          <w:rFonts w:ascii="宋体" w:hAnsi="宋体" w:eastAsia="宋体" w:cs="宋体"/>
          <w:b/>
          <w:bCs/>
          <w:color w:val="auto"/>
          <w:spacing w:val="-2"/>
          <w:sz w:val="24"/>
          <w:szCs w:val="24"/>
          <w:highlight w:val="none"/>
        </w:rPr>
        <w:t>承包人暂停施工的责任</w:t>
      </w:r>
      <w:bookmarkEnd w:id="900"/>
      <w:bookmarkEnd w:id="901"/>
    </w:p>
    <w:p w14:paraId="7C0988D7">
      <w:pPr>
        <w:spacing w:before="179" w:line="220"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5</w:t>
      </w:r>
      <w:r>
        <w:rPr>
          <w:rFonts w:ascii="宋体" w:hAnsi="宋体" w:eastAsia="宋体" w:cs="宋体"/>
          <w:color w:val="auto"/>
          <w:spacing w:val="-1"/>
          <w:sz w:val="24"/>
          <w:szCs w:val="24"/>
          <w:highlight w:val="none"/>
        </w:rPr>
        <w:t>）承包人承担暂停施工责任的其他情形：</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4C7C3DEF">
      <w:pPr>
        <w:spacing w:before="181" w:line="220" w:lineRule="auto"/>
        <w:ind w:left="6"/>
        <w:outlineLvl w:val="1"/>
        <w:rPr>
          <w:rFonts w:ascii="宋体" w:hAnsi="宋体" w:eastAsia="宋体" w:cs="宋体"/>
          <w:color w:val="auto"/>
          <w:sz w:val="24"/>
          <w:szCs w:val="24"/>
          <w:highlight w:val="none"/>
        </w:rPr>
      </w:pPr>
      <w:bookmarkStart w:id="902" w:name="bookmark348"/>
      <w:bookmarkEnd w:id="902"/>
      <w:bookmarkStart w:id="903" w:name="_Toc23125"/>
      <w:bookmarkStart w:id="904" w:name="_Toc5476"/>
      <w:r>
        <w:rPr>
          <w:rFonts w:ascii="Times New Roman" w:hAnsi="Times New Roman" w:eastAsia="Times New Roman" w:cs="Times New Roman"/>
          <w:b/>
          <w:bCs/>
          <w:color w:val="auto"/>
          <w:spacing w:val="-2"/>
          <w:sz w:val="24"/>
          <w:szCs w:val="24"/>
          <w:highlight w:val="none"/>
        </w:rPr>
        <w:t xml:space="preserve">12.2  </w:t>
      </w:r>
      <w:r>
        <w:rPr>
          <w:rFonts w:ascii="宋体" w:hAnsi="宋体" w:eastAsia="宋体" w:cs="宋体"/>
          <w:b/>
          <w:bCs/>
          <w:color w:val="auto"/>
          <w:spacing w:val="-2"/>
          <w:sz w:val="24"/>
          <w:szCs w:val="24"/>
          <w:highlight w:val="none"/>
        </w:rPr>
        <w:t>发包人暂停施工的责任</w:t>
      </w:r>
      <w:bookmarkEnd w:id="903"/>
      <w:bookmarkEnd w:id="904"/>
    </w:p>
    <w:p w14:paraId="5F46C94E">
      <w:pPr>
        <w:spacing w:before="182" w:line="220"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）发包人承担暂停施工责任的其他情形：</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6C84ABEE">
      <w:pPr>
        <w:spacing w:before="306" w:line="221" w:lineRule="auto"/>
        <w:ind w:left="9"/>
        <w:outlineLvl w:val="0"/>
        <w:rPr>
          <w:rFonts w:ascii="宋体" w:hAnsi="宋体" w:eastAsia="宋体" w:cs="宋体"/>
          <w:color w:val="auto"/>
          <w:sz w:val="28"/>
          <w:szCs w:val="28"/>
          <w:highlight w:val="none"/>
        </w:rPr>
      </w:pPr>
      <w:bookmarkStart w:id="905" w:name="bookmark349"/>
      <w:bookmarkEnd w:id="905"/>
      <w:bookmarkStart w:id="906" w:name="bookmark350"/>
      <w:bookmarkEnd w:id="906"/>
      <w:bookmarkStart w:id="907" w:name="_Toc16052"/>
      <w:bookmarkStart w:id="908" w:name="_Toc25886"/>
      <w:r>
        <w:rPr>
          <w:rFonts w:ascii="Times New Roman" w:hAnsi="Times New Roman" w:eastAsia="Times New Roman" w:cs="Times New Roman"/>
          <w:b/>
          <w:bCs/>
          <w:color w:val="auto"/>
          <w:spacing w:val="-7"/>
          <w:sz w:val="28"/>
          <w:szCs w:val="28"/>
          <w:highlight w:val="none"/>
        </w:rPr>
        <w:t>13</w:t>
      </w:r>
      <w:r>
        <w:rPr>
          <w:rFonts w:hint="eastAsia" w:ascii="Times New Roman" w:hAnsi="Times New Roman" w:eastAsia="宋体" w:cs="Times New Roman"/>
          <w:b/>
          <w:bCs/>
          <w:color w:val="auto"/>
          <w:spacing w:val="8"/>
          <w:sz w:val="28"/>
          <w:szCs w:val="28"/>
          <w:highlight w:val="none"/>
          <w:lang w:eastAsia="zh-CN"/>
        </w:rPr>
        <w:t>、</w:t>
      </w:r>
      <w:r>
        <w:rPr>
          <w:rFonts w:ascii="宋体" w:hAnsi="宋体" w:eastAsia="宋体" w:cs="宋体"/>
          <w:b/>
          <w:bCs/>
          <w:color w:val="auto"/>
          <w:spacing w:val="-7"/>
          <w:sz w:val="28"/>
          <w:szCs w:val="28"/>
          <w:highlight w:val="none"/>
        </w:rPr>
        <w:t>工程质量</w:t>
      </w:r>
      <w:bookmarkEnd w:id="907"/>
      <w:bookmarkEnd w:id="908"/>
    </w:p>
    <w:p w14:paraId="6DE0421A">
      <w:pPr>
        <w:pStyle w:val="3"/>
        <w:spacing w:line="245" w:lineRule="auto"/>
        <w:rPr>
          <w:color w:val="auto"/>
          <w:highlight w:val="none"/>
        </w:rPr>
      </w:pPr>
    </w:p>
    <w:p w14:paraId="4D20A66E">
      <w:pPr>
        <w:spacing w:before="78" w:line="220" w:lineRule="auto"/>
        <w:ind w:left="6"/>
        <w:outlineLvl w:val="1"/>
        <w:rPr>
          <w:rFonts w:ascii="宋体" w:hAnsi="宋体" w:eastAsia="宋体" w:cs="宋体"/>
          <w:color w:val="auto"/>
          <w:sz w:val="24"/>
          <w:szCs w:val="24"/>
          <w:highlight w:val="none"/>
        </w:rPr>
      </w:pPr>
      <w:bookmarkStart w:id="909" w:name="bookmark723"/>
      <w:bookmarkEnd w:id="909"/>
      <w:bookmarkStart w:id="910" w:name="_Toc14768"/>
      <w:bookmarkStart w:id="911" w:name="_Toc6753"/>
      <w:r>
        <w:rPr>
          <w:rFonts w:ascii="Times New Roman" w:hAnsi="Times New Roman" w:eastAsia="Times New Roman" w:cs="Times New Roman"/>
          <w:b/>
          <w:bCs/>
          <w:color w:val="auto"/>
          <w:spacing w:val="-3"/>
          <w:sz w:val="24"/>
          <w:szCs w:val="24"/>
          <w:highlight w:val="none"/>
        </w:rPr>
        <w:t xml:space="preserve">13.7  </w:t>
      </w:r>
      <w:r>
        <w:rPr>
          <w:rFonts w:ascii="宋体" w:hAnsi="宋体" w:eastAsia="宋体" w:cs="宋体"/>
          <w:b/>
          <w:bCs/>
          <w:color w:val="auto"/>
          <w:spacing w:val="-3"/>
          <w:sz w:val="24"/>
          <w:szCs w:val="24"/>
          <w:highlight w:val="none"/>
        </w:rPr>
        <w:t>质量评定</w:t>
      </w:r>
      <w:bookmarkEnd w:id="910"/>
      <w:bookmarkEnd w:id="911"/>
    </w:p>
    <w:p w14:paraId="11D31627">
      <w:pPr>
        <w:spacing w:before="180" w:line="354" w:lineRule="auto"/>
        <w:ind w:left="2" w:right="152"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12"/>
          <w:sz w:val="24"/>
          <w:szCs w:val="24"/>
          <w:highlight w:val="none"/>
        </w:rPr>
        <w:t xml:space="preserve">13.7.7  </w:t>
      </w:r>
      <w:r>
        <w:rPr>
          <w:rFonts w:ascii="宋体" w:hAnsi="宋体" w:eastAsia="宋体" w:cs="宋体"/>
          <w:color w:val="auto"/>
          <w:spacing w:val="12"/>
          <w:sz w:val="24"/>
          <w:szCs w:val="24"/>
          <w:highlight w:val="none"/>
        </w:rPr>
        <w:t>工程质量等级标准为</w:t>
      </w:r>
      <w:r>
        <w:rPr>
          <w:rFonts w:ascii="宋体" w:hAnsi="宋体" w:eastAsia="宋体" w:cs="宋体"/>
          <w:color w:val="auto"/>
          <w:spacing w:val="-85"/>
          <w:sz w:val="24"/>
          <w:szCs w:val="24"/>
          <w:highlight w:val="none"/>
        </w:rPr>
        <w:t xml:space="preserve"> </w:t>
      </w:r>
      <w:r>
        <w:rPr>
          <w:rFonts w:ascii="宋体" w:hAnsi="宋体" w:eastAsia="宋体" w:cs="宋体"/>
          <w:color w:val="auto"/>
          <w:spacing w:val="8"/>
          <w:sz w:val="24"/>
          <w:szCs w:val="24"/>
          <w:highlight w:val="none"/>
          <w:u w:val="single" w:color="auto"/>
        </w:rPr>
        <w:t xml:space="preserve">   </w:t>
      </w:r>
      <w:r>
        <w:rPr>
          <w:rFonts w:hint="eastAsia" w:ascii="宋体" w:hAnsi="宋体" w:eastAsia="宋体" w:cs="宋体"/>
          <w:color w:val="auto"/>
          <w:spacing w:val="8"/>
          <w:sz w:val="24"/>
          <w:szCs w:val="24"/>
          <w:highlight w:val="none"/>
          <w:u w:val="single" w:color="auto"/>
          <w:lang w:val="en-US" w:eastAsia="zh-CN"/>
        </w:rPr>
        <w:t>合格</w:t>
      </w:r>
      <w:r>
        <w:rPr>
          <w:rFonts w:ascii="宋体" w:hAnsi="宋体" w:eastAsia="宋体" w:cs="宋体"/>
          <w:color w:val="auto"/>
          <w:spacing w:val="8"/>
          <w:sz w:val="24"/>
          <w:szCs w:val="24"/>
          <w:highlight w:val="none"/>
          <w:u w:val="single" w:color="auto"/>
        </w:rPr>
        <w:t xml:space="preserve">  </w:t>
      </w:r>
      <w:r>
        <w:rPr>
          <w:rFonts w:ascii="宋体" w:hAnsi="宋体" w:eastAsia="宋体" w:cs="宋体"/>
          <w:i/>
          <w:iCs/>
          <w:color w:val="auto"/>
          <w:spacing w:val="12"/>
          <w:sz w:val="25"/>
          <w:szCs w:val="25"/>
          <w:highlight w:val="none"/>
        </w:rPr>
        <w:t>（合格或优良）</w:t>
      </w:r>
      <w:r>
        <w:rPr>
          <w:rFonts w:ascii="宋体" w:hAnsi="宋体" w:eastAsia="宋体" w:cs="宋体"/>
          <w:color w:val="auto"/>
          <w:spacing w:val="-40"/>
          <w:sz w:val="25"/>
          <w:szCs w:val="25"/>
          <w:highlight w:val="none"/>
        </w:rPr>
        <w:t xml:space="preserve"> </w:t>
      </w:r>
      <w:r>
        <w:rPr>
          <w:rFonts w:ascii="宋体" w:hAnsi="宋体" w:eastAsia="宋体" w:cs="宋体"/>
          <w:color w:val="auto"/>
          <w:spacing w:val="12"/>
          <w:sz w:val="24"/>
          <w:szCs w:val="24"/>
          <w:highlight w:val="none"/>
        </w:rPr>
        <w:t>。达到优良的奖金</w:t>
      </w:r>
      <w:r>
        <w:rPr>
          <w:rFonts w:ascii="宋体" w:hAnsi="宋体" w:eastAsia="宋体" w:cs="宋体"/>
          <w:color w:val="auto"/>
          <w:spacing w:val="-7"/>
          <w:sz w:val="24"/>
          <w:szCs w:val="24"/>
          <w:highlight w:val="none"/>
        </w:rPr>
        <w:t>为</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7"/>
          <w:sz w:val="24"/>
          <w:szCs w:val="24"/>
          <w:highlight w:val="none"/>
        </w:rPr>
        <w:t>。</w:t>
      </w:r>
    </w:p>
    <w:p w14:paraId="5E866F08">
      <w:pPr>
        <w:spacing w:before="121" w:line="220" w:lineRule="auto"/>
        <w:ind w:left="9"/>
        <w:outlineLvl w:val="0"/>
        <w:rPr>
          <w:rFonts w:ascii="宋体" w:hAnsi="宋体" w:eastAsia="宋体" w:cs="宋体"/>
          <w:color w:val="auto"/>
          <w:sz w:val="28"/>
          <w:szCs w:val="28"/>
          <w:highlight w:val="none"/>
        </w:rPr>
      </w:pPr>
      <w:bookmarkStart w:id="912" w:name="bookmark351"/>
      <w:bookmarkEnd w:id="912"/>
      <w:bookmarkStart w:id="913" w:name="bookmark352"/>
      <w:bookmarkEnd w:id="913"/>
      <w:bookmarkStart w:id="914" w:name="_Toc29543"/>
      <w:bookmarkStart w:id="915" w:name="_Toc5359"/>
      <w:r>
        <w:rPr>
          <w:rFonts w:ascii="Times New Roman" w:hAnsi="Times New Roman" w:eastAsia="Times New Roman" w:cs="Times New Roman"/>
          <w:b/>
          <w:bCs/>
          <w:color w:val="auto"/>
          <w:spacing w:val="-3"/>
          <w:sz w:val="28"/>
          <w:szCs w:val="28"/>
          <w:highlight w:val="none"/>
        </w:rPr>
        <w:t>14</w:t>
      </w:r>
      <w:r>
        <w:rPr>
          <w:rFonts w:hint="eastAsia" w:ascii="Times New Roman" w:hAnsi="Times New Roman" w:eastAsia="宋体" w:cs="Times New Roman"/>
          <w:b/>
          <w:bCs/>
          <w:color w:val="auto"/>
          <w:spacing w:val="-3"/>
          <w:sz w:val="28"/>
          <w:szCs w:val="28"/>
          <w:highlight w:val="none"/>
          <w:lang w:eastAsia="zh-CN"/>
        </w:rPr>
        <w:t>、</w:t>
      </w:r>
      <w:r>
        <w:rPr>
          <w:rFonts w:ascii="宋体" w:hAnsi="宋体" w:eastAsia="宋体" w:cs="宋体"/>
          <w:b/>
          <w:bCs/>
          <w:color w:val="auto"/>
          <w:spacing w:val="-3"/>
          <w:sz w:val="28"/>
          <w:szCs w:val="28"/>
          <w:highlight w:val="none"/>
        </w:rPr>
        <w:t>试验和检验</w:t>
      </w:r>
      <w:bookmarkEnd w:id="914"/>
      <w:bookmarkEnd w:id="915"/>
    </w:p>
    <w:p w14:paraId="643C4992">
      <w:pPr>
        <w:pStyle w:val="3"/>
        <w:spacing w:line="245" w:lineRule="auto"/>
        <w:rPr>
          <w:color w:val="auto"/>
          <w:highlight w:val="none"/>
        </w:rPr>
      </w:pPr>
    </w:p>
    <w:p w14:paraId="5B45F5F5">
      <w:pPr>
        <w:spacing w:before="79" w:line="219" w:lineRule="auto"/>
        <w:ind w:left="6"/>
        <w:outlineLvl w:val="1"/>
        <w:rPr>
          <w:rFonts w:ascii="宋体" w:hAnsi="宋体" w:eastAsia="宋体" w:cs="宋体"/>
          <w:color w:val="auto"/>
          <w:sz w:val="24"/>
          <w:szCs w:val="24"/>
          <w:highlight w:val="none"/>
        </w:rPr>
      </w:pPr>
      <w:bookmarkStart w:id="916" w:name="bookmark724"/>
      <w:bookmarkEnd w:id="916"/>
      <w:bookmarkStart w:id="917" w:name="_Toc22507"/>
      <w:bookmarkStart w:id="918" w:name="_Toc17593"/>
      <w:r>
        <w:rPr>
          <w:rFonts w:ascii="Times New Roman" w:hAnsi="Times New Roman" w:eastAsia="Times New Roman" w:cs="Times New Roman"/>
          <w:b/>
          <w:bCs/>
          <w:color w:val="auto"/>
          <w:spacing w:val="-2"/>
          <w:sz w:val="24"/>
          <w:szCs w:val="24"/>
          <w:highlight w:val="none"/>
        </w:rPr>
        <w:t xml:space="preserve">14.1  </w:t>
      </w:r>
      <w:r>
        <w:rPr>
          <w:rFonts w:ascii="宋体" w:hAnsi="宋体" w:eastAsia="宋体" w:cs="宋体"/>
          <w:b/>
          <w:bCs/>
          <w:color w:val="auto"/>
          <w:spacing w:val="-2"/>
          <w:sz w:val="24"/>
          <w:szCs w:val="24"/>
          <w:highlight w:val="none"/>
        </w:rPr>
        <w:t>材料、工程设备和工程的试验和检验</w:t>
      </w:r>
      <w:bookmarkEnd w:id="917"/>
      <w:bookmarkEnd w:id="918"/>
    </w:p>
    <w:p w14:paraId="14D5FC70">
      <w:pPr>
        <w:spacing w:before="181" w:line="359" w:lineRule="auto"/>
        <w:ind w:left="8" w:right="149" w:firstLine="480"/>
        <w:rPr>
          <w:rFonts w:ascii="宋体" w:hAnsi="宋体" w:eastAsia="宋体" w:cs="宋体"/>
          <w:color w:val="auto"/>
          <w:sz w:val="24"/>
          <w:szCs w:val="24"/>
          <w:highlight w:val="none"/>
        </w:rPr>
      </w:pPr>
      <w:r>
        <w:rPr>
          <w:rFonts w:ascii="Times New Roman" w:hAnsi="Times New Roman" w:eastAsia="Times New Roman" w:cs="Times New Roman"/>
          <w:b/>
          <w:bCs/>
          <w:color w:val="auto"/>
          <w:spacing w:val="-5"/>
          <w:sz w:val="24"/>
          <w:szCs w:val="24"/>
          <w:highlight w:val="none"/>
        </w:rPr>
        <w:t xml:space="preserve">14.1.5  </w:t>
      </w:r>
      <w:r>
        <w:rPr>
          <w:rFonts w:ascii="宋体" w:hAnsi="宋体" w:eastAsia="宋体" w:cs="宋体"/>
          <w:color w:val="auto"/>
          <w:spacing w:val="-5"/>
          <w:sz w:val="24"/>
          <w:szCs w:val="24"/>
          <w:highlight w:val="none"/>
        </w:rPr>
        <w:t>水工金属结构、启闭机及机电产品进场后的交货检查和验收中，</w:t>
      </w:r>
      <w:r>
        <w:rPr>
          <w:rFonts w:ascii="宋体" w:hAnsi="宋体" w:eastAsia="宋体" w:cs="宋体"/>
          <w:color w:val="auto"/>
          <w:spacing w:val="-33"/>
          <w:sz w:val="24"/>
          <w:szCs w:val="24"/>
          <w:highlight w:val="none"/>
        </w:rPr>
        <w:t xml:space="preserve"> </w:t>
      </w:r>
      <w:r>
        <w:rPr>
          <w:rFonts w:ascii="宋体" w:hAnsi="宋体" w:eastAsia="宋体" w:cs="宋体"/>
          <w:color w:val="auto"/>
          <w:spacing w:val="-5"/>
          <w:sz w:val="24"/>
          <w:szCs w:val="24"/>
          <w:highlight w:val="none"/>
        </w:rPr>
        <w:t>承包人负</w:t>
      </w:r>
      <w:r>
        <w:rPr>
          <w:rFonts w:ascii="宋体" w:hAnsi="宋体" w:eastAsia="宋体" w:cs="宋体"/>
          <w:color w:val="auto"/>
          <w:spacing w:val="-9"/>
          <w:sz w:val="24"/>
          <w:szCs w:val="24"/>
          <w:highlight w:val="none"/>
        </w:rPr>
        <w:t>责</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9"/>
          <w:sz w:val="24"/>
          <w:szCs w:val="24"/>
          <w:highlight w:val="none"/>
        </w:rPr>
        <w:t>。</w:t>
      </w:r>
    </w:p>
    <w:p w14:paraId="484E64D6">
      <w:pPr>
        <w:spacing w:before="1" w:line="218" w:lineRule="auto"/>
        <w:ind w:left="488"/>
        <w:rPr>
          <w:rFonts w:hint="eastAsia" w:ascii="宋体" w:hAnsi="宋体" w:eastAsia="宋体" w:cs="宋体"/>
          <w:color w:val="auto"/>
          <w:sz w:val="24"/>
          <w:szCs w:val="24"/>
          <w:highlight w:val="none"/>
          <w:lang w:eastAsia="zh-CN"/>
        </w:rPr>
      </w:pPr>
      <w:r>
        <w:rPr>
          <w:rFonts w:ascii="Times New Roman" w:hAnsi="Times New Roman" w:eastAsia="Times New Roman" w:cs="Times New Roman"/>
          <w:b/>
          <w:bCs/>
          <w:color w:val="auto"/>
          <w:sz w:val="24"/>
          <w:szCs w:val="24"/>
          <w:highlight w:val="none"/>
        </w:rPr>
        <w:t xml:space="preserve">14.1.6  </w:t>
      </w:r>
      <w:r>
        <w:rPr>
          <w:rFonts w:ascii="宋体" w:hAnsi="宋体" w:eastAsia="宋体" w:cs="宋体"/>
          <w:color w:val="auto"/>
          <w:sz w:val="24"/>
          <w:szCs w:val="24"/>
          <w:highlight w:val="none"/>
        </w:rPr>
        <w:t>本工程实行见证取样的试块、试件及有关材料：</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按有关规定</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eastAsia="zh-CN"/>
        </w:rPr>
        <w:t>。</w:t>
      </w:r>
    </w:p>
    <w:p w14:paraId="3864E104">
      <w:pPr>
        <w:spacing w:before="310" w:line="221" w:lineRule="auto"/>
        <w:ind w:left="9"/>
        <w:outlineLvl w:val="0"/>
        <w:rPr>
          <w:rFonts w:ascii="宋体" w:hAnsi="宋体" w:eastAsia="宋体" w:cs="宋体"/>
          <w:color w:val="auto"/>
          <w:sz w:val="28"/>
          <w:szCs w:val="28"/>
          <w:highlight w:val="none"/>
        </w:rPr>
      </w:pPr>
      <w:bookmarkStart w:id="919" w:name="bookmark353"/>
      <w:bookmarkEnd w:id="919"/>
      <w:bookmarkStart w:id="920" w:name="bookmark354"/>
      <w:bookmarkEnd w:id="920"/>
      <w:bookmarkStart w:id="921" w:name="_Toc3479"/>
      <w:bookmarkStart w:id="922" w:name="_Toc15985"/>
      <w:r>
        <w:rPr>
          <w:rFonts w:ascii="Times New Roman" w:hAnsi="Times New Roman" w:eastAsia="Times New Roman" w:cs="Times New Roman"/>
          <w:b/>
          <w:bCs/>
          <w:color w:val="auto"/>
          <w:spacing w:val="-7"/>
          <w:sz w:val="28"/>
          <w:szCs w:val="28"/>
          <w:highlight w:val="none"/>
        </w:rPr>
        <w:t>15</w:t>
      </w:r>
      <w:r>
        <w:rPr>
          <w:rFonts w:hint="eastAsia" w:ascii="Times New Roman" w:hAnsi="Times New Roman" w:eastAsia="宋体" w:cs="Times New Roman"/>
          <w:b/>
          <w:bCs/>
          <w:color w:val="auto"/>
          <w:spacing w:val="5"/>
          <w:sz w:val="28"/>
          <w:szCs w:val="28"/>
          <w:highlight w:val="none"/>
          <w:lang w:eastAsia="zh-CN"/>
        </w:rPr>
        <w:t>、</w:t>
      </w:r>
      <w:r>
        <w:rPr>
          <w:rFonts w:ascii="宋体" w:hAnsi="宋体" w:eastAsia="宋体" w:cs="宋体"/>
          <w:b/>
          <w:bCs/>
          <w:color w:val="auto"/>
          <w:spacing w:val="-7"/>
          <w:sz w:val="28"/>
          <w:szCs w:val="28"/>
          <w:highlight w:val="none"/>
        </w:rPr>
        <w:t>变更</w:t>
      </w:r>
      <w:bookmarkEnd w:id="921"/>
      <w:bookmarkEnd w:id="922"/>
    </w:p>
    <w:p w14:paraId="303004B8">
      <w:pPr>
        <w:pStyle w:val="3"/>
        <w:spacing w:line="242" w:lineRule="auto"/>
        <w:rPr>
          <w:color w:val="auto"/>
          <w:highlight w:val="none"/>
        </w:rPr>
      </w:pPr>
    </w:p>
    <w:p w14:paraId="3983FAB4">
      <w:pPr>
        <w:spacing w:before="79" w:line="220" w:lineRule="auto"/>
        <w:ind w:left="6"/>
        <w:outlineLvl w:val="1"/>
        <w:rPr>
          <w:rFonts w:ascii="宋体" w:hAnsi="宋体" w:eastAsia="宋体" w:cs="宋体"/>
          <w:b/>
          <w:bCs/>
          <w:color w:val="auto"/>
          <w:spacing w:val="-3"/>
          <w:sz w:val="24"/>
          <w:szCs w:val="24"/>
          <w:highlight w:val="none"/>
        </w:rPr>
      </w:pPr>
      <w:bookmarkStart w:id="923" w:name="bookmark725"/>
      <w:bookmarkEnd w:id="923"/>
      <w:bookmarkStart w:id="924" w:name="_Toc16308"/>
      <w:bookmarkStart w:id="925" w:name="_Toc14942"/>
      <w:r>
        <w:rPr>
          <w:rFonts w:ascii="Times New Roman" w:hAnsi="Times New Roman" w:eastAsia="Times New Roman" w:cs="Times New Roman"/>
          <w:b/>
          <w:bCs/>
          <w:color w:val="auto"/>
          <w:spacing w:val="-3"/>
          <w:sz w:val="24"/>
          <w:szCs w:val="24"/>
          <w:highlight w:val="none"/>
        </w:rPr>
        <w:t xml:space="preserve">15.1  </w:t>
      </w:r>
      <w:r>
        <w:rPr>
          <w:rFonts w:ascii="宋体" w:hAnsi="宋体" w:eastAsia="宋体" w:cs="宋体"/>
          <w:b/>
          <w:bCs/>
          <w:color w:val="auto"/>
          <w:spacing w:val="-3"/>
          <w:sz w:val="24"/>
          <w:szCs w:val="24"/>
          <w:highlight w:val="none"/>
        </w:rPr>
        <w:t>变更的范围和内容</w:t>
      </w:r>
      <w:bookmarkEnd w:id="924"/>
      <w:bookmarkEnd w:id="925"/>
    </w:p>
    <w:p w14:paraId="40F8CD05">
      <w:pPr>
        <w:spacing w:line="380" w:lineRule="exact"/>
        <w:ind w:firstLine="480" w:firstLineChars="200"/>
        <w:outlineLvl w:val="9"/>
        <w:rPr>
          <w:rFonts w:hint="eastAsia" w:ascii="宋体" w:hAnsi="宋体" w:eastAsia="宋体" w:cs="宋体"/>
          <w:snapToGrid w:val="0"/>
          <w:color w:val="auto"/>
          <w:sz w:val="24"/>
          <w:szCs w:val="24"/>
          <w:highlight w:val="none"/>
          <w:u w:val="none"/>
        </w:rPr>
      </w:pPr>
      <w:bookmarkStart w:id="926" w:name="_Toc5015"/>
      <w:bookmarkStart w:id="927" w:name="_Toc9304"/>
      <w:r>
        <w:rPr>
          <w:rFonts w:hint="eastAsia" w:ascii="宋体" w:hAnsi="宋体" w:eastAsia="宋体" w:cs="宋体"/>
          <w:color w:val="auto"/>
          <w:sz w:val="24"/>
          <w:szCs w:val="24"/>
          <w:highlight w:val="none"/>
        </w:rPr>
        <w:t>政府投资项目变更按《嵊州市政府投资项目工程变更管理办法》嵊政办〔202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70</w:t>
      </w:r>
      <w:r>
        <w:rPr>
          <w:rFonts w:hint="eastAsia" w:ascii="宋体" w:hAnsi="宋体" w:eastAsia="宋体" w:cs="宋体"/>
          <w:color w:val="auto"/>
          <w:sz w:val="24"/>
          <w:szCs w:val="24"/>
          <w:highlight w:val="none"/>
        </w:rPr>
        <w:t>号、</w:t>
      </w:r>
      <w:bookmarkEnd w:id="926"/>
      <w:bookmarkEnd w:id="927"/>
      <w:r>
        <w:rPr>
          <w:rFonts w:hint="eastAsia" w:ascii="宋体" w:hAnsi="宋体" w:eastAsia="宋体" w:cs="宋体"/>
          <w:snapToGrid w:val="0"/>
          <w:color w:val="auto"/>
          <w:sz w:val="24"/>
          <w:szCs w:val="24"/>
          <w:highlight w:val="none"/>
          <w:u w:val="none"/>
        </w:rPr>
        <w:t>《浙江省农田建设项目管理实施办法》浙农田发[2019]11号文件执行。</w:t>
      </w:r>
    </w:p>
    <w:p w14:paraId="254B3066">
      <w:pPr>
        <w:keepNext w:val="0"/>
        <w:keepLines w:val="0"/>
        <w:pageBreakBefore w:val="0"/>
        <w:widowControl/>
        <w:kinsoku w:val="0"/>
        <w:wordWrap/>
        <w:overflowPunct/>
        <w:topLinePunct w:val="0"/>
        <w:autoSpaceDE w:val="0"/>
        <w:autoSpaceDN w:val="0"/>
        <w:bidi w:val="0"/>
        <w:adjustRightInd w:val="0"/>
        <w:snapToGrid w:val="0"/>
        <w:spacing w:before="79" w:line="308" w:lineRule="auto"/>
        <w:textAlignment w:val="baseline"/>
        <w:outlineLvl w:val="1"/>
        <w:rPr>
          <w:rFonts w:hint="eastAsia" w:ascii="宋体" w:hAnsi="宋体" w:eastAsia="宋体" w:cs="宋体"/>
          <w:color w:val="auto"/>
          <w:sz w:val="24"/>
          <w:szCs w:val="24"/>
          <w:highlight w:val="none"/>
        </w:rPr>
      </w:pPr>
    </w:p>
    <w:p w14:paraId="5C66A70F">
      <w:pPr>
        <w:keepNext w:val="0"/>
        <w:keepLines w:val="0"/>
        <w:pageBreakBefore w:val="0"/>
        <w:widowControl/>
        <w:kinsoku w:val="0"/>
        <w:wordWrap/>
        <w:overflowPunct/>
        <w:topLinePunct w:val="0"/>
        <w:autoSpaceDE w:val="0"/>
        <w:autoSpaceDN w:val="0"/>
        <w:bidi w:val="0"/>
        <w:adjustRightInd w:val="0"/>
        <w:snapToGrid w:val="0"/>
        <w:spacing w:line="308"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删去本条款第（6）条全文，并代之以：</w:t>
      </w:r>
    </w:p>
    <w:p w14:paraId="0887512C">
      <w:pPr>
        <w:spacing w:before="181" w:line="357" w:lineRule="auto"/>
        <w:ind w:firstLine="486"/>
        <w:jc w:val="both"/>
        <w:rPr>
          <w:rFonts w:ascii="宋体" w:hAnsi="宋体" w:eastAsia="宋体" w:cs="宋体"/>
          <w:strike/>
          <w:dstrike w:val="0"/>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6</w:t>
      </w:r>
      <w:r>
        <w:rPr>
          <w:rFonts w:ascii="宋体" w:hAnsi="宋体" w:eastAsia="宋体" w:cs="宋体"/>
          <w:color w:val="auto"/>
          <w:spacing w:val="-2"/>
          <w:sz w:val="24"/>
          <w:szCs w:val="24"/>
          <w:highlight w:val="none"/>
        </w:rPr>
        <w:t>）分类分项清单项目工程量增加的，凡合价金额占签约合同总价</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以上的分类分项清单项目其工程量增加超过本项目工程数量</w:t>
      </w:r>
      <w:r>
        <w:rPr>
          <w:rFonts w:ascii="Times New Roman" w:hAnsi="Times New Roman" w:eastAsia="Times New Roman" w:cs="Times New Roman"/>
          <w:color w:val="auto"/>
          <w:spacing w:val="-2"/>
          <w:sz w:val="24"/>
          <w:szCs w:val="24"/>
          <w:highlight w:val="none"/>
        </w:rPr>
        <w:t>15%</w:t>
      </w:r>
      <w:r>
        <w:rPr>
          <w:rFonts w:ascii="宋体" w:hAnsi="宋体" w:eastAsia="宋体" w:cs="宋体"/>
          <w:color w:val="auto"/>
          <w:spacing w:val="-2"/>
          <w:sz w:val="24"/>
          <w:szCs w:val="24"/>
          <w:highlight w:val="none"/>
        </w:rPr>
        <w:t>以上，或合价金额占签约合同</w:t>
      </w:r>
      <w:r>
        <w:rPr>
          <w:rFonts w:ascii="宋体" w:hAnsi="宋体" w:eastAsia="宋体" w:cs="宋体"/>
          <w:color w:val="auto"/>
          <w:spacing w:val="2"/>
          <w:sz w:val="24"/>
          <w:szCs w:val="24"/>
          <w:highlight w:val="none"/>
        </w:rPr>
        <w:t>总价不到</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的分类分项清单项目但其工程量增加超过本项目工程数量</w:t>
      </w:r>
      <w:r>
        <w:rPr>
          <w:rFonts w:ascii="Times New Roman" w:hAnsi="Times New Roman" w:eastAsia="Times New Roman" w:cs="Times New Roman"/>
          <w:color w:val="auto"/>
          <w:spacing w:val="2"/>
          <w:sz w:val="24"/>
          <w:szCs w:val="24"/>
          <w:highlight w:val="none"/>
        </w:rPr>
        <w:t>25%</w:t>
      </w:r>
      <w:r>
        <w:rPr>
          <w:rFonts w:ascii="宋体" w:hAnsi="宋体" w:eastAsia="宋体" w:cs="宋体"/>
          <w:color w:val="auto"/>
          <w:spacing w:val="2"/>
          <w:sz w:val="24"/>
          <w:szCs w:val="24"/>
          <w:highlight w:val="none"/>
        </w:rPr>
        <w:t>以上，超过上述</w:t>
      </w:r>
      <w:r>
        <w:rPr>
          <w:rFonts w:ascii="Times New Roman" w:hAnsi="Times New Roman" w:eastAsia="Times New Roman" w:cs="Times New Roman"/>
          <w:color w:val="auto"/>
          <w:spacing w:val="2"/>
          <w:sz w:val="24"/>
          <w:szCs w:val="24"/>
          <w:highlight w:val="none"/>
        </w:rPr>
        <w:t>15%</w:t>
      </w:r>
      <w:r>
        <w:rPr>
          <w:rFonts w:ascii="宋体" w:hAnsi="宋体" w:eastAsia="宋体" w:cs="宋体"/>
          <w:color w:val="auto"/>
          <w:spacing w:val="2"/>
          <w:sz w:val="24"/>
          <w:szCs w:val="24"/>
          <w:highlight w:val="none"/>
        </w:rPr>
        <w:t>或</w:t>
      </w:r>
      <w:r>
        <w:rPr>
          <w:rFonts w:ascii="Times New Roman" w:hAnsi="Times New Roman" w:eastAsia="Times New Roman" w:cs="Times New Roman"/>
          <w:color w:val="auto"/>
          <w:spacing w:val="2"/>
          <w:sz w:val="24"/>
          <w:szCs w:val="24"/>
          <w:highlight w:val="none"/>
        </w:rPr>
        <w:t>25%</w:t>
      </w:r>
      <w:r>
        <w:rPr>
          <w:rFonts w:ascii="宋体" w:hAnsi="宋体" w:eastAsia="宋体" w:cs="宋体"/>
          <w:color w:val="auto"/>
          <w:spacing w:val="2"/>
          <w:sz w:val="24"/>
          <w:szCs w:val="24"/>
          <w:highlight w:val="none"/>
        </w:rPr>
        <w:t>以外增加部分的工程量，由承包人按</w:t>
      </w:r>
      <w:r>
        <w:rPr>
          <w:rFonts w:ascii="Times New Roman" w:hAnsi="Times New Roman" w:eastAsia="Times New Roman" w:cs="Times New Roman"/>
          <w:color w:val="auto"/>
          <w:spacing w:val="2"/>
          <w:sz w:val="24"/>
          <w:szCs w:val="24"/>
          <w:highlight w:val="none"/>
        </w:rPr>
        <w:t>15.4.3</w:t>
      </w:r>
      <w:r>
        <w:rPr>
          <w:rFonts w:ascii="宋体" w:hAnsi="宋体" w:eastAsia="宋体" w:cs="宋体"/>
          <w:color w:val="auto"/>
          <w:spacing w:val="2"/>
          <w:sz w:val="24"/>
          <w:szCs w:val="24"/>
          <w:highlight w:val="none"/>
        </w:rPr>
        <w:t>款的原则提出合适的变</w:t>
      </w:r>
      <w:r>
        <w:rPr>
          <w:rFonts w:ascii="宋体" w:hAnsi="宋体" w:eastAsia="宋体" w:cs="宋体"/>
          <w:color w:val="auto"/>
          <w:spacing w:val="-11"/>
          <w:sz w:val="24"/>
          <w:szCs w:val="24"/>
          <w:highlight w:val="none"/>
        </w:rPr>
        <w:t>更单价，并经监理人审核。</w:t>
      </w:r>
      <w:r>
        <w:rPr>
          <w:rFonts w:ascii="宋体" w:hAnsi="宋体" w:eastAsia="宋体" w:cs="宋体"/>
          <w:strike/>
          <w:dstrike w:val="0"/>
          <w:color w:val="auto"/>
          <w:spacing w:val="-11"/>
          <w:sz w:val="24"/>
          <w:szCs w:val="24"/>
          <w:highlight w:val="none"/>
        </w:rPr>
        <w:t>变更单价与合同单价相比，上下浮动超过</w:t>
      </w:r>
      <w:r>
        <w:rPr>
          <w:rFonts w:ascii="宋体" w:hAnsi="宋体" w:eastAsia="宋体" w:cs="宋体"/>
          <w:strike/>
          <w:dstrike w:val="0"/>
          <w:color w:val="auto"/>
          <w:spacing w:val="-11"/>
          <w:sz w:val="24"/>
          <w:szCs w:val="24"/>
          <w:highlight w:val="none"/>
          <w:u w:val="single" w:color="auto"/>
        </w:rPr>
        <w:t xml:space="preserve">    </w:t>
      </w:r>
      <w:r>
        <w:rPr>
          <w:rFonts w:ascii="宋体" w:hAnsi="宋体" w:eastAsia="宋体" w:cs="宋体"/>
          <w:strike/>
          <w:dstrike w:val="0"/>
          <w:color w:val="auto"/>
          <w:spacing w:val="-101"/>
          <w:sz w:val="24"/>
          <w:szCs w:val="24"/>
          <w:highlight w:val="none"/>
        </w:rPr>
        <w:t xml:space="preserve"> </w:t>
      </w:r>
      <w:r>
        <w:rPr>
          <w:rFonts w:ascii="Times New Roman" w:hAnsi="Times New Roman" w:eastAsia="Times New Roman" w:cs="Times New Roman"/>
          <w:strike/>
          <w:dstrike w:val="0"/>
          <w:color w:val="auto"/>
          <w:spacing w:val="-11"/>
          <w:sz w:val="24"/>
          <w:szCs w:val="24"/>
          <w:highlight w:val="none"/>
        </w:rPr>
        <w:t>%</w:t>
      </w:r>
      <w:r>
        <w:rPr>
          <w:rFonts w:ascii="宋体" w:hAnsi="宋体" w:eastAsia="宋体" w:cs="宋体"/>
          <w:i/>
          <w:iCs/>
          <w:strike/>
          <w:dstrike w:val="0"/>
          <w:color w:val="auto"/>
          <w:spacing w:val="-11"/>
          <w:sz w:val="25"/>
          <w:szCs w:val="25"/>
          <w:highlight w:val="none"/>
        </w:rPr>
        <w:t>（</w:t>
      </w:r>
      <w:r>
        <w:rPr>
          <w:rFonts w:ascii="Times New Roman" w:hAnsi="Times New Roman" w:eastAsia="Times New Roman" w:cs="Times New Roman"/>
          <w:i/>
          <w:iCs/>
          <w:strike/>
          <w:dstrike w:val="0"/>
          <w:color w:val="auto"/>
          <w:spacing w:val="-11"/>
          <w:sz w:val="24"/>
          <w:szCs w:val="24"/>
          <w:highlight w:val="none"/>
        </w:rPr>
        <w:t>10%~20%</w:t>
      </w:r>
      <w:r>
        <w:rPr>
          <w:rFonts w:ascii="宋体" w:hAnsi="宋体" w:eastAsia="宋体" w:cs="宋体"/>
          <w:i/>
          <w:iCs/>
          <w:strike/>
          <w:dstrike w:val="0"/>
          <w:color w:val="auto"/>
          <w:spacing w:val="-11"/>
          <w:sz w:val="25"/>
          <w:szCs w:val="25"/>
          <w:highlight w:val="none"/>
        </w:rPr>
        <w:t>）</w:t>
      </w:r>
      <w:r>
        <w:rPr>
          <w:rFonts w:ascii="宋体" w:hAnsi="宋体" w:eastAsia="宋体" w:cs="宋体"/>
          <w:strike/>
          <w:dstrike w:val="0"/>
          <w:color w:val="auto"/>
          <w:spacing w:val="-4"/>
          <w:sz w:val="24"/>
          <w:szCs w:val="24"/>
          <w:highlight w:val="none"/>
        </w:rPr>
        <w:t>时，发包人同意后按变更单价进入工程结算；上述</w:t>
      </w:r>
      <w:r>
        <w:rPr>
          <w:rFonts w:ascii="Times New Roman" w:hAnsi="Times New Roman" w:eastAsia="Times New Roman" w:cs="Times New Roman"/>
          <w:strike/>
          <w:dstrike w:val="0"/>
          <w:color w:val="auto"/>
          <w:spacing w:val="-4"/>
          <w:sz w:val="24"/>
          <w:szCs w:val="24"/>
          <w:highlight w:val="none"/>
        </w:rPr>
        <w:t>15%</w:t>
      </w:r>
      <w:r>
        <w:rPr>
          <w:rFonts w:ascii="宋体" w:hAnsi="宋体" w:eastAsia="宋体" w:cs="宋体"/>
          <w:strike/>
          <w:dstrike w:val="0"/>
          <w:color w:val="auto"/>
          <w:spacing w:val="-4"/>
          <w:sz w:val="24"/>
          <w:szCs w:val="24"/>
          <w:highlight w:val="none"/>
        </w:rPr>
        <w:t>或</w:t>
      </w:r>
      <w:r>
        <w:rPr>
          <w:rFonts w:ascii="Times New Roman" w:hAnsi="Times New Roman" w:eastAsia="Times New Roman" w:cs="Times New Roman"/>
          <w:strike/>
          <w:dstrike w:val="0"/>
          <w:color w:val="auto"/>
          <w:spacing w:val="-4"/>
          <w:sz w:val="24"/>
          <w:szCs w:val="24"/>
          <w:highlight w:val="none"/>
        </w:rPr>
        <w:t>25%</w:t>
      </w:r>
      <w:r>
        <w:rPr>
          <w:rFonts w:ascii="宋体" w:hAnsi="宋体" w:eastAsia="宋体" w:cs="宋体"/>
          <w:strike/>
          <w:dstrike w:val="0"/>
          <w:color w:val="auto"/>
          <w:spacing w:val="-4"/>
          <w:sz w:val="24"/>
          <w:szCs w:val="24"/>
          <w:highlight w:val="none"/>
        </w:rPr>
        <w:t>以内增加部分的工程量，</w:t>
      </w:r>
      <w:r>
        <w:rPr>
          <w:rFonts w:ascii="宋体" w:hAnsi="宋体" w:eastAsia="宋体" w:cs="宋体"/>
          <w:strike/>
          <w:dstrike w:val="0"/>
          <w:color w:val="auto"/>
          <w:spacing w:val="-5"/>
          <w:sz w:val="24"/>
          <w:szCs w:val="24"/>
          <w:highlight w:val="none"/>
        </w:rPr>
        <w:t>按合同单价结算。</w:t>
      </w:r>
    </w:p>
    <w:p w14:paraId="26038272">
      <w:pPr>
        <w:spacing w:line="359" w:lineRule="auto"/>
        <w:ind w:right="295" w:firstLine="497"/>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1"/>
          <w:sz w:val="24"/>
          <w:szCs w:val="24"/>
          <w:highlight w:val="none"/>
        </w:rPr>
        <w:t>因分类分项清单项目工程量减少的，采用以下第</w:t>
      </w:r>
      <w:r>
        <w:rPr>
          <w:rFonts w:ascii="宋体" w:hAnsi="宋体" w:eastAsia="宋体" w:cs="宋体"/>
          <w:strike w:val="0"/>
          <w:dstrike w:val="0"/>
          <w:color w:val="auto"/>
          <w:spacing w:val="-1"/>
          <w:sz w:val="24"/>
          <w:szCs w:val="24"/>
          <w:highlight w:val="none"/>
          <w:u w:val="single" w:color="auto"/>
        </w:rPr>
        <w:t xml:space="preserve"> </w:t>
      </w:r>
      <w:r>
        <w:rPr>
          <w:rFonts w:hint="eastAsia" w:ascii="宋体" w:hAnsi="宋体" w:eastAsia="宋体" w:cs="宋体"/>
          <w:strike w:val="0"/>
          <w:dstrike w:val="0"/>
          <w:color w:val="auto"/>
          <w:spacing w:val="-1"/>
          <w:sz w:val="24"/>
          <w:szCs w:val="24"/>
          <w:highlight w:val="none"/>
          <w:u w:val="single" w:color="auto"/>
          <w:lang w:val="en-US" w:eastAsia="zh-CN"/>
        </w:rPr>
        <w:t>1</w:t>
      </w:r>
      <w:r>
        <w:rPr>
          <w:rFonts w:ascii="宋体" w:hAnsi="宋体" w:eastAsia="宋体" w:cs="宋体"/>
          <w:strike w:val="0"/>
          <w:dstrike w:val="0"/>
          <w:color w:val="auto"/>
          <w:spacing w:val="-1"/>
          <w:sz w:val="24"/>
          <w:szCs w:val="24"/>
          <w:highlight w:val="none"/>
          <w:u w:val="single" w:color="auto"/>
        </w:rPr>
        <w:t xml:space="preserve"> </w:t>
      </w:r>
      <w:r>
        <w:rPr>
          <w:rFonts w:ascii="宋体" w:hAnsi="宋体" w:eastAsia="宋体" w:cs="宋体"/>
          <w:strike w:val="0"/>
          <w:dstrike w:val="0"/>
          <w:color w:val="auto"/>
          <w:spacing w:val="-111"/>
          <w:sz w:val="24"/>
          <w:szCs w:val="24"/>
          <w:highlight w:val="none"/>
        </w:rPr>
        <w:t xml:space="preserve"> </w:t>
      </w:r>
      <w:r>
        <w:rPr>
          <w:rFonts w:ascii="宋体" w:hAnsi="宋体" w:eastAsia="宋体" w:cs="宋体"/>
          <w:strike w:val="0"/>
          <w:dstrike w:val="0"/>
          <w:color w:val="auto"/>
          <w:spacing w:val="-1"/>
          <w:sz w:val="24"/>
          <w:szCs w:val="24"/>
          <w:highlight w:val="none"/>
        </w:rPr>
        <w:t>种方式对合同价格</w:t>
      </w:r>
      <w:r>
        <w:rPr>
          <w:rFonts w:ascii="宋体" w:hAnsi="宋体" w:eastAsia="宋体" w:cs="宋体"/>
          <w:strike w:val="0"/>
          <w:dstrike w:val="0"/>
          <w:color w:val="auto"/>
          <w:spacing w:val="-2"/>
          <w:sz w:val="24"/>
          <w:szCs w:val="24"/>
          <w:highlight w:val="none"/>
        </w:rPr>
        <w:t>进行调</w:t>
      </w:r>
      <w:r>
        <w:rPr>
          <w:rFonts w:ascii="宋体" w:hAnsi="宋体" w:eastAsia="宋体" w:cs="宋体"/>
          <w:strike w:val="0"/>
          <w:dstrike w:val="0"/>
          <w:color w:val="auto"/>
          <w:spacing w:val="-17"/>
          <w:sz w:val="24"/>
          <w:szCs w:val="24"/>
          <w:highlight w:val="none"/>
        </w:rPr>
        <w:t>整：</w:t>
      </w:r>
    </w:p>
    <w:p w14:paraId="232A6A2E">
      <w:pPr>
        <w:spacing w:line="218" w:lineRule="auto"/>
        <w:ind w:left="479"/>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pacing w:val="-2"/>
          <w:sz w:val="24"/>
          <w:szCs w:val="24"/>
          <w:highlight w:val="none"/>
        </w:rPr>
        <w:t>第</w:t>
      </w:r>
      <w:r>
        <w:rPr>
          <w:rFonts w:ascii="Times New Roman" w:hAnsi="Times New Roman" w:eastAsia="Times New Roman" w:cs="Times New Roman"/>
          <w:strike w:val="0"/>
          <w:dstrike w:val="0"/>
          <w:color w:val="auto"/>
          <w:spacing w:val="-2"/>
          <w:sz w:val="24"/>
          <w:szCs w:val="24"/>
          <w:highlight w:val="none"/>
        </w:rPr>
        <w:t>1</w:t>
      </w:r>
      <w:r>
        <w:rPr>
          <w:rFonts w:ascii="宋体" w:hAnsi="宋体" w:eastAsia="宋体" w:cs="宋体"/>
          <w:strike w:val="0"/>
          <w:dstrike w:val="0"/>
          <w:color w:val="auto"/>
          <w:spacing w:val="-2"/>
          <w:sz w:val="24"/>
          <w:szCs w:val="24"/>
          <w:highlight w:val="none"/>
        </w:rPr>
        <w:t>种方式：分类分项清单项目工程量减少的，合同单价不变。</w:t>
      </w:r>
    </w:p>
    <w:p w14:paraId="4AD12972">
      <w:pPr>
        <w:spacing w:before="181" w:line="357" w:lineRule="auto"/>
        <w:ind w:firstLine="486"/>
        <w:jc w:val="both"/>
        <w:rPr>
          <w:rFonts w:ascii="宋体" w:hAnsi="宋体" w:eastAsia="宋体" w:cs="宋体"/>
          <w:strike w:val="0"/>
          <w:dstrike w:val="0"/>
          <w:color w:val="auto"/>
          <w:spacing w:val="-4"/>
          <w:sz w:val="24"/>
          <w:szCs w:val="24"/>
          <w:highlight w:val="none"/>
        </w:rPr>
      </w:pPr>
      <w:r>
        <w:rPr>
          <w:rFonts w:ascii="宋体" w:hAnsi="宋体" w:eastAsia="宋体" w:cs="宋体"/>
          <w:strike w:val="0"/>
          <w:dstrike w:val="0"/>
          <w:color w:val="auto"/>
          <w:spacing w:val="-4"/>
          <w:sz w:val="24"/>
          <w:szCs w:val="24"/>
          <w:highlight w:val="none"/>
        </w:rPr>
        <w:t>第2种方式：分类分项清单项目工程量减少的，凡合价金额占签约合同总价2%以上的分类分项清单项目其工程量减少超过本项目工程数量15%以上，或合价金额占签约合同总价不到2%的分类分项清单项目但其工程量减少超过本项目工程数量25%以上，超过上述15%或25%以外的减少部分工程量，由承包人按15.4.3款的原则提出合适的变更单价，并经监理人审核。变更单价与合同单价相比，上下浮动超过</w:t>
      </w:r>
      <w:r>
        <w:rPr>
          <w:rFonts w:ascii="宋体" w:hAnsi="宋体" w:eastAsia="宋体" w:cs="宋体"/>
          <w:strike w:val="0"/>
          <w:dstrike w:val="0"/>
          <w:color w:val="auto"/>
          <w:spacing w:val="-4"/>
          <w:sz w:val="24"/>
          <w:szCs w:val="24"/>
          <w:highlight w:val="none"/>
          <w:u w:val="single"/>
        </w:rPr>
        <w:t xml:space="preserve">     </w:t>
      </w:r>
      <w:r>
        <w:rPr>
          <w:rFonts w:ascii="宋体" w:hAnsi="宋体" w:eastAsia="宋体" w:cs="宋体"/>
          <w:strike w:val="0"/>
          <w:dstrike w:val="0"/>
          <w:color w:val="auto"/>
          <w:spacing w:val="-4"/>
          <w:sz w:val="24"/>
          <w:szCs w:val="24"/>
          <w:highlight w:val="none"/>
        </w:rPr>
        <w:t>% （20%~30%）时，发包人同意后按变更单价计算合价后，在该项目合价中扣除；工程量减少在15%或25%以内的减少部分工程量，按合同单价计算合价后，在该项目合价中扣除。</w:t>
      </w:r>
    </w:p>
    <w:p w14:paraId="3E10FE3D">
      <w:pPr>
        <w:spacing w:line="218" w:lineRule="auto"/>
        <w:ind w:left="7"/>
        <w:outlineLvl w:val="1"/>
        <w:rPr>
          <w:rFonts w:ascii="宋体" w:hAnsi="宋体" w:eastAsia="宋体" w:cs="宋体"/>
          <w:b/>
          <w:bCs/>
          <w:color w:val="auto"/>
          <w:spacing w:val="-3"/>
          <w:sz w:val="24"/>
          <w:szCs w:val="24"/>
          <w:highlight w:val="none"/>
        </w:rPr>
      </w:pPr>
      <w:bookmarkStart w:id="928" w:name="bookmark355"/>
      <w:bookmarkEnd w:id="928"/>
      <w:bookmarkStart w:id="929" w:name="_Toc18539"/>
      <w:bookmarkStart w:id="930" w:name="_Toc26650"/>
      <w:r>
        <w:rPr>
          <w:rFonts w:ascii="Times New Roman" w:hAnsi="Times New Roman" w:eastAsia="Times New Roman" w:cs="Times New Roman"/>
          <w:b/>
          <w:bCs/>
          <w:color w:val="auto"/>
          <w:spacing w:val="-3"/>
          <w:sz w:val="24"/>
          <w:szCs w:val="24"/>
          <w:highlight w:val="none"/>
        </w:rPr>
        <w:t xml:space="preserve">15.4  </w:t>
      </w:r>
      <w:r>
        <w:rPr>
          <w:rFonts w:ascii="宋体" w:hAnsi="宋体" w:eastAsia="宋体" w:cs="宋体"/>
          <w:b/>
          <w:bCs/>
          <w:color w:val="auto"/>
          <w:spacing w:val="-3"/>
          <w:sz w:val="24"/>
          <w:szCs w:val="24"/>
          <w:highlight w:val="none"/>
        </w:rPr>
        <w:t>变更的估价原则</w:t>
      </w:r>
      <w:bookmarkEnd w:id="929"/>
      <w:bookmarkEnd w:id="930"/>
    </w:p>
    <w:p w14:paraId="5BD6BBDA">
      <w:pPr>
        <w:spacing w:before="181" w:line="357" w:lineRule="auto"/>
        <w:ind w:firstLine="464" w:firstLineChars="200"/>
        <w:jc w:val="both"/>
        <w:rPr>
          <w:rFonts w:hint="eastAsia" w:ascii="宋体" w:hAnsi="宋体" w:eastAsia="宋体" w:cs="宋体"/>
          <w:strike w:val="0"/>
          <w:dstrike w:val="0"/>
          <w:color w:val="auto"/>
          <w:spacing w:val="-4"/>
          <w:sz w:val="24"/>
          <w:szCs w:val="24"/>
          <w:highlight w:val="none"/>
          <w:lang w:eastAsia="zh-CN"/>
        </w:rPr>
      </w:pPr>
      <w:r>
        <w:rPr>
          <w:rFonts w:hint="eastAsia" w:ascii="宋体" w:hAnsi="宋体" w:eastAsia="宋体" w:cs="宋体"/>
          <w:strike w:val="0"/>
          <w:dstrike w:val="0"/>
          <w:color w:val="auto"/>
          <w:spacing w:val="-4"/>
          <w:sz w:val="24"/>
          <w:szCs w:val="24"/>
          <w:highlight w:val="none"/>
        </w:rPr>
        <w:t>15.4.1 已标价的工程量清单中有适用于变更工作的子目的，采用该子目的单价</w:t>
      </w:r>
      <w:r>
        <w:rPr>
          <w:rFonts w:hint="eastAsia" w:ascii="宋体" w:hAnsi="宋体" w:eastAsia="宋体" w:cs="宋体"/>
          <w:strike w:val="0"/>
          <w:dstrike w:val="0"/>
          <w:color w:val="auto"/>
          <w:spacing w:val="-4"/>
          <w:sz w:val="24"/>
          <w:szCs w:val="24"/>
          <w:highlight w:val="none"/>
          <w:lang w:eastAsia="zh-CN"/>
        </w:rPr>
        <w:t>。</w:t>
      </w:r>
    </w:p>
    <w:p w14:paraId="5D3E71AD">
      <w:pPr>
        <w:spacing w:before="181" w:line="357" w:lineRule="auto"/>
        <w:ind w:firstLine="486"/>
        <w:jc w:val="both"/>
        <w:rPr>
          <w:rFonts w:hint="eastAsia" w:ascii="宋体" w:hAnsi="宋体" w:eastAsia="宋体" w:cs="宋体"/>
          <w:strike w:val="0"/>
          <w:dstrike w:val="0"/>
          <w:color w:val="auto"/>
          <w:spacing w:val="-4"/>
          <w:sz w:val="24"/>
          <w:szCs w:val="24"/>
          <w:highlight w:val="none"/>
        </w:rPr>
      </w:pPr>
      <w:r>
        <w:rPr>
          <w:rFonts w:hint="eastAsia" w:ascii="宋体" w:hAnsi="宋体" w:eastAsia="宋体" w:cs="宋体"/>
          <w:strike w:val="0"/>
          <w:dstrike w:val="0"/>
          <w:color w:val="auto"/>
          <w:spacing w:val="-4"/>
          <w:sz w:val="24"/>
          <w:szCs w:val="24"/>
          <w:highlight w:val="none"/>
        </w:rPr>
        <w:t>15.4.2 已标价的工程量清单中无适用于变更工作的子目，但有类似子目的，按照以下原则确定：</w:t>
      </w:r>
    </w:p>
    <w:p w14:paraId="5E16650F">
      <w:pPr>
        <w:spacing w:before="181" w:line="357" w:lineRule="auto"/>
        <w:ind w:firstLine="486"/>
        <w:jc w:val="both"/>
        <w:rPr>
          <w:rFonts w:hint="eastAsia" w:ascii="宋体" w:hAnsi="宋体" w:eastAsia="宋体" w:cs="宋体"/>
          <w:strike w:val="0"/>
          <w:dstrike w:val="0"/>
          <w:color w:val="auto"/>
          <w:spacing w:val="-4"/>
          <w:sz w:val="24"/>
          <w:szCs w:val="24"/>
          <w:highlight w:val="none"/>
        </w:rPr>
      </w:pPr>
      <w:r>
        <w:rPr>
          <w:rFonts w:hint="eastAsia" w:ascii="宋体" w:hAnsi="宋体" w:eastAsia="宋体" w:cs="宋体"/>
          <w:strike w:val="0"/>
          <w:dstrike w:val="0"/>
          <w:color w:val="auto"/>
          <w:spacing w:val="-4"/>
          <w:sz w:val="24"/>
          <w:szCs w:val="24"/>
          <w:highlight w:val="none"/>
        </w:rPr>
        <w:t>A、某种材料（或半成品或成品）等级、标准变化的，清单组合子目不变，仅调整不同的材料价格；</w:t>
      </w:r>
    </w:p>
    <w:p w14:paraId="66ACA744">
      <w:pPr>
        <w:spacing w:before="181" w:line="357" w:lineRule="auto"/>
        <w:ind w:firstLine="486"/>
        <w:jc w:val="both"/>
        <w:rPr>
          <w:rFonts w:ascii="宋体" w:hAnsi="宋体" w:eastAsia="宋体" w:cs="宋体"/>
          <w:strike w:val="0"/>
          <w:dstrike w:val="0"/>
          <w:color w:val="auto"/>
          <w:spacing w:val="-4"/>
          <w:sz w:val="24"/>
          <w:szCs w:val="24"/>
          <w:highlight w:val="none"/>
        </w:rPr>
      </w:pPr>
      <w:r>
        <w:rPr>
          <w:rFonts w:hint="eastAsia" w:ascii="宋体" w:hAnsi="宋体" w:eastAsia="宋体" w:cs="宋体"/>
          <w:strike w:val="0"/>
          <w:dstrike w:val="0"/>
          <w:color w:val="auto"/>
          <w:spacing w:val="-4"/>
          <w:sz w:val="24"/>
          <w:szCs w:val="24"/>
          <w:highlight w:val="none"/>
        </w:rPr>
        <w:t>B、清单项目某一特征或工程内容变化，不影响其他特征及工程内容价格的，其他特征组合标准不变，仅调整发生变化的组合子目单价。</w:t>
      </w:r>
    </w:p>
    <w:p w14:paraId="38A88661">
      <w:pPr>
        <w:keepNext w:val="0"/>
        <w:keepLines w:val="0"/>
        <w:pageBreakBefore w:val="0"/>
        <w:widowControl/>
        <w:kinsoku w:val="0"/>
        <w:wordWrap/>
        <w:overflowPunct/>
        <w:topLinePunct w:val="0"/>
        <w:autoSpaceDE w:val="0"/>
        <w:autoSpaceDN w:val="0"/>
        <w:bidi w:val="0"/>
        <w:adjustRightInd w:val="0"/>
        <w:snapToGrid w:val="0"/>
        <w:spacing w:line="460" w:lineRule="exact"/>
        <w:ind w:firstLine="480" w:firstLineChars="200"/>
        <w:textAlignment w:val="baseline"/>
        <w:outlineLvl w:val="9"/>
        <w:rPr>
          <w:rFonts w:hint="eastAsia" w:ascii="宋体" w:hAnsi="宋体" w:eastAsia="宋体" w:cs="宋体"/>
          <w:snapToGrid w:val="0"/>
          <w:color w:val="auto"/>
          <w:sz w:val="24"/>
          <w:szCs w:val="24"/>
          <w:highlight w:val="none"/>
        </w:rPr>
      </w:pPr>
      <w:bookmarkStart w:id="931" w:name="bookmark356"/>
      <w:bookmarkEnd w:id="931"/>
      <w:bookmarkStart w:id="932" w:name="_Toc13438"/>
      <w:bookmarkStart w:id="933" w:name="_Toc23905"/>
      <w:r>
        <w:rPr>
          <w:rFonts w:hint="eastAsia" w:ascii="宋体" w:hAnsi="宋体" w:eastAsia="宋体" w:cs="宋体"/>
          <w:snapToGrid w:val="0"/>
          <w:color w:val="auto"/>
          <w:sz w:val="24"/>
          <w:szCs w:val="24"/>
          <w:highlight w:val="none"/>
        </w:rPr>
        <w:t xml:space="preserve">15.4.3 </w:t>
      </w:r>
      <w:r>
        <w:rPr>
          <w:rFonts w:hint="eastAsia" w:ascii="宋体" w:hAnsi="宋体" w:eastAsia="宋体" w:cs="宋体"/>
          <w:snapToGrid w:val="0"/>
          <w:color w:val="auto"/>
          <w:sz w:val="24"/>
          <w:szCs w:val="24"/>
          <w:highlight w:val="none"/>
          <w:lang w:val="en-US" w:eastAsia="zh-CN"/>
        </w:rPr>
        <w:t>已</w:t>
      </w:r>
      <w:r>
        <w:rPr>
          <w:rFonts w:hint="eastAsia" w:ascii="宋体" w:hAnsi="宋体" w:eastAsia="宋体" w:cs="宋体"/>
          <w:snapToGrid w:val="0"/>
          <w:color w:val="auto"/>
          <w:sz w:val="24"/>
          <w:szCs w:val="24"/>
          <w:highlight w:val="none"/>
        </w:rPr>
        <w:t>标价工程量清单中无适用或类似子目的单价，重新组价，组价的原则如下：</w:t>
      </w:r>
    </w:p>
    <w:p w14:paraId="08C5D2FD">
      <w:pPr>
        <w:keepNext w:val="0"/>
        <w:keepLines w:val="0"/>
        <w:pageBreakBefore w:val="0"/>
        <w:widowControl/>
        <w:kinsoku w:val="0"/>
        <w:wordWrap/>
        <w:overflowPunct/>
        <w:topLinePunct w:val="0"/>
        <w:autoSpaceDE w:val="0"/>
        <w:autoSpaceDN w:val="0"/>
        <w:bidi w:val="0"/>
        <w:adjustRightInd w:val="0"/>
        <w:snapToGrid w:val="0"/>
        <w:spacing w:line="460" w:lineRule="exact"/>
        <w:ind w:firstLine="480" w:firstLineChars="200"/>
        <w:textAlignment w:val="baseline"/>
        <w:outlineLvl w:val="9"/>
        <w:rPr>
          <w:rFonts w:hint="eastAsia" w:ascii="宋体" w:hAnsi="宋体" w:eastAsia="宋体" w:cs="宋体"/>
          <w:strike/>
          <w:dstrike w:val="0"/>
          <w:snapToGrid w:val="0"/>
          <w:color w:val="auto"/>
          <w:sz w:val="24"/>
          <w:szCs w:val="24"/>
          <w:highlight w:val="none"/>
          <w:lang w:val="zh-CN"/>
        </w:rPr>
      </w:pPr>
      <w:r>
        <w:rPr>
          <w:rFonts w:hint="eastAsia" w:ascii="宋体" w:hAnsi="宋体" w:eastAsia="宋体" w:cs="宋体"/>
          <w:color w:val="auto"/>
          <w:sz w:val="24"/>
          <w:szCs w:val="24"/>
          <w:highlight w:val="none"/>
          <w:lang w:eastAsia="zh-CN"/>
        </w:rPr>
        <w:t>《浙江省水利水电建筑工程预算定额》(2021版) 、《浙江省水利水电安装工程预算定额》(2021版)。不足部分套用相应专业定额。取费费率采用投标期浙江省现行水利行业取费标准，按工程类别选取费率。</w:t>
      </w:r>
    </w:p>
    <w:p w14:paraId="1F713625">
      <w:pPr>
        <w:keepNext w:val="0"/>
        <w:keepLines w:val="0"/>
        <w:pageBreakBefore w:val="0"/>
        <w:widowControl/>
        <w:tabs>
          <w:tab w:val="left" w:pos="4396"/>
        </w:tabs>
        <w:kinsoku w:val="0"/>
        <w:wordWrap/>
        <w:overflowPunct/>
        <w:topLinePunct w:val="0"/>
        <w:autoSpaceDE w:val="0"/>
        <w:autoSpaceDN w:val="0"/>
        <w:bidi w:val="0"/>
        <w:adjustRightInd w:val="0"/>
        <w:snapToGrid w:val="0"/>
        <w:spacing w:line="460" w:lineRule="exact"/>
        <w:ind w:firstLine="480" w:firstLineChars="200"/>
        <w:textAlignment w:val="baseline"/>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2</w:t>
      </w:r>
      <w:r>
        <w:rPr>
          <w:rFonts w:hint="eastAsia" w:ascii="宋体" w:hAnsi="宋体" w:eastAsia="宋体" w:cs="宋体"/>
          <w:snapToGrid w:val="0"/>
          <w:color w:val="auto"/>
          <w:sz w:val="24"/>
          <w:szCs w:val="24"/>
          <w:highlight w:val="none"/>
        </w:rPr>
        <w:t>）上述单价按投标人投标报价综合优惠率同口径优惠；</w:t>
      </w:r>
    </w:p>
    <w:p w14:paraId="3A6F93E7">
      <w:pPr>
        <w:keepNext w:val="0"/>
        <w:keepLines w:val="0"/>
        <w:pageBreakBefore w:val="0"/>
        <w:widowControl/>
        <w:tabs>
          <w:tab w:val="left" w:pos="4396"/>
        </w:tabs>
        <w:kinsoku w:val="0"/>
        <w:wordWrap/>
        <w:overflowPunct/>
        <w:topLinePunct w:val="0"/>
        <w:autoSpaceDE w:val="0"/>
        <w:autoSpaceDN w:val="0"/>
        <w:bidi w:val="0"/>
        <w:adjustRightInd w:val="0"/>
        <w:snapToGrid w:val="0"/>
        <w:spacing w:line="460" w:lineRule="exact"/>
        <w:ind w:firstLine="480" w:firstLineChars="200"/>
        <w:textAlignment w:val="baseline"/>
        <w:outlineLvl w:val="9"/>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综合优惠率=[1- (投标人投标价一预留金一暂估价)÷(本标段最高投标限价—预留金—暂估价)]×100%。</w:t>
      </w:r>
    </w:p>
    <w:p w14:paraId="5EAA1F9C">
      <w:pPr>
        <w:pStyle w:val="6"/>
        <w:keepNext w:val="0"/>
        <w:keepLines w:val="0"/>
        <w:pageBreakBefore w:val="0"/>
        <w:widowControl/>
        <w:kinsoku w:val="0"/>
        <w:wordWrap/>
        <w:overflowPunct/>
        <w:topLinePunct w:val="0"/>
        <w:autoSpaceDE w:val="0"/>
        <w:autoSpaceDN w:val="0"/>
        <w:bidi w:val="0"/>
        <w:adjustRightInd w:val="0"/>
        <w:snapToGrid w:val="0"/>
        <w:spacing w:line="460" w:lineRule="exact"/>
        <w:ind w:firstLine="480" w:firstLineChars="200"/>
        <w:textAlignment w:val="baseline"/>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按照上述仍无法组价的，根据市场招标或询价确定。新增项目单价组价时材料价格优先依次采用编制工程招标预算所采用的月份《绍兴市建设工程造价管理信息》、《浙江造价信息》（正刊）发布的信息价；绍兴市区无信息价部分参照《浙江造价信息》发布的项目施工期上一个月信息价；无信息价部分参照有关文件并结合市场询价确定，新增项目材料价格需经监理工程师</w:t>
      </w:r>
      <w:r>
        <w:rPr>
          <w:rFonts w:hint="eastAsia" w:ascii="宋体" w:hAnsi="宋体" w:eastAsia="宋体" w:cs="宋体"/>
          <w:snapToGrid w:val="0"/>
          <w:color w:val="auto"/>
          <w:kern w:val="0"/>
          <w:sz w:val="24"/>
          <w:szCs w:val="24"/>
          <w:highlight w:val="none"/>
          <w:lang w:val="en-US" w:eastAsia="zh-CN"/>
        </w:rPr>
        <w:t>审核，报</w:t>
      </w:r>
      <w:r>
        <w:rPr>
          <w:rFonts w:hint="eastAsia" w:ascii="宋体" w:hAnsi="宋体" w:eastAsia="宋体" w:cs="宋体"/>
          <w:snapToGrid w:val="0"/>
          <w:color w:val="auto"/>
          <w:kern w:val="0"/>
          <w:sz w:val="24"/>
          <w:szCs w:val="24"/>
          <w:highlight w:val="none"/>
        </w:rPr>
        <w:t>发包人批准后执行。新增项目单价按原综合优惠率进行下浮。并经监理人审核，报发包人审批后，作为该项的承包单价进行结算，最终单价以审计</w:t>
      </w:r>
      <w:r>
        <w:rPr>
          <w:rFonts w:hint="eastAsia" w:ascii="宋体" w:hAnsi="宋体" w:eastAsia="宋体" w:cs="宋体"/>
          <w:snapToGrid w:val="0"/>
          <w:color w:val="auto"/>
          <w:kern w:val="0"/>
          <w:sz w:val="24"/>
          <w:szCs w:val="24"/>
          <w:highlight w:val="none"/>
          <w:lang w:val="en-US" w:eastAsia="zh-CN"/>
        </w:rPr>
        <w:t>审定</w:t>
      </w:r>
      <w:r>
        <w:rPr>
          <w:rFonts w:hint="eastAsia" w:ascii="宋体" w:hAnsi="宋体" w:eastAsia="宋体" w:cs="宋体"/>
          <w:snapToGrid w:val="0"/>
          <w:color w:val="auto"/>
          <w:kern w:val="0"/>
          <w:sz w:val="24"/>
          <w:szCs w:val="24"/>
          <w:highlight w:val="none"/>
        </w:rPr>
        <w:t>为准。</w:t>
      </w:r>
    </w:p>
    <w:p w14:paraId="5D8539DD">
      <w:pPr>
        <w:keepNext w:val="0"/>
        <w:keepLines w:val="0"/>
        <w:pageBreakBefore w:val="0"/>
        <w:widowControl/>
        <w:kinsoku w:val="0"/>
        <w:wordWrap/>
        <w:overflowPunct/>
        <w:topLinePunct w:val="0"/>
        <w:autoSpaceDE w:val="0"/>
        <w:autoSpaceDN w:val="0"/>
        <w:bidi w:val="0"/>
        <w:adjustRightInd w:val="0"/>
        <w:snapToGrid w:val="0"/>
        <w:spacing w:line="460" w:lineRule="exact"/>
        <w:ind w:left="7" w:firstLine="480"/>
        <w:textAlignment w:val="baseline"/>
        <w:outlineLvl w:val="1"/>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rPr>
        <w:t>(5)下列情况造价不得调整</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建设过程中遇政策性文件造价不予调整</w:t>
      </w:r>
      <w:r>
        <w:rPr>
          <w:rFonts w:hint="eastAsia" w:ascii="宋体" w:hAnsi="宋体" w:eastAsia="宋体" w:cs="宋体"/>
          <w:snapToGrid w:val="0"/>
          <w:color w:val="auto"/>
          <w:sz w:val="24"/>
          <w:szCs w:val="24"/>
          <w:highlight w:val="none"/>
          <w:lang w:eastAsia="zh-CN"/>
        </w:rPr>
        <w:t>。</w:t>
      </w:r>
    </w:p>
    <w:p w14:paraId="36770216">
      <w:pPr>
        <w:keepNext w:val="0"/>
        <w:keepLines w:val="0"/>
        <w:pageBreakBefore w:val="0"/>
        <w:widowControl/>
        <w:kinsoku w:val="0"/>
        <w:wordWrap/>
        <w:overflowPunct/>
        <w:topLinePunct w:val="0"/>
        <w:autoSpaceDE w:val="0"/>
        <w:autoSpaceDN w:val="0"/>
        <w:bidi w:val="0"/>
        <w:adjustRightInd w:val="0"/>
        <w:snapToGrid w:val="0"/>
        <w:spacing w:line="460" w:lineRule="exact"/>
        <w:ind w:left="7" w:firstLine="480"/>
        <w:textAlignment w:val="baseline"/>
        <w:outlineLvl w:val="1"/>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15.5  </w:t>
      </w:r>
      <w:r>
        <w:rPr>
          <w:rFonts w:ascii="宋体" w:hAnsi="宋体" w:eastAsia="宋体" w:cs="宋体"/>
          <w:b/>
          <w:bCs/>
          <w:color w:val="auto"/>
          <w:spacing w:val="-2"/>
          <w:sz w:val="24"/>
          <w:szCs w:val="24"/>
          <w:highlight w:val="none"/>
        </w:rPr>
        <w:t>承包人的合理化建议</w:t>
      </w:r>
      <w:bookmarkEnd w:id="932"/>
      <w:bookmarkEnd w:id="933"/>
    </w:p>
    <w:p w14:paraId="388E849C">
      <w:pPr>
        <w:spacing w:before="182"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15.5.2  </w:t>
      </w:r>
      <w:r>
        <w:rPr>
          <w:rFonts w:ascii="宋体" w:hAnsi="宋体" w:eastAsia="宋体" w:cs="宋体"/>
          <w:color w:val="auto"/>
          <w:spacing w:val="-1"/>
          <w:sz w:val="24"/>
          <w:szCs w:val="24"/>
          <w:highlight w:val="none"/>
        </w:rPr>
        <w:t>承包人实现合理化建议的奖励金额为：</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5F742A95">
      <w:pPr>
        <w:spacing w:before="181" w:line="218" w:lineRule="auto"/>
        <w:ind w:left="7"/>
        <w:outlineLvl w:val="1"/>
        <w:rPr>
          <w:rFonts w:ascii="宋体" w:hAnsi="宋体" w:eastAsia="宋体" w:cs="宋体"/>
          <w:color w:val="auto"/>
          <w:sz w:val="24"/>
          <w:szCs w:val="24"/>
          <w:highlight w:val="none"/>
        </w:rPr>
      </w:pPr>
      <w:bookmarkStart w:id="934" w:name="bookmark357"/>
      <w:bookmarkEnd w:id="934"/>
      <w:bookmarkStart w:id="935" w:name="_Toc573"/>
      <w:bookmarkStart w:id="936" w:name="_Toc25952"/>
      <w:r>
        <w:rPr>
          <w:rFonts w:ascii="Times New Roman" w:hAnsi="Times New Roman" w:eastAsia="Times New Roman" w:cs="Times New Roman"/>
          <w:b/>
          <w:bCs/>
          <w:color w:val="auto"/>
          <w:spacing w:val="-6"/>
          <w:sz w:val="24"/>
          <w:szCs w:val="24"/>
          <w:highlight w:val="none"/>
        </w:rPr>
        <w:t>15.8</w:t>
      </w:r>
      <w:r>
        <w:rPr>
          <w:rFonts w:ascii="Times New Roman" w:hAnsi="Times New Roman" w:eastAsia="Times New Roman" w:cs="Times New Roman"/>
          <w:b/>
          <w:bCs/>
          <w:color w:val="auto"/>
          <w:spacing w:val="9"/>
          <w:sz w:val="24"/>
          <w:szCs w:val="24"/>
          <w:highlight w:val="none"/>
        </w:rPr>
        <w:t xml:space="preserve">  </w:t>
      </w:r>
      <w:r>
        <w:rPr>
          <w:rFonts w:ascii="宋体" w:hAnsi="宋体" w:eastAsia="宋体" w:cs="宋体"/>
          <w:b/>
          <w:bCs/>
          <w:color w:val="auto"/>
          <w:spacing w:val="-6"/>
          <w:sz w:val="24"/>
          <w:szCs w:val="24"/>
          <w:highlight w:val="none"/>
        </w:rPr>
        <w:t>暂估价</w:t>
      </w:r>
      <w:bookmarkEnd w:id="935"/>
      <w:bookmarkEnd w:id="936"/>
    </w:p>
    <w:p w14:paraId="14185238">
      <w:pPr>
        <w:spacing w:line="218" w:lineRule="auto"/>
        <w:rPr>
          <w:rFonts w:ascii="宋体" w:hAnsi="宋体" w:eastAsia="宋体" w:cs="宋体"/>
          <w:color w:val="auto"/>
          <w:sz w:val="24"/>
          <w:szCs w:val="24"/>
          <w:highlight w:val="none"/>
        </w:rPr>
      </w:pPr>
    </w:p>
    <w:p w14:paraId="4E5F87C0">
      <w:pPr>
        <w:spacing w:before="48" w:line="359" w:lineRule="auto"/>
        <w:ind w:right="96"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15.8.1</w:t>
      </w: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）发包人和承包人组织招标的暂估价项目</w:t>
      </w:r>
      <w:r>
        <w:rPr>
          <w:rFonts w:ascii="宋体" w:hAnsi="宋体" w:eastAsia="宋体" w:cs="宋体"/>
          <w:color w:val="auto"/>
          <w:spacing w:val="-2"/>
          <w:sz w:val="24"/>
          <w:szCs w:val="24"/>
          <w:highlight w:val="none"/>
        </w:rPr>
        <w:t>：</w:t>
      </w:r>
      <w:r>
        <w:rPr>
          <w:rFonts w:ascii="宋体" w:hAnsi="宋体" w:eastAsia="宋体" w:cs="宋体"/>
          <w:color w:val="auto"/>
          <w:spacing w:val="106"/>
          <w:sz w:val="24"/>
          <w:szCs w:val="24"/>
          <w:highlight w:val="none"/>
          <w:u w:val="single" w:color="auto"/>
        </w:rPr>
        <w:t xml:space="preserve"> </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3"/>
          <w:sz w:val="24"/>
          <w:szCs w:val="24"/>
          <w:highlight w:val="none"/>
          <w:u w:val="single" w:color="auto"/>
        </w:rPr>
        <w:t>签约后填入</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116"/>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3"/>
          <w:sz w:val="24"/>
          <w:szCs w:val="24"/>
          <w:highlight w:val="none"/>
        </w:rPr>
        <w:t>发包</w:t>
      </w:r>
      <w:r>
        <w:rPr>
          <w:rFonts w:ascii="宋体" w:hAnsi="宋体" w:eastAsia="宋体" w:cs="宋体"/>
          <w:color w:val="auto"/>
          <w:spacing w:val="-1"/>
          <w:sz w:val="24"/>
          <w:szCs w:val="24"/>
          <w:highlight w:val="none"/>
        </w:rPr>
        <w:t>人组织招标的暂估价项目</w:t>
      </w:r>
      <w:r>
        <w:rPr>
          <w:rFonts w:ascii="宋体" w:hAnsi="宋体" w:eastAsia="宋体" w:cs="宋体"/>
          <w:color w:val="auto"/>
          <w:spacing w:val="3"/>
          <w:sz w:val="24"/>
          <w:szCs w:val="24"/>
          <w:highlight w:val="none"/>
        </w:rPr>
        <w:t>：</w:t>
      </w:r>
      <w:r>
        <w:rPr>
          <w:rFonts w:ascii="宋体" w:hAnsi="宋体" w:eastAsia="宋体" w:cs="宋体"/>
          <w:color w:val="auto"/>
          <w:spacing w:val="121"/>
          <w:sz w:val="24"/>
          <w:szCs w:val="24"/>
          <w:highlight w:val="none"/>
          <w:u w:val="single" w:color="auto"/>
        </w:rPr>
        <w:t xml:space="preserve"> </w:t>
      </w:r>
      <w:r>
        <w:rPr>
          <w:rFonts w:ascii="宋体" w:hAnsi="宋体" w:eastAsia="宋体" w:cs="宋体"/>
          <w:color w:val="auto"/>
          <w:spacing w:val="3"/>
          <w:sz w:val="24"/>
          <w:szCs w:val="24"/>
          <w:highlight w:val="none"/>
          <w:u w:val="single" w:color="auto"/>
        </w:rPr>
        <w:t>（</w:t>
      </w:r>
      <w:r>
        <w:rPr>
          <w:rFonts w:ascii="宋体" w:hAnsi="宋体" w:eastAsia="宋体" w:cs="宋体"/>
          <w:color w:val="auto"/>
          <w:spacing w:val="-1"/>
          <w:sz w:val="24"/>
          <w:szCs w:val="24"/>
          <w:highlight w:val="none"/>
          <w:u w:val="single" w:color="auto"/>
        </w:rPr>
        <w:t xml:space="preserve">签约后填入）  </w:t>
      </w:r>
      <w:r>
        <w:rPr>
          <w:rFonts w:ascii="宋体" w:hAnsi="宋体" w:eastAsia="宋体" w:cs="宋体"/>
          <w:color w:val="auto"/>
          <w:spacing w:val="-1"/>
          <w:sz w:val="24"/>
          <w:szCs w:val="24"/>
          <w:highlight w:val="none"/>
        </w:rPr>
        <w:t>。</w:t>
      </w:r>
    </w:p>
    <w:p w14:paraId="6D00BD48">
      <w:pPr>
        <w:spacing w:line="362" w:lineRule="auto"/>
        <w:ind w:right="92" w:firstLine="485"/>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）发包人和承包人以招标方式选择暂估价项目供应商或分包人时，双方的权</w:t>
      </w:r>
      <w:r>
        <w:rPr>
          <w:rFonts w:ascii="宋体" w:hAnsi="宋体" w:eastAsia="宋体" w:cs="宋体"/>
          <w:color w:val="auto"/>
          <w:spacing w:val="-1"/>
          <w:sz w:val="24"/>
          <w:szCs w:val="24"/>
          <w:highlight w:val="none"/>
        </w:rPr>
        <w:t>利义务关系：</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69BF1AC3">
      <w:pPr>
        <w:spacing w:before="117" w:line="219" w:lineRule="auto"/>
        <w:ind w:left="8"/>
        <w:outlineLvl w:val="0"/>
        <w:rPr>
          <w:rFonts w:ascii="宋体" w:hAnsi="宋体" w:eastAsia="宋体" w:cs="宋体"/>
          <w:color w:val="auto"/>
          <w:sz w:val="28"/>
          <w:szCs w:val="28"/>
          <w:highlight w:val="none"/>
        </w:rPr>
      </w:pPr>
      <w:bookmarkStart w:id="937" w:name="bookmark358"/>
      <w:bookmarkEnd w:id="937"/>
      <w:bookmarkStart w:id="938" w:name="bookmark359"/>
      <w:bookmarkEnd w:id="938"/>
      <w:bookmarkStart w:id="939" w:name="_Toc22896"/>
      <w:bookmarkStart w:id="940" w:name="_Toc3631"/>
      <w:r>
        <w:rPr>
          <w:rFonts w:ascii="Times New Roman" w:hAnsi="Times New Roman" w:eastAsia="Times New Roman" w:cs="Times New Roman"/>
          <w:b/>
          <w:bCs/>
          <w:color w:val="auto"/>
          <w:spacing w:val="-4"/>
          <w:sz w:val="28"/>
          <w:szCs w:val="28"/>
          <w:highlight w:val="none"/>
        </w:rPr>
        <w:t>16</w:t>
      </w:r>
      <w:r>
        <w:rPr>
          <w:rFonts w:hint="eastAsia" w:ascii="Times New Roman" w:hAnsi="Times New Roman" w:eastAsia="宋体" w:cs="Times New Roman"/>
          <w:b/>
          <w:bCs/>
          <w:color w:val="auto"/>
          <w:spacing w:val="-4"/>
          <w:sz w:val="28"/>
          <w:szCs w:val="28"/>
          <w:highlight w:val="none"/>
          <w:lang w:eastAsia="zh-CN"/>
        </w:rPr>
        <w:t>、</w:t>
      </w:r>
      <w:r>
        <w:rPr>
          <w:rFonts w:ascii="宋体" w:hAnsi="宋体" w:eastAsia="宋体" w:cs="宋体"/>
          <w:b/>
          <w:bCs/>
          <w:color w:val="auto"/>
          <w:spacing w:val="-4"/>
          <w:sz w:val="28"/>
          <w:szCs w:val="28"/>
          <w:highlight w:val="none"/>
        </w:rPr>
        <w:t>价格调整</w:t>
      </w:r>
      <w:bookmarkEnd w:id="939"/>
      <w:bookmarkEnd w:id="940"/>
    </w:p>
    <w:p w14:paraId="3CC6C56F">
      <w:pPr>
        <w:pStyle w:val="3"/>
        <w:spacing w:line="248" w:lineRule="auto"/>
        <w:rPr>
          <w:color w:val="auto"/>
          <w:highlight w:val="none"/>
        </w:rPr>
      </w:pPr>
    </w:p>
    <w:p w14:paraId="570AD0E6">
      <w:pPr>
        <w:spacing w:before="78" w:line="218" w:lineRule="auto"/>
        <w:ind w:left="5"/>
        <w:outlineLvl w:val="2"/>
        <w:rPr>
          <w:rFonts w:ascii="宋体" w:hAnsi="宋体" w:eastAsia="宋体" w:cs="宋体"/>
          <w:color w:val="auto"/>
          <w:sz w:val="24"/>
          <w:szCs w:val="24"/>
          <w:highlight w:val="none"/>
        </w:rPr>
      </w:pPr>
      <w:bookmarkStart w:id="941" w:name="bookmark726"/>
      <w:bookmarkEnd w:id="941"/>
      <w:bookmarkStart w:id="942" w:name="_Toc8440"/>
      <w:bookmarkStart w:id="943" w:name="_Toc30470"/>
      <w:r>
        <w:rPr>
          <w:rFonts w:ascii="Times New Roman" w:hAnsi="Times New Roman" w:eastAsia="Times New Roman" w:cs="Times New Roman"/>
          <w:b/>
          <w:bCs/>
          <w:color w:val="auto"/>
          <w:spacing w:val="-2"/>
          <w:sz w:val="24"/>
          <w:szCs w:val="24"/>
          <w:highlight w:val="none"/>
        </w:rPr>
        <w:t xml:space="preserve">16.1  </w:t>
      </w:r>
      <w:r>
        <w:rPr>
          <w:rFonts w:ascii="宋体" w:hAnsi="宋体" w:eastAsia="宋体" w:cs="宋体"/>
          <w:b/>
          <w:bCs/>
          <w:color w:val="auto"/>
          <w:spacing w:val="-2"/>
          <w:sz w:val="24"/>
          <w:szCs w:val="24"/>
          <w:highlight w:val="none"/>
        </w:rPr>
        <w:t>物价波动引起的价格调整</w:t>
      </w:r>
      <w:bookmarkEnd w:id="942"/>
      <w:bookmarkEnd w:id="943"/>
    </w:p>
    <w:p w14:paraId="4B754B74">
      <w:pPr>
        <w:spacing w:before="184" w:line="218" w:lineRule="auto"/>
        <w:ind w:left="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物价波动引起的价格调整方式：</w:t>
      </w:r>
      <w:r>
        <w:rPr>
          <w:rFonts w:hint="eastAsia" w:ascii="宋体" w:hAnsi="宋体" w:eastAsia="宋体" w:cs="宋体"/>
          <w:color w:val="auto"/>
          <w:spacing w:val="-1"/>
          <w:sz w:val="24"/>
          <w:szCs w:val="24"/>
          <w:highlight w:val="none"/>
          <w:u w:val="single" w:color="auto"/>
          <w:lang w:val="en-US" w:eastAsia="zh-CN"/>
        </w:rPr>
        <w:t>不作调整</w:t>
      </w:r>
      <w:r>
        <w:rPr>
          <w:rFonts w:ascii="宋体" w:hAnsi="宋体" w:eastAsia="宋体" w:cs="宋体"/>
          <w:color w:val="auto"/>
          <w:spacing w:val="-1"/>
          <w:sz w:val="24"/>
          <w:szCs w:val="24"/>
          <w:highlight w:val="none"/>
          <w:u w:val="single" w:color="auto"/>
        </w:rPr>
        <w:t>。</w:t>
      </w:r>
    </w:p>
    <w:p w14:paraId="35FC6E38">
      <w:pPr>
        <w:spacing w:before="182" w:line="218" w:lineRule="auto"/>
        <w:ind w:firstLine="456" w:firstLineChars="200"/>
        <w:jc w:val="both"/>
        <w:rPr>
          <w:rFonts w:ascii="宋体" w:hAnsi="宋体" w:eastAsia="宋体" w:cs="宋体"/>
          <w:color w:val="auto"/>
          <w:sz w:val="24"/>
          <w:szCs w:val="24"/>
          <w:highlight w:val="none"/>
        </w:rPr>
      </w:pPr>
      <w:r>
        <w:rPr>
          <w:rFonts w:ascii="Times New Roman" w:hAnsi="Times New Roman" w:eastAsia="Times New Roman" w:cs="Times New Roman"/>
          <w:b/>
          <w:bCs/>
          <w:color w:val="auto"/>
          <w:spacing w:val="-6"/>
          <w:sz w:val="24"/>
          <w:szCs w:val="24"/>
          <w:highlight w:val="none"/>
        </w:rPr>
        <w:t xml:space="preserve">16.1.2  </w:t>
      </w:r>
      <w:r>
        <w:rPr>
          <w:rFonts w:ascii="宋体" w:hAnsi="宋体" w:eastAsia="宋体" w:cs="宋体"/>
          <w:color w:val="auto"/>
          <w:spacing w:val="-6"/>
          <w:sz w:val="24"/>
          <w:szCs w:val="24"/>
          <w:highlight w:val="none"/>
        </w:rPr>
        <w:t>约定为：合同执行期间，仅对合同工程</w:t>
      </w:r>
      <w:r>
        <w:rPr>
          <w:rFonts w:ascii="宋体" w:hAnsi="宋体" w:eastAsia="宋体" w:cs="宋体"/>
          <w:color w:val="auto"/>
          <w:spacing w:val="-7"/>
          <w:sz w:val="24"/>
          <w:szCs w:val="24"/>
          <w:highlight w:val="none"/>
        </w:rPr>
        <w:t>的</w:t>
      </w:r>
      <w:r>
        <w:rPr>
          <w:rFonts w:ascii="宋体" w:hAnsi="宋体" w:eastAsia="宋体" w:cs="宋体"/>
          <w:color w:val="auto"/>
          <w:spacing w:val="-7"/>
          <w:sz w:val="24"/>
          <w:szCs w:val="24"/>
          <w:highlight w:val="none"/>
          <w:u w:val="single" w:color="auto"/>
        </w:rPr>
        <w:t xml:space="preserve">    </w:t>
      </w:r>
      <w:r>
        <w:rPr>
          <w:rFonts w:ascii="宋体" w:hAnsi="宋体" w:eastAsia="宋体" w:cs="宋体"/>
          <w:color w:val="auto"/>
          <w:spacing w:val="-112"/>
          <w:sz w:val="24"/>
          <w:szCs w:val="24"/>
          <w:highlight w:val="none"/>
        </w:rPr>
        <w:t xml:space="preserve"> </w:t>
      </w:r>
      <w:r>
        <w:rPr>
          <w:rFonts w:ascii="宋体" w:hAnsi="宋体" w:eastAsia="宋体" w:cs="宋体"/>
          <w:color w:val="auto"/>
          <w:spacing w:val="-7"/>
          <w:sz w:val="24"/>
          <w:szCs w:val="24"/>
          <w:highlight w:val="none"/>
        </w:rPr>
        <w:t>进行价格调差。</w:t>
      </w:r>
    </w:p>
    <w:p w14:paraId="4C60E1CD">
      <w:pPr>
        <w:spacing w:before="184" w:line="289" w:lineRule="auto"/>
        <w:ind w:right="93" w:firstLine="48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ascii="Times New Roman" w:hAnsi="Times New Roman" w:eastAsia="Times New Roman" w:cs="Times New Roman"/>
          <w:color w:val="auto"/>
          <w:sz w:val="24"/>
          <w:szCs w:val="24"/>
          <w:highlight w:val="none"/>
        </w:rPr>
        <w:t>1</w:t>
      </w:r>
      <w:r>
        <w:rPr>
          <w:rFonts w:ascii="宋体" w:hAnsi="宋体" w:eastAsia="宋体" w:cs="宋体"/>
          <w:color w:val="auto"/>
          <w:sz w:val="24"/>
          <w:szCs w:val="24"/>
          <w:highlight w:val="none"/>
        </w:rPr>
        <w:t>）在合同执行期间，人工预算单价调整执行浙江省水利厅关于人工预算单价</w:t>
      </w:r>
      <w:r>
        <w:rPr>
          <w:rFonts w:ascii="宋体" w:hAnsi="宋体" w:eastAsia="宋体" w:cs="宋体"/>
          <w:color w:val="auto"/>
          <w:spacing w:val="-6"/>
          <w:sz w:val="24"/>
          <w:szCs w:val="24"/>
          <w:highlight w:val="none"/>
        </w:rPr>
        <w:t>调整的相关文件。</w:t>
      </w:r>
    </w:p>
    <w:p w14:paraId="094F805F">
      <w:pPr>
        <w:spacing w:before="183" w:line="320" w:lineRule="auto"/>
        <w:ind w:right="82" w:firstLine="48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）在合同执行期间，主要材料</w:t>
      </w:r>
      <w:r>
        <w:rPr>
          <w:rFonts w:ascii="宋体" w:hAnsi="宋体" w:eastAsia="宋体" w:cs="宋体"/>
          <w:color w:val="auto"/>
          <w:spacing w:val="-4"/>
          <w:sz w:val="25"/>
          <w:szCs w:val="25"/>
          <w:highlight w:val="none"/>
          <w:u w:val="single" w:color="auto"/>
        </w:rPr>
        <w:t xml:space="preserve"> </w:t>
      </w:r>
      <w:r>
        <w:rPr>
          <w:rFonts w:hint="eastAsia" w:ascii="宋体" w:hAnsi="宋体" w:eastAsia="宋体" w:cs="宋体"/>
          <w:color w:val="auto"/>
          <w:spacing w:val="-4"/>
          <w:sz w:val="25"/>
          <w:szCs w:val="25"/>
          <w:highlight w:val="none"/>
          <w:u w:val="single" w:color="auto"/>
          <w:lang w:val="en-US" w:eastAsia="zh-CN"/>
        </w:rPr>
        <w:t xml:space="preserve"> </w:t>
      </w:r>
      <w:r>
        <w:rPr>
          <w:rFonts w:ascii="宋体" w:hAnsi="宋体" w:eastAsia="宋体" w:cs="宋体"/>
          <w:i w:val="0"/>
          <w:iCs w:val="0"/>
          <w:color w:val="auto"/>
          <w:spacing w:val="-4"/>
          <w:sz w:val="25"/>
          <w:szCs w:val="25"/>
          <w:highlight w:val="none"/>
          <w:u w:val="single" w:color="auto"/>
        </w:rPr>
        <w:t xml:space="preserve"> </w:t>
      </w:r>
      <w:r>
        <w:rPr>
          <w:rFonts w:ascii="宋体" w:hAnsi="宋体" w:eastAsia="宋体" w:cs="宋体"/>
          <w:i w:val="0"/>
          <w:iCs w:val="0"/>
          <w:color w:val="auto"/>
          <w:spacing w:val="-114"/>
          <w:sz w:val="25"/>
          <w:szCs w:val="25"/>
          <w:highlight w:val="none"/>
        </w:rPr>
        <w:t xml:space="preserve"> </w:t>
      </w:r>
      <w:r>
        <w:rPr>
          <w:rFonts w:ascii="宋体" w:hAnsi="宋体" w:eastAsia="宋体" w:cs="宋体"/>
          <w:color w:val="auto"/>
          <w:spacing w:val="-4"/>
          <w:sz w:val="24"/>
          <w:szCs w:val="24"/>
          <w:highlight w:val="none"/>
        </w:rPr>
        <w:t>上下浮动超</w:t>
      </w:r>
      <w:r>
        <w:rPr>
          <w:rFonts w:ascii="宋体" w:hAnsi="宋体" w:eastAsia="宋体" w:cs="宋体"/>
          <w:color w:val="auto"/>
          <w:spacing w:val="-5"/>
          <w:sz w:val="24"/>
          <w:szCs w:val="24"/>
          <w:highlight w:val="none"/>
        </w:rPr>
        <w:t>过</w:t>
      </w:r>
      <w:r>
        <w:rPr>
          <w:rFonts w:ascii="Times New Roman" w:hAnsi="Times New Roman" w:eastAsia="Times New Roman" w:cs="Times New Roman"/>
          <w:color w:val="auto"/>
          <w:spacing w:val="-5"/>
          <w:sz w:val="24"/>
          <w:szCs w:val="24"/>
          <w:highlight w:val="none"/>
          <w:u w:val="single" w:color="auto"/>
        </w:rPr>
        <w:t xml:space="preserve">  5 </w:t>
      </w:r>
      <w:r>
        <w:rPr>
          <w:rFonts w:ascii="Times New Roman" w:hAnsi="Times New Roman" w:eastAsia="Times New Roman" w:cs="Times New Roman"/>
          <w:color w:val="auto"/>
          <w:spacing w:val="-5"/>
          <w:sz w:val="24"/>
          <w:szCs w:val="24"/>
          <w:highlight w:val="none"/>
        </w:rPr>
        <w:t>%</w:t>
      </w:r>
      <w:r>
        <w:rPr>
          <w:rFonts w:ascii="宋体" w:hAnsi="宋体" w:eastAsia="宋体" w:cs="宋体"/>
          <w:color w:val="auto"/>
          <w:spacing w:val="-5"/>
          <w:sz w:val="24"/>
          <w:szCs w:val="24"/>
          <w:highlight w:val="none"/>
        </w:rPr>
        <w:t>时应进行价格调整。价格调整按工程</w:t>
      </w:r>
      <w:r>
        <w:rPr>
          <w:rFonts w:ascii="宋体" w:hAnsi="宋体" w:eastAsia="宋体" w:cs="宋体"/>
          <w:color w:val="auto"/>
          <w:spacing w:val="-6"/>
          <w:sz w:val="24"/>
          <w:szCs w:val="24"/>
          <w:highlight w:val="none"/>
        </w:rPr>
        <w:t>进度款结算周期进行，</w:t>
      </w:r>
      <w:r>
        <w:rPr>
          <w:rFonts w:ascii="宋体" w:hAnsi="宋体" w:eastAsia="宋体" w:cs="宋体"/>
          <w:color w:val="auto"/>
          <w:spacing w:val="-25"/>
          <w:sz w:val="24"/>
          <w:szCs w:val="24"/>
          <w:highlight w:val="none"/>
        </w:rPr>
        <w:t xml:space="preserve"> </w:t>
      </w:r>
      <w:r>
        <w:rPr>
          <w:rFonts w:ascii="宋体" w:hAnsi="宋体" w:eastAsia="宋体" w:cs="宋体"/>
          <w:color w:val="auto"/>
          <w:spacing w:val="-6"/>
          <w:sz w:val="24"/>
          <w:szCs w:val="24"/>
          <w:highlight w:val="none"/>
        </w:rPr>
        <w:t>以投标期基价与施</w:t>
      </w:r>
      <w:r>
        <w:rPr>
          <w:rFonts w:ascii="宋体" w:hAnsi="宋体" w:eastAsia="宋体" w:cs="宋体"/>
          <w:color w:val="auto"/>
          <w:spacing w:val="-1"/>
          <w:sz w:val="24"/>
          <w:szCs w:val="24"/>
          <w:highlight w:val="none"/>
        </w:rPr>
        <w:t>工期项目所在地造价管理部门发布的信息价对照计算，对其价格超过</w:t>
      </w:r>
      <w:r>
        <w:rPr>
          <w:rFonts w:ascii="Times New Roman" w:hAnsi="Times New Roman" w:eastAsia="Times New Roman" w:cs="Times New Roman"/>
          <w:color w:val="auto"/>
          <w:spacing w:val="-1"/>
          <w:sz w:val="24"/>
          <w:szCs w:val="24"/>
          <w:highlight w:val="none"/>
        </w:rPr>
        <w:t>±</w:t>
      </w:r>
      <w:r>
        <w:rPr>
          <w:rFonts w:ascii="Times New Roman" w:hAnsi="Times New Roman" w:eastAsia="Times New Roman" w:cs="Times New Roman"/>
          <w:color w:val="auto"/>
          <w:spacing w:val="45"/>
          <w:w w:val="101"/>
          <w:sz w:val="24"/>
          <w:szCs w:val="24"/>
          <w:highlight w:val="none"/>
          <w:u w:val="single" w:color="auto"/>
        </w:rPr>
        <w:t xml:space="preserve"> </w:t>
      </w:r>
      <w:r>
        <w:rPr>
          <w:rFonts w:ascii="Times New Roman" w:hAnsi="Times New Roman" w:eastAsia="Times New Roman" w:cs="Times New Roman"/>
          <w:color w:val="auto"/>
          <w:spacing w:val="-1"/>
          <w:sz w:val="24"/>
          <w:szCs w:val="24"/>
          <w:highlight w:val="none"/>
          <w:u w:val="single" w:color="auto"/>
        </w:rPr>
        <w:t>5</w:t>
      </w:r>
      <w:r>
        <w:rPr>
          <w:rFonts w:ascii="Times New Roman" w:hAnsi="Times New Roman" w:eastAsia="Times New Roman" w:cs="Times New Roman"/>
          <w:color w:val="auto"/>
          <w:spacing w:val="37"/>
          <w:sz w:val="24"/>
          <w:szCs w:val="24"/>
          <w:highlight w:val="none"/>
          <w:u w:val="single" w:color="auto"/>
        </w:rPr>
        <w:t xml:space="preserve"> </w:t>
      </w:r>
      <w:r>
        <w:rPr>
          <w:rFonts w:ascii="Times New Roman" w:hAnsi="Times New Roman" w:eastAsia="Times New Roman" w:cs="Times New Roman"/>
          <w:color w:val="auto"/>
          <w:spacing w:val="-1"/>
          <w:sz w:val="24"/>
          <w:szCs w:val="24"/>
          <w:highlight w:val="none"/>
        </w:rPr>
        <w:t>%</w:t>
      </w:r>
      <w:r>
        <w:rPr>
          <w:rFonts w:ascii="宋体" w:hAnsi="宋体" w:eastAsia="宋体" w:cs="宋体"/>
          <w:color w:val="auto"/>
          <w:spacing w:val="-1"/>
          <w:sz w:val="24"/>
          <w:szCs w:val="24"/>
          <w:highlight w:val="none"/>
        </w:rPr>
        <w:t>部分进行</w:t>
      </w:r>
      <w:r>
        <w:rPr>
          <w:rFonts w:ascii="宋体" w:hAnsi="宋体" w:eastAsia="宋体" w:cs="宋体"/>
          <w:color w:val="auto"/>
          <w:spacing w:val="-3"/>
          <w:sz w:val="24"/>
          <w:szCs w:val="24"/>
          <w:highlight w:val="none"/>
        </w:rPr>
        <w:t>调整（只计材料信息价差价及其税金）。</w:t>
      </w:r>
    </w:p>
    <w:p w14:paraId="700E1624">
      <w:pPr>
        <w:spacing w:before="183" w:line="352" w:lineRule="auto"/>
        <w:ind w:left="4" w:right="77" w:firstLine="477"/>
        <w:jc w:val="both"/>
        <w:rPr>
          <w:rFonts w:ascii="宋体" w:hAnsi="宋体" w:eastAsia="宋体" w:cs="宋体"/>
          <w:color w:val="auto"/>
          <w:sz w:val="24"/>
          <w:szCs w:val="24"/>
          <w:highlight w:val="none"/>
        </w:rPr>
      </w:pPr>
      <w:r>
        <w:rPr>
          <w:rFonts w:ascii="宋体" w:hAnsi="宋体" w:eastAsia="宋体" w:cs="宋体"/>
          <w:color w:val="auto"/>
          <w:spacing w:val="-14"/>
          <w:sz w:val="24"/>
          <w:szCs w:val="24"/>
          <w:highlight w:val="none"/>
        </w:rPr>
        <w:t>投标期的基价是指</w:t>
      </w:r>
      <w:r>
        <w:rPr>
          <w:rFonts w:ascii="宋体" w:hAnsi="宋体" w:eastAsia="宋体" w:cs="宋体"/>
          <w:color w:val="auto"/>
          <w:spacing w:val="29"/>
          <w:sz w:val="25"/>
          <w:szCs w:val="25"/>
          <w:highlight w:val="none"/>
          <w:u w:val="single" w:color="auto"/>
        </w:rPr>
        <w:t xml:space="preserve"> </w:t>
      </w:r>
      <w:r>
        <w:rPr>
          <w:rFonts w:hint="eastAsia" w:ascii="宋体" w:hAnsi="宋体" w:eastAsia="宋体" w:cs="宋体"/>
          <w:color w:val="auto"/>
          <w:spacing w:val="29"/>
          <w:sz w:val="25"/>
          <w:szCs w:val="25"/>
          <w:highlight w:val="none"/>
          <w:u w:val="single" w:color="auto"/>
          <w:lang w:val="en-US" w:eastAsia="zh-CN"/>
        </w:rPr>
        <w:t xml:space="preserve">       </w:t>
      </w:r>
      <w:r>
        <w:rPr>
          <w:rFonts w:hint="eastAsia" w:ascii="宋体" w:hAnsi="宋体" w:eastAsia="宋体" w:cs="宋体"/>
          <w:color w:val="auto"/>
          <w:spacing w:val="29"/>
          <w:sz w:val="25"/>
          <w:szCs w:val="25"/>
          <w:highlight w:val="none"/>
          <w:u w:val="none" w:color="auto"/>
          <w:lang w:val="en-US" w:eastAsia="zh-CN"/>
        </w:rPr>
        <w:t xml:space="preserve"> 发布</w:t>
      </w:r>
      <w:r>
        <w:rPr>
          <w:rFonts w:hint="eastAsia" w:ascii="宋体" w:hAnsi="宋体" w:eastAsia="宋体" w:cs="宋体"/>
          <w:color w:val="auto"/>
          <w:spacing w:val="29"/>
          <w:sz w:val="25"/>
          <w:szCs w:val="25"/>
          <w:highlight w:val="none"/>
          <w:u w:val="single" w:color="auto"/>
          <w:lang w:val="en-US" w:eastAsia="zh-CN"/>
        </w:rPr>
        <w:t xml:space="preserve">         </w:t>
      </w:r>
      <w:r>
        <w:rPr>
          <w:rFonts w:ascii="宋体" w:hAnsi="宋体" w:eastAsia="宋体" w:cs="宋体"/>
          <w:color w:val="auto"/>
          <w:spacing w:val="-93"/>
          <w:sz w:val="25"/>
          <w:szCs w:val="25"/>
          <w:highlight w:val="none"/>
        </w:rPr>
        <w:t xml:space="preserve"> </w:t>
      </w:r>
      <w:r>
        <w:rPr>
          <w:rFonts w:ascii="宋体" w:hAnsi="宋体" w:eastAsia="宋体" w:cs="宋体"/>
          <w:color w:val="auto"/>
          <w:spacing w:val="-5"/>
          <w:sz w:val="24"/>
          <w:szCs w:val="24"/>
          <w:highlight w:val="none"/>
        </w:rPr>
        <w:t>中项目所在地信息价。材料数量按当月</w:t>
      </w:r>
      <w:r>
        <w:rPr>
          <w:rFonts w:ascii="宋体" w:hAnsi="宋体" w:eastAsia="宋体" w:cs="宋体"/>
          <w:color w:val="auto"/>
          <w:spacing w:val="4"/>
          <w:sz w:val="24"/>
          <w:szCs w:val="24"/>
          <w:highlight w:val="none"/>
        </w:rPr>
        <w:t>实际完成的工程量及投标文件单价分析表中的材料含量计算，最终</w:t>
      </w:r>
      <w:r>
        <w:rPr>
          <w:rFonts w:ascii="宋体" w:hAnsi="宋体" w:eastAsia="宋体" w:cs="宋体"/>
          <w:color w:val="auto"/>
          <w:spacing w:val="3"/>
          <w:sz w:val="24"/>
          <w:szCs w:val="24"/>
          <w:highlight w:val="none"/>
        </w:rPr>
        <w:t>补差材料的数量</w:t>
      </w:r>
      <w:r>
        <w:rPr>
          <w:rFonts w:ascii="宋体" w:hAnsi="宋体" w:eastAsia="宋体" w:cs="宋体"/>
          <w:color w:val="auto"/>
          <w:spacing w:val="-2"/>
          <w:sz w:val="24"/>
          <w:szCs w:val="24"/>
          <w:highlight w:val="none"/>
        </w:rPr>
        <w:t>（工程量清单增减部分除外）不应超过现行浙江省水利定额计算的总用量。</w:t>
      </w:r>
    </w:p>
    <w:p w14:paraId="656FFE42">
      <w:pPr>
        <w:spacing w:line="289" w:lineRule="auto"/>
        <w:ind w:left="2" w:right="115"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）其他材料的价格按当前的市场价考虑风险系数进入单价，在合同执行期内</w:t>
      </w:r>
      <w:r>
        <w:rPr>
          <w:rFonts w:ascii="宋体" w:hAnsi="宋体" w:eastAsia="宋体" w:cs="宋体"/>
          <w:color w:val="auto"/>
          <w:spacing w:val="-3"/>
          <w:sz w:val="24"/>
          <w:szCs w:val="24"/>
          <w:highlight w:val="none"/>
        </w:rPr>
        <w:t>不作调整，价格风险由承包人自负。</w:t>
      </w:r>
    </w:p>
    <w:p w14:paraId="48052DA2">
      <w:pPr>
        <w:spacing w:before="183" w:line="218"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）因工期延误产生的人工、材料、施工机械台班等价格变化</w:t>
      </w:r>
    </w:p>
    <w:p w14:paraId="6DBDE714">
      <w:pPr>
        <w:spacing w:before="184" w:line="312" w:lineRule="auto"/>
        <w:ind w:right="120" w:firstLine="496"/>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1"/>
          <w:sz w:val="24"/>
          <w:szCs w:val="24"/>
          <w:highlight w:val="none"/>
        </w:rPr>
        <w:t>）因发包人原因或者非承发包双方原因造成工期延误的，延误期间价</w:t>
      </w:r>
      <w:r>
        <w:rPr>
          <w:rFonts w:ascii="宋体" w:hAnsi="宋体" w:eastAsia="宋体" w:cs="宋体"/>
          <w:color w:val="auto"/>
          <w:spacing w:val="-2"/>
          <w:sz w:val="24"/>
          <w:szCs w:val="24"/>
          <w:highlight w:val="none"/>
        </w:rPr>
        <w:t>格上涨造</w:t>
      </w:r>
      <w:r>
        <w:rPr>
          <w:rFonts w:ascii="宋体" w:hAnsi="宋体" w:eastAsia="宋体" w:cs="宋体"/>
          <w:color w:val="auto"/>
          <w:sz w:val="24"/>
          <w:szCs w:val="24"/>
          <w:highlight w:val="none"/>
        </w:rPr>
        <w:t>成的价差由发包人承担，价差（正值）计入工程造价</w:t>
      </w:r>
      <w:r>
        <w:rPr>
          <w:rFonts w:ascii="宋体" w:hAnsi="宋体" w:eastAsia="宋体" w:cs="宋体"/>
          <w:color w:val="auto"/>
          <w:spacing w:val="-1"/>
          <w:sz w:val="24"/>
          <w:szCs w:val="24"/>
          <w:highlight w:val="none"/>
        </w:rPr>
        <w:t>；反之，价格下降造成的价差</w:t>
      </w:r>
      <w:r>
        <w:rPr>
          <w:rFonts w:ascii="宋体" w:hAnsi="宋体" w:eastAsia="宋体" w:cs="宋体"/>
          <w:color w:val="auto"/>
          <w:spacing w:val="-2"/>
          <w:sz w:val="24"/>
          <w:szCs w:val="24"/>
          <w:highlight w:val="none"/>
        </w:rPr>
        <w:t>则由承包人收益，价差（负值）不计入工程造价。</w:t>
      </w:r>
    </w:p>
    <w:p w14:paraId="48E69BA5">
      <w:pPr>
        <w:spacing w:before="183" w:line="312" w:lineRule="auto"/>
        <w:ind w:right="285" w:firstLine="474"/>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）因承包人原因造成工期延误的，延误期间价格上涨造成的价差由承包人承</w:t>
      </w:r>
      <w:r>
        <w:rPr>
          <w:rFonts w:ascii="宋体" w:hAnsi="宋体" w:eastAsia="宋体" w:cs="宋体"/>
          <w:color w:val="auto"/>
          <w:spacing w:val="-2"/>
          <w:sz w:val="24"/>
          <w:szCs w:val="24"/>
          <w:highlight w:val="none"/>
        </w:rPr>
        <w:t>担，价差（正值）不计入工程造价；反之，价格下降造成的价差则由发包人收益，</w:t>
      </w:r>
      <w:r>
        <w:rPr>
          <w:rFonts w:ascii="宋体" w:hAnsi="宋体" w:eastAsia="宋体" w:cs="宋体"/>
          <w:color w:val="auto"/>
          <w:spacing w:val="-3"/>
          <w:sz w:val="24"/>
          <w:szCs w:val="24"/>
          <w:highlight w:val="none"/>
        </w:rPr>
        <w:t>价差（负值）计入工程造价。</w:t>
      </w:r>
    </w:p>
    <w:p w14:paraId="4DF6B412">
      <w:pPr>
        <w:spacing w:before="310" w:line="220" w:lineRule="auto"/>
        <w:ind w:left="8"/>
        <w:outlineLvl w:val="1"/>
        <w:rPr>
          <w:rFonts w:ascii="宋体" w:hAnsi="宋体" w:eastAsia="宋体" w:cs="宋体"/>
          <w:color w:val="auto"/>
          <w:sz w:val="28"/>
          <w:szCs w:val="28"/>
          <w:highlight w:val="none"/>
        </w:rPr>
      </w:pPr>
      <w:bookmarkStart w:id="944" w:name="bookmark360"/>
      <w:bookmarkEnd w:id="944"/>
      <w:bookmarkStart w:id="945" w:name="_Toc5927"/>
      <w:bookmarkStart w:id="946" w:name="_Toc16940"/>
      <w:r>
        <w:rPr>
          <w:rFonts w:ascii="Times New Roman" w:hAnsi="Times New Roman" w:eastAsia="Times New Roman" w:cs="Times New Roman"/>
          <w:b/>
          <w:bCs/>
          <w:color w:val="auto"/>
          <w:spacing w:val="-3"/>
          <w:sz w:val="28"/>
          <w:szCs w:val="28"/>
          <w:highlight w:val="none"/>
        </w:rPr>
        <w:t xml:space="preserve">17  </w:t>
      </w:r>
      <w:r>
        <w:rPr>
          <w:rFonts w:ascii="宋体" w:hAnsi="宋体" w:eastAsia="宋体" w:cs="宋体"/>
          <w:b/>
          <w:bCs/>
          <w:color w:val="auto"/>
          <w:spacing w:val="-3"/>
          <w:sz w:val="28"/>
          <w:szCs w:val="28"/>
          <w:highlight w:val="none"/>
        </w:rPr>
        <w:t>计量与支付</w:t>
      </w:r>
      <w:bookmarkEnd w:id="945"/>
      <w:bookmarkEnd w:id="946"/>
    </w:p>
    <w:p w14:paraId="2C2F3492">
      <w:pPr>
        <w:spacing w:line="220" w:lineRule="auto"/>
        <w:rPr>
          <w:rFonts w:ascii="宋体" w:hAnsi="宋体" w:eastAsia="宋体" w:cs="宋体"/>
          <w:color w:val="auto"/>
          <w:sz w:val="28"/>
          <w:szCs w:val="28"/>
          <w:highlight w:val="none"/>
        </w:rPr>
      </w:pPr>
    </w:p>
    <w:p w14:paraId="1A8F8E12">
      <w:pPr>
        <w:tabs>
          <w:tab w:val="left" w:pos="358"/>
        </w:tabs>
        <w:bidi w:val="0"/>
        <w:jc w:val="left"/>
        <w:rPr>
          <w:rFonts w:ascii="宋体" w:hAnsi="宋体" w:eastAsia="宋体" w:cs="宋体"/>
          <w:color w:val="auto"/>
          <w:sz w:val="24"/>
          <w:szCs w:val="24"/>
          <w:highlight w:val="none"/>
        </w:rPr>
      </w:pPr>
      <w:r>
        <w:rPr>
          <w:rFonts w:hint="eastAsia" w:eastAsia="宋体"/>
          <w:color w:val="auto"/>
          <w:highlight w:val="none"/>
          <w:lang w:val="en-US" w:eastAsia="zh-CN"/>
        </w:rPr>
        <w:tab/>
      </w:r>
      <w:bookmarkStart w:id="947" w:name="bookmark361"/>
      <w:bookmarkEnd w:id="947"/>
      <w:r>
        <w:rPr>
          <w:rFonts w:ascii="Times New Roman" w:hAnsi="Times New Roman" w:eastAsia="Times New Roman" w:cs="Times New Roman"/>
          <w:b/>
          <w:bCs/>
          <w:color w:val="auto"/>
          <w:spacing w:val="-5"/>
          <w:sz w:val="24"/>
          <w:szCs w:val="24"/>
          <w:highlight w:val="none"/>
        </w:rPr>
        <w:t>17.2</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5"/>
          <w:sz w:val="24"/>
          <w:szCs w:val="24"/>
          <w:highlight w:val="none"/>
        </w:rPr>
        <w:t>预付款</w:t>
      </w:r>
    </w:p>
    <w:p w14:paraId="0DEAA11C">
      <w:pPr>
        <w:spacing w:before="182"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17.2.1</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color w:val="auto"/>
          <w:spacing w:val="-3"/>
          <w:sz w:val="24"/>
          <w:szCs w:val="24"/>
          <w:highlight w:val="none"/>
        </w:rPr>
        <w:t>预付款</w:t>
      </w:r>
    </w:p>
    <w:p w14:paraId="5BF1EE2E">
      <w:pPr>
        <w:spacing w:before="180" w:line="359" w:lineRule="auto"/>
        <w:ind w:left="3" w:right="52" w:firstLine="483"/>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w:t>
      </w:r>
      <w:r>
        <w:rPr>
          <w:rFonts w:ascii="Times New Roman" w:hAnsi="Times New Roman" w:eastAsia="Times New Roman" w:cs="Times New Roman"/>
          <w:color w:val="auto"/>
          <w:spacing w:val="-10"/>
          <w:sz w:val="24"/>
          <w:szCs w:val="24"/>
          <w:highlight w:val="none"/>
        </w:rPr>
        <w:t>1</w:t>
      </w:r>
      <w:r>
        <w:rPr>
          <w:rFonts w:ascii="宋体" w:hAnsi="宋体" w:eastAsia="宋体" w:cs="宋体"/>
          <w:color w:val="auto"/>
          <w:spacing w:val="-10"/>
          <w:sz w:val="24"/>
          <w:szCs w:val="24"/>
          <w:highlight w:val="none"/>
        </w:rPr>
        <w:t>）工程预付款的总金额为签约合同价（扣除预留金后）的</w:t>
      </w:r>
      <w:r>
        <w:rPr>
          <w:rFonts w:ascii="宋体" w:hAnsi="宋体" w:eastAsia="宋体" w:cs="宋体"/>
          <w:color w:val="auto"/>
          <w:spacing w:val="-10"/>
          <w:sz w:val="24"/>
          <w:szCs w:val="24"/>
          <w:highlight w:val="none"/>
          <w:u w:val="single" w:color="auto"/>
        </w:rPr>
        <w:t xml:space="preserve">  </w:t>
      </w:r>
      <w:r>
        <w:rPr>
          <w:rFonts w:hint="eastAsia" w:ascii="宋体" w:hAnsi="宋体" w:eastAsia="宋体" w:cs="宋体"/>
          <w:color w:val="auto"/>
          <w:spacing w:val="-10"/>
          <w:sz w:val="24"/>
          <w:szCs w:val="24"/>
          <w:highlight w:val="none"/>
          <w:u w:val="single" w:color="auto"/>
          <w:lang w:val="en-US" w:eastAsia="zh-CN"/>
        </w:rPr>
        <w:t>10</w:t>
      </w:r>
      <w:r>
        <w:rPr>
          <w:rFonts w:ascii="宋体" w:hAnsi="宋体" w:eastAsia="宋体" w:cs="宋体"/>
          <w:color w:val="auto"/>
          <w:spacing w:val="-10"/>
          <w:sz w:val="24"/>
          <w:szCs w:val="24"/>
          <w:highlight w:val="none"/>
          <w:u w:val="single" w:color="auto"/>
        </w:rPr>
        <w:t xml:space="preserve"> </w:t>
      </w:r>
      <w:r>
        <w:rPr>
          <w:rFonts w:hint="eastAsia" w:ascii="宋体" w:hAnsi="宋体" w:eastAsia="宋体" w:cs="宋体"/>
          <w:color w:val="auto"/>
          <w:spacing w:val="-10"/>
          <w:sz w:val="24"/>
          <w:szCs w:val="24"/>
          <w:highlight w:val="none"/>
          <w:u w:val="single" w:color="auto"/>
          <w:lang w:val="en-US" w:eastAsia="zh-CN"/>
        </w:rPr>
        <w:t>%</w:t>
      </w:r>
      <w:r>
        <w:rPr>
          <w:rFonts w:hint="eastAsia" w:ascii="宋体" w:hAnsi="宋体" w:eastAsia="宋体" w:cs="宋体"/>
          <w:color w:val="auto"/>
          <w:spacing w:val="-10"/>
          <w:sz w:val="24"/>
          <w:szCs w:val="24"/>
          <w:highlight w:val="none"/>
          <w:u w:val="none" w:color="auto"/>
          <w:lang w:val="en-US" w:eastAsia="zh-CN"/>
        </w:rPr>
        <w:t>，</w:t>
      </w:r>
      <w:r>
        <w:rPr>
          <w:rFonts w:ascii="宋体" w:hAnsi="宋体" w:eastAsia="宋体" w:cs="宋体"/>
          <w:color w:val="auto"/>
          <w:spacing w:val="-5"/>
          <w:sz w:val="24"/>
          <w:szCs w:val="24"/>
          <w:highlight w:val="none"/>
        </w:rPr>
        <w:t>分</w:t>
      </w:r>
      <w:r>
        <w:rPr>
          <w:rFonts w:ascii="宋体" w:hAnsi="宋体" w:eastAsia="宋体" w:cs="宋体"/>
          <w:color w:val="auto"/>
          <w:spacing w:val="-5"/>
          <w:sz w:val="24"/>
          <w:szCs w:val="24"/>
          <w:highlight w:val="none"/>
          <w:u w:val="single" w:color="auto"/>
        </w:rPr>
        <w:t xml:space="preserve">  </w:t>
      </w:r>
      <w:r>
        <w:rPr>
          <w:rFonts w:hint="eastAsia" w:ascii="宋体" w:hAnsi="宋体" w:eastAsia="宋体" w:cs="宋体"/>
          <w:color w:val="auto"/>
          <w:spacing w:val="-5"/>
          <w:sz w:val="24"/>
          <w:szCs w:val="24"/>
          <w:highlight w:val="none"/>
          <w:u w:val="single" w:color="auto"/>
          <w:lang w:val="en-US" w:eastAsia="zh-CN"/>
        </w:rPr>
        <w:t>2</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97"/>
          <w:sz w:val="24"/>
          <w:szCs w:val="24"/>
          <w:highlight w:val="none"/>
        </w:rPr>
        <w:t xml:space="preserve"> </w:t>
      </w:r>
      <w:r>
        <w:rPr>
          <w:rFonts w:ascii="宋体" w:hAnsi="宋体" w:eastAsia="宋体" w:cs="宋体"/>
          <w:color w:val="auto"/>
          <w:spacing w:val="-5"/>
          <w:sz w:val="24"/>
          <w:szCs w:val="24"/>
          <w:highlight w:val="none"/>
        </w:rPr>
        <w:t>次支付给承包人。</w:t>
      </w:r>
    </w:p>
    <w:p w14:paraId="72253E1E">
      <w:pPr>
        <w:spacing w:line="219" w:lineRule="auto"/>
        <w:ind w:left="48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各次预付款的支付额度和付款时间为：</w:t>
      </w:r>
    </w:p>
    <w:p w14:paraId="654C7E5A">
      <w:pPr>
        <w:spacing w:before="180" w:line="313" w:lineRule="auto"/>
        <w:ind w:right="1" w:firstLine="498"/>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 第一次预付款金额为工程预付款总金额的</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40</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12"/>
          <w:sz w:val="24"/>
          <w:szCs w:val="24"/>
          <w:highlight w:val="none"/>
        </w:rPr>
        <w:t xml:space="preserve"> </w:t>
      </w:r>
      <w:r>
        <w:rPr>
          <w:rFonts w:ascii="Times New Roman" w:hAnsi="Times New Roman" w:eastAsia="Times New Roman" w:cs="Times New Roman"/>
          <w:color w:val="auto"/>
          <w:spacing w:val="-3"/>
          <w:sz w:val="24"/>
          <w:szCs w:val="24"/>
          <w:highlight w:val="none"/>
        </w:rPr>
        <w:t>%</w:t>
      </w:r>
      <w:r>
        <w:rPr>
          <w:rFonts w:ascii="宋体" w:hAnsi="宋体" w:eastAsia="宋体" w:cs="宋体"/>
          <w:color w:val="auto"/>
          <w:spacing w:val="-3"/>
          <w:sz w:val="24"/>
          <w:szCs w:val="24"/>
          <w:highlight w:val="none"/>
        </w:rPr>
        <w:t>，付款时间应在合同协议书签订后，由承包人提出书面申请，并经监理人出具付款证书报送发包人批准后</w:t>
      </w:r>
      <w:r>
        <w:rPr>
          <w:rFonts w:ascii="Times New Roman" w:hAnsi="Times New Roman" w:eastAsia="Times New Roman" w:cs="Times New Roman"/>
          <w:color w:val="auto"/>
          <w:spacing w:val="-3"/>
          <w:sz w:val="24"/>
          <w:szCs w:val="24"/>
          <w:highlight w:val="none"/>
        </w:rPr>
        <w:t>14</w:t>
      </w:r>
      <w:r>
        <w:rPr>
          <w:rFonts w:ascii="宋体" w:hAnsi="宋体" w:eastAsia="宋体" w:cs="宋体"/>
          <w:color w:val="auto"/>
          <w:spacing w:val="-3"/>
          <w:sz w:val="24"/>
          <w:szCs w:val="24"/>
          <w:highlight w:val="none"/>
        </w:rPr>
        <w:t>天内</w:t>
      </w:r>
      <w:r>
        <w:rPr>
          <w:rFonts w:ascii="宋体" w:hAnsi="宋体" w:eastAsia="宋体" w:cs="宋体"/>
          <w:color w:val="auto"/>
          <w:spacing w:val="-8"/>
          <w:sz w:val="24"/>
          <w:szCs w:val="24"/>
          <w:highlight w:val="none"/>
        </w:rPr>
        <w:t>予以支付。</w:t>
      </w:r>
    </w:p>
    <w:p w14:paraId="6B734C5F">
      <w:pPr>
        <w:numPr>
          <w:ilvl w:val="0"/>
          <w:numId w:val="3"/>
        </w:numPr>
        <w:spacing w:before="180" w:line="360" w:lineRule="auto"/>
        <w:ind w:firstLine="476"/>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第二次预付款金额为工程预付款总金额的</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60</w:t>
      </w:r>
      <w:r>
        <w:rPr>
          <w:rFonts w:hint="eastAsia"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103"/>
          <w:sz w:val="24"/>
          <w:szCs w:val="24"/>
          <w:highlight w:val="none"/>
        </w:rPr>
        <w:t xml:space="preserve"> </w:t>
      </w:r>
      <w:r>
        <w:rPr>
          <w:rFonts w:hint="eastAsia" w:ascii="宋体" w:hAnsi="宋体" w:eastAsia="宋体" w:cs="宋体"/>
          <w:color w:val="auto"/>
          <w:spacing w:val="-2"/>
          <w:sz w:val="24"/>
          <w:szCs w:val="24"/>
          <w:highlight w:val="none"/>
        </w:rPr>
        <w:t>%。付款时间需待承包人主要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施工设备进入工地，</w:t>
      </w:r>
      <w:r>
        <w:rPr>
          <w:rFonts w:hint="eastAsia" w:ascii="宋体" w:hAnsi="宋体" w:eastAsia="宋体" w:cs="宋体"/>
          <w:color w:val="auto"/>
          <w:spacing w:val="-10"/>
          <w:sz w:val="24"/>
          <w:szCs w:val="24"/>
          <w:highlight w:val="none"/>
          <w:lang w:val="en-US" w:eastAsia="zh-CN"/>
        </w:rPr>
        <w:t>且按规定缴纳工程保险（凭保单）后，</w:t>
      </w:r>
      <w:r>
        <w:rPr>
          <w:rFonts w:hint="eastAsia" w:ascii="宋体" w:hAnsi="宋体" w:eastAsia="宋体" w:cs="宋体"/>
          <w:color w:val="auto"/>
          <w:spacing w:val="-10"/>
          <w:sz w:val="24"/>
          <w:szCs w:val="24"/>
          <w:highlight w:val="none"/>
        </w:rPr>
        <w:t>由承包人提出书面申请， 经监理人核实后出具</w:t>
      </w:r>
      <w:r>
        <w:rPr>
          <w:rFonts w:hint="eastAsia" w:ascii="宋体" w:hAnsi="宋体" w:eastAsia="宋体" w:cs="宋体"/>
          <w:color w:val="auto"/>
          <w:spacing w:val="-11"/>
          <w:sz w:val="24"/>
          <w:szCs w:val="24"/>
          <w:highlight w:val="none"/>
        </w:rPr>
        <w:t>付款证书报送发</w:t>
      </w:r>
      <w:r>
        <w:rPr>
          <w:rFonts w:hint="eastAsia" w:ascii="宋体" w:hAnsi="宋体" w:eastAsia="宋体" w:cs="宋体"/>
          <w:color w:val="auto"/>
          <w:spacing w:val="-3"/>
          <w:sz w:val="24"/>
          <w:szCs w:val="24"/>
          <w:highlight w:val="none"/>
        </w:rPr>
        <w:t>包人批准后14天内予以支付。</w:t>
      </w:r>
    </w:p>
    <w:p w14:paraId="4476D730">
      <w:pPr>
        <w:spacing w:before="183" w:line="304" w:lineRule="auto"/>
        <w:ind w:left="2" w:firstLine="478"/>
        <w:rPr>
          <w:rFonts w:ascii="Times New Roman" w:hAnsi="Times New Roman" w:eastAsia="Times New Roman" w:cs="Times New Roman"/>
          <w:color w:val="auto"/>
          <w:sz w:val="24"/>
          <w:szCs w:val="24"/>
          <w:highlight w:val="none"/>
        </w:rPr>
      </w:pPr>
      <w:r>
        <w:rPr>
          <w:rFonts w:ascii="Times New Roman" w:hAnsi="Times New Roman" w:eastAsia="Times New Roman" w:cs="Times New Roman"/>
          <w:strike/>
          <w:dstrike w:val="0"/>
          <w:color w:val="auto"/>
          <w:spacing w:val="-7"/>
          <w:sz w:val="24"/>
          <w:szCs w:val="24"/>
          <w:highlight w:val="none"/>
        </w:rPr>
        <w:t>3</w:t>
      </w:r>
      <w:r>
        <w:rPr>
          <w:rFonts w:ascii="宋体" w:hAnsi="宋体" w:eastAsia="宋体" w:cs="宋体"/>
          <w:strike/>
          <w:dstrike w:val="0"/>
          <w:color w:val="auto"/>
          <w:spacing w:val="-7"/>
          <w:sz w:val="24"/>
          <w:szCs w:val="24"/>
          <w:highlight w:val="none"/>
        </w:rPr>
        <w:t>）第三次预付款金额为工程预付款总金额的</w:t>
      </w:r>
      <w:r>
        <w:rPr>
          <w:rFonts w:ascii="宋体" w:hAnsi="宋体" w:eastAsia="宋体" w:cs="宋体"/>
          <w:strike/>
          <w:dstrike w:val="0"/>
          <w:color w:val="auto"/>
          <w:spacing w:val="-7"/>
          <w:sz w:val="24"/>
          <w:szCs w:val="24"/>
          <w:highlight w:val="none"/>
          <w:u w:val="single" w:color="auto"/>
        </w:rPr>
        <w:t xml:space="preserve">    </w:t>
      </w:r>
      <w:r>
        <w:rPr>
          <w:rFonts w:ascii="宋体" w:hAnsi="宋体" w:eastAsia="宋体" w:cs="宋体"/>
          <w:strike/>
          <w:dstrike w:val="0"/>
          <w:color w:val="auto"/>
          <w:spacing w:val="-97"/>
          <w:sz w:val="24"/>
          <w:szCs w:val="24"/>
          <w:highlight w:val="none"/>
        </w:rPr>
        <w:t xml:space="preserve"> </w:t>
      </w:r>
      <w:r>
        <w:rPr>
          <w:rFonts w:ascii="Times New Roman" w:hAnsi="Times New Roman" w:eastAsia="Times New Roman" w:cs="Times New Roman"/>
          <w:strike/>
          <w:dstrike w:val="0"/>
          <w:color w:val="auto"/>
          <w:spacing w:val="-7"/>
          <w:sz w:val="24"/>
          <w:szCs w:val="24"/>
          <w:highlight w:val="none"/>
        </w:rPr>
        <w:t>%</w:t>
      </w:r>
      <w:r>
        <w:rPr>
          <w:rFonts w:ascii="宋体" w:hAnsi="宋体" w:eastAsia="宋体" w:cs="宋体"/>
          <w:strike/>
          <w:dstrike w:val="0"/>
          <w:color w:val="auto"/>
          <w:spacing w:val="-7"/>
          <w:sz w:val="24"/>
          <w:szCs w:val="24"/>
          <w:highlight w:val="none"/>
        </w:rPr>
        <w:t>。付款时间</w:t>
      </w:r>
      <w:r>
        <w:rPr>
          <w:rFonts w:ascii="宋体" w:hAnsi="宋体" w:eastAsia="宋体" w:cs="宋体"/>
          <w:strike/>
          <w:dstrike w:val="0"/>
          <w:color w:val="auto"/>
          <w:spacing w:val="99"/>
          <w:sz w:val="25"/>
          <w:szCs w:val="25"/>
          <w:highlight w:val="none"/>
          <w:u w:val="single" w:color="auto"/>
        </w:rPr>
        <w:t xml:space="preserve"> </w:t>
      </w:r>
      <w:r>
        <w:rPr>
          <w:rFonts w:ascii="宋体" w:hAnsi="宋体" w:eastAsia="宋体" w:cs="宋体"/>
          <w:i/>
          <w:iCs/>
          <w:strike/>
          <w:dstrike w:val="0"/>
          <w:color w:val="auto"/>
          <w:spacing w:val="-7"/>
          <w:sz w:val="25"/>
          <w:szCs w:val="25"/>
          <w:highlight w:val="none"/>
          <w:u w:val="single" w:color="auto"/>
        </w:rPr>
        <w:t>（按年度计划逐</w:t>
      </w:r>
      <w:r>
        <w:rPr>
          <w:rFonts w:ascii="宋体" w:hAnsi="宋体" w:eastAsia="宋体" w:cs="宋体"/>
          <w:i/>
          <w:iCs/>
          <w:strike/>
          <w:dstrike w:val="0"/>
          <w:color w:val="auto"/>
          <w:spacing w:val="-3"/>
          <w:sz w:val="25"/>
          <w:szCs w:val="25"/>
          <w:highlight w:val="none"/>
          <w:u w:val="single" w:color="auto"/>
        </w:rPr>
        <w:t>年支付</w:t>
      </w:r>
      <w:r>
        <w:rPr>
          <w:rFonts w:ascii="宋体" w:hAnsi="宋体" w:eastAsia="宋体" w:cs="宋体"/>
          <w:i/>
          <w:iCs/>
          <w:strike/>
          <w:dstrike w:val="0"/>
          <w:color w:val="auto"/>
          <w:spacing w:val="-6"/>
          <w:sz w:val="25"/>
          <w:szCs w:val="25"/>
          <w:highlight w:val="none"/>
          <w:u w:val="single" w:color="auto"/>
        </w:rPr>
        <w:t>）</w:t>
      </w:r>
      <w:r>
        <w:rPr>
          <w:rFonts w:ascii="宋体" w:hAnsi="宋体" w:eastAsia="宋体" w:cs="宋体"/>
          <w:strike/>
          <w:dstrike w:val="0"/>
          <w:color w:val="auto"/>
          <w:spacing w:val="56"/>
          <w:sz w:val="25"/>
          <w:szCs w:val="25"/>
          <w:highlight w:val="none"/>
          <w:u w:val="single" w:color="auto"/>
        </w:rPr>
        <w:t xml:space="preserve"> </w:t>
      </w:r>
      <w:r>
        <w:rPr>
          <w:rFonts w:ascii="宋体" w:hAnsi="宋体" w:eastAsia="宋体" w:cs="宋体"/>
          <w:strike/>
          <w:dstrike w:val="0"/>
          <w:color w:val="auto"/>
          <w:spacing w:val="-96"/>
          <w:sz w:val="25"/>
          <w:szCs w:val="25"/>
          <w:highlight w:val="none"/>
        </w:rPr>
        <w:t xml:space="preserve"> </w:t>
      </w:r>
      <w:r>
        <w:rPr>
          <w:rFonts w:ascii="宋体" w:hAnsi="宋体" w:eastAsia="宋体" w:cs="宋体"/>
          <w:strike/>
          <w:dstrike w:val="0"/>
          <w:color w:val="auto"/>
          <w:spacing w:val="-6"/>
          <w:sz w:val="24"/>
          <w:szCs w:val="24"/>
          <w:highlight w:val="none"/>
        </w:rPr>
        <w:t>，</w:t>
      </w:r>
      <w:r>
        <w:rPr>
          <w:rFonts w:ascii="宋体" w:hAnsi="宋体" w:eastAsia="宋体" w:cs="宋体"/>
          <w:strike/>
          <w:dstrike w:val="0"/>
          <w:color w:val="auto"/>
          <w:spacing w:val="-3"/>
          <w:sz w:val="24"/>
          <w:szCs w:val="24"/>
          <w:highlight w:val="none"/>
        </w:rPr>
        <w:t>由承包人提出书面申请，经监理人核实后出具付款证书报送发包人批准</w:t>
      </w:r>
      <w:r>
        <w:rPr>
          <w:rFonts w:ascii="宋体" w:hAnsi="宋体" w:eastAsia="宋体" w:cs="宋体"/>
          <w:strike/>
          <w:dstrike w:val="0"/>
          <w:color w:val="auto"/>
          <w:spacing w:val="-5"/>
          <w:sz w:val="24"/>
          <w:szCs w:val="24"/>
          <w:highlight w:val="none"/>
        </w:rPr>
        <w:t>后</w:t>
      </w:r>
      <w:r>
        <w:rPr>
          <w:rFonts w:ascii="Times New Roman" w:hAnsi="Times New Roman" w:eastAsia="Times New Roman" w:cs="Times New Roman"/>
          <w:strike/>
          <w:dstrike w:val="0"/>
          <w:color w:val="auto"/>
          <w:spacing w:val="-5"/>
          <w:sz w:val="24"/>
          <w:szCs w:val="24"/>
          <w:highlight w:val="none"/>
        </w:rPr>
        <w:t>14</w:t>
      </w:r>
      <w:r>
        <w:rPr>
          <w:rFonts w:ascii="宋体" w:hAnsi="宋体" w:eastAsia="宋体" w:cs="宋体"/>
          <w:strike/>
          <w:dstrike w:val="0"/>
          <w:color w:val="auto"/>
          <w:spacing w:val="-5"/>
          <w:sz w:val="24"/>
          <w:szCs w:val="24"/>
          <w:highlight w:val="none"/>
        </w:rPr>
        <w:t>天内予以支付。</w:t>
      </w:r>
    </w:p>
    <w:p w14:paraId="0C731FDD">
      <w:pPr>
        <w:spacing w:before="167" w:line="219" w:lineRule="auto"/>
        <w:ind w:left="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）工程材料预付款的额度和预付办法约定为：</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52FE0CB3">
      <w:pPr>
        <w:spacing w:before="183" w:line="220"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17.2.3  </w:t>
      </w:r>
      <w:r>
        <w:rPr>
          <w:rFonts w:ascii="宋体" w:hAnsi="宋体" w:eastAsia="宋体" w:cs="宋体"/>
          <w:color w:val="auto"/>
          <w:spacing w:val="-1"/>
          <w:sz w:val="24"/>
          <w:szCs w:val="24"/>
          <w:highlight w:val="none"/>
        </w:rPr>
        <w:t>预付款的扣回与还清</w:t>
      </w:r>
    </w:p>
    <w:p w14:paraId="055A6CD6">
      <w:pPr>
        <w:spacing w:before="178" w:line="313" w:lineRule="auto"/>
        <w:ind w:left="3" w:firstLine="483"/>
        <w:rPr>
          <w:rFonts w:hint="eastAsia" w:ascii="宋体" w:hAnsi="宋体" w:eastAsia="宋体" w:cs="宋体"/>
          <w:color w:val="auto"/>
          <w:spacing w:val="-2"/>
          <w:sz w:val="24"/>
          <w:szCs w:val="24"/>
          <w:highlight w:val="none"/>
        </w:rPr>
      </w:pPr>
      <w:r>
        <w:rPr>
          <w:rFonts w:ascii="宋体" w:hAnsi="宋体" w:eastAsia="宋体" w:cs="宋体"/>
          <w:color w:val="auto"/>
          <w:spacing w:val="-8"/>
          <w:sz w:val="24"/>
          <w:szCs w:val="24"/>
          <w:highlight w:val="none"/>
        </w:rPr>
        <w:t>（</w:t>
      </w:r>
      <w:r>
        <w:rPr>
          <w:rFonts w:ascii="Times New Roman" w:hAnsi="Times New Roman" w:eastAsia="Times New Roman" w:cs="Times New Roman"/>
          <w:color w:val="auto"/>
          <w:spacing w:val="-8"/>
          <w:sz w:val="24"/>
          <w:szCs w:val="24"/>
          <w:highlight w:val="none"/>
        </w:rPr>
        <w:t>1</w:t>
      </w:r>
      <w:r>
        <w:rPr>
          <w:rFonts w:ascii="宋体" w:hAnsi="宋体" w:eastAsia="宋体" w:cs="宋体"/>
          <w:color w:val="auto"/>
          <w:spacing w:val="-8"/>
          <w:sz w:val="24"/>
          <w:szCs w:val="24"/>
          <w:highlight w:val="none"/>
        </w:rPr>
        <w:t>）</w:t>
      </w:r>
      <w:r>
        <w:rPr>
          <w:rFonts w:hint="eastAsia" w:ascii="宋体" w:hAnsi="宋体" w:eastAsia="宋体" w:cs="宋体"/>
          <w:color w:val="auto"/>
          <w:spacing w:val="-2"/>
          <w:sz w:val="24"/>
          <w:szCs w:val="24"/>
          <w:highlight w:val="none"/>
        </w:rPr>
        <w:t>工程预付款在合同累计完成金额达到签约合同价（扣除预留金后）的</w:t>
      </w:r>
      <w:r>
        <w:rPr>
          <w:rFonts w:hint="eastAsia" w:ascii="宋体" w:hAnsi="宋体" w:eastAsia="宋体" w:cs="宋体"/>
          <w:color w:val="auto"/>
          <w:spacing w:val="-2"/>
          <w:sz w:val="24"/>
          <w:szCs w:val="24"/>
          <w:highlight w:val="none"/>
          <w:u w:val="single"/>
        </w:rPr>
        <w:t xml:space="preserve"> 30</w:t>
      </w:r>
      <w:r>
        <w:rPr>
          <w:rFonts w:hint="eastAsia" w:ascii="宋体" w:hAnsi="宋体" w:eastAsia="宋体" w:cs="宋体"/>
          <w:color w:val="auto"/>
          <w:spacing w:val="-2"/>
          <w:sz w:val="24"/>
          <w:szCs w:val="24"/>
          <w:highlight w:val="none"/>
        </w:rPr>
        <w:t>%时一次性扣完。</w:t>
      </w:r>
    </w:p>
    <w:p w14:paraId="331DF6DF">
      <w:pPr>
        <w:spacing w:before="183" w:line="219" w:lineRule="auto"/>
        <w:ind w:left="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w:t>
      </w: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）工程材料预付款的扣回与还清约定为：</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74314603">
      <w:pPr>
        <w:spacing w:before="180" w:line="220" w:lineRule="auto"/>
        <w:ind w:left="7"/>
        <w:outlineLvl w:val="2"/>
        <w:rPr>
          <w:rFonts w:ascii="宋体" w:hAnsi="宋体" w:eastAsia="宋体" w:cs="宋体"/>
          <w:color w:val="auto"/>
          <w:sz w:val="24"/>
          <w:szCs w:val="24"/>
          <w:highlight w:val="none"/>
        </w:rPr>
      </w:pPr>
      <w:bookmarkStart w:id="948" w:name="bookmark362"/>
      <w:bookmarkEnd w:id="948"/>
      <w:bookmarkStart w:id="949" w:name="_Toc6550"/>
      <w:bookmarkStart w:id="950" w:name="_Toc22917"/>
      <w:r>
        <w:rPr>
          <w:rFonts w:ascii="Times New Roman" w:hAnsi="Times New Roman" w:eastAsia="Times New Roman" w:cs="Times New Roman"/>
          <w:b/>
          <w:bCs/>
          <w:color w:val="auto"/>
          <w:spacing w:val="-2"/>
          <w:sz w:val="24"/>
          <w:szCs w:val="24"/>
          <w:highlight w:val="none"/>
        </w:rPr>
        <w:t xml:space="preserve">17.3  </w:t>
      </w:r>
      <w:r>
        <w:rPr>
          <w:rFonts w:ascii="宋体" w:hAnsi="宋体" w:eastAsia="宋体" w:cs="宋体"/>
          <w:b/>
          <w:bCs/>
          <w:color w:val="auto"/>
          <w:spacing w:val="-2"/>
          <w:sz w:val="24"/>
          <w:szCs w:val="24"/>
          <w:highlight w:val="none"/>
        </w:rPr>
        <w:t>工程进度付款</w:t>
      </w:r>
      <w:bookmarkEnd w:id="949"/>
      <w:bookmarkEnd w:id="950"/>
    </w:p>
    <w:p w14:paraId="3FA5CF25">
      <w:pPr>
        <w:spacing w:before="182" w:line="220" w:lineRule="auto"/>
        <w:ind w:right="40"/>
        <w:jc w:val="right"/>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17.3.2  </w:t>
      </w:r>
      <w:r>
        <w:rPr>
          <w:rFonts w:ascii="宋体" w:hAnsi="宋体" w:eastAsia="宋体" w:cs="宋体"/>
          <w:color w:val="auto"/>
          <w:spacing w:val="-1"/>
          <w:sz w:val="24"/>
          <w:szCs w:val="24"/>
          <w:highlight w:val="none"/>
        </w:rPr>
        <w:t>承包人在每个付款周期末向监理人提交进度付款申请单的份数：</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6</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
          <w:sz w:val="24"/>
          <w:szCs w:val="24"/>
          <w:highlight w:val="none"/>
        </w:rPr>
        <w:t>份。</w:t>
      </w:r>
    </w:p>
    <w:p w14:paraId="6ABA8613">
      <w:pPr>
        <w:spacing w:before="180" w:line="219" w:lineRule="auto"/>
        <w:ind w:left="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17.3.3  </w:t>
      </w:r>
      <w:r>
        <w:rPr>
          <w:rFonts w:ascii="宋体" w:hAnsi="宋体" w:eastAsia="宋体" w:cs="宋体"/>
          <w:color w:val="auto"/>
          <w:spacing w:val="-1"/>
          <w:sz w:val="24"/>
          <w:szCs w:val="24"/>
          <w:highlight w:val="none"/>
        </w:rPr>
        <w:t>进度付款证书和支付时间</w:t>
      </w:r>
    </w:p>
    <w:p w14:paraId="3EE292F6">
      <w:pPr>
        <w:spacing w:before="184" w:line="221" w:lineRule="auto"/>
        <w:ind w:left="487"/>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w:t>
      </w:r>
      <w:r>
        <w:rPr>
          <w:rFonts w:ascii="Times New Roman" w:hAnsi="Times New Roman" w:eastAsia="Times New Roman" w:cs="Times New Roman"/>
          <w:color w:val="auto"/>
          <w:spacing w:val="-9"/>
          <w:sz w:val="24"/>
          <w:szCs w:val="24"/>
          <w:highlight w:val="none"/>
        </w:rPr>
        <w:t>1</w:t>
      </w:r>
      <w:r>
        <w:rPr>
          <w:rFonts w:ascii="宋体" w:hAnsi="宋体" w:eastAsia="宋体" w:cs="宋体"/>
          <w:color w:val="auto"/>
          <w:spacing w:val="-9"/>
          <w:sz w:val="24"/>
          <w:szCs w:val="24"/>
          <w:highlight w:val="none"/>
        </w:rPr>
        <w:t>）细化为：</w:t>
      </w:r>
    </w:p>
    <w:p w14:paraId="0A944610">
      <w:pPr>
        <w:keepNext w:val="0"/>
        <w:keepLines w:val="0"/>
        <w:pageBreakBefore w:val="0"/>
        <w:widowControl/>
        <w:kinsoku w:val="0"/>
        <w:wordWrap/>
        <w:overflowPunct/>
        <w:topLinePunct w:val="0"/>
        <w:autoSpaceDE w:val="0"/>
        <w:autoSpaceDN w:val="0"/>
        <w:bidi w:val="0"/>
        <w:adjustRightInd w:val="0"/>
        <w:snapToGrid w:val="0"/>
        <w:spacing w:before="1" w:line="360" w:lineRule="auto"/>
        <w:ind w:firstLine="476" w:firstLineChars="200"/>
        <w:textAlignment w:val="baseline"/>
        <w:rPr>
          <w:rFonts w:hint="eastAsia" w:ascii="宋体" w:hAnsi="宋体" w:eastAsia="宋体" w:cs="宋体"/>
          <w:color w:val="auto"/>
          <w:spacing w:val="-1"/>
          <w:sz w:val="24"/>
          <w:szCs w:val="24"/>
          <w:highlight w:val="none"/>
          <w:u w:val="single"/>
        </w:rPr>
      </w:pPr>
      <w:r>
        <w:rPr>
          <w:rFonts w:hint="eastAsia" w:ascii="宋体" w:hAnsi="宋体" w:eastAsia="宋体" w:cs="宋体"/>
          <w:color w:val="auto"/>
          <w:spacing w:val="-1"/>
          <w:sz w:val="24"/>
          <w:szCs w:val="24"/>
          <w:highlight w:val="none"/>
          <w:u w:val="single"/>
        </w:rPr>
        <w:t>1、合同签订、开工通知发出，主要人员和机械设备进场并正式施工后,经监理</w:t>
      </w:r>
      <w:r>
        <w:rPr>
          <w:rFonts w:hint="eastAsia" w:ascii="宋体" w:hAnsi="宋体" w:eastAsia="宋体" w:cs="宋体"/>
          <w:color w:val="auto"/>
          <w:spacing w:val="-1"/>
          <w:sz w:val="24"/>
          <w:szCs w:val="24"/>
          <w:highlight w:val="none"/>
          <w:u w:val="single"/>
          <w:lang w:val="en-US" w:eastAsia="zh-CN"/>
        </w:rPr>
        <w:t>单位</w:t>
      </w:r>
      <w:r>
        <w:rPr>
          <w:rFonts w:hint="eastAsia" w:ascii="宋体" w:hAnsi="宋体" w:eastAsia="宋体" w:cs="宋体"/>
          <w:color w:val="auto"/>
          <w:spacing w:val="-1"/>
          <w:sz w:val="24"/>
          <w:szCs w:val="24"/>
          <w:highlight w:val="none"/>
          <w:u w:val="single"/>
        </w:rPr>
        <w:t>审核、发包人代表批准，支付预付款；2、当月完成的工作量经审核后，按审核造价的85%支付进度款；3、工程通过完工验收资料整理归档，工程结算审计和财务决算审计完成，通过县级初验后支付至审定工程结算价的90%</w:t>
      </w:r>
      <w:r>
        <w:rPr>
          <w:rFonts w:hint="eastAsia" w:ascii="宋体" w:hAnsi="宋体" w:eastAsia="宋体" w:cs="宋体"/>
          <w:color w:val="auto"/>
          <w:spacing w:val="-1"/>
          <w:sz w:val="24"/>
          <w:szCs w:val="24"/>
          <w:highlight w:val="none"/>
          <w:u w:val="single"/>
          <w:lang w:eastAsia="zh-CN"/>
        </w:rPr>
        <w:t>；</w:t>
      </w:r>
      <w:r>
        <w:rPr>
          <w:rFonts w:hint="eastAsia" w:ascii="宋体" w:hAnsi="宋体" w:eastAsia="宋体" w:cs="宋体"/>
          <w:color w:val="auto"/>
          <w:spacing w:val="-1"/>
          <w:sz w:val="24"/>
          <w:szCs w:val="24"/>
          <w:highlight w:val="none"/>
          <w:u w:val="single"/>
        </w:rPr>
        <w:t>4、通过绍兴市级竣工验收后，支付至审定工程结算价的98.5%</w:t>
      </w:r>
      <w:r>
        <w:rPr>
          <w:rFonts w:hint="eastAsia" w:ascii="宋体" w:hAnsi="宋体" w:eastAsia="宋体" w:cs="宋体"/>
          <w:color w:val="auto"/>
          <w:spacing w:val="-1"/>
          <w:sz w:val="24"/>
          <w:szCs w:val="24"/>
          <w:highlight w:val="none"/>
          <w:u w:val="single"/>
          <w:lang w:eastAsia="zh-CN"/>
        </w:rPr>
        <w:t>；</w:t>
      </w:r>
      <w:r>
        <w:rPr>
          <w:rFonts w:hint="eastAsia" w:ascii="宋体" w:hAnsi="宋体" w:eastAsia="宋体" w:cs="宋体"/>
          <w:color w:val="auto"/>
          <w:spacing w:val="-1"/>
          <w:sz w:val="24"/>
          <w:szCs w:val="24"/>
          <w:highlight w:val="none"/>
          <w:u w:val="single"/>
        </w:rPr>
        <w:t>5、余款1.5%为工程质量保修金（可以用保函替代），待保修期满复验合格最终交付后十四天内支付（不计息）。</w:t>
      </w:r>
    </w:p>
    <w:p w14:paraId="2BC8D947">
      <w:pPr>
        <w:spacing w:line="354" w:lineRule="auto"/>
        <w:ind w:firstLine="420" w:firstLineChars="200"/>
        <w:rPr>
          <w:rFonts w:hint="eastAsia" w:ascii="宋体" w:hAnsi="宋体" w:eastAsia="宋体" w:cs="宋体"/>
          <w:color w:val="auto"/>
          <w:spacing w:val="-2"/>
          <w:sz w:val="24"/>
          <w:szCs w:val="24"/>
          <w:highlight w:val="none"/>
          <w:lang w:eastAsia="zh-CN"/>
        </w:rPr>
      </w:pPr>
      <w:r>
        <w:rPr>
          <w:rFonts w:hint="eastAsia" w:eastAsia="宋体"/>
          <w:color w:val="auto"/>
          <w:highlight w:val="none"/>
          <w:lang w:val="en-US" w:eastAsia="zh-CN"/>
        </w:rPr>
        <w:tab/>
      </w:r>
      <w:r>
        <w:rPr>
          <w:rFonts w:hint="eastAsia" w:ascii="宋体" w:hAnsi="宋体" w:eastAsia="宋体" w:cs="宋体"/>
          <w:color w:val="auto"/>
          <w:spacing w:val="-2"/>
          <w:sz w:val="24"/>
          <w:szCs w:val="24"/>
          <w:highlight w:val="none"/>
        </w:rPr>
        <w:t>（2）本款中规定的逾期付款违约金为按中国人民银行规定的同期贷款基准利率</w:t>
      </w:r>
      <w:r>
        <w:rPr>
          <w:rFonts w:hint="eastAsia" w:ascii="宋体" w:hAnsi="宋体" w:eastAsia="宋体" w:cs="宋体"/>
          <w:color w:val="auto"/>
          <w:spacing w:val="-2"/>
          <w:sz w:val="24"/>
          <w:szCs w:val="24"/>
          <w:highlight w:val="none"/>
          <w:lang w:eastAsia="zh-CN"/>
        </w:rPr>
        <w:t>、</w:t>
      </w:r>
    </w:p>
    <w:p w14:paraId="2D5A6ACA">
      <w:pPr>
        <w:spacing w:line="354" w:lineRule="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计算的逾期付款金额的利息。</w:t>
      </w:r>
    </w:p>
    <w:p w14:paraId="4931A375">
      <w:pPr>
        <w:spacing w:line="220" w:lineRule="auto"/>
        <w:ind w:left="6"/>
        <w:outlineLvl w:val="2"/>
        <w:rPr>
          <w:rFonts w:ascii="宋体" w:hAnsi="宋体" w:eastAsia="宋体" w:cs="宋体"/>
          <w:color w:val="auto"/>
          <w:sz w:val="24"/>
          <w:szCs w:val="24"/>
          <w:highlight w:val="none"/>
        </w:rPr>
      </w:pPr>
      <w:bookmarkStart w:id="951" w:name="bookmark363"/>
      <w:bookmarkEnd w:id="951"/>
      <w:bookmarkStart w:id="952" w:name="_Toc16854"/>
      <w:bookmarkStart w:id="953" w:name="_Toc19254"/>
      <w:r>
        <w:rPr>
          <w:rFonts w:ascii="Times New Roman" w:hAnsi="Times New Roman" w:eastAsia="Times New Roman" w:cs="Times New Roman"/>
          <w:b/>
          <w:bCs/>
          <w:color w:val="auto"/>
          <w:spacing w:val="-3"/>
          <w:sz w:val="24"/>
          <w:szCs w:val="24"/>
          <w:highlight w:val="none"/>
        </w:rPr>
        <w:t xml:space="preserve">17.4  </w:t>
      </w:r>
      <w:r>
        <w:rPr>
          <w:rFonts w:ascii="宋体" w:hAnsi="宋体" w:eastAsia="宋体" w:cs="宋体"/>
          <w:b/>
          <w:bCs/>
          <w:color w:val="auto"/>
          <w:spacing w:val="-3"/>
          <w:sz w:val="24"/>
          <w:szCs w:val="24"/>
          <w:highlight w:val="none"/>
        </w:rPr>
        <w:t>质量保证金</w:t>
      </w:r>
      <w:bookmarkEnd w:id="952"/>
      <w:bookmarkEnd w:id="953"/>
    </w:p>
    <w:p w14:paraId="043E0036">
      <w:pPr>
        <w:spacing w:before="181" w:line="212"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17.4.1  </w:t>
      </w:r>
      <w:r>
        <w:rPr>
          <w:rFonts w:ascii="宋体" w:hAnsi="宋体" w:eastAsia="宋体" w:cs="宋体"/>
          <w:color w:val="auto"/>
          <w:spacing w:val="-3"/>
          <w:sz w:val="24"/>
          <w:szCs w:val="24"/>
          <w:highlight w:val="none"/>
        </w:rPr>
        <w:t>质量保证金总额为完工结算价款总额的</w:t>
      </w:r>
      <w:r>
        <w:rPr>
          <w:rFonts w:ascii="宋体" w:hAnsi="宋体" w:eastAsia="宋体" w:cs="宋体"/>
          <w:color w:val="auto"/>
          <w:spacing w:val="-3"/>
          <w:sz w:val="24"/>
          <w:szCs w:val="24"/>
          <w:highlight w:val="none"/>
          <w:u w:val="single" w:color="auto"/>
        </w:rPr>
        <w:t xml:space="preserve">  </w:t>
      </w:r>
      <w:r>
        <w:rPr>
          <w:rFonts w:hint="eastAsia" w:ascii="宋体" w:hAnsi="宋体" w:eastAsia="宋体" w:cs="宋体"/>
          <w:color w:val="auto"/>
          <w:spacing w:val="-3"/>
          <w:sz w:val="24"/>
          <w:szCs w:val="24"/>
          <w:highlight w:val="none"/>
          <w:u w:val="single" w:color="auto"/>
          <w:lang w:val="en-US" w:eastAsia="zh-CN"/>
        </w:rPr>
        <w:t>1.5</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98"/>
          <w:sz w:val="24"/>
          <w:szCs w:val="24"/>
          <w:highlight w:val="none"/>
        </w:rPr>
        <w:t xml:space="preserve"> </w:t>
      </w:r>
      <w:r>
        <w:rPr>
          <w:rFonts w:ascii="Times New Roman" w:hAnsi="Times New Roman" w:eastAsia="Times New Roman" w:cs="Times New Roman"/>
          <w:color w:val="auto"/>
          <w:spacing w:val="-3"/>
          <w:sz w:val="24"/>
          <w:szCs w:val="24"/>
          <w:highlight w:val="none"/>
        </w:rPr>
        <w:t>%</w:t>
      </w:r>
      <w:r>
        <w:rPr>
          <w:rFonts w:ascii="Times New Roman" w:hAnsi="Times New Roman" w:eastAsia="Times New Roman" w:cs="Times New Roman"/>
          <w:color w:val="auto"/>
          <w:spacing w:val="-27"/>
          <w:sz w:val="24"/>
          <w:szCs w:val="24"/>
          <w:highlight w:val="none"/>
        </w:rPr>
        <w:t xml:space="preserve"> </w:t>
      </w:r>
      <w:r>
        <w:rPr>
          <w:rFonts w:ascii="宋体" w:hAnsi="宋体" w:eastAsia="宋体" w:cs="宋体"/>
          <w:color w:val="auto"/>
          <w:spacing w:val="-3"/>
          <w:sz w:val="24"/>
          <w:szCs w:val="24"/>
          <w:highlight w:val="none"/>
        </w:rPr>
        <w:t>。</w:t>
      </w:r>
    </w:p>
    <w:p w14:paraId="4B65D666">
      <w:pPr>
        <w:spacing w:before="178" w:line="220" w:lineRule="auto"/>
        <w:ind w:left="6"/>
        <w:outlineLvl w:val="2"/>
        <w:rPr>
          <w:rFonts w:ascii="宋体" w:hAnsi="宋体" w:eastAsia="宋体" w:cs="宋体"/>
          <w:color w:val="auto"/>
          <w:sz w:val="24"/>
          <w:szCs w:val="24"/>
          <w:highlight w:val="none"/>
        </w:rPr>
      </w:pPr>
      <w:bookmarkStart w:id="954" w:name="bookmark364"/>
      <w:bookmarkEnd w:id="954"/>
      <w:bookmarkStart w:id="955" w:name="_Toc5095"/>
      <w:bookmarkStart w:id="956" w:name="_Toc29590"/>
      <w:r>
        <w:rPr>
          <w:rFonts w:ascii="Times New Roman" w:hAnsi="Times New Roman" w:eastAsia="Times New Roman" w:cs="Times New Roman"/>
          <w:b/>
          <w:bCs/>
          <w:color w:val="auto"/>
          <w:spacing w:val="-3"/>
          <w:sz w:val="24"/>
          <w:szCs w:val="24"/>
          <w:highlight w:val="none"/>
        </w:rPr>
        <w:t xml:space="preserve">17.5  </w:t>
      </w:r>
      <w:r>
        <w:rPr>
          <w:rFonts w:ascii="宋体" w:hAnsi="宋体" w:eastAsia="宋体" w:cs="宋体"/>
          <w:b/>
          <w:bCs/>
          <w:color w:val="auto"/>
          <w:spacing w:val="-3"/>
          <w:sz w:val="24"/>
          <w:szCs w:val="24"/>
          <w:highlight w:val="none"/>
        </w:rPr>
        <w:t>完工结算</w:t>
      </w:r>
      <w:bookmarkEnd w:id="955"/>
      <w:bookmarkEnd w:id="956"/>
    </w:p>
    <w:p w14:paraId="7C2ED597">
      <w:pPr>
        <w:spacing w:before="182" w:line="220"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17.5.1  </w:t>
      </w:r>
      <w:r>
        <w:rPr>
          <w:rFonts w:ascii="宋体" w:hAnsi="宋体" w:eastAsia="宋体" w:cs="宋体"/>
          <w:color w:val="auto"/>
          <w:spacing w:val="-1"/>
          <w:sz w:val="24"/>
          <w:szCs w:val="24"/>
          <w:highlight w:val="none"/>
        </w:rPr>
        <w:t>完工付款申请单</w:t>
      </w:r>
    </w:p>
    <w:p w14:paraId="3B6B0610">
      <w:pPr>
        <w:spacing w:before="179" w:line="220"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）承包人应提交完工付款申请单一式</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6</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2"/>
          <w:sz w:val="24"/>
          <w:szCs w:val="24"/>
          <w:highlight w:val="none"/>
        </w:rPr>
        <w:t xml:space="preserve"> </w:t>
      </w:r>
      <w:r>
        <w:rPr>
          <w:rFonts w:ascii="宋体" w:hAnsi="宋体" w:eastAsia="宋体" w:cs="宋体"/>
          <w:color w:val="auto"/>
          <w:spacing w:val="-2"/>
          <w:sz w:val="24"/>
          <w:szCs w:val="24"/>
          <w:highlight w:val="none"/>
        </w:rPr>
        <w:t>份。</w:t>
      </w:r>
    </w:p>
    <w:p w14:paraId="37A848A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增加（2）、（3）：</w:t>
      </w:r>
    </w:p>
    <w:p w14:paraId="0F4292B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(2)工程价款的结算最终由建设单位(或委托有资质的第三方中介机构)</w:t>
      </w:r>
      <w:r>
        <w:rPr>
          <w:rFonts w:hint="eastAsia" w:ascii="宋体" w:hAnsi="宋体" w:eastAsia="宋体" w:cs="宋体"/>
          <w:color w:val="auto"/>
          <w:sz w:val="24"/>
          <w:szCs w:val="24"/>
          <w:highlight w:val="none"/>
          <w:u w:val="none"/>
          <w:lang w:val="en-US" w:eastAsia="zh-CN"/>
        </w:rPr>
        <w:t>审定并经国审复核并出具审计意见</w:t>
      </w:r>
      <w:r>
        <w:rPr>
          <w:rFonts w:hint="eastAsia" w:ascii="宋体" w:hAnsi="宋体" w:eastAsia="宋体" w:cs="宋体"/>
          <w:color w:val="auto"/>
          <w:sz w:val="24"/>
          <w:szCs w:val="24"/>
          <w:highlight w:val="none"/>
        </w:rPr>
        <w:t>的结论为准。</w:t>
      </w:r>
    </w:p>
    <w:p w14:paraId="0A144E5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（3）经审核，若承包人的结算造价与最终审计确定的结算造价有差异，导致增加核增核减部分的审计费用，该费用的分摊按下列规定：</w:t>
      </w:r>
    </w:p>
    <w:p w14:paraId="2C28833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1）工程结算审计费用中基本收费部分由发包人承担；</w:t>
      </w:r>
    </w:p>
    <w:p w14:paraId="3003F461">
      <w:pPr>
        <w:spacing w:line="360" w:lineRule="auto"/>
        <w:ind w:firstLine="480" w:firstLineChars="200"/>
        <w:rPr>
          <w:rFonts w:ascii="Times New Roman" w:hAnsi="Times New Roman" w:eastAsia="Times New Roman" w:cs="Times New Roman"/>
          <w:b/>
          <w:bCs/>
          <w:color w:val="auto"/>
          <w:spacing w:val="-1"/>
          <w:sz w:val="24"/>
          <w:szCs w:val="24"/>
          <w:highlight w:val="none"/>
        </w:rPr>
      </w:pPr>
      <w:r>
        <w:rPr>
          <w:rFonts w:hint="eastAsia" w:ascii="宋体" w:hAnsi="宋体" w:eastAsia="宋体" w:cs="宋体"/>
          <w:color w:val="auto"/>
          <w:sz w:val="24"/>
          <w:szCs w:val="24"/>
          <w:highlight w:val="none"/>
        </w:rPr>
        <w:t>2）经审核、审计，对送审工程造价超过5%幅度以外的核减额及核增额的工程结算审核追加费用由施工单位承担，审核追加费用=（超过送审造价5%幅度以外的核减额+核增额）×5%。</w:t>
      </w:r>
    </w:p>
    <w:p w14:paraId="4B59C693">
      <w:pPr>
        <w:spacing w:before="182" w:line="219"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17.5.2  </w:t>
      </w:r>
      <w:r>
        <w:rPr>
          <w:rFonts w:ascii="宋体" w:hAnsi="宋体" w:eastAsia="宋体" w:cs="宋体"/>
          <w:color w:val="auto"/>
          <w:spacing w:val="-1"/>
          <w:sz w:val="24"/>
          <w:szCs w:val="24"/>
          <w:highlight w:val="none"/>
        </w:rPr>
        <w:t>完工付款证书及支付时间</w:t>
      </w:r>
    </w:p>
    <w:p w14:paraId="18FE837A">
      <w:pPr>
        <w:spacing w:before="180" w:line="352" w:lineRule="auto"/>
        <w:ind w:left="12" w:right="12" w:firstLine="474"/>
        <w:rPr>
          <w:rFonts w:ascii="宋体" w:hAnsi="宋体" w:eastAsia="宋体" w:cs="宋体"/>
          <w:color w:val="auto"/>
          <w:sz w:val="24"/>
          <w:szCs w:val="24"/>
          <w:highlight w:val="none"/>
        </w:rPr>
      </w:pPr>
      <w:r>
        <w:rPr>
          <w:rFonts w:ascii="宋体" w:hAnsi="宋体" w:eastAsia="宋体" w:cs="宋体"/>
          <w:color w:val="auto"/>
          <w:sz w:val="24"/>
          <w:szCs w:val="24"/>
          <w:highlight w:val="none"/>
        </w:rPr>
        <w:t>（</w:t>
      </w:r>
      <w:r>
        <w:rPr>
          <w:rFonts w:hint="eastAsia" w:ascii="Times New Roman" w:hAnsi="Times New Roman" w:eastAsia="宋体" w:cs="Times New Roman"/>
          <w:color w:val="auto"/>
          <w:sz w:val="24"/>
          <w:szCs w:val="24"/>
          <w:highlight w:val="none"/>
          <w:lang w:val="en-US" w:eastAsia="zh-CN"/>
        </w:rPr>
        <w:t>4</w:t>
      </w:r>
      <w:r>
        <w:rPr>
          <w:rFonts w:ascii="宋体" w:hAnsi="宋体" w:eastAsia="宋体" w:cs="宋体"/>
          <w:color w:val="auto"/>
          <w:sz w:val="24"/>
          <w:szCs w:val="24"/>
          <w:highlight w:val="none"/>
        </w:rPr>
        <w:t>）自承包人提交真实、完整的结算送审资料至发包人起算，发包人出具结算</w:t>
      </w:r>
      <w:r>
        <w:rPr>
          <w:rFonts w:ascii="宋体" w:hAnsi="宋体" w:eastAsia="宋体" w:cs="宋体"/>
          <w:color w:val="auto"/>
          <w:spacing w:val="-4"/>
          <w:sz w:val="24"/>
          <w:szCs w:val="24"/>
          <w:highlight w:val="none"/>
        </w:rPr>
        <w:t>审核报告周期不超过</w:t>
      </w:r>
      <w:r>
        <w:rPr>
          <w:rFonts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4"/>
          <w:sz w:val="24"/>
          <w:szCs w:val="24"/>
          <w:highlight w:val="none"/>
          <w:u w:val="single" w:color="auto"/>
          <w:lang w:val="en-US" w:eastAsia="zh-CN"/>
        </w:rPr>
        <w:t>2</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96"/>
          <w:sz w:val="24"/>
          <w:szCs w:val="24"/>
          <w:highlight w:val="none"/>
        </w:rPr>
        <w:t xml:space="preserve"> </w:t>
      </w:r>
      <w:r>
        <w:rPr>
          <w:rFonts w:ascii="宋体" w:hAnsi="宋体" w:eastAsia="宋体" w:cs="宋体"/>
          <w:color w:val="auto"/>
          <w:spacing w:val="-4"/>
          <w:sz w:val="24"/>
          <w:szCs w:val="24"/>
          <w:highlight w:val="none"/>
        </w:rPr>
        <w:t>个月</w:t>
      </w:r>
      <w:r>
        <w:rPr>
          <w:rFonts w:ascii="宋体" w:hAnsi="宋体" w:eastAsia="宋体" w:cs="宋体"/>
          <w:i/>
          <w:iCs/>
          <w:color w:val="auto"/>
          <w:spacing w:val="-4"/>
          <w:sz w:val="25"/>
          <w:szCs w:val="25"/>
          <w:highlight w:val="none"/>
        </w:rPr>
        <w:t>（最长不超过</w:t>
      </w:r>
      <w:r>
        <w:rPr>
          <w:rFonts w:ascii="Times New Roman" w:hAnsi="Times New Roman" w:eastAsia="Times New Roman" w:cs="Times New Roman"/>
          <w:i/>
          <w:iCs/>
          <w:color w:val="auto"/>
          <w:spacing w:val="-4"/>
          <w:sz w:val="24"/>
          <w:szCs w:val="24"/>
          <w:highlight w:val="none"/>
        </w:rPr>
        <w:t>6</w:t>
      </w:r>
      <w:r>
        <w:rPr>
          <w:rFonts w:ascii="宋体" w:hAnsi="宋体" w:eastAsia="宋体" w:cs="宋体"/>
          <w:i/>
          <w:iCs/>
          <w:color w:val="auto"/>
          <w:spacing w:val="-4"/>
          <w:sz w:val="25"/>
          <w:szCs w:val="25"/>
          <w:highlight w:val="none"/>
        </w:rPr>
        <w:t>个月）</w:t>
      </w:r>
      <w:r>
        <w:rPr>
          <w:rFonts w:ascii="宋体" w:hAnsi="宋体" w:eastAsia="宋体" w:cs="宋体"/>
          <w:color w:val="auto"/>
          <w:spacing w:val="-4"/>
          <w:sz w:val="24"/>
          <w:szCs w:val="24"/>
          <w:highlight w:val="none"/>
        </w:rPr>
        <w:t>。</w:t>
      </w:r>
    </w:p>
    <w:p w14:paraId="3C98CE8E">
      <w:pPr>
        <w:spacing w:before="1" w:line="219" w:lineRule="auto"/>
        <w:ind w:left="6"/>
        <w:outlineLvl w:val="2"/>
        <w:rPr>
          <w:rFonts w:ascii="宋体" w:hAnsi="宋体" w:eastAsia="宋体" w:cs="宋体"/>
          <w:color w:val="auto"/>
          <w:sz w:val="24"/>
          <w:szCs w:val="24"/>
          <w:highlight w:val="none"/>
        </w:rPr>
      </w:pPr>
      <w:bookmarkStart w:id="957" w:name="bookmark365"/>
      <w:bookmarkEnd w:id="957"/>
      <w:bookmarkStart w:id="958" w:name="_Toc20880"/>
      <w:bookmarkStart w:id="959" w:name="_Toc29547"/>
      <w:r>
        <w:rPr>
          <w:rFonts w:ascii="Times New Roman" w:hAnsi="Times New Roman" w:eastAsia="Times New Roman" w:cs="Times New Roman"/>
          <w:b/>
          <w:bCs/>
          <w:color w:val="auto"/>
          <w:spacing w:val="-5"/>
          <w:sz w:val="24"/>
          <w:szCs w:val="24"/>
          <w:highlight w:val="none"/>
        </w:rPr>
        <w:t>17.6</w:t>
      </w:r>
      <w:r>
        <w:rPr>
          <w:rFonts w:ascii="Times New Roman" w:hAnsi="Times New Roman" w:eastAsia="Times New Roman" w:cs="Times New Roman"/>
          <w:b/>
          <w:bCs/>
          <w:color w:val="auto"/>
          <w:spacing w:val="8"/>
          <w:sz w:val="24"/>
          <w:szCs w:val="24"/>
          <w:highlight w:val="none"/>
        </w:rPr>
        <w:t xml:space="preserve">  </w:t>
      </w:r>
      <w:r>
        <w:rPr>
          <w:rFonts w:ascii="宋体" w:hAnsi="宋体" w:eastAsia="宋体" w:cs="宋体"/>
          <w:b/>
          <w:bCs/>
          <w:color w:val="auto"/>
          <w:spacing w:val="-5"/>
          <w:sz w:val="24"/>
          <w:szCs w:val="24"/>
          <w:highlight w:val="none"/>
        </w:rPr>
        <w:t>最终结清</w:t>
      </w:r>
      <w:bookmarkEnd w:id="958"/>
      <w:bookmarkEnd w:id="959"/>
    </w:p>
    <w:p w14:paraId="6D6D3F60">
      <w:pPr>
        <w:spacing w:before="182" w:line="220"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17.6.1  </w:t>
      </w:r>
      <w:r>
        <w:rPr>
          <w:rFonts w:ascii="宋体" w:hAnsi="宋体" w:eastAsia="宋体" w:cs="宋体"/>
          <w:color w:val="auto"/>
          <w:spacing w:val="-1"/>
          <w:sz w:val="24"/>
          <w:szCs w:val="24"/>
          <w:highlight w:val="none"/>
        </w:rPr>
        <w:t>最终结清申请单</w:t>
      </w:r>
    </w:p>
    <w:p w14:paraId="2EF4FD27">
      <w:pPr>
        <w:spacing w:before="179" w:line="220"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）承包人应提交最终结清申请单一式</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6</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2"/>
          <w:sz w:val="24"/>
          <w:szCs w:val="24"/>
          <w:highlight w:val="none"/>
        </w:rPr>
        <w:t xml:space="preserve"> </w:t>
      </w:r>
      <w:r>
        <w:rPr>
          <w:rFonts w:ascii="宋体" w:hAnsi="宋体" w:eastAsia="宋体" w:cs="宋体"/>
          <w:color w:val="auto"/>
          <w:spacing w:val="-2"/>
          <w:sz w:val="24"/>
          <w:szCs w:val="24"/>
          <w:highlight w:val="none"/>
        </w:rPr>
        <w:t>份。</w:t>
      </w:r>
    </w:p>
    <w:p w14:paraId="6C56AE29">
      <w:pPr>
        <w:spacing w:before="182" w:line="220" w:lineRule="auto"/>
        <w:ind w:left="6"/>
        <w:outlineLvl w:val="2"/>
        <w:rPr>
          <w:rFonts w:ascii="宋体" w:hAnsi="宋体" w:eastAsia="宋体" w:cs="宋体"/>
          <w:color w:val="auto"/>
          <w:sz w:val="24"/>
          <w:szCs w:val="24"/>
          <w:highlight w:val="none"/>
        </w:rPr>
      </w:pPr>
      <w:bookmarkStart w:id="960" w:name="bookmark366"/>
      <w:bookmarkEnd w:id="960"/>
      <w:bookmarkStart w:id="961" w:name="_Toc18"/>
      <w:bookmarkStart w:id="962" w:name="_Toc29981"/>
      <w:r>
        <w:rPr>
          <w:rFonts w:ascii="Times New Roman" w:hAnsi="Times New Roman" w:eastAsia="Times New Roman" w:cs="Times New Roman"/>
          <w:b/>
          <w:bCs/>
          <w:color w:val="auto"/>
          <w:spacing w:val="-2"/>
          <w:sz w:val="24"/>
          <w:szCs w:val="24"/>
          <w:highlight w:val="none"/>
        </w:rPr>
        <w:t xml:space="preserve">17.7  </w:t>
      </w:r>
      <w:r>
        <w:rPr>
          <w:rFonts w:ascii="宋体" w:hAnsi="宋体" w:eastAsia="宋体" w:cs="宋体"/>
          <w:b/>
          <w:bCs/>
          <w:color w:val="auto"/>
          <w:spacing w:val="-2"/>
          <w:sz w:val="24"/>
          <w:szCs w:val="24"/>
          <w:highlight w:val="none"/>
        </w:rPr>
        <w:t>竣工财务决算</w:t>
      </w:r>
      <w:bookmarkEnd w:id="961"/>
      <w:bookmarkEnd w:id="962"/>
    </w:p>
    <w:p w14:paraId="5A7A89EB">
      <w:pPr>
        <w:spacing w:before="180" w:line="219" w:lineRule="auto"/>
        <w:ind w:left="480"/>
        <w:rPr>
          <w:rFonts w:hint="eastAsia" w:ascii="宋体" w:hAnsi="宋体" w:eastAsia="宋体" w:cs="宋体"/>
          <w:color w:val="auto"/>
          <w:sz w:val="24"/>
          <w:szCs w:val="24"/>
          <w:highlight w:val="none"/>
          <w:lang w:eastAsia="zh-CN"/>
        </w:rPr>
      </w:pPr>
      <w:r>
        <w:rPr>
          <w:rFonts w:ascii="宋体" w:hAnsi="宋体" w:eastAsia="宋体" w:cs="宋体"/>
          <w:color w:val="auto"/>
          <w:sz w:val="24"/>
          <w:szCs w:val="24"/>
          <w:highlight w:val="none"/>
        </w:rPr>
        <w:t>承包人应为竣工财务决算编制提供的资料：</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财务决算所需的一切资料6份</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eastAsia="zh-CN"/>
        </w:rPr>
        <w:t>。</w:t>
      </w:r>
    </w:p>
    <w:p w14:paraId="69B93CA9">
      <w:pPr>
        <w:spacing w:before="310" w:line="220" w:lineRule="auto"/>
        <w:ind w:left="9"/>
        <w:outlineLvl w:val="1"/>
        <w:rPr>
          <w:rFonts w:ascii="宋体" w:hAnsi="宋体" w:eastAsia="宋体" w:cs="宋体"/>
          <w:color w:val="auto"/>
          <w:sz w:val="28"/>
          <w:szCs w:val="28"/>
          <w:highlight w:val="none"/>
        </w:rPr>
      </w:pPr>
      <w:bookmarkStart w:id="963" w:name="bookmark368"/>
      <w:bookmarkEnd w:id="963"/>
      <w:bookmarkStart w:id="964" w:name="bookmark367"/>
      <w:bookmarkEnd w:id="964"/>
      <w:bookmarkStart w:id="965" w:name="_Toc29192"/>
      <w:bookmarkStart w:id="966" w:name="_Toc27432"/>
      <w:r>
        <w:rPr>
          <w:rFonts w:ascii="Times New Roman" w:hAnsi="Times New Roman" w:eastAsia="Times New Roman" w:cs="Times New Roman"/>
          <w:b/>
          <w:bCs/>
          <w:color w:val="auto"/>
          <w:spacing w:val="-7"/>
          <w:sz w:val="28"/>
          <w:szCs w:val="28"/>
          <w:highlight w:val="none"/>
        </w:rPr>
        <w:t>18</w:t>
      </w:r>
      <w:r>
        <w:rPr>
          <w:rFonts w:ascii="Times New Roman" w:hAnsi="Times New Roman" w:eastAsia="Times New Roman" w:cs="Times New Roman"/>
          <w:b/>
          <w:bCs/>
          <w:color w:val="auto"/>
          <w:spacing w:val="8"/>
          <w:sz w:val="28"/>
          <w:szCs w:val="28"/>
          <w:highlight w:val="none"/>
        </w:rPr>
        <w:t xml:space="preserve"> </w:t>
      </w:r>
      <w:r>
        <w:rPr>
          <w:rFonts w:hint="eastAsia" w:ascii="Times New Roman" w:hAnsi="Times New Roman" w:eastAsia="宋体" w:cs="Times New Roman"/>
          <w:b/>
          <w:bCs/>
          <w:color w:val="auto"/>
          <w:spacing w:val="8"/>
          <w:sz w:val="28"/>
          <w:szCs w:val="28"/>
          <w:highlight w:val="none"/>
          <w:lang w:eastAsia="zh-CN"/>
        </w:rPr>
        <w:t>、</w:t>
      </w:r>
      <w:r>
        <w:rPr>
          <w:rFonts w:ascii="宋体" w:hAnsi="宋体" w:eastAsia="宋体" w:cs="宋体"/>
          <w:b/>
          <w:bCs/>
          <w:color w:val="auto"/>
          <w:spacing w:val="-7"/>
          <w:sz w:val="28"/>
          <w:szCs w:val="28"/>
          <w:highlight w:val="none"/>
        </w:rPr>
        <w:t>工程验收</w:t>
      </w:r>
      <w:bookmarkEnd w:id="965"/>
      <w:bookmarkEnd w:id="966"/>
    </w:p>
    <w:p w14:paraId="28349B3A">
      <w:pPr>
        <w:pStyle w:val="3"/>
        <w:spacing w:line="245" w:lineRule="auto"/>
        <w:rPr>
          <w:color w:val="auto"/>
          <w:highlight w:val="none"/>
        </w:rPr>
      </w:pPr>
    </w:p>
    <w:p w14:paraId="25E62652">
      <w:pPr>
        <w:spacing w:before="78" w:line="220" w:lineRule="auto"/>
        <w:ind w:left="6"/>
        <w:outlineLvl w:val="2"/>
        <w:rPr>
          <w:rFonts w:ascii="宋体" w:hAnsi="宋体" w:eastAsia="宋体" w:cs="宋体"/>
          <w:color w:val="auto"/>
          <w:sz w:val="24"/>
          <w:szCs w:val="24"/>
          <w:highlight w:val="none"/>
        </w:rPr>
      </w:pPr>
      <w:bookmarkStart w:id="967" w:name="bookmark727"/>
      <w:bookmarkEnd w:id="967"/>
      <w:bookmarkStart w:id="968" w:name="_Toc23444"/>
      <w:bookmarkStart w:id="969" w:name="_Toc18404"/>
      <w:r>
        <w:rPr>
          <w:rFonts w:ascii="Times New Roman" w:hAnsi="Times New Roman" w:eastAsia="Times New Roman" w:cs="Times New Roman"/>
          <w:b/>
          <w:bCs/>
          <w:color w:val="auto"/>
          <w:spacing w:val="-2"/>
          <w:sz w:val="24"/>
          <w:szCs w:val="24"/>
          <w:highlight w:val="none"/>
        </w:rPr>
        <w:t xml:space="preserve">18.1  </w:t>
      </w:r>
      <w:r>
        <w:rPr>
          <w:rFonts w:ascii="宋体" w:hAnsi="宋体" w:eastAsia="宋体" w:cs="宋体"/>
          <w:b/>
          <w:bCs/>
          <w:color w:val="auto"/>
          <w:spacing w:val="-2"/>
          <w:sz w:val="24"/>
          <w:szCs w:val="24"/>
          <w:highlight w:val="none"/>
        </w:rPr>
        <w:t>验收工作分类</w:t>
      </w:r>
      <w:bookmarkEnd w:id="968"/>
      <w:bookmarkEnd w:id="969"/>
    </w:p>
    <w:p w14:paraId="730B3630">
      <w:pPr>
        <w:spacing w:before="177" w:line="359" w:lineRule="auto"/>
        <w:ind w:firstLine="500" w:firstLineChars="200"/>
        <w:outlineLvl w:val="9"/>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本工程法人验收包括</w:t>
      </w:r>
      <w:r>
        <w:rPr>
          <w:rFonts w:ascii="宋体" w:hAnsi="宋体" w:eastAsia="宋体" w:cs="宋体"/>
          <w:color w:val="auto"/>
          <w:spacing w:val="1"/>
          <w:sz w:val="24"/>
          <w:szCs w:val="24"/>
          <w:highlight w:val="none"/>
        </w:rPr>
        <w:t>：</w:t>
      </w:r>
      <w:r>
        <w:rPr>
          <w:rFonts w:ascii="宋体" w:hAnsi="宋体" w:eastAsia="宋体" w:cs="宋体"/>
          <w:color w:val="auto"/>
          <w:spacing w:val="-98"/>
          <w:sz w:val="24"/>
          <w:szCs w:val="24"/>
          <w:highlight w:val="none"/>
        </w:rPr>
        <w:t xml:space="preserve"> </w:t>
      </w:r>
      <w:r>
        <w:rPr>
          <w:rFonts w:hint="eastAsia" w:ascii="宋体" w:hAnsi="宋体" w:eastAsia="宋体" w:cs="宋体"/>
          <w:color w:val="auto"/>
          <w:spacing w:val="7"/>
          <w:sz w:val="24"/>
          <w:szCs w:val="24"/>
          <w:highlight w:val="none"/>
          <w:u w:val="single" w:color="auto"/>
          <w:lang w:val="en-US" w:eastAsia="zh-CN"/>
        </w:rPr>
        <w:t>分部工程验收、单位工程验收、完工验收等</w:t>
      </w:r>
      <w:r>
        <w:rPr>
          <w:rFonts w:ascii="宋体" w:hAnsi="宋体" w:eastAsia="宋体" w:cs="宋体"/>
          <w:color w:val="auto"/>
          <w:spacing w:val="7"/>
          <w:sz w:val="24"/>
          <w:szCs w:val="24"/>
          <w:highlight w:val="none"/>
          <w:u w:val="single" w:color="auto"/>
        </w:rPr>
        <w:t xml:space="preserve"> </w:t>
      </w:r>
      <w:r>
        <w:rPr>
          <w:rFonts w:ascii="宋体" w:hAnsi="宋体" w:eastAsia="宋体" w:cs="宋体"/>
          <w:color w:val="auto"/>
          <w:spacing w:val="-88"/>
          <w:sz w:val="24"/>
          <w:szCs w:val="24"/>
          <w:highlight w:val="none"/>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5"/>
          <w:sz w:val="24"/>
          <w:szCs w:val="24"/>
          <w:highlight w:val="none"/>
        </w:rPr>
        <w:t>政府验收包括：</w:t>
      </w:r>
      <w:r>
        <w:rPr>
          <w:rFonts w:ascii="宋体" w:hAnsi="宋体" w:eastAsia="宋体" w:cs="宋体"/>
          <w:color w:val="auto"/>
          <w:spacing w:val="-87"/>
          <w:sz w:val="24"/>
          <w:szCs w:val="24"/>
          <w:highlight w:val="none"/>
        </w:rPr>
        <w:t xml:space="preserve"> </w:t>
      </w:r>
      <w:r>
        <w:rPr>
          <w:rFonts w:ascii="宋体" w:hAnsi="宋体" w:eastAsia="宋体" w:cs="宋体"/>
          <w:color w:val="auto"/>
          <w:spacing w:val="7"/>
          <w:sz w:val="24"/>
          <w:szCs w:val="24"/>
          <w:highlight w:val="none"/>
          <w:u w:val="single" w:color="auto"/>
        </w:rPr>
        <w:t xml:space="preserve"> </w:t>
      </w:r>
      <w:r>
        <w:rPr>
          <w:rFonts w:hint="eastAsia" w:ascii="宋体" w:hAnsi="宋体" w:eastAsia="宋体" w:cs="宋体"/>
          <w:color w:val="auto"/>
          <w:spacing w:val="7"/>
          <w:sz w:val="24"/>
          <w:szCs w:val="24"/>
          <w:highlight w:val="none"/>
          <w:u w:val="single" w:color="auto"/>
          <w:lang w:val="en-US" w:eastAsia="zh-CN"/>
        </w:rPr>
        <w:t>竣工验收</w:t>
      </w:r>
      <w:r>
        <w:rPr>
          <w:rFonts w:ascii="宋体" w:hAnsi="宋体" w:eastAsia="宋体" w:cs="宋体"/>
          <w:color w:val="auto"/>
          <w:spacing w:val="7"/>
          <w:sz w:val="24"/>
          <w:szCs w:val="24"/>
          <w:highlight w:val="none"/>
          <w:u w:val="single" w:color="auto"/>
        </w:rPr>
        <w:t xml:space="preserve"> </w:t>
      </w:r>
      <w:r>
        <w:rPr>
          <w:rFonts w:ascii="宋体" w:hAnsi="宋体" w:eastAsia="宋体" w:cs="宋体"/>
          <w:color w:val="auto"/>
          <w:spacing w:val="-87"/>
          <w:sz w:val="24"/>
          <w:szCs w:val="24"/>
          <w:highlight w:val="none"/>
        </w:rPr>
        <w:t xml:space="preserve"> </w:t>
      </w:r>
      <w:r>
        <w:rPr>
          <w:rFonts w:ascii="宋体" w:hAnsi="宋体" w:eastAsia="宋体" w:cs="宋体"/>
          <w:color w:val="auto"/>
          <w:spacing w:val="5"/>
          <w:sz w:val="24"/>
          <w:szCs w:val="24"/>
          <w:highlight w:val="none"/>
        </w:rPr>
        <w:t>。验收条件</w:t>
      </w:r>
      <w:r>
        <w:rPr>
          <w:rFonts w:ascii="宋体" w:hAnsi="宋体" w:eastAsia="宋体" w:cs="宋体"/>
          <w:color w:val="auto"/>
          <w:spacing w:val="-1"/>
          <w:sz w:val="24"/>
          <w:szCs w:val="24"/>
          <w:highlight w:val="none"/>
        </w:rPr>
        <w:t>为</w:t>
      </w:r>
      <w:r>
        <w:rPr>
          <w:rFonts w:ascii="宋体" w:hAnsi="宋体" w:eastAsia="宋体" w:cs="宋体"/>
          <w:color w:val="auto"/>
          <w:spacing w:val="4"/>
          <w:sz w:val="24"/>
          <w:szCs w:val="24"/>
          <w:highlight w:val="none"/>
        </w:rPr>
        <w:t>：</w:t>
      </w:r>
      <w:r>
        <w:rPr>
          <w:rFonts w:hint="eastAsia" w:ascii="宋体" w:hAnsi="宋体" w:eastAsia="宋体" w:cs="宋体"/>
          <w:color w:val="auto"/>
          <w:spacing w:val="-6"/>
          <w:sz w:val="24"/>
          <w:szCs w:val="24"/>
          <w:highlight w:val="none"/>
          <w:u w:val="single"/>
          <w:lang w:val="en-US" w:eastAsia="zh-CN"/>
        </w:rPr>
        <w:t>按《浙江省高标准农田建设项目竣工验收实施办法》、《水利水电建设工程验收规程》（SL223-2025）等相关文件执行</w:t>
      </w:r>
      <w:r>
        <w:rPr>
          <w:rFonts w:hint="eastAsia" w:ascii="宋体" w:hAnsi="宋体" w:eastAsia="宋体" w:cs="宋体"/>
          <w:color w:val="auto"/>
          <w:sz w:val="24"/>
          <w:szCs w:val="24"/>
          <w:highlight w:val="none"/>
          <w:u w:val="single" w:color="auto"/>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22"/>
          <w:sz w:val="24"/>
          <w:szCs w:val="24"/>
          <w:highlight w:val="none"/>
        </w:rPr>
        <w:t>验收程序为：</w:t>
      </w:r>
      <w:r>
        <w:rPr>
          <w:rFonts w:hint="eastAsia" w:ascii="宋体" w:hAnsi="宋体" w:eastAsia="宋体" w:cs="宋体"/>
          <w:color w:val="auto"/>
          <w:spacing w:val="-6"/>
          <w:sz w:val="24"/>
          <w:szCs w:val="24"/>
          <w:highlight w:val="none"/>
          <w:u w:val="single"/>
          <w:lang w:val="en-US" w:eastAsia="zh-CN"/>
        </w:rPr>
        <w:t>按《浙江省高标准农田建设项目竣工验收实施办法》、《水利水电建设工程验收规程》（SL223-2025）等相关文件执行</w:t>
      </w:r>
      <w:r>
        <w:rPr>
          <w:rFonts w:hint="eastAsia" w:ascii="宋体" w:hAnsi="宋体" w:eastAsia="宋体" w:cs="宋体"/>
          <w:b/>
          <w:bCs/>
          <w:color w:val="auto"/>
          <w:sz w:val="24"/>
          <w:szCs w:val="24"/>
          <w:highlight w:val="none"/>
          <w:u w:val="single"/>
          <w:lang w:val="en-US" w:eastAsia="zh-CN" w:bidi="zh-CN"/>
        </w:rPr>
        <w:t>。</w:t>
      </w:r>
    </w:p>
    <w:p w14:paraId="228208B5">
      <w:pPr>
        <w:spacing w:before="1" w:line="219" w:lineRule="auto"/>
        <w:ind w:left="6"/>
        <w:outlineLvl w:val="2"/>
        <w:rPr>
          <w:rFonts w:ascii="宋体" w:hAnsi="宋体" w:eastAsia="宋体" w:cs="宋体"/>
          <w:color w:val="auto"/>
          <w:sz w:val="24"/>
          <w:szCs w:val="24"/>
          <w:highlight w:val="none"/>
        </w:rPr>
      </w:pPr>
      <w:bookmarkStart w:id="970" w:name="bookmark369"/>
      <w:bookmarkEnd w:id="970"/>
      <w:bookmarkStart w:id="971" w:name="_Toc1747"/>
      <w:bookmarkStart w:id="972" w:name="_Toc5767"/>
      <w:r>
        <w:rPr>
          <w:rFonts w:ascii="Times New Roman" w:hAnsi="Times New Roman" w:eastAsia="Times New Roman" w:cs="Times New Roman"/>
          <w:b/>
          <w:bCs/>
          <w:color w:val="auto"/>
          <w:spacing w:val="-2"/>
          <w:sz w:val="24"/>
          <w:szCs w:val="24"/>
          <w:highlight w:val="none"/>
        </w:rPr>
        <w:t xml:space="preserve">18.2  </w:t>
      </w:r>
      <w:r>
        <w:rPr>
          <w:rFonts w:ascii="宋体" w:hAnsi="宋体" w:eastAsia="宋体" w:cs="宋体"/>
          <w:b/>
          <w:bCs/>
          <w:color w:val="auto"/>
          <w:spacing w:val="-2"/>
          <w:sz w:val="24"/>
          <w:szCs w:val="24"/>
          <w:highlight w:val="none"/>
        </w:rPr>
        <w:t>分部工程验收</w:t>
      </w:r>
      <w:bookmarkEnd w:id="971"/>
      <w:bookmarkEnd w:id="972"/>
    </w:p>
    <w:p w14:paraId="42BA46BE">
      <w:pPr>
        <w:spacing w:before="180" w:line="359" w:lineRule="auto"/>
        <w:ind w:left="2" w:right="1"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18.2.2  </w:t>
      </w:r>
      <w:r>
        <w:rPr>
          <w:rFonts w:ascii="宋体" w:hAnsi="宋体" w:eastAsia="宋体" w:cs="宋体"/>
          <w:color w:val="auto"/>
          <w:spacing w:val="-3"/>
          <w:sz w:val="24"/>
          <w:szCs w:val="24"/>
          <w:highlight w:val="none"/>
        </w:rPr>
        <w:t>本工程由监理人主持的分部工程验收在监理合同中约定，其余由发包人主</w:t>
      </w:r>
      <w:r>
        <w:rPr>
          <w:rFonts w:ascii="宋体" w:hAnsi="宋体" w:eastAsia="宋体" w:cs="宋体"/>
          <w:color w:val="auto"/>
          <w:spacing w:val="-12"/>
          <w:sz w:val="24"/>
          <w:szCs w:val="24"/>
          <w:highlight w:val="none"/>
        </w:rPr>
        <w:t>持。</w:t>
      </w:r>
    </w:p>
    <w:p w14:paraId="1A7E8F69">
      <w:pPr>
        <w:spacing w:before="1" w:line="219" w:lineRule="auto"/>
        <w:ind w:left="6"/>
        <w:outlineLvl w:val="2"/>
        <w:rPr>
          <w:rFonts w:ascii="宋体" w:hAnsi="宋体" w:eastAsia="宋体" w:cs="宋体"/>
          <w:color w:val="auto"/>
          <w:sz w:val="24"/>
          <w:szCs w:val="24"/>
          <w:highlight w:val="none"/>
        </w:rPr>
      </w:pPr>
      <w:bookmarkStart w:id="973" w:name="bookmark370"/>
      <w:bookmarkEnd w:id="973"/>
      <w:bookmarkStart w:id="974" w:name="_Toc32683"/>
      <w:bookmarkStart w:id="975" w:name="_Toc29439"/>
      <w:r>
        <w:rPr>
          <w:rFonts w:ascii="Times New Roman" w:hAnsi="Times New Roman" w:eastAsia="Times New Roman" w:cs="Times New Roman"/>
          <w:b/>
          <w:bCs/>
          <w:color w:val="auto"/>
          <w:spacing w:val="-2"/>
          <w:sz w:val="24"/>
          <w:szCs w:val="24"/>
          <w:highlight w:val="none"/>
        </w:rPr>
        <w:t xml:space="preserve">18.3  </w:t>
      </w:r>
      <w:r>
        <w:rPr>
          <w:rFonts w:ascii="宋体" w:hAnsi="宋体" w:eastAsia="宋体" w:cs="宋体"/>
          <w:b/>
          <w:bCs/>
          <w:color w:val="auto"/>
          <w:spacing w:val="-2"/>
          <w:sz w:val="24"/>
          <w:szCs w:val="24"/>
          <w:highlight w:val="none"/>
        </w:rPr>
        <w:t>单位工程验收</w:t>
      </w:r>
      <w:bookmarkEnd w:id="974"/>
      <w:bookmarkEnd w:id="975"/>
    </w:p>
    <w:p w14:paraId="62DC84FC">
      <w:pPr>
        <w:spacing w:before="182" w:line="220"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18.3.4  </w:t>
      </w:r>
      <w:r>
        <w:rPr>
          <w:rFonts w:ascii="宋体" w:hAnsi="宋体" w:eastAsia="宋体" w:cs="宋体"/>
          <w:color w:val="auto"/>
          <w:spacing w:val="-2"/>
          <w:sz w:val="24"/>
          <w:szCs w:val="24"/>
          <w:highlight w:val="none"/>
        </w:rPr>
        <w:t>提前投入使用的单位工程包括：</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84"/>
          <w:sz w:val="24"/>
          <w:szCs w:val="24"/>
          <w:highlight w:val="none"/>
        </w:rPr>
        <w:t xml:space="preserve"> </w:t>
      </w:r>
      <w:r>
        <w:rPr>
          <w:rFonts w:ascii="宋体" w:hAnsi="宋体" w:eastAsia="宋体" w:cs="宋体"/>
          <w:color w:val="auto"/>
          <w:spacing w:val="-2"/>
          <w:sz w:val="24"/>
          <w:szCs w:val="24"/>
          <w:highlight w:val="none"/>
        </w:rPr>
        <w:t>。</w:t>
      </w:r>
    </w:p>
    <w:p w14:paraId="5F8093DE">
      <w:pPr>
        <w:spacing w:before="179" w:line="220" w:lineRule="auto"/>
        <w:ind w:left="6"/>
        <w:outlineLvl w:val="2"/>
        <w:rPr>
          <w:rFonts w:ascii="宋体" w:hAnsi="宋体" w:eastAsia="宋体" w:cs="宋体"/>
          <w:color w:val="auto"/>
          <w:sz w:val="24"/>
          <w:szCs w:val="24"/>
          <w:highlight w:val="none"/>
        </w:rPr>
      </w:pPr>
      <w:bookmarkStart w:id="976" w:name="bookmark371"/>
      <w:bookmarkEnd w:id="976"/>
      <w:bookmarkStart w:id="977" w:name="_Toc31342"/>
      <w:bookmarkStart w:id="978" w:name="_Toc13314"/>
      <w:r>
        <w:rPr>
          <w:rFonts w:ascii="Times New Roman" w:hAnsi="Times New Roman" w:eastAsia="Times New Roman" w:cs="Times New Roman"/>
          <w:b/>
          <w:bCs/>
          <w:color w:val="auto"/>
          <w:spacing w:val="-6"/>
          <w:sz w:val="24"/>
          <w:szCs w:val="24"/>
          <w:highlight w:val="none"/>
        </w:rPr>
        <w:t>18.5</w:t>
      </w:r>
      <w:r>
        <w:rPr>
          <w:rFonts w:ascii="Times New Roman" w:hAnsi="Times New Roman" w:eastAsia="Times New Roman" w:cs="Times New Roman"/>
          <w:b/>
          <w:bCs/>
          <w:color w:val="auto"/>
          <w:spacing w:val="12"/>
          <w:sz w:val="24"/>
          <w:szCs w:val="24"/>
          <w:highlight w:val="none"/>
        </w:rPr>
        <w:t xml:space="preserve">  </w:t>
      </w:r>
      <w:r>
        <w:rPr>
          <w:rFonts w:ascii="宋体" w:hAnsi="宋体" w:eastAsia="宋体" w:cs="宋体"/>
          <w:b/>
          <w:bCs/>
          <w:color w:val="auto"/>
          <w:spacing w:val="-6"/>
          <w:sz w:val="24"/>
          <w:szCs w:val="24"/>
          <w:highlight w:val="none"/>
        </w:rPr>
        <w:t>阶段验收</w:t>
      </w:r>
      <w:bookmarkEnd w:id="977"/>
      <w:bookmarkEnd w:id="978"/>
    </w:p>
    <w:p w14:paraId="124797CE">
      <w:pPr>
        <w:spacing w:before="183" w:line="219"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18.5.1  </w:t>
      </w:r>
      <w:r>
        <w:rPr>
          <w:rFonts w:ascii="宋体" w:hAnsi="宋体" w:eastAsia="宋体" w:cs="宋体"/>
          <w:color w:val="auto"/>
          <w:spacing w:val="-2"/>
          <w:sz w:val="24"/>
          <w:szCs w:val="24"/>
          <w:highlight w:val="none"/>
        </w:rPr>
        <w:t>本合同工程阶段验收类别包括：</w:t>
      </w:r>
      <w:r>
        <w:rPr>
          <w:rFonts w:hint="eastAsia" w:ascii="宋体" w:hAnsi="宋体" w:eastAsia="宋体" w:cs="宋体"/>
          <w:color w:val="auto"/>
          <w:sz w:val="24"/>
          <w:szCs w:val="24"/>
          <w:highlight w:val="none"/>
          <w:u w:val="single"/>
        </w:rPr>
        <w:t>按现行水利工程相关验收规范规定</w:t>
      </w:r>
      <w:r>
        <w:rPr>
          <w:rFonts w:ascii="宋体" w:hAnsi="宋体" w:eastAsia="宋体" w:cs="宋体"/>
          <w:color w:val="auto"/>
          <w:spacing w:val="-2"/>
          <w:sz w:val="24"/>
          <w:szCs w:val="24"/>
          <w:highlight w:val="none"/>
        </w:rPr>
        <w:t>。</w:t>
      </w:r>
    </w:p>
    <w:p w14:paraId="7E1346EC">
      <w:pPr>
        <w:spacing w:before="180" w:line="220" w:lineRule="auto"/>
        <w:ind w:left="6"/>
        <w:outlineLvl w:val="2"/>
        <w:rPr>
          <w:rFonts w:ascii="宋体" w:hAnsi="宋体" w:eastAsia="宋体" w:cs="宋体"/>
          <w:color w:val="auto"/>
          <w:sz w:val="24"/>
          <w:szCs w:val="24"/>
          <w:highlight w:val="none"/>
        </w:rPr>
      </w:pPr>
      <w:bookmarkStart w:id="979" w:name="bookmark372"/>
      <w:bookmarkEnd w:id="979"/>
      <w:bookmarkStart w:id="980" w:name="_Toc32569"/>
      <w:bookmarkStart w:id="981" w:name="_Toc15077"/>
      <w:r>
        <w:rPr>
          <w:rFonts w:ascii="Times New Roman" w:hAnsi="Times New Roman" w:eastAsia="Times New Roman" w:cs="Times New Roman"/>
          <w:b/>
          <w:bCs/>
          <w:color w:val="auto"/>
          <w:spacing w:val="-3"/>
          <w:sz w:val="24"/>
          <w:szCs w:val="24"/>
          <w:highlight w:val="none"/>
        </w:rPr>
        <w:t xml:space="preserve">18.6  </w:t>
      </w:r>
      <w:r>
        <w:rPr>
          <w:rFonts w:ascii="宋体" w:hAnsi="宋体" w:eastAsia="宋体" w:cs="宋体"/>
          <w:b/>
          <w:bCs/>
          <w:color w:val="auto"/>
          <w:spacing w:val="-3"/>
          <w:sz w:val="24"/>
          <w:szCs w:val="24"/>
          <w:highlight w:val="none"/>
        </w:rPr>
        <w:t>专项验收</w:t>
      </w:r>
      <w:bookmarkEnd w:id="980"/>
      <w:bookmarkEnd w:id="981"/>
    </w:p>
    <w:p w14:paraId="32267899">
      <w:pPr>
        <w:spacing w:before="183" w:line="219" w:lineRule="auto"/>
        <w:ind w:left="488"/>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18.6.2  </w:t>
      </w:r>
      <w:r>
        <w:rPr>
          <w:rFonts w:ascii="宋体" w:hAnsi="宋体" w:eastAsia="宋体" w:cs="宋体"/>
          <w:color w:val="auto"/>
          <w:spacing w:val="-2"/>
          <w:sz w:val="24"/>
          <w:szCs w:val="24"/>
          <w:highlight w:val="none"/>
        </w:rPr>
        <w:t>本合同工程专项验收类别包括：</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w:t>
      </w:r>
    </w:p>
    <w:p w14:paraId="3E8E18AA">
      <w:pPr>
        <w:spacing w:before="180" w:line="220" w:lineRule="auto"/>
        <w:ind w:left="6"/>
        <w:outlineLvl w:val="2"/>
        <w:rPr>
          <w:rFonts w:ascii="宋体" w:hAnsi="宋体" w:eastAsia="宋体" w:cs="宋体"/>
          <w:color w:val="auto"/>
          <w:sz w:val="24"/>
          <w:szCs w:val="24"/>
          <w:highlight w:val="none"/>
        </w:rPr>
      </w:pPr>
      <w:bookmarkStart w:id="982" w:name="bookmark373"/>
      <w:bookmarkEnd w:id="982"/>
      <w:bookmarkStart w:id="983" w:name="_Toc2876"/>
      <w:bookmarkStart w:id="984" w:name="_Toc25284"/>
      <w:r>
        <w:rPr>
          <w:rFonts w:ascii="Times New Roman" w:hAnsi="Times New Roman" w:eastAsia="Times New Roman" w:cs="Times New Roman"/>
          <w:b/>
          <w:bCs/>
          <w:color w:val="auto"/>
          <w:spacing w:val="-3"/>
          <w:sz w:val="24"/>
          <w:szCs w:val="24"/>
          <w:highlight w:val="none"/>
        </w:rPr>
        <w:t xml:space="preserve">18.7  </w:t>
      </w:r>
      <w:r>
        <w:rPr>
          <w:rFonts w:ascii="宋体" w:hAnsi="宋体" w:eastAsia="宋体" w:cs="宋体"/>
          <w:b/>
          <w:bCs/>
          <w:color w:val="auto"/>
          <w:spacing w:val="-3"/>
          <w:sz w:val="24"/>
          <w:szCs w:val="24"/>
          <w:highlight w:val="none"/>
        </w:rPr>
        <w:t>竣工验收</w:t>
      </w:r>
      <w:bookmarkEnd w:id="983"/>
      <w:bookmarkEnd w:id="984"/>
    </w:p>
    <w:p w14:paraId="3C69F4E6">
      <w:pPr>
        <w:spacing w:line="220" w:lineRule="auto"/>
        <w:rPr>
          <w:rFonts w:ascii="宋体" w:hAnsi="宋体" w:eastAsia="宋体" w:cs="宋体"/>
          <w:color w:val="auto"/>
          <w:sz w:val="24"/>
          <w:szCs w:val="24"/>
          <w:highlight w:val="none"/>
        </w:rPr>
      </w:pPr>
    </w:p>
    <w:p w14:paraId="1315DC29">
      <w:pPr>
        <w:tabs>
          <w:tab w:val="left" w:pos="698"/>
        </w:tabs>
        <w:bidi w:val="0"/>
        <w:jc w:val="left"/>
        <w:rPr>
          <w:rFonts w:hint="eastAsia" w:ascii="宋体" w:hAnsi="宋体" w:eastAsia="宋体" w:cs="宋体"/>
          <w:color w:val="auto"/>
          <w:sz w:val="24"/>
          <w:szCs w:val="24"/>
          <w:highlight w:val="none"/>
          <w:lang w:eastAsia="zh-CN"/>
        </w:rPr>
      </w:pPr>
      <w:r>
        <w:rPr>
          <w:rFonts w:hint="eastAsia" w:eastAsia="宋体"/>
          <w:color w:val="auto"/>
          <w:highlight w:val="none"/>
          <w:lang w:val="en-US" w:eastAsia="zh-CN"/>
        </w:rPr>
        <w:tab/>
      </w:r>
      <w:r>
        <w:rPr>
          <w:rFonts w:ascii="Times New Roman" w:hAnsi="Times New Roman" w:eastAsia="Times New Roman" w:cs="Times New Roman"/>
          <w:b/>
          <w:bCs/>
          <w:color w:val="auto"/>
          <w:spacing w:val="-1"/>
          <w:sz w:val="24"/>
          <w:szCs w:val="24"/>
          <w:highlight w:val="none"/>
        </w:rPr>
        <w:t xml:space="preserve">18.7.3  </w:t>
      </w:r>
      <w:r>
        <w:rPr>
          <w:rFonts w:ascii="宋体" w:hAnsi="宋体" w:eastAsia="宋体" w:cs="宋体"/>
          <w:color w:val="auto"/>
          <w:spacing w:val="-1"/>
          <w:sz w:val="24"/>
          <w:szCs w:val="24"/>
          <w:highlight w:val="none"/>
        </w:rPr>
        <w:t>本工程</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不需要</w:t>
      </w:r>
      <w:r>
        <w:rPr>
          <w:rFonts w:ascii="宋体" w:hAnsi="宋体" w:eastAsia="宋体" w:cs="宋体"/>
          <w:color w:val="auto"/>
          <w:spacing w:val="-1"/>
          <w:sz w:val="24"/>
          <w:szCs w:val="24"/>
          <w:highlight w:val="none"/>
        </w:rPr>
        <w:t>（需要、不需要）竣工验收技术鉴定（蓄水安全鉴定）</w:t>
      </w:r>
      <w:r>
        <w:rPr>
          <w:rFonts w:hint="eastAsia" w:ascii="宋体" w:hAnsi="宋体" w:eastAsia="宋体" w:cs="宋体"/>
          <w:color w:val="auto"/>
          <w:spacing w:val="-1"/>
          <w:sz w:val="24"/>
          <w:szCs w:val="24"/>
          <w:highlight w:val="none"/>
          <w:lang w:eastAsia="zh-CN"/>
        </w:rPr>
        <w:t>。</w:t>
      </w:r>
    </w:p>
    <w:p w14:paraId="3A3FA6E6">
      <w:pPr>
        <w:spacing w:before="183" w:line="220" w:lineRule="auto"/>
        <w:ind w:left="10"/>
        <w:outlineLvl w:val="2"/>
        <w:rPr>
          <w:rFonts w:ascii="宋体" w:hAnsi="宋体" w:eastAsia="宋体" w:cs="宋体"/>
          <w:color w:val="auto"/>
          <w:sz w:val="24"/>
          <w:szCs w:val="24"/>
          <w:highlight w:val="none"/>
        </w:rPr>
      </w:pPr>
      <w:bookmarkStart w:id="985" w:name="bookmark374"/>
      <w:bookmarkEnd w:id="985"/>
      <w:bookmarkStart w:id="986" w:name="_Toc4326"/>
      <w:bookmarkStart w:id="987" w:name="_Toc22737"/>
      <w:r>
        <w:rPr>
          <w:rFonts w:ascii="Times New Roman" w:hAnsi="Times New Roman" w:eastAsia="Times New Roman" w:cs="Times New Roman"/>
          <w:b/>
          <w:bCs/>
          <w:color w:val="auto"/>
          <w:spacing w:val="-3"/>
          <w:sz w:val="24"/>
          <w:szCs w:val="24"/>
          <w:highlight w:val="none"/>
        </w:rPr>
        <w:t xml:space="preserve">18.8  </w:t>
      </w:r>
      <w:r>
        <w:rPr>
          <w:rFonts w:ascii="宋体" w:hAnsi="宋体" w:eastAsia="宋体" w:cs="宋体"/>
          <w:b/>
          <w:bCs/>
          <w:color w:val="auto"/>
          <w:spacing w:val="-3"/>
          <w:sz w:val="24"/>
          <w:szCs w:val="24"/>
          <w:highlight w:val="none"/>
        </w:rPr>
        <w:t>施工期运行</w:t>
      </w:r>
      <w:bookmarkEnd w:id="986"/>
      <w:bookmarkEnd w:id="987"/>
    </w:p>
    <w:p w14:paraId="0E4D9C60">
      <w:pPr>
        <w:spacing w:before="179" w:line="220" w:lineRule="auto"/>
        <w:ind w:left="49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18.8.1  </w:t>
      </w:r>
      <w:r>
        <w:rPr>
          <w:rFonts w:ascii="宋体" w:hAnsi="宋体" w:eastAsia="宋体" w:cs="宋体"/>
          <w:color w:val="auto"/>
          <w:spacing w:val="-1"/>
          <w:sz w:val="24"/>
          <w:szCs w:val="24"/>
          <w:highlight w:val="none"/>
        </w:rPr>
        <w:t>需要在施工期运行的单位工程或</w:t>
      </w:r>
      <w:r>
        <w:rPr>
          <w:rFonts w:ascii="宋体" w:hAnsi="宋体" w:eastAsia="宋体" w:cs="宋体"/>
          <w:color w:val="auto"/>
          <w:spacing w:val="-2"/>
          <w:sz w:val="24"/>
          <w:szCs w:val="24"/>
          <w:highlight w:val="none"/>
        </w:rPr>
        <w:t>工程设备为：</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w:t>
      </w:r>
    </w:p>
    <w:p w14:paraId="6A02C7A8">
      <w:pPr>
        <w:spacing w:before="182" w:line="220" w:lineRule="auto"/>
        <w:ind w:left="10"/>
        <w:outlineLvl w:val="2"/>
        <w:rPr>
          <w:rFonts w:ascii="宋体" w:hAnsi="宋体" w:eastAsia="宋体" w:cs="宋体"/>
          <w:color w:val="auto"/>
          <w:sz w:val="24"/>
          <w:szCs w:val="24"/>
          <w:highlight w:val="none"/>
        </w:rPr>
      </w:pPr>
      <w:bookmarkStart w:id="988" w:name="bookmark375"/>
      <w:bookmarkEnd w:id="988"/>
      <w:bookmarkStart w:id="989" w:name="_Toc29005"/>
      <w:bookmarkStart w:id="990" w:name="_Toc9396"/>
      <w:r>
        <w:rPr>
          <w:rFonts w:ascii="Times New Roman" w:hAnsi="Times New Roman" w:eastAsia="Times New Roman" w:cs="Times New Roman"/>
          <w:b/>
          <w:bCs/>
          <w:color w:val="auto"/>
          <w:spacing w:val="-5"/>
          <w:sz w:val="24"/>
          <w:szCs w:val="24"/>
          <w:highlight w:val="none"/>
        </w:rPr>
        <w:t>18.9</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5"/>
          <w:sz w:val="24"/>
          <w:szCs w:val="24"/>
          <w:highlight w:val="none"/>
        </w:rPr>
        <w:t>试运行</w:t>
      </w:r>
      <w:bookmarkEnd w:id="989"/>
      <w:bookmarkEnd w:id="990"/>
    </w:p>
    <w:p w14:paraId="0C056785">
      <w:pPr>
        <w:spacing w:before="178" w:line="220" w:lineRule="auto"/>
        <w:ind w:left="49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18.9.1  </w:t>
      </w:r>
      <w:r>
        <w:rPr>
          <w:rFonts w:ascii="宋体" w:hAnsi="宋体" w:eastAsia="宋体" w:cs="宋体"/>
          <w:color w:val="auto"/>
          <w:spacing w:val="-1"/>
          <w:sz w:val="24"/>
          <w:szCs w:val="24"/>
          <w:highlight w:val="none"/>
        </w:rPr>
        <w:t>试运行的组织</w:t>
      </w:r>
      <w:r>
        <w:rPr>
          <w:rFonts w:ascii="宋体" w:hAnsi="宋体" w:eastAsia="宋体" w:cs="宋体"/>
          <w:color w:val="auto"/>
          <w:spacing w:val="4"/>
          <w:sz w:val="24"/>
          <w:szCs w:val="24"/>
          <w:highlight w:val="none"/>
        </w:rPr>
        <w:t>：</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1"/>
          <w:sz w:val="24"/>
          <w:szCs w:val="24"/>
          <w:highlight w:val="none"/>
        </w:rPr>
        <w:t>费用承担：</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5BA71921">
      <w:pPr>
        <w:spacing w:before="309" w:line="220" w:lineRule="auto"/>
        <w:ind w:left="12"/>
        <w:outlineLvl w:val="1"/>
        <w:rPr>
          <w:rFonts w:ascii="宋体" w:hAnsi="宋体" w:eastAsia="宋体" w:cs="宋体"/>
          <w:color w:val="auto"/>
          <w:sz w:val="28"/>
          <w:szCs w:val="28"/>
          <w:highlight w:val="none"/>
        </w:rPr>
      </w:pPr>
      <w:bookmarkStart w:id="991" w:name="bookmark376"/>
      <w:bookmarkEnd w:id="991"/>
      <w:bookmarkStart w:id="992" w:name="bookmark377"/>
      <w:bookmarkEnd w:id="992"/>
      <w:bookmarkStart w:id="993" w:name="_Toc25689"/>
      <w:bookmarkStart w:id="994" w:name="_Toc25058"/>
      <w:r>
        <w:rPr>
          <w:rFonts w:ascii="Times New Roman" w:hAnsi="Times New Roman" w:eastAsia="Times New Roman" w:cs="Times New Roman"/>
          <w:b/>
          <w:bCs/>
          <w:color w:val="auto"/>
          <w:spacing w:val="-3"/>
          <w:sz w:val="28"/>
          <w:szCs w:val="28"/>
          <w:highlight w:val="none"/>
        </w:rPr>
        <w:t>19</w:t>
      </w:r>
      <w:r>
        <w:rPr>
          <w:rFonts w:hint="eastAsia" w:ascii="Times New Roman" w:hAnsi="Times New Roman" w:eastAsia="宋体" w:cs="Times New Roman"/>
          <w:b/>
          <w:bCs/>
          <w:color w:val="auto"/>
          <w:spacing w:val="-3"/>
          <w:sz w:val="28"/>
          <w:szCs w:val="28"/>
          <w:highlight w:val="none"/>
          <w:lang w:eastAsia="zh-CN"/>
        </w:rPr>
        <w:t>、</w:t>
      </w:r>
      <w:r>
        <w:rPr>
          <w:rFonts w:ascii="Times New Roman" w:hAnsi="Times New Roman" w:eastAsia="Times New Roman" w:cs="Times New Roman"/>
          <w:b/>
          <w:bCs/>
          <w:color w:val="auto"/>
          <w:spacing w:val="-3"/>
          <w:sz w:val="28"/>
          <w:szCs w:val="28"/>
          <w:highlight w:val="none"/>
        </w:rPr>
        <w:t xml:space="preserve"> </w:t>
      </w:r>
      <w:r>
        <w:rPr>
          <w:rFonts w:ascii="宋体" w:hAnsi="宋体" w:eastAsia="宋体" w:cs="宋体"/>
          <w:b/>
          <w:bCs/>
          <w:color w:val="auto"/>
          <w:spacing w:val="-3"/>
          <w:sz w:val="28"/>
          <w:szCs w:val="28"/>
          <w:highlight w:val="none"/>
        </w:rPr>
        <w:t>缺陷责任与保修责任</w:t>
      </w:r>
      <w:bookmarkEnd w:id="993"/>
      <w:bookmarkEnd w:id="994"/>
    </w:p>
    <w:p w14:paraId="4F887DEE">
      <w:pPr>
        <w:pStyle w:val="3"/>
        <w:spacing w:line="245" w:lineRule="auto"/>
        <w:rPr>
          <w:color w:val="auto"/>
          <w:highlight w:val="none"/>
        </w:rPr>
      </w:pPr>
    </w:p>
    <w:p w14:paraId="3D619750">
      <w:pPr>
        <w:spacing w:before="78" w:line="220" w:lineRule="auto"/>
        <w:ind w:left="10"/>
        <w:outlineLvl w:val="2"/>
        <w:rPr>
          <w:rFonts w:ascii="宋体" w:hAnsi="宋体" w:eastAsia="宋体" w:cs="宋体"/>
          <w:color w:val="auto"/>
          <w:sz w:val="24"/>
          <w:szCs w:val="24"/>
          <w:highlight w:val="none"/>
        </w:rPr>
      </w:pPr>
      <w:bookmarkStart w:id="995" w:name="bookmark728"/>
      <w:bookmarkEnd w:id="995"/>
      <w:bookmarkStart w:id="996" w:name="_Toc14321"/>
      <w:bookmarkStart w:id="997" w:name="_Toc9266"/>
      <w:r>
        <w:rPr>
          <w:rFonts w:ascii="Times New Roman" w:hAnsi="Times New Roman" w:eastAsia="Times New Roman" w:cs="Times New Roman"/>
          <w:b/>
          <w:bCs/>
          <w:color w:val="auto"/>
          <w:spacing w:val="-2"/>
          <w:sz w:val="24"/>
          <w:szCs w:val="24"/>
          <w:highlight w:val="none"/>
        </w:rPr>
        <w:t xml:space="preserve">19.1  </w:t>
      </w:r>
      <w:r>
        <w:rPr>
          <w:rFonts w:ascii="宋体" w:hAnsi="宋体" w:eastAsia="宋体" w:cs="宋体"/>
          <w:b/>
          <w:bCs/>
          <w:color w:val="auto"/>
          <w:spacing w:val="-2"/>
          <w:sz w:val="24"/>
          <w:szCs w:val="24"/>
          <w:highlight w:val="none"/>
        </w:rPr>
        <w:t>缺陷责任期（工程质量保修期）的起算时间</w:t>
      </w:r>
      <w:bookmarkEnd w:id="996"/>
      <w:bookmarkEnd w:id="997"/>
    </w:p>
    <w:p w14:paraId="548CED39">
      <w:pPr>
        <w:spacing w:before="180" w:line="219" w:lineRule="auto"/>
        <w:ind w:left="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本工程缺陷责任期（工程质量保修期）为</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2</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96"/>
          <w:sz w:val="24"/>
          <w:szCs w:val="24"/>
          <w:highlight w:val="none"/>
        </w:rPr>
        <w:t xml:space="preserve"> </w:t>
      </w:r>
      <w:r>
        <w:rPr>
          <w:rFonts w:ascii="宋体" w:hAnsi="宋体" w:eastAsia="宋体" w:cs="宋体"/>
          <w:color w:val="auto"/>
          <w:spacing w:val="-2"/>
          <w:sz w:val="24"/>
          <w:szCs w:val="24"/>
          <w:highlight w:val="none"/>
        </w:rPr>
        <w:t>年。</w:t>
      </w:r>
    </w:p>
    <w:p w14:paraId="74D15973">
      <w:pPr>
        <w:spacing w:before="309" w:line="221" w:lineRule="auto"/>
        <w:outlineLvl w:val="1"/>
        <w:rPr>
          <w:rFonts w:ascii="宋体" w:hAnsi="宋体" w:eastAsia="宋体" w:cs="宋体"/>
          <w:color w:val="auto"/>
          <w:sz w:val="28"/>
          <w:szCs w:val="28"/>
          <w:highlight w:val="none"/>
        </w:rPr>
      </w:pPr>
      <w:bookmarkStart w:id="998" w:name="bookmark379"/>
      <w:bookmarkEnd w:id="998"/>
      <w:bookmarkStart w:id="999" w:name="bookmark378"/>
      <w:bookmarkEnd w:id="999"/>
      <w:bookmarkStart w:id="1000" w:name="_Toc14977"/>
      <w:bookmarkStart w:id="1001" w:name="_Toc6787"/>
      <w:r>
        <w:rPr>
          <w:rFonts w:ascii="Times New Roman" w:hAnsi="Times New Roman" w:eastAsia="Times New Roman" w:cs="Times New Roman"/>
          <w:b/>
          <w:bCs/>
          <w:color w:val="auto"/>
          <w:spacing w:val="-4"/>
          <w:sz w:val="28"/>
          <w:szCs w:val="28"/>
          <w:highlight w:val="none"/>
        </w:rPr>
        <w:t>20</w:t>
      </w:r>
      <w:r>
        <w:rPr>
          <w:rFonts w:ascii="Times New Roman" w:hAnsi="Times New Roman" w:eastAsia="Times New Roman" w:cs="Times New Roman"/>
          <w:b/>
          <w:bCs/>
          <w:color w:val="auto"/>
          <w:spacing w:val="5"/>
          <w:sz w:val="28"/>
          <w:szCs w:val="28"/>
          <w:highlight w:val="none"/>
        </w:rPr>
        <w:t xml:space="preserve"> </w:t>
      </w:r>
      <w:r>
        <w:rPr>
          <w:rFonts w:hint="eastAsia" w:ascii="Times New Roman" w:hAnsi="Times New Roman" w:eastAsia="宋体" w:cs="Times New Roman"/>
          <w:b/>
          <w:bCs/>
          <w:color w:val="auto"/>
          <w:spacing w:val="5"/>
          <w:sz w:val="28"/>
          <w:szCs w:val="28"/>
          <w:highlight w:val="none"/>
          <w:lang w:eastAsia="zh-CN"/>
        </w:rPr>
        <w:t>、</w:t>
      </w:r>
      <w:r>
        <w:rPr>
          <w:rFonts w:ascii="宋体" w:hAnsi="宋体" w:eastAsia="宋体" w:cs="宋体"/>
          <w:b/>
          <w:bCs/>
          <w:color w:val="auto"/>
          <w:spacing w:val="-4"/>
          <w:sz w:val="28"/>
          <w:szCs w:val="28"/>
          <w:highlight w:val="none"/>
        </w:rPr>
        <w:t>保险</w:t>
      </w:r>
      <w:bookmarkEnd w:id="1000"/>
      <w:bookmarkEnd w:id="1001"/>
    </w:p>
    <w:p w14:paraId="6DF8CA51">
      <w:pPr>
        <w:pStyle w:val="3"/>
        <w:spacing w:line="245" w:lineRule="auto"/>
        <w:rPr>
          <w:color w:val="auto"/>
          <w:highlight w:val="none"/>
        </w:rPr>
      </w:pPr>
    </w:p>
    <w:p w14:paraId="5FCFBBAC">
      <w:pPr>
        <w:spacing w:before="78" w:line="220" w:lineRule="auto"/>
        <w:outlineLvl w:val="2"/>
        <w:rPr>
          <w:rFonts w:ascii="宋体" w:hAnsi="宋体" w:eastAsia="宋体" w:cs="宋体"/>
          <w:color w:val="auto"/>
          <w:sz w:val="24"/>
          <w:szCs w:val="24"/>
          <w:highlight w:val="none"/>
        </w:rPr>
      </w:pPr>
      <w:bookmarkStart w:id="1002" w:name="bookmark729"/>
      <w:bookmarkEnd w:id="1002"/>
      <w:bookmarkStart w:id="1003" w:name="_Toc21374"/>
      <w:bookmarkStart w:id="1004" w:name="_Toc23548"/>
      <w:r>
        <w:rPr>
          <w:rFonts w:ascii="Times New Roman" w:hAnsi="Times New Roman" w:eastAsia="Times New Roman" w:cs="Times New Roman"/>
          <w:b/>
          <w:bCs/>
          <w:color w:val="auto"/>
          <w:spacing w:val="-2"/>
          <w:sz w:val="24"/>
          <w:szCs w:val="24"/>
          <w:highlight w:val="none"/>
        </w:rPr>
        <w:t xml:space="preserve">20.1  </w:t>
      </w:r>
      <w:r>
        <w:rPr>
          <w:rFonts w:ascii="宋体" w:hAnsi="宋体" w:eastAsia="宋体" w:cs="宋体"/>
          <w:b/>
          <w:bCs/>
          <w:color w:val="auto"/>
          <w:spacing w:val="-2"/>
          <w:sz w:val="24"/>
          <w:szCs w:val="24"/>
          <w:highlight w:val="none"/>
        </w:rPr>
        <w:t>建筑安装工程保险</w:t>
      </w:r>
      <w:bookmarkEnd w:id="1003"/>
      <w:bookmarkEnd w:id="1004"/>
    </w:p>
    <w:p w14:paraId="04C4727A">
      <w:pPr>
        <w:keepNext w:val="0"/>
        <w:keepLines w:val="0"/>
        <w:pageBreakBefore w:val="0"/>
        <w:widowControl/>
        <w:kinsoku w:val="0"/>
        <w:wordWrap/>
        <w:overflowPunct/>
        <w:topLinePunct w:val="0"/>
        <w:autoSpaceDE w:val="0"/>
        <w:autoSpaceDN w:val="0"/>
        <w:bidi w:val="0"/>
        <w:adjustRightInd w:val="0"/>
        <w:snapToGrid w:val="0"/>
        <w:spacing w:line="440" w:lineRule="exact"/>
        <w:ind w:left="486"/>
        <w:textAlignment w:val="baseline"/>
        <w:rPr>
          <w:rFonts w:hint="eastAsia" w:ascii="宋体" w:hAnsi="宋体" w:eastAsia="宋体" w:cs="宋体"/>
          <w:color w:val="auto"/>
          <w:sz w:val="24"/>
          <w:szCs w:val="24"/>
          <w:highlight w:val="none"/>
          <w:u w:val="single"/>
        </w:rPr>
      </w:pPr>
      <w:r>
        <w:rPr>
          <w:rFonts w:ascii="宋体" w:hAnsi="宋体" w:eastAsia="宋体" w:cs="宋体"/>
          <w:color w:val="auto"/>
          <w:sz w:val="24"/>
          <w:szCs w:val="24"/>
          <w:highlight w:val="none"/>
        </w:rPr>
        <w:t>建筑工程一切险和（或）安装工程一切险投保人</w:t>
      </w:r>
      <w:r>
        <w:rPr>
          <w:rFonts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u w:val="single"/>
        </w:rPr>
        <w:t>由承包人以发包人和承包人</w:t>
      </w:r>
    </w:p>
    <w:p w14:paraId="347D555B">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的名义投保</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020C73CC">
      <w:pPr>
        <w:keepNext w:val="0"/>
        <w:keepLines w:val="0"/>
        <w:pageBreakBefore w:val="0"/>
        <w:widowControl/>
        <w:kinsoku w:val="0"/>
        <w:wordWrap/>
        <w:overflowPunct/>
        <w:topLinePunct w:val="0"/>
        <w:autoSpaceDE w:val="0"/>
        <w:autoSpaceDN w:val="0"/>
        <w:bidi w:val="0"/>
        <w:adjustRightInd w:val="0"/>
        <w:snapToGrid w:val="0"/>
        <w:spacing w:line="440" w:lineRule="exact"/>
        <w:ind w:firstLine="476" w:firstLineChars="200"/>
        <w:textAlignment w:val="baseline"/>
        <w:rPr>
          <w:rFonts w:hint="eastAsia" w:ascii="宋体" w:hAnsi="宋体" w:eastAsia="宋体" w:cs="宋体"/>
          <w:color w:val="auto"/>
          <w:sz w:val="24"/>
          <w:szCs w:val="24"/>
          <w:highlight w:val="none"/>
          <w:u w:val="single"/>
          <w:lang w:eastAsia="zh-CN"/>
        </w:rPr>
      </w:pPr>
      <w:r>
        <w:rPr>
          <w:rFonts w:ascii="宋体" w:hAnsi="宋体" w:eastAsia="宋体" w:cs="宋体"/>
          <w:color w:val="auto"/>
          <w:spacing w:val="-1"/>
          <w:sz w:val="24"/>
          <w:szCs w:val="24"/>
          <w:highlight w:val="none"/>
        </w:rPr>
        <w:t>投保内容：</w:t>
      </w:r>
      <w:r>
        <w:rPr>
          <w:rFonts w:hint="eastAsia" w:ascii="宋体" w:hAnsi="宋体" w:eastAsia="宋体" w:cs="宋体"/>
          <w:color w:val="auto"/>
          <w:spacing w:val="9"/>
          <w:sz w:val="24"/>
          <w:szCs w:val="24"/>
          <w:highlight w:val="none"/>
          <w:u w:val="single" w:color="auto"/>
          <w:lang w:val="en-US" w:eastAsia="zh-CN"/>
        </w:rPr>
        <w:t>为本合同工程的永久工程、施工临时工程、设备及已运至施工工地用于永久工程的材料和设备所投的保险 。</w:t>
      </w:r>
    </w:p>
    <w:p w14:paraId="0BCE4E1A">
      <w:pPr>
        <w:keepNext w:val="0"/>
        <w:keepLines w:val="0"/>
        <w:pageBreakBefore w:val="0"/>
        <w:widowControl/>
        <w:kinsoku w:val="0"/>
        <w:wordWrap/>
        <w:overflowPunct/>
        <w:topLinePunct w:val="0"/>
        <w:autoSpaceDE w:val="0"/>
        <w:autoSpaceDN w:val="0"/>
        <w:bidi w:val="0"/>
        <w:adjustRightInd w:val="0"/>
        <w:snapToGrid w:val="0"/>
        <w:spacing w:line="440" w:lineRule="exact"/>
        <w:ind w:left="484"/>
        <w:textAlignment w:val="baseline"/>
        <w:rPr>
          <w:rFonts w:hint="eastAsia" w:ascii="宋体" w:hAnsi="宋体" w:eastAsia="宋体" w:cs="宋体"/>
          <w:color w:val="auto"/>
          <w:sz w:val="24"/>
          <w:szCs w:val="24"/>
          <w:highlight w:val="none"/>
          <w:u w:val="single"/>
        </w:rPr>
      </w:pPr>
      <w:r>
        <w:rPr>
          <w:rFonts w:ascii="宋体" w:hAnsi="宋体" w:eastAsia="宋体" w:cs="宋体"/>
          <w:color w:val="auto"/>
          <w:sz w:val="24"/>
          <w:szCs w:val="24"/>
          <w:highlight w:val="none"/>
        </w:rPr>
        <w:t>保险金额、保险费率和保险期限：</w:t>
      </w:r>
      <w:r>
        <w:rPr>
          <w:rFonts w:hint="eastAsia" w:ascii="宋体" w:hAnsi="宋体" w:eastAsia="宋体" w:cs="宋体"/>
          <w:color w:val="auto"/>
          <w:sz w:val="24"/>
          <w:szCs w:val="24"/>
          <w:highlight w:val="none"/>
          <w:u w:val="single"/>
        </w:rPr>
        <w:t>自开工日起直至本合同工程签发缺陷责任期</w:t>
      </w:r>
    </w:p>
    <w:p w14:paraId="35A9377F">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终止证书止（即合同工期+缺陷责任期）</w:t>
      </w:r>
      <w:r>
        <w:rPr>
          <w:rFonts w:ascii="宋体" w:hAnsi="宋体" w:eastAsia="宋体" w:cs="宋体"/>
          <w:color w:val="auto"/>
          <w:spacing w:val="-1"/>
          <w:sz w:val="24"/>
          <w:szCs w:val="24"/>
          <w:highlight w:val="none"/>
        </w:rPr>
        <w:t>。</w:t>
      </w:r>
    </w:p>
    <w:p w14:paraId="7FAA7081">
      <w:pPr>
        <w:spacing w:before="182" w:line="220" w:lineRule="auto"/>
        <w:outlineLvl w:val="2"/>
        <w:rPr>
          <w:rFonts w:ascii="宋体" w:hAnsi="宋体" w:eastAsia="宋体" w:cs="宋体"/>
          <w:color w:val="auto"/>
          <w:sz w:val="24"/>
          <w:szCs w:val="24"/>
          <w:highlight w:val="none"/>
        </w:rPr>
      </w:pPr>
      <w:bookmarkStart w:id="1005" w:name="bookmark380"/>
      <w:bookmarkEnd w:id="1005"/>
      <w:bookmarkStart w:id="1006" w:name="_Toc22645"/>
      <w:bookmarkStart w:id="1007" w:name="_Toc6585"/>
      <w:r>
        <w:rPr>
          <w:rFonts w:ascii="Times New Roman" w:hAnsi="Times New Roman" w:eastAsia="Times New Roman" w:cs="Times New Roman"/>
          <w:b/>
          <w:bCs/>
          <w:color w:val="auto"/>
          <w:spacing w:val="-2"/>
          <w:sz w:val="24"/>
          <w:szCs w:val="24"/>
          <w:highlight w:val="none"/>
        </w:rPr>
        <w:t xml:space="preserve">20.4  </w:t>
      </w:r>
      <w:r>
        <w:rPr>
          <w:rFonts w:ascii="宋体" w:hAnsi="宋体" w:eastAsia="宋体" w:cs="宋体"/>
          <w:b/>
          <w:bCs/>
          <w:color w:val="auto"/>
          <w:spacing w:val="-2"/>
          <w:sz w:val="24"/>
          <w:szCs w:val="24"/>
          <w:highlight w:val="none"/>
        </w:rPr>
        <w:t>安全生产责任保险</w:t>
      </w:r>
      <w:bookmarkEnd w:id="1006"/>
      <w:bookmarkEnd w:id="1007"/>
    </w:p>
    <w:p w14:paraId="4AF94857">
      <w:pPr>
        <w:spacing w:before="180" w:line="220" w:lineRule="auto"/>
        <w:ind w:left="48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安全生产责任保险投保人：</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5C2451BA">
      <w:pPr>
        <w:spacing w:before="182" w:line="220"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投保内容：</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3815F743">
      <w:pPr>
        <w:spacing w:before="179" w:line="220" w:lineRule="auto"/>
        <w:ind w:left="484"/>
        <w:rPr>
          <w:rFonts w:ascii="宋体" w:hAnsi="宋体" w:eastAsia="宋体" w:cs="宋体"/>
          <w:color w:val="auto"/>
          <w:sz w:val="24"/>
          <w:szCs w:val="24"/>
          <w:highlight w:val="none"/>
        </w:rPr>
      </w:pPr>
      <w:r>
        <w:rPr>
          <w:rFonts w:ascii="宋体" w:hAnsi="宋体" w:eastAsia="宋体" w:cs="宋体"/>
          <w:color w:val="auto"/>
          <w:sz w:val="24"/>
          <w:szCs w:val="24"/>
          <w:highlight w:val="none"/>
        </w:rPr>
        <w:t>保险金额、保险费率和保险期限：</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09D75D8D">
      <w:pPr>
        <w:spacing w:before="182" w:line="220" w:lineRule="auto"/>
        <w:ind w:left="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第三者责任险保险金额：</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5F93F8EC">
      <w:pPr>
        <w:spacing w:before="181" w:line="220" w:lineRule="auto"/>
        <w:outlineLvl w:val="2"/>
        <w:rPr>
          <w:rFonts w:ascii="宋体" w:hAnsi="宋体" w:eastAsia="宋体" w:cs="宋体"/>
          <w:color w:val="auto"/>
          <w:sz w:val="24"/>
          <w:szCs w:val="24"/>
          <w:highlight w:val="none"/>
        </w:rPr>
      </w:pPr>
      <w:bookmarkStart w:id="1008" w:name="bookmark381"/>
      <w:bookmarkEnd w:id="1008"/>
      <w:bookmarkStart w:id="1009" w:name="_Toc25783"/>
      <w:bookmarkStart w:id="1010" w:name="_Toc27387"/>
      <w:r>
        <w:rPr>
          <w:rFonts w:ascii="Times New Roman" w:hAnsi="Times New Roman" w:eastAsia="Times New Roman" w:cs="Times New Roman"/>
          <w:b/>
          <w:bCs/>
          <w:color w:val="auto"/>
          <w:spacing w:val="-2"/>
          <w:sz w:val="24"/>
          <w:szCs w:val="24"/>
          <w:highlight w:val="none"/>
        </w:rPr>
        <w:t xml:space="preserve">20.5  </w:t>
      </w:r>
      <w:r>
        <w:rPr>
          <w:rFonts w:ascii="宋体" w:hAnsi="宋体" w:eastAsia="宋体" w:cs="宋体"/>
          <w:b/>
          <w:bCs/>
          <w:color w:val="auto"/>
          <w:spacing w:val="-2"/>
          <w:sz w:val="24"/>
          <w:szCs w:val="24"/>
          <w:highlight w:val="none"/>
        </w:rPr>
        <w:t>其他保险</w:t>
      </w:r>
      <w:bookmarkEnd w:id="1009"/>
      <w:bookmarkEnd w:id="1010"/>
    </w:p>
    <w:p w14:paraId="0B6D534F">
      <w:pPr>
        <w:spacing w:before="46" w:line="360" w:lineRule="auto"/>
        <w:ind w:left="3" w:firstLine="518"/>
        <w:jc w:val="both"/>
        <w:rPr>
          <w:rFonts w:hint="eastAsia" w:ascii="宋体" w:hAnsi="宋体" w:eastAsia="宋体" w:cs="宋体"/>
          <w:snapToGrid/>
          <w:color w:val="auto"/>
          <w:sz w:val="24"/>
          <w:szCs w:val="24"/>
          <w:highlight w:val="none"/>
          <w:u w:val="single"/>
          <w:lang w:val="en-US" w:eastAsia="zh-CN" w:bidi="zh-TW"/>
        </w:rPr>
      </w:pPr>
      <w:r>
        <w:rPr>
          <w:rFonts w:ascii="宋体" w:hAnsi="宋体" w:eastAsia="宋体" w:cs="宋体"/>
          <w:color w:val="auto"/>
          <w:spacing w:val="-2"/>
          <w:sz w:val="24"/>
          <w:szCs w:val="24"/>
          <w:highlight w:val="none"/>
        </w:rPr>
        <w:t>需要投保的其他内容：</w:t>
      </w:r>
      <w:r>
        <w:rPr>
          <w:rFonts w:hint="eastAsia" w:ascii="宋体" w:hAnsi="宋体" w:eastAsia="宋体" w:cs="宋体"/>
          <w:snapToGrid/>
          <w:color w:val="auto"/>
          <w:sz w:val="24"/>
          <w:szCs w:val="24"/>
          <w:highlight w:val="none"/>
          <w:u w:val="single"/>
          <w:lang w:val="en-US" w:eastAsia="zh-CN" w:bidi="zh-TW"/>
        </w:rPr>
        <w:t>1.根据嵊劳社[2023]96号《嵊州市人民政府办公室关于</w:t>
      </w:r>
    </w:p>
    <w:p w14:paraId="7E711BA1">
      <w:pPr>
        <w:spacing w:before="46" w:line="360" w:lineRule="auto"/>
        <w:jc w:val="both"/>
        <w:rPr>
          <w:rFonts w:hint="eastAsia" w:ascii="宋体" w:hAnsi="宋体" w:eastAsia="宋体" w:cs="宋体"/>
          <w:color w:val="auto"/>
          <w:sz w:val="24"/>
          <w:szCs w:val="24"/>
          <w:highlight w:val="none"/>
          <w:u w:val="single"/>
          <w:lang w:eastAsia="zh-CN"/>
        </w:rPr>
      </w:pPr>
      <w:r>
        <w:rPr>
          <w:rFonts w:hint="eastAsia" w:ascii="宋体" w:hAnsi="宋体" w:eastAsia="宋体" w:cs="宋体"/>
          <w:snapToGrid/>
          <w:color w:val="auto"/>
          <w:sz w:val="24"/>
          <w:szCs w:val="24"/>
          <w:highlight w:val="none"/>
          <w:u w:val="single"/>
          <w:lang w:val="en-US" w:eastAsia="zh-CN" w:bidi="zh-TW"/>
        </w:rPr>
        <w:t>印发进一步做好工伤保险有关工作的通知》由承包人进行参保，费用列入报价；</w:t>
      </w:r>
      <w:r>
        <w:rPr>
          <w:rFonts w:hint="eastAsia" w:ascii="宋体" w:hAnsi="宋体" w:eastAsia="宋体" w:cs="宋体"/>
          <w:snapToGrid/>
          <w:color w:val="auto"/>
          <w:sz w:val="24"/>
          <w:szCs w:val="24"/>
          <w:highlight w:val="none"/>
          <w:u w:val="single"/>
          <w:lang w:val="en-US" w:eastAsia="en-US" w:bidi="zh-TW"/>
        </w:rPr>
        <w:t>承包人还应根据文件的精神，或咨询有关部门确定是否缴纳其它保险费用</w:t>
      </w:r>
      <w:r>
        <w:rPr>
          <w:rFonts w:hint="eastAsia" w:ascii="宋体" w:hAnsi="宋体" w:eastAsia="宋体" w:cs="宋体"/>
          <w:snapToGrid/>
          <w:color w:val="auto"/>
          <w:sz w:val="24"/>
          <w:szCs w:val="24"/>
          <w:highlight w:val="none"/>
          <w:u w:val="single"/>
          <w:lang w:val="en-US" w:eastAsia="zh-CN" w:bidi="zh-TW"/>
        </w:rPr>
        <w:t>。</w:t>
      </w:r>
    </w:p>
    <w:p w14:paraId="5CCA5E26">
      <w:pPr>
        <w:spacing w:before="46" w:line="360" w:lineRule="auto"/>
        <w:ind w:left="3" w:firstLine="518"/>
        <w:jc w:val="both"/>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2.</w:t>
      </w:r>
      <w:r>
        <w:rPr>
          <w:rFonts w:ascii="宋体" w:hAnsi="宋体" w:eastAsia="宋体" w:cs="宋体"/>
          <w:color w:val="auto"/>
          <w:spacing w:val="-107"/>
          <w:sz w:val="24"/>
          <w:szCs w:val="24"/>
          <w:highlight w:val="none"/>
        </w:rPr>
        <w:t xml:space="preserve"> </w:t>
      </w:r>
      <w:r>
        <w:rPr>
          <w:rFonts w:ascii="宋体" w:hAnsi="宋体" w:eastAsia="宋体" w:cs="宋体"/>
          <w:color w:val="auto"/>
          <w:spacing w:val="-111"/>
          <w:sz w:val="24"/>
          <w:szCs w:val="24"/>
          <w:highlight w:val="none"/>
          <w:u w:val="single" w:color="auto"/>
        </w:rPr>
        <w:t xml:space="preserve"> </w:t>
      </w:r>
      <w:r>
        <w:rPr>
          <w:rFonts w:hint="eastAsia" w:ascii="宋体" w:hAnsi="宋体" w:eastAsia="宋体" w:cs="宋体"/>
          <w:snapToGrid/>
          <w:color w:val="auto"/>
          <w:sz w:val="24"/>
          <w:szCs w:val="24"/>
          <w:highlight w:val="none"/>
          <w:u w:val="single"/>
          <w:lang w:val="en-US" w:eastAsia="zh-CN" w:bidi="zh-TW"/>
        </w:rPr>
        <w:t>根据“浙江省水利厅 浙江省发展和改革委员会 浙江省财政厅关于印发《 浙江省水利工程造价计价依据（2021 年）》补充规定（一）及勘误的通知 ”承包人须按规定投保安全生产责任保险。</w:t>
      </w:r>
    </w:p>
    <w:p w14:paraId="532A66AA">
      <w:pPr>
        <w:spacing w:before="180" w:line="220" w:lineRule="auto"/>
        <w:ind w:left="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保险金额、保险费率和保险期限：</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02FAE4EF">
      <w:pPr>
        <w:spacing w:before="183" w:line="220" w:lineRule="auto"/>
        <w:outlineLvl w:val="2"/>
        <w:rPr>
          <w:rFonts w:ascii="宋体" w:hAnsi="宋体" w:eastAsia="宋体" w:cs="宋体"/>
          <w:color w:val="auto"/>
          <w:sz w:val="24"/>
          <w:szCs w:val="24"/>
          <w:highlight w:val="none"/>
        </w:rPr>
      </w:pPr>
      <w:bookmarkStart w:id="1011" w:name="bookmark382"/>
      <w:bookmarkEnd w:id="1011"/>
      <w:bookmarkStart w:id="1012" w:name="_Toc23435"/>
      <w:bookmarkStart w:id="1013" w:name="_Toc5917"/>
      <w:r>
        <w:rPr>
          <w:rFonts w:ascii="Times New Roman" w:hAnsi="Times New Roman" w:eastAsia="Times New Roman" w:cs="Times New Roman"/>
          <w:b/>
          <w:bCs/>
          <w:color w:val="auto"/>
          <w:spacing w:val="-2"/>
          <w:sz w:val="24"/>
          <w:szCs w:val="24"/>
          <w:highlight w:val="none"/>
        </w:rPr>
        <w:t xml:space="preserve">20.6  </w:t>
      </w:r>
      <w:r>
        <w:rPr>
          <w:rFonts w:ascii="宋体" w:hAnsi="宋体" w:eastAsia="宋体" w:cs="宋体"/>
          <w:b/>
          <w:bCs/>
          <w:color w:val="auto"/>
          <w:spacing w:val="-2"/>
          <w:sz w:val="24"/>
          <w:szCs w:val="24"/>
          <w:highlight w:val="none"/>
        </w:rPr>
        <w:t>对各项保险的一般要求</w:t>
      </w:r>
      <w:bookmarkEnd w:id="1012"/>
      <w:bookmarkEnd w:id="1013"/>
    </w:p>
    <w:p w14:paraId="5F21334D">
      <w:pPr>
        <w:spacing w:before="181"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20.6.1  </w:t>
      </w:r>
      <w:r>
        <w:rPr>
          <w:rFonts w:ascii="宋体" w:hAnsi="宋体" w:eastAsia="宋体" w:cs="宋体"/>
          <w:color w:val="auto"/>
          <w:spacing w:val="-1"/>
          <w:sz w:val="24"/>
          <w:szCs w:val="24"/>
          <w:highlight w:val="none"/>
        </w:rPr>
        <w:t>保险凭证</w:t>
      </w:r>
    </w:p>
    <w:p w14:paraId="353FCC4E">
      <w:pPr>
        <w:spacing w:before="179" w:line="220" w:lineRule="auto"/>
        <w:ind w:left="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承包人提交保险凭证的期限：保险手续办理完毕后</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7</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88"/>
          <w:sz w:val="24"/>
          <w:szCs w:val="24"/>
          <w:highlight w:val="none"/>
        </w:rPr>
        <w:t xml:space="preserve"> </w:t>
      </w:r>
      <w:r>
        <w:rPr>
          <w:rFonts w:ascii="宋体" w:hAnsi="宋体" w:eastAsia="宋体" w:cs="宋体"/>
          <w:color w:val="auto"/>
          <w:spacing w:val="-2"/>
          <w:sz w:val="24"/>
          <w:szCs w:val="24"/>
          <w:highlight w:val="none"/>
        </w:rPr>
        <w:t>天内提交。</w:t>
      </w:r>
    </w:p>
    <w:p w14:paraId="1A6DA241">
      <w:pPr>
        <w:spacing w:before="182" w:line="220" w:lineRule="auto"/>
        <w:ind w:left="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保险条件：</w:t>
      </w:r>
      <w:r>
        <w:rPr>
          <w:rFonts w:hint="eastAsia" w:ascii="宋体" w:hAnsi="宋体" w:eastAsia="宋体" w:cs="宋体"/>
          <w:color w:val="auto"/>
          <w:sz w:val="24"/>
          <w:szCs w:val="24"/>
          <w:highlight w:val="none"/>
          <w:u w:val="single"/>
        </w:rPr>
        <w:t>按有关规定执行</w:t>
      </w:r>
      <w:r>
        <w:rPr>
          <w:rFonts w:ascii="宋体" w:hAnsi="宋体" w:eastAsia="宋体" w:cs="宋体"/>
          <w:color w:val="auto"/>
          <w:spacing w:val="-1"/>
          <w:sz w:val="24"/>
          <w:szCs w:val="24"/>
          <w:highlight w:val="none"/>
        </w:rPr>
        <w:t>。</w:t>
      </w:r>
    </w:p>
    <w:p w14:paraId="22A847B0">
      <w:pPr>
        <w:spacing w:before="181" w:line="220" w:lineRule="auto"/>
        <w:ind w:left="482"/>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20.6.4  </w:t>
      </w:r>
      <w:r>
        <w:rPr>
          <w:rFonts w:ascii="宋体" w:hAnsi="宋体" w:eastAsia="宋体" w:cs="宋体"/>
          <w:color w:val="auto"/>
          <w:spacing w:val="-1"/>
          <w:sz w:val="24"/>
          <w:szCs w:val="24"/>
          <w:highlight w:val="none"/>
        </w:rPr>
        <w:t>保险金不足的补偿</w:t>
      </w:r>
    </w:p>
    <w:p w14:paraId="3A312A1B">
      <w:pPr>
        <w:spacing w:before="181" w:line="220" w:lineRule="auto"/>
        <w:ind w:left="483"/>
        <w:rPr>
          <w:rFonts w:ascii="宋体" w:hAnsi="宋体" w:eastAsia="宋体" w:cs="宋体"/>
          <w:color w:val="auto"/>
          <w:sz w:val="24"/>
          <w:szCs w:val="24"/>
          <w:highlight w:val="none"/>
        </w:rPr>
      </w:pPr>
      <w:r>
        <w:rPr>
          <w:rFonts w:ascii="宋体" w:hAnsi="宋体" w:eastAsia="宋体" w:cs="宋体"/>
          <w:color w:val="auto"/>
          <w:sz w:val="24"/>
          <w:szCs w:val="24"/>
          <w:highlight w:val="none"/>
        </w:rPr>
        <w:t>承包人负责补偿的范围与金额：</w:t>
      </w:r>
      <w:r>
        <w:rPr>
          <w:rFonts w:hint="eastAsia" w:ascii="宋体" w:hAnsi="宋体" w:eastAsia="宋体" w:cs="宋体"/>
          <w:color w:val="auto"/>
          <w:sz w:val="24"/>
          <w:szCs w:val="24"/>
          <w:highlight w:val="none"/>
          <w:u w:val="single"/>
        </w:rPr>
        <w:t>保险金不足的补偿均由承包人负责</w:t>
      </w:r>
      <w:r>
        <w:rPr>
          <w:rFonts w:ascii="宋体" w:hAnsi="宋体" w:eastAsia="宋体" w:cs="宋体"/>
          <w:color w:val="auto"/>
          <w:spacing w:val="-1"/>
          <w:sz w:val="24"/>
          <w:szCs w:val="24"/>
          <w:highlight w:val="none"/>
        </w:rPr>
        <w:t>。</w:t>
      </w:r>
    </w:p>
    <w:p w14:paraId="784D133B">
      <w:pPr>
        <w:spacing w:before="179" w:line="220" w:lineRule="auto"/>
        <w:ind w:left="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发包人负责补偿的范围与金额：</w:t>
      </w:r>
      <w:r>
        <w:rPr>
          <w:rFonts w:hint="eastAsia" w:ascii="宋体" w:hAnsi="宋体" w:eastAsia="宋体" w:cs="宋体"/>
          <w:color w:val="auto"/>
          <w:sz w:val="24"/>
          <w:szCs w:val="24"/>
          <w:highlight w:val="none"/>
          <w:u w:val="single"/>
        </w:rPr>
        <w:t>保险金不足的补偿均由承包人负责</w:t>
      </w:r>
      <w:r>
        <w:rPr>
          <w:rFonts w:ascii="宋体" w:hAnsi="宋体" w:eastAsia="宋体" w:cs="宋体"/>
          <w:color w:val="auto"/>
          <w:spacing w:val="-1"/>
          <w:sz w:val="24"/>
          <w:szCs w:val="24"/>
          <w:highlight w:val="none"/>
        </w:rPr>
        <w:t>。</w:t>
      </w:r>
    </w:p>
    <w:p w14:paraId="3A5D9BF8">
      <w:pPr>
        <w:bidi w:val="0"/>
        <w:rPr>
          <w:color w:val="auto"/>
          <w:highlight w:val="none"/>
          <w:lang w:val="en-US" w:eastAsia="en-US"/>
        </w:rPr>
      </w:pPr>
    </w:p>
    <w:p w14:paraId="61AF1AC3">
      <w:pPr>
        <w:tabs>
          <w:tab w:val="left" w:pos="573"/>
        </w:tabs>
        <w:bidi w:val="0"/>
        <w:jc w:val="left"/>
        <w:rPr>
          <w:rFonts w:ascii="宋体" w:hAnsi="宋体" w:eastAsia="宋体" w:cs="宋体"/>
          <w:color w:val="auto"/>
          <w:sz w:val="28"/>
          <w:szCs w:val="28"/>
          <w:highlight w:val="none"/>
        </w:rPr>
      </w:pPr>
      <w:bookmarkStart w:id="1014" w:name="bookmark383"/>
      <w:bookmarkEnd w:id="1014"/>
      <w:bookmarkStart w:id="1015" w:name="bookmark384"/>
      <w:bookmarkEnd w:id="1015"/>
      <w:r>
        <w:rPr>
          <w:rFonts w:ascii="Times New Roman" w:hAnsi="Times New Roman" w:eastAsia="Times New Roman" w:cs="Times New Roman"/>
          <w:b/>
          <w:bCs/>
          <w:color w:val="auto"/>
          <w:spacing w:val="-2"/>
          <w:sz w:val="28"/>
          <w:szCs w:val="28"/>
          <w:highlight w:val="none"/>
        </w:rPr>
        <w:t>24</w:t>
      </w:r>
      <w:r>
        <w:rPr>
          <w:rFonts w:hint="eastAsia" w:ascii="Times New Roman" w:hAnsi="Times New Roman" w:eastAsia="宋体" w:cs="Times New Roman"/>
          <w:b/>
          <w:bCs/>
          <w:color w:val="auto"/>
          <w:spacing w:val="-2"/>
          <w:sz w:val="28"/>
          <w:szCs w:val="28"/>
          <w:highlight w:val="none"/>
          <w:lang w:eastAsia="zh-CN"/>
        </w:rPr>
        <w:t>、</w:t>
      </w:r>
      <w:r>
        <w:rPr>
          <w:rFonts w:ascii="宋体" w:hAnsi="宋体" w:eastAsia="宋体" w:cs="宋体"/>
          <w:b/>
          <w:bCs/>
          <w:color w:val="auto"/>
          <w:spacing w:val="-2"/>
          <w:sz w:val="28"/>
          <w:szCs w:val="28"/>
          <w:highlight w:val="none"/>
        </w:rPr>
        <w:t>争议的解决</w:t>
      </w:r>
    </w:p>
    <w:p w14:paraId="2A851C1D">
      <w:pPr>
        <w:pStyle w:val="3"/>
        <w:spacing w:line="245" w:lineRule="auto"/>
        <w:rPr>
          <w:color w:val="auto"/>
          <w:highlight w:val="none"/>
        </w:rPr>
      </w:pPr>
    </w:p>
    <w:p w14:paraId="3680803B">
      <w:pPr>
        <w:spacing w:before="78" w:line="220" w:lineRule="auto"/>
        <w:outlineLvl w:val="2"/>
        <w:rPr>
          <w:rFonts w:ascii="宋体" w:hAnsi="宋体" w:eastAsia="宋体" w:cs="宋体"/>
          <w:color w:val="auto"/>
          <w:sz w:val="24"/>
          <w:szCs w:val="24"/>
          <w:highlight w:val="none"/>
        </w:rPr>
      </w:pPr>
      <w:bookmarkStart w:id="1016" w:name="bookmark730"/>
      <w:bookmarkEnd w:id="1016"/>
      <w:bookmarkStart w:id="1017" w:name="_Toc16510"/>
      <w:bookmarkStart w:id="1018" w:name="_Toc4516"/>
      <w:r>
        <w:rPr>
          <w:rFonts w:ascii="Times New Roman" w:hAnsi="Times New Roman" w:eastAsia="Times New Roman" w:cs="Times New Roman"/>
          <w:b/>
          <w:bCs/>
          <w:color w:val="auto"/>
          <w:spacing w:val="-2"/>
          <w:sz w:val="24"/>
          <w:szCs w:val="24"/>
          <w:highlight w:val="none"/>
        </w:rPr>
        <w:t xml:space="preserve">24.1  </w:t>
      </w:r>
      <w:r>
        <w:rPr>
          <w:rFonts w:ascii="宋体" w:hAnsi="宋体" w:eastAsia="宋体" w:cs="宋体"/>
          <w:b/>
          <w:bCs/>
          <w:color w:val="auto"/>
          <w:spacing w:val="-2"/>
          <w:sz w:val="24"/>
          <w:szCs w:val="24"/>
          <w:highlight w:val="none"/>
        </w:rPr>
        <w:t>争议的解决方式</w:t>
      </w:r>
      <w:bookmarkEnd w:id="1017"/>
      <w:bookmarkEnd w:id="1018"/>
    </w:p>
    <w:p w14:paraId="0B2E2A8A">
      <w:pPr>
        <w:spacing w:before="180" w:line="360" w:lineRule="auto"/>
        <w:ind w:left="23" w:right="390" w:firstLine="461"/>
        <w:rPr>
          <w:rFonts w:ascii="宋体" w:hAnsi="宋体" w:eastAsia="宋体" w:cs="宋体"/>
          <w:color w:val="auto"/>
          <w:sz w:val="24"/>
          <w:szCs w:val="24"/>
          <w:highlight w:val="none"/>
        </w:rPr>
      </w:pPr>
      <w:r>
        <w:rPr>
          <w:rFonts w:ascii="宋体" w:hAnsi="宋体" w:eastAsia="宋体" w:cs="宋体"/>
          <w:color w:val="auto"/>
          <w:sz w:val="24"/>
          <w:szCs w:val="24"/>
          <w:highlight w:val="none"/>
        </w:rPr>
        <w:t>合同当事人友好协商解决不成、不愿提请争议评</w:t>
      </w:r>
      <w:r>
        <w:rPr>
          <w:rFonts w:ascii="宋体" w:hAnsi="宋体" w:eastAsia="宋体" w:cs="宋体"/>
          <w:color w:val="auto"/>
          <w:spacing w:val="-1"/>
          <w:sz w:val="24"/>
          <w:szCs w:val="24"/>
          <w:highlight w:val="none"/>
        </w:rPr>
        <w:t>审或不接受争议评审组意见的，约定的合同争议解决方式：</w:t>
      </w:r>
      <w:r>
        <w:rPr>
          <w:rFonts w:hint="eastAsia" w:ascii="宋体" w:hAnsi="宋体" w:eastAsia="宋体" w:cs="宋体"/>
          <w:color w:val="auto"/>
          <w:sz w:val="24"/>
          <w:szCs w:val="24"/>
          <w:highlight w:val="none"/>
          <w:u w:val="single"/>
        </w:rPr>
        <w:t>向所在地人民法院提起诉讼</w:t>
      </w:r>
    </w:p>
    <w:p w14:paraId="1B7D0987">
      <w:pPr>
        <w:spacing w:line="219" w:lineRule="auto"/>
        <w:outlineLvl w:val="2"/>
        <w:rPr>
          <w:rFonts w:ascii="宋体" w:hAnsi="宋体" w:eastAsia="宋体" w:cs="宋体"/>
          <w:color w:val="auto"/>
          <w:sz w:val="24"/>
          <w:szCs w:val="24"/>
          <w:highlight w:val="none"/>
        </w:rPr>
      </w:pPr>
      <w:bookmarkStart w:id="1019" w:name="bookmark385"/>
      <w:bookmarkEnd w:id="1019"/>
      <w:bookmarkStart w:id="1020" w:name="_Toc21138"/>
      <w:bookmarkStart w:id="1021" w:name="_Toc5996"/>
      <w:r>
        <w:rPr>
          <w:rFonts w:ascii="Times New Roman" w:hAnsi="Times New Roman" w:eastAsia="Times New Roman" w:cs="Times New Roman"/>
          <w:b/>
          <w:bCs/>
          <w:color w:val="auto"/>
          <w:spacing w:val="-2"/>
          <w:sz w:val="24"/>
          <w:szCs w:val="24"/>
          <w:highlight w:val="none"/>
        </w:rPr>
        <w:t xml:space="preserve">24.2  </w:t>
      </w:r>
      <w:r>
        <w:rPr>
          <w:rFonts w:ascii="宋体" w:hAnsi="宋体" w:eastAsia="宋体" w:cs="宋体"/>
          <w:b/>
          <w:bCs/>
          <w:color w:val="auto"/>
          <w:spacing w:val="-2"/>
          <w:sz w:val="24"/>
          <w:szCs w:val="24"/>
          <w:highlight w:val="none"/>
        </w:rPr>
        <w:t>友好解决</w:t>
      </w:r>
      <w:bookmarkEnd w:id="1020"/>
      <w:bookmarkEnd w:id="1021"/>
    </w:p>
    <w:p w14:paraId="7AFDC5AC">
      <w:pPr>
        <w:spacing w:before="180" w:line="359" w:lineRule="auto"/>
        <w:ind w:left="4" w:right="150" w:firstLine="479"/>
        <w:rPr>
          <w:rFonts w:ascii="宋体" w:hAnsi="宋体" w:eastAsia="宋体" w:cs="宋体"/>
          <w:color w:val="auto"/>
          <w:sz w:val="24"/>
          <w:szCs w:val="24"/>
          <w:highlight w:val="none"/>
        </w:rPr>
      </w:pPr>
      <w:r>
        <w:rPr>
          <w:rFonts w:ascii="宋体" w:hAnsi="宋体" w:eastAsia="宋体" w:cs="宋体"/>
          <w:color w:val="auto"/>
          <w:sz w:val="24"/>
          <w:szCs w:val="24"/>
          <w:highlight w:val="none"/>
        </w:rPr>
        <w:t>补充：合同当事人可以就争议请第三方进行调解，调</w:t>
      </w:r>
      <w:r>
        <w:rPr>
          <w:rFonts w:ascii="宋体" w:hAnsi="宋体" w:eastAsia="宋体" w:cs="宋体"/>
          <w:color w:val="auto"/>
          <w:spacing w:val="-1"/>
          <w:sz w:val="24"/>
          <w:szCs w:val="24"/>
          <w:highlight w:val="none"/>
        </w:rPr>
        <w:t>解达成协议的，经双方签</w:t>
      </w:r>
      <w:r>
        <w:rPr>
          <w:rFonts w:ascii="宋体" w:hAnsi="宋体" w:eastAsia="宋体" w:cs="宋体"/>
          <w:color w:val="auto"/>
          <w:spacing w:val="-2"/>
          <w:sz w:val="24"/>
          <w:szCs w:val="24"/>
          <w:highlight w:val="none"/>
        </w:rPr>
        <w:t>字并盖章后作为合同补充文件，双方均应遵照执行。</w:t>
      </w:r>
    </w:p>
    <w:p w14:paraId="147596AD">
      <w:pPr>
        <w:spacing w:line="219" w:lineRule="auto"/>
        <w:outlineLvl w:val="2"/>
        <w:rPr>
          <w:rFonts w:ascii="宋体" w:hAnsi="宋体" w:eastAsia="宋体" w:cs="宋体"/>
          <w:color w:val="auto"/>
          <w:sz w:val="24"/>
          <w:szCs w:val="24"/>
          <w:highlight w:val="none"/>
        </w:rPr>
      </w:pPr>
      <w:bookmarkStart w:id="1022" w:name="bookmark386"/>
      <w:bookmarkEnd w:id="1022"/>
      <w:bookmarkStart w:id="1023" w:name="_Toc16866"/>
      <w:bookmarkStart w:id="1024" w:name="_Toc3976"/>
      <w:r>
        <w:rPr>
          <w:rFonts w:ascii="Times New Roman" w:hAnsi="Times New Roman" w:eastAsia="Times New Roman" w:cs="Times New Roman"/>
          <w:b/>
          <w:bCs/>
          <w:color w:val="auto"/>
          <w:spacing w:val="-4"/>
          <w:sz w:val="24"/>
          <w:szCs w:val="24"/>
          <w:highlight w:val="none"/>
        </w:rPr>
        <w:t>24.3</w:t>
      </w:r>
      <w:r>
        <w:rPr>
          <w:rFonts w:ascii="Times New Roman" w:hAnsi="Times New Roman" w:eastAsia="Times New Roman" w:cs="Times New Roman"/>
          <w:b/>
          <w:bCs/>
          <w:color w:val="auto"/>
          <w:spacing w:val="9"/>
          <w:sz w:val="24"/>
          <w:szCs w:val="24"/>
          <w:highlight w:val="none"/>
        </w:rPr>
        <w:t xml:space="preserve">  </w:t>
      </w:r>
      <w:r>
        <w:rPr>
          <w:rFonts w:ascii="宋体" w:hAnsi="宋体" w:eastAsia="宋体" w:cs="宋体"/>
          <w:b/>
          <w:bCs/>
          <w:color w:val="auto"/>
          <w:spacing w:val="-4"/>
          <w:sz w:val="24"/>
          <w:szCs w:val="24"/>
          <w:highlight w:val="none"/>
        </w:rPr>
        <w:t>争议评审</w:t>
      </w:r>
      <w:bookmarkEnd w:id="1023"/>
      <w:bookmarkEnd w:id="1024"/>
    </w:p>
    <w:p w14:paraId="48D32DAF">
      <w:pPr>
        <w:spacing w:before="181" w:line="361" w:lineRule="auto"/>
        <w:ind w:left="2" w:right="150" w:firstLine="477"/>
        <w:rPr>
          <w:rFonts w:ascii="宋体" w:hAnsi="宋体" w:eastAsia="宋体" w:cs="宋体"/>
          <w:color w:val="auto"/>
          <w:spacing w:val="-11"/>
          <w:sz w:val="24"/>
          <w:szCs w:val="24"/>
          <w:highlight w:val="none"/>
        </w:rPr>
      </w:pPr>
      <w:r>
        <w:rPr>
          <w:rFonts w:ascii="Times New Roman" w:hAnsi="Times New Roman" w:eastAsia="Times New Roman" w:cs="Times New Roman"/>
          <w:b/>
          <w:bCs/>
          <w:color w:val="auto"/>
          <w:spacing w:val="-11"/>
          <w:sz w:val="24"/>
          <w:szCs w:val="24"/>
          <w:highlight w:val="none"/>
        </w:rPr>
        <w:t xml:space="preserve">24.3.7  </w:t>
      </w:r>
      <w:r>
        <w:rPr>
          <w:rFonts w:ascii="宋体" w:hAnsi="宋体" w:eastAsia="宋体" w:cs="宋体"/>
          <w:color w:val="auto"/>
          <w:spacing w:val="-11"/>
          <w:sz w:val="24"/>
          <w:szCs w:val="24"/>
          <w:highlight w:val="none"/>
        </w:rPr>
        <w:t>补充：发包人或承包人不接受评审意见，可请省</w:t>
      </w:r>
      <w:r>
        <w:rPr>
          <w:rFonts w:hint="eastAsia" w:ascii="宋体" w:hAnsi="宋体" w:eastAsia="宋体" w:cs="宋体"/>
          <w:color w:val="auto"/>
          <w:spacing w:val="-11"/>
          <w:sz w:val="24"/>
          <w:szCs w:val="24"/>
          <w:highlight w:val="none"/>
          <w:lang w:val="en-US" w:eastAsia="zh-CN"/>
        </w:rPr>
        <w:t>行业</w:t>
      </w:r>
      <w:r>
        <w:rPr>
          <w:rFonts w:ascii="宋体" w:hAnsi="宋体" w:eastAsia="宋体" w:cs="宋体"/>
          <w:color w:val="auto"/>
          <w:spacing w:val="-11"/>
          <w:sz w:val="24"/>
          <w:szCs w:val="24"/>
          <w:highlight w:val="none"/>
        </w:rPr>
        <w:t>主管部门进行调解。</w:t>
      </w:r>
    </w:p>
    <w:p w14:paraId="6D994C28">
      <w:pPr>
        <w:tabs>
          <w:tab w:val="left" w:pos="573"/>
        </w:tabs>
        <w:bidi w:val="0"/>
        <w:jc w:val="left"/>
        <w:rPr>
          <w:rFonts w:hint="eastAsia" w:ascii="宋体" w:hAnsi="宋体" w:eastAsia="宋体" w:cs="宋体"/>
          <w:b/>
          <w:bCs/>
          <w:color w:val="auto"/>
          <w:spacing w:val="-2"/>
          <w:sz w:val="28"/>
          <w:szCs w:val="28"/>
          <w:highlight w:val="none"/>
        </w:rPr>
      </w:pPr>
      <w:bookmarkStart w:id="1025" w:name="_Toc8050"/>
      <w:bookmarkStart w:id="1026" w:name="_Toc5976"/>
      <w:r>
        <w:rPr>
          <w:rFonts w:hint="eastAsia" w:ascii="宋体" w:hAnsi="宋体" w:eastAsia="宋体" w:cs="宋体"/>
          <w:b/>
          <w:bCs/>
          <w:color w:val="auto"/>
          <w:spacing w:val="-2"/>
          <w:sz w:val="28"/>
          <w:szCs w:val="28"/>
          <w:highlight w:val="none"/>
        </w:rPr>
        <w:t>25</w:t>
      </w:r>
      <w:r>
        <w:rPr>
          <w:rFonts w:hint="eastAsia" w:ascii="宋体" w:hAnsi="宋体" w:eastAsia="宋体" w:cs="宋体"/>
          <w:b/>
          <w:bCs/>
          <w:color w:val="auto"/>
          <w:spacing w:val="-2"/>
          <w:sz w:val="28"/>
          <w:szCs w:val="28"/>
          <w:highlight w:val="none"/>
          <w:lang w:eastAsia="zh-CN"/>
        </w:rPr>
        <w:t>、</w:t>
      </w:r>
      <w:r>
        <w:rPr>
          <w:rFonts w:hint="eastAsia" w:ascii="宋体" w:hAnsi="宋体" w:eastAsia="宋体" w:cs="宋体"/>
          <w:b/>
          <w:bCs/>
          <w:color w:val="auto"/>
          <w:spacing w:val="-2"/>
          <w:sz w:val="28"/>
          <w:szCs w:val="28"/>
          <w:highlight w:val="none"/>
        </w:rPr>
        <w:t>合同类型</w:t>
      </w:r>
      <w:bookmarkEnd w:id="1025"/>
      <w:bookmarkEnd w:id="1026"/>
    </w:p>
    <w:p w14:paraId="48A2AA01">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bCs/>
          <w:color w:val="auto"/>
          <w:sz w:val="24"/>
          <w:szCs w:val="24"/>
          <w:highlight w:val="none"/>
          <w:lang w:val="en-US" w:eastAsia="zh-CN"/>
        </w:rPr>
      </w:pPr>
      <w:bookmarkStart w:id="1027" w:name="_Toc28127"/>
      <w:bookmarkStart w:id="1028" w:name="_Toc7284"/>
      <w:r>
        <w:rPr>
          <w:rFonts w:hint="eastAsia" w:ascii="宋体" w:hAnsi="宋体" w:eastAsia="宋体" w:cs="宋体"/>
          <w:b/>
          <w:bCs/>
          <w:color w:val="auto"/>
          <w:sz w:val="24"/>
          <w:szCs w:val="24"/>
          <w:highlight w:val="none"/>
        </w:rPr>
        <w:t>本合同采用固定单价承包，在合同执行期内，单价不变，工程量按实调整。</w:t>
      </w:r>
      <w:r>
        <w:rPr>
          <w:rFonts w:hint="eastAsia" w:ascii="宋体" w:hAnsi="宋体" w:eastAsia="宋体" w:cs="宋体"/>
          <w:b/>
          <w:bCs/>
          <w:color w:val="auto"/>
          <w:sz w:val="24"/>
          <w:szCs w:val="24"/>
          <w:highlight w:val="none"/>
          <w:lang w:val="en-US" w:eastAsia="zh-CN"/>
        </w:rPr>
        <w:t>施工临时工程（除安全生产措施费外）</w:t>
      </w:r>
      <w:r>
        <w:rPr>
          <w:rFonts w:hint="eastAsia" w:ascii="宋体" w:hAnsi="宋体" w:eastAsia="宋体" w:cs="宋体"/>
          <w:b/>
          <w:bCs/>
          <w:color w:val="auto"/>
          <w:sz w:val="24"/>
          <w:szCs w:val="24"/>
          <w:highlight w:val="none"/>
        </w:rPr>
        <w:t>、其它项目采用分项总价承包的，在合同执行期内不作调整</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安全生产措施费支付按《浙江省水利工程造价计价依据（2021年）》补充规定（一）文件执行。</w:t>
      </w:r>
    </w:p>
    <w:p w14:paraId="6E62C2D1">
      <w:pPr>
        <w:keepNext w:val="0"/>
        <w:keepLines w:val="0"/>
        <w:pageBreakBefore w:val="0"/>
        <w:widowControl/>
        <w:tabs>
          <w:tab w:val="left" w:pos="573"/>
        </w:tabs>
        <w:wordWrap/>
        <w:overflowPunct/>
        <w:topLinePunct w:val="0"/>
        <w:bidi w:val="0"/>
        <w:spacing w:line="480" w:lineRule="exact"/>
        <w:jc w:val="left"/>
        <w:rPr>
          <w:rFonts w:hint="eastAsia" w:ascii="宋体" w:hAnsi="宋体" w:eastAsia="宋体" w:cs="宋体"/>
          <w:b/>
          <w:bCs/>
          <w:color w:val="auto"/>
          <w:spacing w:val="-2"/>
          <w:sz w:val="28"/>
          <w:szCs w:val="28"/>
          <w:highlight w:val="none"/>
        </w:rPr>
      </w:pPr>
      <w:r>
        <w:rPr>
          <w:rFonts w:hint="eastAsia" w:ascii="宋体" w:hAnsi="宋体" w:eastAsia="宋体" w:cs="宋体"/>
          <w:b/>
          <w:bCs/>
          <w:color w:val="auto"/>
          <w:spacing w:val="-2"/>
          <w:sz w:val="28"/>
          <w:szCs w:val="28"/>
          <w:highlight w:val="none"/>
        </w:rPr>
        <w:t>26</w:t>
      </w:r>
      <w:r>
        <w:rPr>
          <w:rFonts w:hint="eastAsia" w:ascii="宋体" w:hAnsi="宋体" w:eastAsia="宋体" w:cs="宋体"/>
          <w:b/>
          <w:bCs/>
          <w:color w:val="auto"/>
          <w:spacing w:val="-2"/>
          <w:sz w:val="28"/>
          <w:szCs w:val="28"/>
          <w:highlight w:val="none"/>
          <w:lang w:eastAsia="zh-CN"/>
        </w:rPr>
        <w:t>、</w:t>
      </w:r>
      <w:r>
        <w:rPr>
          <w:rFonts w:hint="eastAsia" w:ascii="宋体" w:hAnsi="宋体" w:eastAsia="宋体" w:cs="宋体"/>
          <w:b/>
          <w:bCs/>
          <w:color w:val="auto"/>
          <w:spacing w:val="-2"/>
          <w:sz w:val="28"/>
          <w:szCs w:val="28"/>
          <w:highlight w:val="none"/>
        </w:rPr>
        <w:t>其他事项</w:t>
      </w:r>
      <w:bookmarkEnd w:id="1027"/>
      <w:bookmarkEnd w:id="1028"/>
    </w:p>
    <w:p w14:paraId="04D8D719">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26.1承包人凡出现下列情形之一的，建设单位可根据实际，要求承包人无条件退场并承担违约责任：</w:t>
      </w:r>
    </w:p>
    <w:p w14:paraId="688F24BD">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（一）发生违法行为的；</w:t>
      </w:r>
    </w:p>
    <w:p w14:paraId="31C62143">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（二）无正当理由拖延计划工期进度的；</w:t>
      </w:r>
    </w:p>
    <w:p w14:paraId="1FE85B43">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（三）发生重大质量、安全事故的；</w:t>
      </w:r>
    </w:p>
    <w:p w14:paraId="3987BEEC">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（四）承包人拒不履行合同义务的；</w:t>
      </w:r>
    </w:p>
    <w:p w14:paraId="4E8B2A62">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（五）施工单位连续两个月以上不按法律、法规规定要求发放工人工资或因其造成工地工人群体上访恶性事件的（因被拖欠工程款引发的除外）。</w:t>
      </w:r>
    </w:p>
    <w:p w14:paraId="589DD7E4">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（六）发生其它严重违规行为的。</w:t>
      </w:r>
      <w:bookmarkStart w:id="1029" w:name="OLE_LINK8"/>
    </w:p>
    <w:p w14:paraId="5691BB0D">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26.2建筑材料：工程建设中所需的建筑材料均由承包人负责采购供应，水</w:t>
      </w:r>
    </w:p>
    <w:bookmarkEnd w:id="1029"/>
    <w:p w14:paraId="4C2C781A">
      <w:pPr>
        <w:keepNext w:val="0"/>
        <w:keepLines w:val="0"/>
        <w:pageBreakBefore w:val="0"/>
        <w:widowControl/>
        <w:wordWrap/>
        <w:overflowPunct/>
        <w:topLinePunct w:val="0"/>
        <w:bidi w:val="0"/>
        <w:spacing w:line="480" w:lineRule="exact"/>
        <w:ind w:right="3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泥、钢筋要求采用符合国家产品合格标准，各种材料的损耗计入单价中，发包人不再另行支付。</w:t>
      </w:r>
    </w:p>
    <w:p w14:paraId="5FF7E926">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 xml:space="preserve">26.3 </w:t>
      </w:r>
      <w:r>
        <w:rPr>
          <w:rFonts w:hint="eastAsia" w:ascii="宋体" w:hAnsi="宋体" w:eastAsia="宋体" w:cs="宋体"/>
          <w:b w:val="0"/>
          <w:bCs w:val="0"/>
          <w:color w:val="auto"/>
          <w:sz w:val="24"/>
          <w:szCs w:val="24"/>
          <w:highlight w:val="none"/>
        </w:rPr>
        <w:t>施工道路：承包人根据施工总体布置情况设置场内施工道路，并负责其道路的维修与养护，相应费用计入报价；场外道路因承包人原因造成损坏的，由承包人负责维修并养护。</w:t>
      </w:r>
      <w:r>
        <w:rPr>
          <w:rFonts w:hint="eastAsia" w:ascii="宋体" w:hAnsi="宋体" w:eastAsia="宋体" w:cs="宋体"/>
          <w:b/>
          <w:bCs/>
          <w:strike w:val="0"/>
          <w:dstrike w:val="0"/>
          <w:color w:val="auto"/>
          <w:sz w:val="24"/>
          <w:szCs w:val="24"/>
          <w:highlight w:val="none"/>
        </w:rPr>
        <w:t>场内原农田机耕硬化道路不易开商品砼车，投标人自行考虑短驳费用，具体实施前与所在村协商。</w:t>
      </w:r>
    </w:p>
    <w:p w14:paraId="65BEA886">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26.4施工用电（包括电源）：由施工单位自行解决，其费用计入措施项目报价。</w:t>
      </w:r>
    </w:p>
    <w:p w14:paraId="063F83A7">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26.5施工用水：由施工单位自行解决，其费用计入措施项目报价。</w:t>
      </w:r>
    </w:p>
    <w:p w14:paraId="00B7B818">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26.6弃土场：由承包人根据现场情况自行解决，所需费用进入报价。</w:t>
      </w:r>
    </w:p>
    <w:p w14:paraId="54314BFD">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26.7不足部分的土料、块石由承包人自行解决，所需费用计入报价。</w:t>
      </w:r>
    </w:p>
    <w:p w14:paraId="2F8C32D6">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26.8工程中所需的黏土料由承包人自行解决，所需费用计入报价。</w:t>
      </w:r>
    </w:p>
    <w:p w14:paraId="7D79E5A3">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26.9施工过程中造成周边建筑物损坏的，由施工单位负责修复，所需费用由施工单位自行承担。</w:t>
      </w:r>
    </w:p>
    <w:p w14:paraId="6C25FF33">
      <w:pPr>
        <w:keepNext w:val="0"/>
        <w:keepLines w:val="0"/>
        <w:pageBreakBefore w:val="0"/>
        <w:widowControl/>
        <w:wordWrap/>
        <w:overflowPunct/>
        <w:topLinePunct w:val="0"/>
        <w:bidi w:val="0"/>
        <w:spacing w:line="480" w:lineRule="exact"/>
        <w:ind w:left="23" w:right="390" w:firstLine="461"/>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26.10建设单位在工程款支付时，凭发票付款</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提供发票等资料须符合建设单位财务付款制度要求。</w:t>
      </w:r>
    </w:p>
    <w:p w14:paraId="722EF685">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26.11</w:t>
      </w:r>
      <w:r>
        <w:rPr>
          <w:rFonts w:hint="eastAsia" w:ascii="宋体" w:hAnsi="宋体" w:eastAsia="宋体" w:cs="宋体"/>
          <w:color w:val="auto"/>
          <w:sz w:val="24"/>
          <w:szCs w:val="24"/>
          <w:highlight w:val="none"/>
          <w:lang w:val="en-US" w:eastAsia="zh-CN"/>
        </w:rPr>
        <w:t>根据《浙江省大气污染防治条例(修正文本)》、绍兴市人民政府令第104号《绍兴市柴油动力移动源排气污染防治办法》、嵊蓝天办〔2022)1号文件《关于贯彻落实《绍兴市柴油动力移动源排气污染防治办法》的通知》等文件要求，柴油动力移动源应当符合低排放要求，有最新标准的按最新标准执行。中标单位在项目建设过程中因使用不符合标准的柴油动力移动源而产生不利后果由中标单位自行承担。</w:t>
      </w:r>
    </w:p>
    <w:p w14:paraId="4C66280A">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26.12</w:t>
      </w:r>
      <w:r>
        <w:rPr>
          <w:rFonts w:hint="eastAsia" w:ascii="宋体" w:hAnsi="宋体" w:eastAsia="宋体" w:cs="宋体"/>
          <w:b w:val="0"/>
          <w:bCs w:val="0"/>
          <w:color w:val="auto"/>
          <w:sz w:val="24"/>
          <w:szCs w:val="24"/>
          <w:highlight w:val="none"/>
          <w:lang w:eastAsia="en-US"/>
        </w:rPr>
        <w:t>工程挂靠或转让合同或将主体工程分包变相转包将扣除全部履约担保，且发包人有权解除合同，并对承包人已完工程不子计量也不予付款，并报告行政监督部门追究其责任。</w:t>
      </w:r>
    </w:p>
    <w:p w14:paraId="3F66A2BE">
      <w:pPr>
        <w:keepNext w:val="0"/>
        <w:keepLines w:val="0"/>
        <w:pageBreakBefore w:val="0"/>
        <w:widowControl/>
        <w:wordWrap/>
        <w:overflowPunct/>
        <w:topLinePunct w:val="0"/>
        <w:bidi w:val="0"/>
        <w:spacing w:line="480" w:lineRule="exact"/>
        <w:ind w:left="23" w:right="390" w:firstLine="461"/>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pacing w:val="-6"/>
          <w:sz w:val="24"/>
          <w:szCs w:val="24"/>
          <w:highlight w:val="none"/>
          <w:lang w:val="en-US" w:eastAsia="zh-CN"/>
        </w:rPr>
        <w:t>26.13</w:t>
      </w:r>
      <w:r>
        <w:rPr>
          <w:rFonts w:hint="eastAsia" w:ascii="宋体" w:hAnsi="宋体" w:eastAsia="宋体" w:cs="宋体"/>
          <w:b w:val="0"/>
          <w:bCs w:val="0"/>
          <w:color w:val="auto"/>
          <w:spacing w:val="-6"/>
          <w:sz w:val="24"/>
          <w:szCs w:val="24"/>
          <w:highlight w:val="none"/>
          <w:lang w:eastAsia="en-US"/>
        </w:rPr>
        <w:t>本项目建设过程中涉及的砂石土类等矿产资源按照嵊政办(2020)83号《嵊州市关于进一步加强普通建筑用砂石土类矿产资源管理 的工作意见》执行</w:t>
      </w:r>
      <w:r>
        <w:rPr>
          <w:rFonts w:hint="eastAsia" w:ascii="宋体" w:hAnsi="宋体" w:eastAsia="宋体" w:cs="宋体"/>
          <w:b/>
          <w:bCs/>
          <w:color w:val="auto"/>
          <w:sz w:val="24"/>
          <w:szCs w:val="24"/>
          <w:highlight w:val="none"/>
          <w:lang w:eastAsia="en-US"/>
        </w:rPr>
        <w:t>。</w:t>
      </w:r>
      <w:r>
        <w:rPr>
          <w:rFonts w:hint="eastAsia" w:ascii="宋体" w:hAnsi="宋体" w:eastAsia="宋体" w:cs="宋体"/>
          <w:b/>
          <w:bCs/>
          <w:color w:val="auto"/>
          <w:sz w:val="24"/>
          <w:szCs w:val="24"/>
          <w:highlight w:val="none"/>
          <w:lang w:val="en-US" w:eastAsia="zh-CN"/>
        </w:rPr>
        <w:t xml:space="preserve"> </w:t>
      </w:r>
    </w:p>
    <w:p w14:paraId="302BD741">
      <w:pPr>
        <w:keepNext w:val="0"/>
        <w:keepLines w:val="0"/>
        <w:pageBreakBefore w:val="0"/>
        <w:widowControl/>
        <w:wordWrap/>
        <w:overflowPunct/>
        <w:topLinePunct w:val="0"/>
        <w:bidi w:val="0"/>
        <w:spacing w:line="480" w:lineRule="exact"/>
        <w:ind w:left="23" w:right="390" w:firstLine="461"/>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26.14施工单位及各参建单位须在嵊州市公建项目全生命周期监管系统实时上传完整、有效的过程性工程资料，并作为竣工结算的参考依据。在结算审核中发现在线归集的结算依据资料无效或不完整的，审价延误的责任由施工单位及各参建单位自行承担。</w:t>
      </w:r>
    </w:p>
    <w:p w14:paraId="16FBFBB5">
      <w:pPr>
        <w:tabs>
          <w:tab w:val="left" w:pos="258"/>
        </w:tabs>
        <w:bidi w:val="0"/>
        <w:jc w:val="left"/>
        <w:rPr>
          <w:rFonts w:hint="eastAsia" w:eastAsia="宋体"/>
          <w:color w:val="auto"/>
          <w:highlight w:val="none"/>
          <w:lang w:val="en-US" w:eastAsia="zh-CN"/>
        </w:rPr>
        <w:sectPr>
          <w:footerReference r:id="rId81" w:type="default"/>
          <w:pgSz w:w="11907" w:h="16841"/>
          <w:pgMar w:top="1425" w:right="1493" w:bottom="1254" w:left="1594" w:header="0" w:footer="1093" w:gutter="0"/>
          <w:pgNumType w:fmt="decimal"/>
          <w:cols w:space="720" w:num="1"/>
        </w:sectPr>
      </w:pPr>
      <w:r>
        <w:rPr>
          <w:rFonts w:hint="eastAsia" w:eastAsia="宋体"/>
          <w:color w:val="auto"/>
          <w:highlight w:val="none"/>
          <w:lang w:val="en-US" w:eastAsia="zh-CN"/>
        </w:rPr>
        <w:tab/>
      </w:r>
    </w:p>
    <w:p w14:paraId="16DCF3C8">
      <w:pPr>
        <w:spacing w:before="64" w:line="224" w:lineRule="auto"/>
        <w:ind w:left="2601"/>
        <w:outlineLvl w:val="1"/>
        <w:rPr>
          <w:rFonts w:ascii="宋体" w:hAnsi="宋体" w:eastAsia="宋体" w:cs="宋体"/>
          <w:color w:val="auto"/>
          <w:sz w:val="31"/>
          <w:szCs w:val="31"/>
          <w:highlight w:val="none"/>
        </w:rPr>
        <w:sectPr>
          <w:footerReference r:id="rId82" w:type="default"/>
          <w:pgSz w:w="11907" w:h="16841"/>
          <w:pgMar w:top="1423" w:right="1527" w:bottom="1254" w:left="1785" w:header="0" w:footer="1093" w:gutter="0"/>
          <w:pgNumType w:fmt="decimal"/>
          <w:cols w:space="720" w:num="1"/>
        </w:sectPr>
      </w:pPr>
      <w:bookmarkStart w:id="1030" w:name="bookmark387"/>
      <w:bookmarkEnd w:id="1030"/>
      <w:bookmarkStart w:id="1031" w:name="_Toc21179"/>
      <w:bookmarkStart w:id="1032" w:name="_Toc17870"/>
      <w:r>
        <w:rPr>
          <w:rFonts w:ascii="宋体" w:hAnsi="宋体" w:eastAsia="宋体" w:cs="宋体"/>
          <w:b/>
          <w:bCs/>
          <w:color w:val="auto"/>
          <w:spacing w:val="6"/>
          <w:sz w:val="31"/>
          <w:szCs w:val="31"/>
          <w:highlight w:val="none"/>
        </w:rPr>
        <w:t>第三节</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合同附件格式</w:t>
      </w:r>
      <w:bookmarkEnd w:id="1031"/>
      <w:bookmarkEnd w:id="1032"/>
    </w:p>
    <w:p w14:paraId="30FA13E7">
      <w:pPr>
        <w:spacing w:before="56" w:line="219" w:lineRule="auto"/>
        <w:outlineLvl w:val="1"/>
        <w:rPr>
          <w:rFonts w:ascii="宋体" w:hAnsi="宋体" w:eastAsia="宋体" w:cs="宋体"/>
          <w:color w:val="auto"/>
          <w:sz w:val="28"/>
          <w:szCs w:val="28"/>
          <w:highlight w:val="none"/>
        </w:rPr>
      </w:pPr>
      <w:bookmarkStart w:id="1033" w:name="bookmark388"/>
      <w:bookmarkEnd w:id="1033"/>
      <w:bookmarkStart w:id="1034" w:name="_Toc21894"/>
      <w:bookmarkStart w:id="1035" w:name="_Toc22109"/>
      <w:r>
        <w:rPr>
          <w:rFonts w:ascii="宋体" w:hAnsi="宋体" w:eastAsia="宋体" w:cs="宋体"/>
          <w:b/>
          <w:bCs/>
          <w:color w:val="auto"/>
          <w:spacing w:val="-5"/>
          <w:sz w:val="28"/>
          <w:szCs w:val="28"/>
          <w:highlight w:val="none"/>
        </w:rPr>
        <w:t>附件一</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5"/>
          <w:sz w:val="28"/>
          <w:szCs w:val="28"/>
          <w:highlight w:val="none"/>
        </w:rPr>
        <w:t>合同协议书</w:t>
      </w:r>
      <w:bookmarkEnd w:id="1034"/>
      <w:bookmarkEnd w:id="1035"/>
    </w:p>
    <w:p w14:paraId="4A89EEB6">
      <w:pPr>
        <w:pStyle w:val="3"/>
        <w:spacing w:line="246" w:lineRule="auto"/>
        <w:rPr>
          <w:color w:val="auto"/>
          <w:highlight w:val="none"/>
        </w:rPr>
      </w:pPr>
    </w:p>
    <w:p w14:paraId="1C04DCEB">
      <w:pPr>
        <w:spacing w:before="78" w:line="219" w:lineRule="auto"/>
        <w:ind w:left="3791"/>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合同协议书</w:t>
      </w:r>
    </w:p>
    <w:p w14:paraId="22815010">
      <w:pPr>
        <w:tabs>
          <w:tab w:val="left" w:pos="1788"/>
        </w:tabs>
        <w:spacing w:before="181" w:line="345" w:lineRule="auto"/>
        <w:ind w:left="30" w:firstLine="438"/>
        <w:jc w:val="both"/>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2"/>
          <w:sz w:val="24"/>
          <w:szCs w:val="24"/>
          <w:highlight w:val="none"/>
        </w:rPr>
        <w:t>（发包人名称，以下简称“发包人”）为实施</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3"/>
          <w:sz w:val="24"/>
          <w:szCs w:val="24"/>
          <w:highlight w:val="none"/>
        </w:rPr>
        <w:t>（</w:t>
      </w:r>
      <w:r>
        <w:rPr>
          <w:rFonts w:ascii="宋体" w:hAnsi="宋体" w:eastAsia="宋体" w:cs="宋体"/>
          <w:i/>
          <w:iCs/>
          <w:color w:val="auto"/>
          <w:spacing w:val="-3"/>
          <w:sz w:val="25"/>
          <w:szCs w:val="25"/>
          <w:highlight w:val="none"/>
        </w:rPr>
        <w:t>项目</w:t>
      </w:r>
      <w:r>
        <w:rPr>
          <w:rFonts w:ascii="宋体" w:hAnsi="宋体" w:eastAsia="宋体" w:cs="宋体"/>
          <w:i/>
          <w:iCs/>
          <w:color w:val="auto"/>
          <w:spacing w:val="-2"/>
          <w:sz w:val="25"/>
          <w:szCs w:val="25"/>
          <w:highlight w:val="none"/>
        </w:rPr>
        <w:t>名称</w:t>
      </w:r>
      <w:r>
        <w:rPr>
          <w:rFonts w:ascii="宋体" w:hAnsi="宋体" w:eastAsia="宋体" w:cs="宋体"/>
          <w:color w:val="auto"/>
          <w:spacing w:val="-23"/>
          <w:sz w:val="24"/>
          <w:szCs w:val="24"/>
          <w:highlight w:val="none"/>
        </w:rPr>
        <w:t>），</w:t>
      </w:r>
      <w:r>
        <w:rPr>
          <w:rFonts w:ascii="宋体" w:hAnsi="宋体" w:eastAsia="宋体" w:cs="宋体"/>
          <w:color w:val="auto"/>
          <w:spacing w:val="-2"/>
          <w:sz w:val="24"/>
          <w:szCs w:val="24"/>
          <w:highlight w:val="none"/>
        </w:rPr>
        <w:t>已接受</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（承包人名称，以下简称“承包人”）对</w:t>
      </w:r>
      <w:r>
        <w:rPr>
          <w:rFonts w:ascii="宋体" w:hAnsi="宋体" w:eastAsia="宋体" w:cs="宋体"/>
          <w:color w:val="auto"/>
          <w:spacing w:val="-118"/>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w:t>
      </w:r>
      <w:r>
        <w:rPr>
          <w:rFonts w:ascii="宋体" w:hAnsi="宋体" w:eastAsia="宋体" w:cs="宋体"/>
          <w:i/>
          <w:iCs/>
          <w:color w:val="auto"/>
          <w:spacing w:val="-2"/>
          <w:sz w:val="25"/>
          <w:szCs w:val="25"/>
          <w:highlight w:val="none"/>
        </w:rPr>
        <w:t>项</w:t>
      </w:r>
      <w:r>
        <w:rPr>
          <w:rFonts w:ascii="宋体" w:hAnsi="宋体" w:eastAsia="宋体" w:cs="宋体"/>
          <w:i/>
          <w:iCs/>
          <w:color w:val="auto"/>
          <w:spacing w:val="-3"/>
          <w:sz w:val="25"/>
          <w:szCs w:val="25"/>
          <w:highlight w:val="none"/>
        </w:rPr>
        <w:t>目名称</w:t>
      </w:r>
      <w:r>
        <w:rPr>
          <w:rFonts w:ascii="宋体" w:hAnsi="宋体" w:eastAsia="宋体" w:cs="宋体"/>
          <w:color w:val="auto"/>
          <w:spacing w:val="-30"/>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0"/>
          <w:sz w:val="24"/>
          <w:szCs w:val="24"/>
          <w:highlight w:val="none"/>
        </w:rPr>
        <w:t>（</w:t>
      </w:r>
      <w:r>
        <w:rPr>
          <w:rFonts w:ascii="宋体" w:hAnsi="宋体" w:eastAsia="宋体" w:cs="宋体"/>
          <w:i/>
          <w:iCs/>
          <w:color w:val="auto"/>
          <w:spacing w:val="-3"/>
          <w:sz w:val="25"/>
          <w:szCs w:val="25"/>
          <w:highlight w:val="none"/>
        </w:rPr>
        <w:t>标段名称</w:t>
      </w:r>
      <w:r>
        <w:rPr>
          <w:rFonts w:ascii="宋体" w:hAnsi="宋体" w:eastAsia="宋体" w:cs="宋体"/>
          <w:color w:val="auto"/>
          <w:spacing w:val="-3"/>
          <w:sz w:val="24"/>
          <w:szCs w:val="24"/>
          <w:highlight w:val="none"/>
        </w:rPr>
        <w:t>）的投标。发包人和承包人共同达成如下协议。</w:t>
      </w:r>
    </w:p>
    <w:p w14:paraId="71022074">
      <w:pPr>
        <w:spacing w:before="1" w:line="218" w:lineRule="auto"/>
        <w:ind w:left="496"/>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1</w:t>
      </w:r>
      <w:r>
        <w:rPr>
          <w:rFonts w:ascii="Times New Roman" w:hAnsi="Times New Roman" w:eastAsia="Times New Roman" w:cs="Times New Roman"/>
          <w:color w:val="auto"/>
          <w:spacing w:val="-18"/>
          <w:sz w:val="24"/>
          <w:szCs w:val="24"/>
          <w:highlight w:val="none"/>
        </w:rPr>
        <w:t xml:space="preserve"> </w:t>
      </w:r>
      <w:r>
        <w:rPr>
          <w:rFonts w:ascii="宋体" w:hAnsi="宋体" w:eastAsia="宋体" w:cs="宋体"/>
          <w:color w:val="auto"/>
          <w:spacing w:val="-6"/>
          <w:sz w:val="24"/>
          <w:szCs w:val="24"/>
          <w:highlight w:val="none"/>
        </w:rPr>
        <w:t>．本协议书与下列文件一起构成合同文件：</w:t>
      </w:r>
    </w:p>
    <w:p w14:paraId="57E2A3E9">
      <w:pPr>
        <w:spacing w:before="183" w:line="219" w:lineRule="auto"/>
        <w:ind w:left="484"/>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w:t>
      </w:r>
      <w:r>
        <w:rPr>
          <w:rFonts w:ascii="Times New Roman" w:hAnsi="Times New Roman" w:eastAsia="Times New Roman" w:cs="Times New Roman"/>
          <w:color w:val="auto"/>
          <w:spacing w:val="-8"/>
          <w:sz w:val="24"/>
          <w:szCs w:val="24"/>
          <w:highlight w:val="none"/>
        </w:rPr>
        <w:t>1</w:t>
      </w:r>
      <w:r>
        <w:rPr>
          <w:rFonts w:ascii="宋体" w:hAnsi="宋体" w:eastAsia="宋体" w:cs="宋体"/>
          <w:color w:val="auto"/>
          <w:spacing w:val="-8"/>
          <w:sz w:val="24"/>
          <w:szCs w:val="24"/>
          <w:highlight w:val="none"/>
        </w:rPr>
        <w:t>）</w:t>
      </w:r>
      <w:r>
        <w:rPr>
          <w:rFonts w:ascii="宋体" w:hAnsi="宋体" w:eastAsia="宋体" w:cs="宋体"/>
          <w:color w:val="auto"/>
          <w:spacing w:val="31"/>
          <w:sz w:val="24"/>
          <w:szCs w:val="24"/>
          <w:highlight w:val="none"/>
        </w:rPr>
        <w:t xml:space="preserve"> </w:t>
      </w:r>
      <w:r>
        <w:rPr>
          <w:rFonts w:ascii="宋体" w:hAnsi="宋体" w:eastAsia="宋体" w:cs="宋体"/>
          <w:color w:val="auto"/>
          <w:spacing w:val="-8"/>
          <w:sz w:val="24"/>
          <w:szCs w:val="24"/>
          <w:highlight w:val="none"/>
        </w:rPr>
        <w:t>中标通知书。</w:t>
      </w:r>
    </w:p>
    <w:p w14:paraId="6150199B">
      <w:pPr>
        <w:spacing w:before="180" w:line="219" w:lineRule="auto"/>
        <w:ind w:left="48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 投标函及投标函附录。</w:t>
      </w:r>
    </w:p>
    <w:p w14:paraId="3CF93706">
      <w:pPr>
        <w:spacing w:before="183" w:line="220" w:lineRule="auto"/>
        <w:ind w:left="48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3</w:t>
      </w:r>
      <w:r>
        <w:rPr>
          <w:rFonts w:ascii="宋体" w:hAnsi="宋体" w:eastAsia="宋体" w:cs="宋体"/>
          <w:color w:val="auto"/>
          <w:spacing w:val="-5"/>
          <w:sz w:val="24"/>
          <w:szCs w:val="24"/>
          <w:highlight w:val="none"/>
        </w:rPr>
        <w:t>） 专用合同条款。</w:t>
      </w:r>
    </w:p>
    <w:p w14:paraId="55C26D45">
      <w:pPr>
        <w:spacing w:before="180" w:line="220" w:lineRule="auto"/>
        <w:ind w:left="48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4</w:t>
      </w:r>
      <w:r>
        <w:rPr>
          <w:rFonts w:ascii="宋体" w:hAnsi="宋体" w:eastAsia="宋体" w:cs="宋体"/>
          <w:color w:val="auto"/>
          <w:spacing w:val="-5"/>
          <w:sz w:val="24"/>
          <w:szCs w:val="24"/>
          <w:highlight w:val="none"/>
        </w:rPr>
        <w:t>） 通用合同条款。</w:t>
      </w:r>
    </w:p>
    <w:p w14:paraId="44B4D040">
      <w:pPr>
        <w:spacing w:before="182" w:line="220" w:lineRule="auto"/>
        <w:ind w:left="48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5</w:t>
      </w:r>
      <w:r>
        <w:rPr>
          <w:rFonts w:ascii="宋体" w:hAnsi="宋体" w:eastAsia="宋体" w:cs="宋体"/>
          <w:color w:val="auto"/>
          <w:spacing w:val="-3"/>
          <w:sz w:val="24"/>
          <w:szCs w:val="24"/>
          <w:highlight w:val="none"/>
        </w:rPr>
        <w:t>） 技术标准和要求（合同技术条款）。</w:t>
      </w:r>
    </w:p>
    <w:p w14:paraId="385D4331">
      <w:pPr>
        <w:spacing w:before="180" w:line="221" w:lineRule="auto"/>
        <w:ind w:left="484"/>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w:t>
      </w:r>
      <w:r>
        <w:rPr>
          <w:rFonts w:ascii="Times New Roman" w:hAnsi="Times New Roman" w:eastAsia="Times New Roman" w:cs="Times New Roman"/>
          <w:color w:val="auto"/>
          <w:spacing w:val="-11"/>
          <w:sz w:val="24"/>
          <w:szCs w:val="24"/>
          <w:highlight w:val="none"/>
        </w:rPr>
        <w:t>6</w:t>
      </w:r>
      <w:r>
        <w:rPr>
          <w:rFonts w:ascii="宋体" w:hAnsi="宋体" w:eastAsia="宋体" w:cs="宋体"/>
          <w:color w:val="auto"/>
          <w:spacing w:val="-11"/>
          <w:sz w:val="24"/>
          <w:szCs w:val="24"/>
          <w:highlight w:val="none"/>
        </w:rPr>
        <w:t>）</w:t>
      </w:r>
      <w:r>
        <w:rPr>
          <w:rFonts w:ascii="宋体" w:hAnsi="宋体" w:eastAsia="宋体" w:cs="宋体"/>
          <w:color w:val="auto"/>
          <w:spacing w:val="36"/>
          <w:sz w:val="24"/>
          <w:szCs w:val="24"/>
          <w:highlight w:val="none"/>
        </w:rPr>
        <w:t xml:space="preserve"> </w:t>
      </w:r>
      <w:r>
        <w:rPr>
          <w:rFonts w:ascii="宋体" w:hAnsi="宋体" w:eastAsia="宋体" w:cs="宋体"/>
          <w:color w:val="auto"/>
          <w:spacing w:val="-11"/>
          <w:sz w:val="24"/>
          <w:szCs w:val="24"/>
          <w:highlight w:val="none"/>
        </w:rPr>
        <w:t>图纸。</w:t>
      </w:r>
    </w:p>
    <w:p w14:paraId="7639F567">
      <w:pPr>
        <w:spacing w:before="181" w:line="218" w:lineRule="auto"/>
        <w:ind w:left="484"/>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w:t>
      </w:r>
      <w:r>
        <w:rPr>
          <w:rFonts w:ascii="Times New Roman" w:hAnsi="Times New Roman" w:eastAsia="Times New Roman" w:cs="Times New Roman"/>
          <w:color w:val="auto"/>
          <w:spacing w:val="-7"/>
          <w:sz w:val="24"/>
          <w:szCs w:val="24"/>
          <w:highlight w:val="none"/>
        </w:rPr>
        <w:t>7</w:t>
      </w:r>
      <w:r>
        <w:rPr>
          <w:rFonts w:ascii="宋体" w:hAnsi="宋体" w:eastAsia="宋体" w:cs="宋体"/>
          <w:color w:val="auto"/>
          <w:spacing w:val="-7"/>
          <w:sz w:val="24"/>
          <w:szCs w:val="24"/>
          <w:highlight w:val="none"/>
        </w:rPr>
        <w:t>）</w:t>
      </w:r>
      <w:r>
        <w:rPr>
          <w:rFonts w:ascii="宋体" w:hAnsi="宋体" w:eastAsia="宋体" w:cs="宋体"/>
          <w:color w:val="auto"/>
          <w:spacing w:val="40"/>
          <w:sz w:val="24"/>
          <w:szCs w:val="24"/>
          <w:highlight w:val="none"/>
        </w:rPr>
        <w:t xml:space="preserve"> </w:t>
      </w:r>
      <w:r>
        <w:rPr>
          <w:rFonts w:ascii="宋体" w:hAnsi="宋体" w:eastAsia="宋体" w:cs="宋体"/>
          <w:color w:val="auto"/>
          <w:spacing w:val="-7"/>
          <w:sz w:val="24"/>
          <w:szCs w:val="24"/>
          <w:highlight w:val="none"/>
        </w:rPr>
        <w:t>已标价工程量清单。</w:t>
      </w:r>
    </w:p>
    <w:p w14:paraId="0CE6E8DD">
      <w:pPr>
        <w:spacing w:before="181" w:line="220" w:lineRule="auto"/>
        <w:ind w:left="48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8</w:t>
      </w:r>
      <w:r>
        <w:rPr>
          <w:rFonts w:ascii="宋体" w:hAnsi="宋体" w:eastAsia="宋体" w:cs="宋体"/>
          <w:color w:val="auto"/>
          <w:spacing w:val="-4"/>
          <w:sz w:val="24"/>
          <w:szCs w:val="24"/>
          <w:highlight w:val="none"/>
        </w:rPr>
        <w:t>） 其他合同文件。</w:t>
      </w:r>
    </w:p>
    <w:p w14:paraId="2AD3CA6E">
      <w:pPr>
        <w:spacing w:before="182" w:line="290" w:lineRule="auto"/>
        <w:ind w:right="30" w:firstLine="473"/>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2</w:t>
      </w:r>
      <w:r>
        <w:rPr>
          <w:rFonts w:ascii="Times New Roman" w:hAnsi="Times New Roman" w:eastAsia="Times New Roman" w:cs="Times New Roman"/>
          <w:color w:val="auto"/>
          <w:spacing w:val="-28"/>
          <w:sz w:val="24"/>
          <w:szCs w:val="24"/>
          <w:highlight w:val="none"/>
        </w:rPr>
        <w:t xml:space="preserve"> </w:t>
      </w:r>
      <w:r>
        <w:rPr>
          <w:rFonts w:ascii="宋体" w:hAnsi="宋体" w:eastAsia="宋体" w:cs="宋体"/>
          <w:color w:val="auto"/>
          <w:sz w:val="24"/>
          <w:szCs w:val="24"/>
          <w:highlight w:val="none"/>
        </w:rPr>
        <w:t>．上述文件互相补充和解释，如有不明确或不一致之处</w:t>
      </w:r>
      <w:r>
        <w:rPr>
          <w:rFonts w:ascii="宋体" w:hAnsi="宋体" w:eastAsia="宋体" w:cs="宋体"/>
          <w:color w:val="auto"/>
          <w:spacing w:val="-1"/>
          <w:sz w:val="24"/>
          <w:szCs w:val="24"/>
          <w:highlight w:val="none"/>
        </w:rPr>
        <w:t>，以合同约定次序在先</w:t>
      </w:r>
      <w:r>
        <w:rPr>
          <w:rFonts w:ascii="宋体" w:hAnsi="宋体" w:eastAsia="宋体" w:cs="宋体"/>
          <w:color w:val="auto"/>
          <w:spacing w:val="-9"/>
          <w:sz w:val="24"/>
          <w:szCs w:val="24"/>
          <w:highlight w:val="none"/>
        </w:rPr>
        <w:t>者为准。</w:t>
      </w:r>
    </w:p>
    <w:p w14:paraId="50022E80">
      <w:pPr>
        <w:spacing w:before="181" w:line="218" w:lineRule="auto"/>
        <w:ind w:left="478"/>
        <w:rPr>
          <w:rFonts w:ascii="宋体" w:hAnsi="宋体" w:eastAsia="宋体" w:cs="宋体"/>
          <w:color w:val="auto"/>
          <w:sz w:val="24"/>
          <w:szCs w:val="24"/>
          <w:highlight w:val="none"/>
        </w:rPr>
      </w:pPr>
      <w:r>
        <w:rPr>
          <w:rFonts w:ascii="Times New Roman" w:hAnsi="Times New Roman" w:eastAsia="Times New Roman" w:cs="Times New Roman"/>
          <w:color w:val="auto"/>
          <w:spacing w:val="-10"/>
          <w:sz w:val="24"/>
          <w:szCs w:val="24"/>
          <w:highlight w:val="none"/>
        </w:rPr>
        <w:t>3</w:t>
      </w:r>
      <w:r>
        <w:rPr>
          <w:rFonts w:ascii="宋体" w:hAnsi="宋体" w:eastAsia="宋体" w:cs="宋体"/>
          <w:color w:val="auto"/>
          <w:spacing w:val="-10"/>
          <w:sz w:val="24"/>
          <w:szCs w:val="24"/>
          <w:highlight w:val="none"/>
        </w:rPr>
        <w:t>．签约合同价：人民币（大写）</w:t>
      </w:r>
      <w:r>
        <w:rPr>
          <w:rFonts w:ascii="宋体" w:hAnsi="宋体" w:eastAsia="宋体" w:cs="宋体"/>
          <w:color w:val="auto"/>
          <w:spacing w:val="-10"/>
          <w:sz w:val="24"/>
          <w:szCs w:val="24"/>
          <w:highlight w:val="none"/>
          <w:u w:val="single" w:color="auto"/>
        </w:rPr>
        <w:t xml:space="preserve">    </w:t>
      </w:r>
      <w:r>
        <w:rPr>
          <w:rFonts w:ascii="宋体" w:hAnsi="宋体" w:eastAsia="宋体" w:cs="宋体"/>
          <w:color w:val="auto"/>
          <w:spacing w:val="-11"/>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1"/>
          <w:sz w:val="24"/>
          <w:szCs w:val="24"/>
          <w:highlight w:val="none"/>
        </w:rPr>
        <w:t>元(￥</w:t>
      </w:r>
      <w:r>
        <w:rPr>
          <w:rFonts w:ascii="宋体" w:hAnsi="宋体" w:eastAsia="宋体" w:cs="宋体"/>
          <w:color w:val="auto"/>
          <w:spacing w:val="-95"/>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85"/>
          <w:sz w:val="24"/>
          <w:szCs w:val="24"/>
          <w:highlight w:val="none"/>
        </w:rPr>
        <w:t xml:space="preserve"> </w:t>
      </w:r>
      <w:r>
        <w:rPr>
          <w:rFonts w:ascii="宋体" w:hAnsi="宋体" w:eastAsia="宋体" w:cs="宋体"/>
          <w:color w:val="auto"/>
          <w:spacing w:val="-11"/>
          <w:sz w:val="24"/>
          <w:szCs w:val="24"/>
          <w:highlight w:val="none"/>
        </w:rPr>
        <w:t>)。</w:t>
      </w:r>
    </w:p>
    <w:p w14:paraId="7647567B">
      <w:pPr>
        <w:spacing w:before="181" w:line="290" w:lineRule="auto"/>
        <w:ind w:left="842" w:right="693" w:hanging="370"/>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4</w:t>
      </w:r>
      <w:r>
        <w:rPr>
          <w:rFonts w:ascii="Times New Roman" w:hAnsi="Times New Roman" w:eastAsia="Times New Roman" w:cs="Times New Roman"/>
          <w:color w:val="auto"/>
          <w:spacing w:val="-27"/>
          <w:sz w:val="24"/>
          <w:szCs w:val="24"/>
          <w:highlight w:val="none"/>
        </w:rPr>
        <w:t xml:space="preserve"> </w:t>
      </w:r>
      <w:r>
        <w:rPr>
          <w:rFonts w:ascii="宋体" w:hAnsi="宋体" w:eastAsia="宋体" w:cs="宋体"/>
          <w:color w:val="auto"/>
          <w:spacing w:val="-2"/>
          <w:sz w:val="24"/>
          <w:szCs w:val="24"/>
          <w:highlight w:val="none"/>
        </w:rPr>
        <w:t>．承包人项目负责人</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2"/>
          <w:sz w:val="24"/>
          <w:szCs w:val="24"/>
          <w:highlight w:val="none"/>
        </w:rPr>
        <w:t>项目技术负责人：</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1"/>
          <w:sz w:val="24"/>
          <w:szCs w:val="24"/>
          <w:highlight w:val="none"/>
        </w:rPr>
        <w:t>副项目负责人：</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20B28704">
      <w:pPr>
        <w:spacing w:before="182" w:line="220" w:lineRule="auto"/>
        <w:ind w:left="480"/>
        <w:rPr>
          <w:rFonts w:ascii="宋体" w:hAnsi="宋体" w:eastAsia="宋体" w:cs="宋体"/>
          <w:color w:val="auto"/>
          <w:sz w:val="24"/>
          <w:szCs w:val="24"/>
          <w:highlight w:val="none"/>
        </w:rPr>
      </w:pPr>
      <w:r>
        <w:rPr>
          <w:rFonts w:ascii="Times New Roman" w:hAnsi="Times New Roman" w:eastAsia="Times New Roman" w:cs="Times New Roman"/>
          <w:color w:val="auto"/>
          <w:spacing w:val="-7"/>
          <w:sz w:val="24"/>
          <w:szCs w:val="24"/>
          <w:highlight w:val="none"/>
        </w:rPr>
        <w:t>5</w:t>
      </w:r>
      <w:r>
        <w:rPr>
          <w:rFonts w:ascii="Times New Roman" w:hAnsi="Times New Roman" w:eastAsia="Times New Roman" w:cs="Times New Roman"/>
          <w:color w:val="auto"/>
          <w:spacing w:val="-26"/>
          <w:sz w:val="24"/>
          <w:szCs w:val="24"/>
          <w:highlight w:val="none"/>
        </w:rPr>
        <w:t xml:space="preserve"> </w:t>
      </w:r>
      <w:r>
        <w:rPr>
          <w:rFonts w:ascii="宋体" w:hAnsi="宋体" w:eastAsia="宋体" w:cs="宋体"/>
          <w:color w:val="auto"/>
          <w:spacing w:val="-7"/>
          <w:sz w:val="24"/>
          <w:szCs w:val="24"/>
          <w:highlight w:val="none"/>
        </w:rPr>
        <w:t>．工程质量符合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7"/>
          <w:sz w:val="24"/>
          <w:szCs w:val="24"/>
          <w:highlight w:val="none"/>
        </w:rPr>
        <w:t>标准。</w:t>
      </w:r>
    </w:p>
    <w:p w14:paraId="0D143ECC">
      <w:pPr>
        <w:spacing w:before="180" w:line="220" w:lineRule="auto"/>
        <w:ind w:left="479"/>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6</w:t>
      </w:r>
      <w:r>
        <w:rPr>
          <w:rFonts w:ascii="Times New Roman" w:hAnsi="Times New Roman" w:eastAsia="Times New Roman" w:cs="Times New Roman"/>
          <w:color w:val="auto"/>
          <w:spacing w:val="-21"/>
          <w:sz w:val="24"/>
          <w:szCs w:val="24"/>
          <w:highlight w:val="none"/>
        </w:rPr>
        <w:t xml:space="preserve"> </w:t>
      </w:r>
      <w:r>
        <w:rPr>
          <w:rFonts w:ascii="宋体" w:hAnsi="宋体" w:eastAsia="宋体" w:cs="宋体"/>
          <w:color w:val="auto"/>
          <w:spacing w:val="-3"/>
          <w:sz w:val="24"/>
          <w:szCs w:val="24"/>
          <w:highlight w:val="none"/>
        </w:rPr>
        <w:t>．承包人承诺按合同约定承担工程的实施、完成及缺陷修复。</w:t>
      </w:r>
    </w:p>
    <w:p w14:paraId="41E3C17E">
      <w:pPr>
        <w:spacing w:before="182" w:line="218" w:lineRule="auto"/>
        <w:ind w:left="477"/>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7</w:t>
      </w:r>
      <w:r>
        <w:rPr>
          <w:rFonts w:ascii="Times New Roman" w:hAnsi="Times New Roman" w:eastAsia="Times New Roman" w:cs="Times New Roman"/>
          <w:color w:val="auto"/>
          <w:spacing w:val="-29"/>
          <w:sz w:val="24"/>
          <w:szCs w:val="24"/>
          <w:highlight w:val="none"/>
        </w:rPr>
        <w:t xml:space="preserve"> </w:t>
      </w:r>
      <w:r>
        <w:rPr>
          <w:rFonts w:ascii="宋体" w:hAnsi="宋体" w:eastAsia="宋体" w:cs="宋体"/>
          <w:color w:val="auto"/>
          <w:spacing w:val="-2"/>
          <w:sz w:val="24"/>
          <w:szCs w:val="24"/>
          <w:highlight w:val="none"/>
        </w:rPr>
        <w:t>．发包人承诺按合同约定的条件、时间和方式</w:t>
      </w:r>
      <w:r>
        <w:rPr>
          <w:rFonts w:ascii="宋体" w:hAnsi="宋体" w:eastAsia="宋体" w:cs="宋体"/>
          <w:color w:val="auto"/>
          <w:spacing w:val="-3"/>
          <w:sz w:val="24"/>
          <w:szCs w:val="24"/>
          <w:highlight w:val="none"/>
        </w:rPr>
        <w:t>向承包人支付合同价款。</w:t>
      </w:r>
    </w:p>
    <w:p w14:paraId="01ACD734">
      <w:pPr>
        <w:spacing w:before="182" w:line="220" w:lineRule="auto"/>
        <w:ind w:left="483"/>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8</w:t>
      </w:r>
      <w:r>
        <w:rPr>
          <w:rFonts w:ascii="Times New Roman" w:hAnsi="Times New Roman" w:eastAsia="Times New Roman" w:cs="Times New Roman"/>
          <w:color w:val="auto"/>
          <w:spacing w:val="-15"/>
          <w:sz w:val="24"/>
          <w:szCs w:val="24"/>
          <w:highlight w:val="none"/>
        </w:rPr>
        <w:t xml:space="preserve"> </w:t>
      </w:r>
      <w:r>
        <w:rPr>
          <w:rFonts w:ascii="宋体" w:hAnsi="宋体" w:eastAsia="宋体" w:cs="宋体"/>
          <w:color w:val="auto"/>
          <w:spacing w:val="-2"/>
          <w:sz w:val="24"/>
          <w:szCs w:val="24"/>
          <w:highlight w:val="none"/>
        </w:rPr>
        <w:t>．承包人承诺执行监理人开工通知，计划工期为</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11"/>
          <w:sz w:val="24"/>
          <w:szCs w:val="24"/>
          <w:highlight w:val="none"/>
        </w:rPr>
        <w:t xml:space="preserve"> </w:t>
      </w:r>
      <w:r>
        <w:rPr>
          <w:rFonts w:ascii="宋体" w:hAnsi="宋体" w:eastAsia="宋体" w:cs="宋体"/>
          <w:color w:val="auto"/>
          <w:spacing w:val="-2"/>
          <w:sz w:val="24"/>
          <w:szCs w:val="24"/>
          <w:highlight w:val="none"/>
        </w:rPr>
        <w:t>个月（日历天）。</w:t>
      </w:r>
    </w:p>
    <w:p w14:paraId="005537B9">
      <w:pPr>
        <w:spacing w:before="213" w:line="219" w:lineRule="auto"/>
        <w:ind w:left="478"/>
        <w:rPr>
          <w:rFonts w:ascii="宋体" w:hAnsi="宋体" w:eastAsia="宋体" w:cs="宋体"/>
          <w:color w:val="auto"/>
          <w:sz w:val="24"/>
          <w:szCs w:val="24"/>
          <w:highlight w:val="none"/>
        </w:rPr>
      </w:pPr>
      <w:r>
        <w:rPr>
          <w:rFonts w:ascii="Times New Roman" w:hAnsi="Times New Roman" w:eastAsia="Times New Roman" w:cs="Times New Roman"/>
          <w:color w:val="auto"/>
          <w:spacing w:val="-14"/>
          <w:sz w:val="24"/>
          <w:szCs w:val="24"/>
          <w:highlight w:val="none"/>
        </w:rPr>
        <w:t>9</w:t>
      </w:r>
      <w:r>
        <w:rPr>
          <w:rFonts w:ascii="宋体" w:hAnsi="宋体" w:eastAsia="宋体" w:cs="宋体"/>
          <w:color w:val="auto"/>
          <w:spacing w:val="-14"/>
          <w:sz w:val="24"/>
          <w:szCs w:val="24"/>
          <w:highlight w:val="none"/>
        </w:rPr>
        <w:t>．本协议书正本一式</w:t>
      </w:r>
      <w:r>
        <w:rPr>
          <w:rFonts w:ascii="宋体" w:hAnsi="宋体" w:eastAsia="宋体" w:cs="宋体"/>
          <w:color w:val="auto"/>
          <w:spacing w:val="-14"/>
          <w:sz w:val="24"/>
          <w:szCs w:val="24"/>
          <w:highlight w:val="none"/>
          <w:u w:val="single" w:color="auto"/>
        </w:rPr>
        <w:t xml:space="preserve"> 贰 </w:t>
      </w:r>
      <w:r>
        <w:rPr>
          <w:rFonts w:ascii="宋体" w:hAnsi="宋体" w:eastAsia="宋体" w:cs="宋体"/>
          <w:color w:val="auto"/>
          <w:spacing w:val="-14"/>
          <w:sz w:val="24"/>
          <w:szCs w:val="24"/>
          <w:highlight w:val="none"/>
        </w:rPr>
        <w:t>份，合同双方各执</w:t>
      </w:r>
      <w:r>
        <w:rPr>
          <w:rFonts w:ascii="宋体" w:hAnsi="宋体" w:eastAsia="宋体" w:cs="宋体"/>
          <w:color w:val="auto"/>
          <w:spacing w:val="-14"/>
          <w:sz w:val="24"/>
          <w:szCs w:val="24"/>
          <w:highlight w:val="none"/>
          <w:u w:val="single" w:color="auto"/>
        </w:rPr>
        <w:t xml:space="preserve"> </w:t>
      </w:r>
      <w:r>
        <w:rPr>
          <w:rFonts w:ascii="宋体" w:hAnsi="宋体" w:eastAsia="宋体" w:cs="宋体"/>
          <w:color w:val="auto"/>
          <w:spacing w:val="-15"/>
          <w:sz w:val="24"/>
          <w:szCs w:val="24"/>
          <w:highlight w:val="none"/>
          <w:u w:val="single" w:color="auto"/>
        </w:rPr>
        <w:t>壹</w:t>
      </w:r>
      <w:r>
        <w:rPr>
          <w:rFonts w:ascii="宋体" w:hAnsi="宋体" w:eastAsia="宋体" w:cs="宋体"/>
          <w:color w:val="auto"/>
          <w:spacing w:val="9"/>
          <w:sz w:val="24"/>
          <w:szCs w:val="24"/>
          <w:highlight w:val="none"/>
          <w:u w:val="single" w:color="auto"/>
        </w:rPr>
        <w:t xml:space="preserve"> </w:t>
      </w:r>
      <w:r>
        <w:rPr>
          <w:rFonts w:ascii="宋体" w:hAnsi="宋体" w:eastAsia="宋体" w:cs="宋体"/>
          <w:color w:val="auto"/>
          <w:spacing w:val="-15"/>
          <w:sz w:val="24"/>
          <w:szCs w:val="24"/>
          <w:highlight w:val="none"/>
        </w:rPr>
        <w:t>份，副本</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15"/>
          <w:sz w:val="24"/>
          <w:szCs w:val="24"/>
          <w:highlight w:val="none"/>
        </w:rPr>
        <w:t>份，双方各执</w:t>
      </w:r>
      <w:r>
        <w:rPr>
          <w:rFonts w:ascii="宋体" w:hAnsi="宋体" w:eastAsia="宋体" w:cs="宋体"/>
          <w:color w:val="auto"/>
          <w:spacing w:val="60"/>
          <w:sz w:val="24"/>
          <w:szCs w:val="24"/>
          <w:highlight w:val="none"/>
          <w:u w:val="single" w:color="auto"/>
        </w:rPr>
        <w:t xml:space="preserve">  </w:t>
      </w:r>
      <w:r>
        <w:rPr>
          <w:rFonts w:ascii="宋体" w:hAnsi="宋体" w:eastAsia="宋体" w:cs="宋体"/>
          <w:color w:val="auto"/>
          <w:spacing w:val="-111"/>
          <w:sz w:val="24"/>
          <w:szCs w:val="24"/>
          <w:highlight w:val="none"/>
        </w:rPr>
        <w:t xml:space="preserve"> </w:t>
      </w:r>
      <w:r>
        <w:rPr>
          <w:rFonts w:ascii="宋体" w:hAnsi="宋体" w:eastAsia="宋体" w:cs="宋体"/>
          <w:color w:val="auto"/>
          <w:spacing w:val="-15"/>
          <w:sz w:val="24"/>
          <w:szCs w:val="24"/>
          <w:highlight w:val="none"/>
        </w:rPr>
        <w:t>份。</w:t>
      </w:r>
    </w:p>
    <w:p w14:paraId="57084184">
      <w:pPr>
        <w:spacing w:before="181" w:line="220" w:lineRule="auto"/>
        <w:ind w:left="496"/>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10</w:t>
      </w:r>
      <w:r>
        <w:rPr>
          <w:rFonts w:ascii="Times New Roman" w:hAnsi="Times New Roman" w:eastAsia="Times New Roman" w:cs="Times New Roman"/>
          <w:color w:val="auto"/>
          <w:spacing w:val="-21"/>
          <w:sz w:val="24"/>
          <w:szCs w:val="24"/>
          <w:highlight w:val="none"/>
        </w:rPr>
        <w:t xml:space="preserve"> </w:t>
      </w:r>
      <w:r>
        <w:rPr>
          <w:rFonts w:ascii="宋体" w:hAnsi="宋体" w:eastAsia="宋体" w:cs="宋体"/>
          <w:color w:val="auto"/>
          <w:spacing w:val="-3"/>
          <w:sz w:val="24"/>
          <w:szCs w:val="24"/>
          <w:highlight w:val="none"/>
        </w:rPr>
        <w:t>．合同未尽事宜，双方另行签订补充协议。补充协议是合同的组成部分。</w:t>
      </w:r>
    </w:p>
    <w:p w14:paraId="47B5ACA0">
      <w:pPr>
        <w:pStyle w:val="3"/>
        <w:spacing w:line="256" w:lineRule="auto"/>
        <w:rPr>
          <w:color w:val="auto"/>
          <w:highlight w:val="none"/>
        </w:rPr>
      </w:pPr>
    </w:p>
    <w:p w14:paraId="681358B5">
      <w:pPr>
        <w:pStyle w:val="3"/>
        <w:spacing w:line="257" w:lineRule="auto"/>
        <w:rPr>
          <w:color w:val="auto"/>
          <w:highlight w:val="none"/>
        </w:rPr>
      </w:pPr>
    </w:p>
    <w:p w14:paraId="520AEC71">
      <w:pPr>
        <w:spacing w:before="79" w:line="219" w:lineRule="auto"/>
        <w:ind w:left="60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发</w:t>
      </w:r>
      <w:r>
        <w:rPr>
          <w:rFonts w:ascii="宋体" w:hAnsi="宋体" w:eastAsia="宋体" w:cs="宋体"/>
          <w:color w:val="auto"/>
          <w:spacing w:val="111"/>
          <w:sz w:val="24"/>
          <w:szCs w:val="24"/>
          <w:highlight w:val="none"/>
        </w:rPr>
        <w:t xml:space="preserve"> </w:t>
      </w:r>
      <w:r>
        <w:rPr>
          <w:rFonts w:ascii="宋体" w:hAnsi="宋体" w:eastAsia="宋体" w:cs="宋体"/>
          <w:color w:val="auto"/>
          <w:spacing w:val="-3"/>
          <w:sz w:val="24"/>
          <w:szCs w:val="24"/>
          <w:highlight w:val="none"/>
        </w:rPr>
        <w:t>包</w:t>
      </w:r>
      <w:r>
        <w:rPr>
          <w:rFonts w:ascii="宋体" w:hAnsi="宋体" w:eastAsia="宋体" w:cs="宋体"/>
          <w:color w:val="auto"/>
          <w:spacing w:val="107"/>
          <w:sz w:val="24"/>
          <w:szCs w:val="24"/>
          <w:highlight w:val="none"/>
        </w:rPr>
        <w:t xml:space="preserve"> </w:t>
      </w:r>
      <w:r>
        <w:rPr>
          <w:rFonts w:ascii="宋体" w:hAnsi="宋体" w:eastAsia="宋体" w:cs="宋体"/>
          <w:color w:val="auto"/>
          <w:spacing w:val="-3"/>
          <w:sz w:val="24"/>
          <w:szCs w:val="24"/>
          <w:highlight w:val="none"/>
        </w:rPr>
        <w:t>人</w:t>
      </w:r>
      <w:r>
        <w:rPr>
          <w:rFonts w:ascii="宋体" w:hAnsi="宋体" w:eastAsia="宋体" w:cs="宋体"/>
          <w:color w:val="auto"/>
          <w:spacing w:val="-8"/>
          <w:sz w:val="24"/>
          <w:szCs w:val="24"/>
          <w:highlight w:val="none"/>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8"/>
          <w:sz w:val="24"/>
          <w:szCs w:val="24"/>
          <w:highlight w:val="none"/>
          <w:u w:val="single" w:color="auto"/>
        </w:rPr>
        <w:t>（</w:t>
      </w:r>
      <w:r>
        <w:rPr>
          <w:rFonts w:ascii="宋体" w:hAnsi="宋体" w:eastAsia="宋体" w:cs="宋体"/>
          <w:color w:val="auto"/>
          <w:spacing w:val="-3"/>
          <w:sz w:val="24"/>
          <w:szCs w:val="24"/>
          <w:highlight w:val="none"/>
          <w:u w:val="single" w:color="auto"/>
        </w:rPr>
        <w:t xml:space="preserve">盖单位章）   </w:t>
      </w:r>
      <w:r>
        <w:rPr>
          <w:rFonts w:ascii="宋体" w:hAnsi="宋体" w:eastAsia="宋体" w:cs="宋体"/>
          <w:color w:val="auto"/>
          <w:spacing w:val="-3"/>
          <w:sz w:val="24"/>
          <w:szCs w:val="24"/>
          <w:highlight w:val="none"/>
        </w:rPr>
        <w:t xml:space="preserve">      承  包  人</w:t>
      </w:r>
      <w:r>
        <w:rPr>
          <w:rFonts w:ascii="宋体" w:hAnsi="宋体" w:eastAsia="宋体" w:cs="宋体"/>
          <w:color w:val="auto"/>
          <w:spacing w:val="-8"/>
          <w:sz w:val="24"/>
          <w:szCs w:val="24"/>
          <w:highlight w:val="none"/>
        </w:rPr>
        <w:t>：</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8"/>
          <w:sz w:val="24"/>
          <w:szCs w:val="24"/>
          <w:highlight w:val="none"/>
          <w:u w:val="single" w:color="auto"/>
        </w:rPr>
        <w:t>（</w:t>
      </w:r>
      <w:r>
        <w:rPr>
          <w:rFonts w:ascii="宋体" w:hAnsi="宋体" w:eastAsia="宋体" w:cs="宋体"/>
          <w:color w:val="auto"/>
          <w:spacing w:val="-3"/>
          <w:sz w:val="24"/>
          <w:szCs w:val="24"/>
          <w:highlight w:val="none"/>
          <w:u w:val="single" w:color="auto"/>
        </w:rPr>
        <w:t>盖单位章）</w:t>
      </w:r>
      <w:r>
        <w:rPr>
          <w:rFonts w:ascii="宋体" w:hAnsi="宋体" w:eastAsia="宋体" w:cs="宋体"/>
          <w:color w:val="auto"/>
          <w:sz w:val="24"/>
          <w:szCs w:val="24"/>
          <w:highlight w:val="none"/>
          <w:u w:val="single" w:color="auto"/>
        </w:rPr>
        <w:t xml:space="preserve">     </w:t>
      </w:r>
    </w:p>
    <w:p w14:paraId="0B9CDA03">
      <w:pPr>
        <w:spacing w:before="183" w:line="220" w:lineRule="auto"/>
        <w:ind w:right="13"/>
        <w:jc w:val="right"/>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法定代表人或其委托代理人</w:t>
      </w:r>
      <w:r>
        <w:rPr>
          <w:rFonts w:ascii="宋体" w:hAnsi="宋体" w:eastAsia="宋体" w:cs="宋体"/>
          <w:color w:val="auto"/>
          <w:spacing w:val="-16"/>
          <w:sz w:val="24"/>
          <w:szCs w:val="24"/>
          <w:highlight w:val="none"/>
        </w:rPr>
        <w:t>：</w:t>
      </w:r>
      <w:r>
        <w:rPr>
          <w:rFonts w:ascii="宋体" w:hAnsi="宋体" w:eastAsia="宋体" w:cs="宋体"/>
          <w:color w:val="auto"/>
          <w:spacing w:val="-16"/>
          <w:sz w:val="24"/>
          <w:szCs w:val="24"/>
          <w:highlight w:val="none"/>
          <w:u w:val="single" w:color="auto"/>
        </w:rPr>
        <w:t>（</w:t>
      </w:r>
      <w:r>
        <w:rPr>
          <w:rFonts w:ascii="宋体" w:hAnsi="宋体" w:eastAsia="宋体" w:cs="宋体"/>
          <w:color w:val="auto"/>
          <w:spacing w:val="-8"/>
          <w:sz w:val="24"/>
          <w:szCs w:val="24"/>
          <w:highlight w:val="none"/>
          <w:u w:val="single" w:color="auto"/>
        </w:rPr>
        <w:t>签字）</w:t>
      </w:r>
      <w:r>
        <w:rPr>
          <w:rFonts w:ascii="宋体" w:hAnsi="宋体" w:eastAsia="宋体" w:cs="宋体"/>
          <w:color w:val="auto"/>
          <w:spacing w:val="-8"/>
          <w:sz w:val="24"/>
          <w:szCs w:val="24"/>
          <w:highlight w:val="none"/>
        </w:rPr>
        <w:t xml:space="preserve">   法定代表人或其委托代理人</w:t>
      </w:r>
      <w:r>
        <w:rPr>
          <w:rFonts w:ascii="宋体" w:hAnsi="宋体" w:eastAsia="宋体" w:cs="宋体"/>
          <w:color w:val="auto"/>
          <w:spacing w:val="-16"/>
          <w:sz w:val="24"/>
          <w:szCs w:val="24"/>
          <w:highlight w:val="none"/>
        </w:rPr>
        <w:t>：</w:t>
      </w:r>
      <w:r>
        <w:rPr>
          <w:rFonts w:ascii="宋体" w:hAnsi="宋体" w:eastAsia="宋体" w:cs="宋体"/>
          <w:color w:val="auto"/>
          <w:spacing w:val="-16"/>
          <w:sz w:val="24"/>
          <w:szCs w:val="24"/>
          <w:highlight w:val="none"/>
          <w:u w:val="single" w:color="auto"/>
        </w:rPr>
        <w:t>（</w:t>
      </w:r>
      <w:r>
        <w:rPr>
          <w:rFonts w:ascii="宋体" w:hAnsi="宋体" w:eastAsia="宋体" w:cs="宋体"/>
          <w:color w:val="auto"/>
          <w:spacing w:val="-8"/>
          <w:sz w:val="24"/>
          <w:szCs w:val="24"/>
          <w:highlight w:val="none"/>
          <w:u w:val="single" w:color="auto"/>
        </w:rPr>
        <w:t>签字）</w:t>
      </w:r>
    </w:p>
    <w:p w14:paraId="20657444">
      <w:pPr>
        <w:tabs>
          <w:tab w:val="left" w:pos="1428"/>
        </w:tabs>
        <w:spacing w:before="179" w:line="220" w:lineRule="auto"/>
        <w:ind w:left="708"/>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17"/>
          <w:sz w:val="24"/>
          <w:szCs w:val="24"/>
          <w:highlight w:val="none"/>
        </w:rPr>
        <w:t>年</w:t>
      </w:r>
      <w:r>
        <w:rPr>
          <w:rFonts w:ascii="宋体" w:hAnsi="宋体" w:eastAsia="宋体" w:cs="宋体"/>
          <w:color w:val="auto"/>
          <w:spacing w:val="39"/>
          <w:sz w:val="24"/>
          <w:szCs w:val="24"/>
          <w:highlight w:val="none"/>
          <w:u w:val="single" w:color="auto"/>
        </w:rPr>
        <w:t xml:space="preserve">   </w:t>
      </w:r>
      <w:r>
        <w:rPr>
          <w:rFonts w:ascii="宋体" w:hAnsi="宋体" w:eastAsia="宋体" w:cs="宋体"/>
          <w:color w:val="auto"/>
          <w:spacing w:val="-103"/>
          <w:sz w:val="24"/>
          <w:szCs w:val="24"/>
          <w:highlight w:val="none"/>
        </w:rPr>
        <w:t xml:space="preserve"> </w:t>
      </w:r>
      <w:r>
        <w:rPr>
          <w:rFonts w:ascii="宋体" w:hAnsi="宋体" w:eastAsia="宋体" w:cs="宋体"/>
          <w:color w:val="auto"/>
          <w:spacing w:val="-17"/>
          <w:sz w:val="24"/>
          <w:szCs w:val="24"/>
          <w:highlight w:val="none"/>
        </w:rPr>
        <w:t>月</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17"/>
          <w:sz w:val="24"/>
          <w:szCs w:val="24"/>
          <w:highlight w:val="none"/>
        </w:rPr>
        <w:t>日</w:t>
      </w:r>
      <w:r>
        <w:rPr>
          <w:rFonts w:ascii="宋体" w:hAnsi="宋体" w:eastAsia="宋体" w:cs="宋体"/>
          <w:color w:val="auto"/>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17"/>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7"/>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17"/>
          <w:sz w:val="24"/>
          <w:szCs w:val="24"/>
          <w:highlight w:val="none"/>
        </w:rPr>
        <w:t>日</w:t>
      </w:r>
    </w:p>
    <w:p w14:paraId="63923B3D">
      <w:pPr>
        <w:spacing w:line="220" w:lineRule="auto"/>
        <w:rPr>
          <w:rFonts w:ascii="宋体" w:hAnsi="宋体" w:eastAsia="宋体" w:cs="宋体"/>
          <w:color w:val="auto"/>
          <w:sz w:val="24"/>
          <w:szCs w:val="24"/>
          <w:highlight w:val="none"/>
        </w:rPr>
        <w:sectPr>
          <w:footerReference r:id="rId83" w:type="default"/>
          <w:pgSz w:w="11907" w:h="16841"/>
          <w:pgMar w:top="1425" w:right="1498" w:bottom="1254" w:left="1600" w:header="0" w:footer="1093" w:gutter="0"/>
          <w:pgNumType w:fmt="decimal"/>
          <w:cols w:space="720" w:num="1"/>
        </w:sectPr>
      </w:pPr>
    </w:p>
    <w:p w14:paraId="4398D374">
      <w:pPr>
        <w:spacing w:before="56" w:line="219" w:lineRule="auto"/>
        <w:ind w:left="32"/>
        <w:outlineLvl w:val="1"/>
        <w:rPr>
          <w:rFonts w:ascii="宋体" w:hAnsi="宋体" w:eastAsia="宋体" w:cs="宋体"/>
          <w:color w:val="auto"/>
          <w:sz w:val="28"/>
          <w:szCs w:val="28"/>
          <w:highlight w:val="none"/>
        </w:rPr>
      </w:pPr>
      <w:bookmarkStart w:id="1036" w:name="bookmark389"/>
      <w:bookmarkEnd w:id="1036"/>
      <w:bookmarkStart w:id="1037" w:name="_Toc7419"/>
      <w:bookmarkStart w:id="1038" w:name="_Toc30739"/>
      <w:r>
        <w:rPr>
          <w:rFonts w:ascii="宋体" w:hAnsi="宋体" w:eastAsia="宋体" w:cs="宋体"/>
          <w:b/>
          <w:bCs/>
          <w:color w:val="auto"/>
          <w:spacing w:val="-5"/>
          <w:sz w:val="28"/>
          <w:szCs w:val="28"/>
          <w:highlight w:val="none"/>
        </w:rPr>
        <w:t>附件二</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5"/>
          <w:sz w:val="28"/>
          <w:szCs w:val="28"/>
          <w:highlight w:val="none"/>
        </w:rPr>
        <w:t>履约担保（格式）</w:t>
      </w:r>
      <w:bookmarkEnd w:id="1037"/>
      <w:bookmarkEnd w:id="1038"/>
    </w:p>
    <w:p w14:paraId="4D0ED213">
      <w:pPr>
        <w:pStyle w:val="3"/>
        <w:spacing w:line="247" w:lineRule="auto"/>
        <w:rPr>
          <w:color w:val="auto"/>
          <w:highlight w:val="none"/>
        </w:rPr>
      </w:pPr>
    </w:p>
    <w:p w14:paraId="0F6C1599">
      <w:pPr>
        <w:spacing w:before="78" w:line="220" w:lineRule="auto"/>
        <w:ind w:left="3925"/>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履约担保</w:t>
      </w:r>
    </w:p>
    <w:p w14:paraId="272D83B6">
      <w:pPr>
        <w:pStyle w:val="3"/>
        <w:spacing w:line="254" w:lineRule="auto"/>
        <w:rPr>
          <w:color w:val="auto"/>
          <w:highlight w:val="none"/>
        </w:rPr>
      </w:pPr>
    </w:p>
    <w:p w14:paraId="31494EA2">
      <w:pPr>
        <w:pStyle w:val="3"/>
        <w:spacing w:line="255" w:lineRule="auto"/>
        <w:rPr>
          <w:color w:val="auto"/>
          <w:highlight w:val="none"/>
        </w:rPr>
      </w:pPr>
    </w:p>
    <w:p w14:paraId="5A54019C">
      <w:pPr>
        <w:tabs>
          <w:tab w:val="left" w:pos="2520"/>
        </w:tabs>
        <w:spacing w:before="82" w:line="213" w:lineRule="auto"/>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21"/>
          <w:sz w:val="24"/>
          <w:szCs w:val="24"/>
          <w:highlight w:val="none"/>
        </w:rPr>
        <w:t>（</w:t>
      </w:r>
      <w:r>
        <w:rPr>
          <w:rFonts w:ascii="宋体" w:hAnsi="宋体" w:eastAsia="宋体" w:cs="宋体"/>
          <w:color w:val="auto"/>
          <w:spacing w:val="-31"/>
          <w:sz w:val="24"/>
          <w:szCs w:val="24"/>
          <w:highlight w:val="none"/>
        </w:rPr>
        <w:t xml:space="preserve"> </w:t>
      </w:r>
      <w:r>
        <w:rPr>
          <w:rFonts w:ascii="宋体" w:hAnsi="宋体" w:eastAsia="宋体" w:cs="宋体"/>
          <w:i/>
          <w:iCs/>
          <w:color w:val="auto"/>
          <w:spacing w:val="-21"/>
          <w:sz w:val="25"/>
          <w:szCs w:val="25"/>
          <w:highlight w:val="none"/>
        </w:rPr>
        <w:t>发包人名称</w:t>
      </w:r>
      <w:r>
        <w:rPr>
          <w:rFonts w:ascii="宋体" w:hAnsi="宋体" w:eastAsia="宋体" w:cs="宋体"/>
          <w:color w:val="auto"/>
          <w:spacing w:val="-17"/>
          <w:sz w:val="24"/>
          <w:szCs w:val="24"/>
          <w:highlight w:val="none"/>
        </w:rPr>
        <w:t>）：</w:t>
      </w:r>
    </w:p>
    <w:p w14:paraId="3C1B731E">
      <w:pPr>
        <w:spacing w:before="180" w:line="348" w:lineRule="auto"/>
        <w:ind w:left="13" w:firstLine="479"/>
        <w:jc w:val="both"/>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鉴于</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
          <w:sz w:val="24"/>
          <w:szCs w:val="24"/>
          <w:highlight w:val="none"/>
        </w:rPr>
        <w:t xml:space="preserve">（ </w:t>
      </w:r>
      <w:r>
        <w:rPr>
          <w:rFonts w:ascii="宋体" w:hAnsi="宋体" w:eastAsia="宋体" w:cs="宋体"/>
          <w:i/>
          <w:iCs/>
          <w:color w:val="auto"/>
          <w:spacing w:val="-10"/>
          <w:sz w:val="25"/>
          <w:szCs w:val="25"/>
          <w:highlight w:val="none"/>
        </w:rPr>
        <w:t>发包人名称，以下简称“发包人”</w:t>
      </w:r>
      <w:r>
        <w:rPr>
          <w:rFonts w:ascii="宋体" w:hAnsi="宋体" w:eastAsia="宋体" w:cs="宋体"/>
          <w:color w:val="auto"/>
          <w:spacing w:val="-10"/>
          <w:sz w:val="24"/>
          <w:szCs w:val="24"/>
          <w:highlight w:val="none"/>
        </w:rPr>
        <w:t>）接受</w:t>
      </w:r>
      <w:r>
        <w:rPr>
          <w:rFonts w:ascii="宋体" w:hAnsi="宋体" w:eastAsia="宋体" w:cs="宋体"/>
          <w:color w:val="auto"/>
          <w:spacing w:val="-10"/>
          <w:sz w:val="24"/>
          <w:szCs w:val="24"/>
          <w:highlight w:val="none"/>
          <w:u w:val="single" w:color="auto"/>
        </w:rPr>
        <w:t xml:space="preserve">           </w:t>
      </w:r>
      <w:r>
        <w:rPr>
          <w:rFonts w:ascii="宋体" w:hAnsi="宋体" w:eastAsia="宋体" w:cs="宋体"/>
          <w:color w:val="auto"/>
          <w:spacing w:val="-10"/>
          <w:sz w:val="24"/>
          <w:szCs w:val="24"/>
          <w:highlight w:val="none"/>
        </w:rPr>
        <w:t>（承</w:t>
      </w:r>
      <w:r>
        <w:rPr>
          <w:rFonts w:ascii="宋体" w:hAnsi="宋体" w:eastAsia="宋体" w:cs="宋体"/>
          <w:i/>
          <w:iCs/>
          <w:color w:val="auto"/>
          <w:spacing w:val="-10"/>
          <w:sz w:val="25"/>
          <w:szCs w:val="25"/>
          <w:highlight w:val="none"/>
        </w:rPr>
        <w:t>包人名称，以下称“承包人”</w:t>
      </w:r>
      <w:r>
        <w:rPr>
          <w:rFonts w:ascii="宋体" w:hAnsi="宋体" w:eastAsia="宋体" w:cs="宋体"/>
          <w:color w:val="auto"/>
          <w:spacing w:val="-10"/>
          <w:sz w:val="24"/>
          <w:szCs w:val="24"/>
          <w:highlight w:val="none"/>
        </w:rPr>
        <w:t>）于</w:t>
      </w:r>
      <w:r>
        <w:rPr>
          <w:rFonts w:ascii="宋体" w:hAnsi="宋体" w:eastAsia="宋体" w:cs="宋体"/>
          <w:color w:val="auto"/>
          <w:spacing w:val="-106"/>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10"/>
          <w:sz w:val="24"/>
          <w:szCs w:val="24"/>
          <w:highlight w:val="none"/>
        </w:rPr>
        <w:t>年</w:t>
      </w:r>
      <w:r>
        <w:rPr>
          <w:rFonts w:ascii="宋体" w:hAnsi="宋体" w:eastAsia="宋体" w:cs="宋体"/>
          <w:color w:val="auto"/>
          <w:spacing w:val="-10"/>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0"/>
          <w:sz w:val="24"/>
          <w:szCs w:val="24"/>
          <w:highlight w:val="none"/>
        </w:rPr>
        <w:t>月</w:t>
      </w:r>
      <w:r>
        <w:rPr>
          <w:rFonts w:ascii="宋体" w:hAnsi="宋体" w:eastAsia="宋体" w:cs="宋体"/>
          <w:color w:val="auto"/>
          <w:spacing w:val="-117"/>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70"/>
          <w:sz w:val="24"/>
          <w:szCs w:val="24"/>
          <w:highlight w:val="none"/>
        </w:rPr>
        <w:t xml:space="preserve"> </w:t>
      </w:r>
      <w:r>
        <w:rPr>
          <w:rFonts w:ascii="宋体" w:hAnsi="宋体" w:eastAsia="宋体" w:cs="宋体"/>
          <w:color w:val="auto"/>
          <w:spacing w:val="-10"/>
          <w:sz w:val="24"/>
          <w:szCs w:val="24"/>
          <w:highlight w:val="none"/>
        </w:rPr>
        <w:t>日递交的</w:t>
      </w:r>
      <w:r>
        <w:rPr>
          <w:rFonts w:ascii="宋体" w:hAnsi="宋体" w:eastAsia="宋体" w:cs="宋体"/>
          <w:color w:val="auto"/>
          <w:spacing w:val="-10"/>
          <w:sz w:val="24"/>
          <w:szCs w:val="24"/>
          <w:highlight w:val="none"/>
          <w:u w:val="single" w:color="auto"/>
        </w:rPr>
        <w:t xml:space="preserve">                </w:t>
      </w:r>
      <w:r>
        <w:rPr>
          <w:rFonts w:ascii="宋体" w:hAnsi="宋体" w:eastAsia="宋体" w:cs="宋体"/>
          <w:color w:val="auto"/>
          <w:spacing w:val="-11"/>
          <w:sz w:val="24"/>
          <w:szCs w:val="24"/>
          <w:highlight w:val="none"/>
        </w:rPr>
        <w:t>（</w:t>
      </w:r>
      <w:r>
        <w:rPr>
          <w:rFonts w:ascii="宋体" w:hAnsi="宋体" w:eastAsia="宋体" w:cs="宋体"/>
          <w:i/>
          <w:iCs/>
          <w:color w:val="auto"/>
          <w:spacing w:val="-11"/>
          <w:sz w:val="25"/>
          <w:szCs w:val="25"/>
          <w:highlight w:val="none"/>
        </w:rPr>
        <w:t>项目名</w:t>
      </w:r>
      <w:r>
        <w:rPr>
          <w:rFonts w:ascii="宋体" w:hAnsi="宋体" w:eastAsia="宋体" w:cs="宋体"/>
          <w:i/>
          <w:iCs/>
          <w:color w:val="auto"/>
          <w:spacing w:val="1"/>
          <w:sz w:val="25"/>
          <w:szCs w:val="25"/>
          <w:highlight w:val="none"/>
        </w:rPr>
        <w:t>称</w:t>
      </w:r>
      <w:r>
        <w:rPr>
          <w:rFonts w:ascii="宋体" w:hAnsi="宋体" w:eastAsia="宋体" w:cs="宋体"/>
          <w:color w:val="auto"/>
          <w:spacing w:val="-34"/>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4"/>
          <w:sz w:val="24"/>
          <w:szCs w:val="24"/>
          <w:highlight w:val="none"/>
        </w:rPr>
        <w:t>（</w:t>
      </w:r>
      <w:r>
        <w:rPr>
          <w:rFonts w:ascii="宋体" w:hAnsi="宋体" w:eastAsia="宋体" w:cs="宋体"/>
          <w:i/>
          <w:iCs/>
          <w:color w:val="auto"/>
          <w:spacing w:val="1"/>
          <w:sz w:val="25"/>
          <w:szCs w:val="25"/>
          <w:highlight w:val="none"/>
        </w:rPr>
        <w:t>标段名称</w:t>
      </w:r>
      <w:r>
        <w:rPr>
          <w:rFonts w:ascii="宋体" w:hAnsi="宋体" w:eastAsia="宋体" w:cs="宋体"/>
          <w:color w:val="auto"/>
          <w:spacing w:val="1"/>
          <w:sz w:val="24"/>
          <w:szCs w:val="24"/>
          <w:highlight w:val="none"/>
        </w:rPr>
        <w:t>）的投标文件。我方愿意无条件地、不可撤销地就承包</w:t>
      </w:r>
      <w:r>
        <w:rPr>
          <w:rFonts w:ascii="宋体" w:hAnsi="宋体" w:eastAsia="宋体" w:cs="宋体"/>
          <w:color w:val="auto"/>
          <w:sz w:val="24"/>
          <w:szCs w:val="24"/>
          <w:highlight w:val="none"/>
        </w:rPr>
        <w:t>人履</w:t>
      </w:r>
      <w:r>
        <w:rPr>
          <w:rFonts w:ascii="宋体" w:hAnsi="宋体" w:eastAsia="宋体" w:cs="宋体"/>
          <w:color w:val="auto"/>
          <w:spacing w:val="-3"/>
          <w:sz w:val="24"/>
          <w:szCs w:val="24"/>
          <w:highlight w:val="none"/>
        </w:rPr>
        <w:t>行与你方订立的合同，向你方提供担保。</w:t>
      </w:r>
    </w:p>
    <w:p w14:paraId="3C7D546F">
      <w:pPr>
        <w:spacing w:before="1" w:line="218" w:lineRule="auto"/>
        <w:ind w:left="508"/>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1</w:t>
      </w:r>
      <w:r>
        <w:rPr>
          <w:rFonts w:ascii="Times New Roman" w:hAnsi="Times New Roman" w:eastAsia="Times New Roman" w:cs="Times New Roman"/>
          <w:color w:val="auto"/>
          <w:spacing w:val="-27"/>
          <w:sz w:val="24"/>
          <w:szCs w:val="24"/>
          <w:highlight w:val="none"/>
        </w:rPr>
        <w:t xml:space="preserve"> </w:t>
      </w:r>
      <w:r>
        <w:rPr>
          <w:rFonts w:ascii="宋体" w:hAnsi="宋体" w:eastAsia="宋体" w:cs="宋体"/>
          <w:color w:val="auto"/>
          <w:spacing w:val="4"/>
          <w:sz w:val="24"/>
          <w:szCs w:val="24"/>
          <w:highlight w:val="none"/>
        </w:rPr>
        <w:t>．担保金额人民币（大写）</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4"/>
          <w:sz w:val="24"/>
          <w:szCs w:val="24"/>
          <w:highlight w:val="none"/>
        </w:rPr>
        <w:t>元(￥</w:t>
      </w:r>
      <w:r>
        <w:rPr>
          <w:rFonts w:ascii="宋体" w:hAnsi="宋体" w:eastAsia="宋体" w:cs="宋体"/>
          <w:color w:val="auto"/>
          <w:spacing w:val="-95"/>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85"/>
          <w:sz w:val="24"/>
          <w:szCs w:val="24"/>
          <w:highlight w:val="none"/>
        </w:rPr>
        <w:t xml:space="preserve"> </w:t>
      </w:r>
      <w:r>
        <w:rPr>
          <w:rFonts w:ascii="宋体" w:hAnsi="宋体" w:eastAsia="宋体" w:cs="宋体"/>
          <w:color w:val="auto"/>
          <w:spacing w:val="4"/>
          <w:sz w:val="24"/>
          <w:szCs w:val="24"/>
          <w:highlight w:val="none"/>
        </w:rPr>
        <w:t>)。</w:t>
      </w:r>
    </w:p>
    <w:p w14:paraId="25363018">
      <w:pPr>
        <w:spacing w:before="182" w:line="289" w:lineRule="auto"/>
        <w:ind w:left="11" w:right="32" w:firstLine="473"/>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2</w:t>
      </w:r>
      <w:r>
        <w:rPr>
          <w:rFonts w:ascii="Times New Roman" w:hAnsi="Times New Roman" w:eastAsia="Times New Roman" w:cs="Times New Roman"/>
          <w:color w:val="auto"/>
          <w:spacing w:val="-28"/>
          <w:sz w:val="24"/>
          <w:szCs w:val="24"/>
          <w:highlight w:val="none"/>
        </w:rPr>
        <w:t xml:space="preserve"> </w:t>
      </w:r>
      <w:r>
        <w:rPr>
          <w:rFonts w:ascii="宋体" w:hAnsi="宋体" w:eastAsia="宋体" w:cs="宋体"/>
          <w:color w:val="auto"/>
          <w:sz w:val="24"/>
          <w:szCs w:val="24"/>
          <w:highlight w:val="none"/>
        </w:rPr>
        <w:t>．担保有效期自发包人与承包人签订的合同生效之日起</w:t>
      </w:r>
      <w:r>
        <w:rPr>
          <w:rFonts w:ascii="宋体" w:hAnsi="宋体" w:eastAsia="宋体" w:cs="宋体"/>
          <w:color w:val="auto"/>
          <w:spacing w:val="-1"/>
          <w:sz w:val="24"/>
          <w:szCs w:val="24"/>
          <w:highlight w:val="none"/>
        </w:rPr>
        <w:t>至发包人签发合同工程</w:t>
      </w:r>
      <w:r>
        <w:rPr>
          <w:rFonts w:ascii="宋体" w:hAnsi="宋体" w:eastAsia="宋体" w:cs="宋体"/>
          <w:color w:val="auto"/>
          <w:spacing w:val="-4"/>
          <w:sz w:val="24"/>
          <w:szCs w:val="24"/>
          <w:highlight w:val="none"/>
        </w:rPr>
        <w:t>完工证书之日止。</w:t>
      </w:r>
    </w:p>
    <w:p w14:paraId="7C317B2F">
      <w:pPr>
        <w:spacing w:before="179" w:line="313" w:lineRule="auto"/>
        <w:ind w:left="11" w:right="37" w:firstLine="478"/>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3</w:t>
      </w:r>
      <w:r>
        <w:rPr>
          <w:rFonts w:ascii="Times New Roman" w:hAnsi="Times New Roman" w:eastAsia="Times New Roman" w:cs="Times New Roman"/>
          <w:color w:val="auto"/>
          <w:spacing w:val="-12"/>
          <w:sz w:val="24"/>
          <w:szCs w:val="24"/>
          <w:highlight w:val="none"/>
        </w:rPr>
        <w:t xml:space="preserve"> </w:t>
      </w:r>
      <w:r>
        <w:rPr>
          <w:rFonts w:ascii="宋体" w:hAnsi="宋体" w:eastAsia="宋体" w:cs="宋体"/>
          <w:color w:val="auto"/>
          <w:spacing w:val="-1"/>
          <w:sz w:val="24"/>
          <w:szCs w:val="24"/>
          <w:highlight w:val="none"/>
        </w:rPr>
        <w:t>．在本担保有效期内，因承包人违反合同约定的义务给你方造成经济损失时，</w:t>
      </w:r>
      <w:r>
        <w:rPr>
          <w:rFonts w:ascii="宋体" w:hAnsi="宋体" w:eastAsia="宋体" w:cs="宋体"/>
          <w:color w:val="auto"/>
          <w:sz w:val="24"/>
          <w:szCs w:val="24"/>
          <w:highlight w:val="none"/>
        </w:rPr>
        <w:t>我方在收到你方以书面形式提出的在担保金额内的赔偿要求后，无条件地在</w:t>
      </w:r>
      <w:r>
        <w:rPr>
          <w:rFonts w:ascii="Times New Roman" w:hAnsi="Times New Roman" w:eastAsia="Times New Roman" w:cs="Times New Roman"/>
          <w:color w:val="auto"/>
          <w:sz w:val="24"/>
          <w:szCs w:val="24"/>
          <w:highlight w:val="none"/>
        </w:rPr>
        <w:t>7</w:t>
      </w:r>
      <w:r>
        <w:rPr>
          <w:rFonts w:ascii="宋体" w:hAnsi="宋体" w:eastAsia="宋体" w:cs="宋体"/>
          <w:color w:val="auto"/>
          <w:sz w:val="24"/>
          <w:szCs w:val="24"/>
          <w:highlight w:val="none"/>
        </w:rPr>
        <w:t>天内予</w:t>
      </w:r>
      <w:r>
        <w:rPr>
          <w:rFonts w:ascii="宋体" w:hAnsi="宋体" w:eastAsia="宋体" w:cs="宋体"/>
          <w:color w:val="auto"/>
          <w:spacing w:val="-9"/>
          <w:sz w:val="24"/>
          <w:szCs w:val="24"/>
          <w:highlight w:val="none"/>
        </w:rPr>
        <w:t>以支付。</w:t>
      </w:r>
    </w:p>
    <w:p w14:paraId="5E533845">
      <w:pPr>
        <w:spacing w:before="182" w:line="289" w:lineRule="auto"/>
        <w:ind w:left="15" w:right="32" w:firstLine="468"/>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4</w:t>
      </w:r>
      <w:r>
        <w:rPr>
          <w:rFonts w:ascii="Times New Roman" w:hAnsi="Times New Roman" w:eastAsia="Times New Roman" w:cs="Times New Roman"/>
          <w:color w:val="auto"/>
          <w:spacing w:val="-29"/>
          <w:sz w:val="24"/>
          <w:szCs w:val="24"/>
          <w:highlight w:val="none"/>
        </w:rPr>
        <w:t xml:space="preserve"> </w:t>
      </w:r>
      <w:r>
        <w:rPr>
          <w:rFonts w:ascii="宋体" w:hAnsi="宋体" w:eastAsia="宋体" w:cs="宋体"/>
          <w:color w:val="auto"/>
          <w:sz w:val="24"/>
          <w:szCs w:val="24"/>
          <w:highlight w:val="none"/>
        </w:rPr>
        <w:t>．发包人和承包人按《通用合同条款》第</w:t>
      </w:r>
      <w:r>
        <w:rPr>
          <w:rFonts w:ascii="Times New Roman" w:hAnsi="Times New Roman" w:eastAsia="Times New Roman" w:cs="Times New Roman"/>
          <w:color w:val="auto"/>
          <w:sz w:val="24"/>
          <w:szCs w:val="24"/>
          <w:highlight w:val="none"/>
        </w:rPr>
        <w:t>15</w:t>
      </w:r>
      <w:r>
        <w:rPr>
          <w:rFonts w:ascii="宋体" w:hAnsi="宋体" w:eastAsia="宋体" w:cs="宋体"/>
          <w:color w:val="auto"/>
          <w:sz w:val="24"/>
          <w:szCs w:val="24"/>
          <w:highlight w:val="none"/>
        </w:rPr>
        <w:t>条变更合同时，</w:t>
      </w:r>
      <w:r>
        <w:rPr>
          <w:rFonts w:ascii="宋体" w:hAnsi="宋体" w:eastAsia="宋体" w:cs="宋体"/>
          <w:color w:val="auto"/>
          <w:spacing w:val="-1"/>
          <w:sz w:val="24"/>
          <w:szCs w:val="24"/>
          <w:highlight w:val="none"/>
        </w:rPr>
        <w:t>我方承担本担保规</w:t>
      </w:r>
      <w:r>
        <w:rPr>
          <w:rFonts w:ascii="宋体" w:hAnsi="宋体" w:eastAsia="宋体" w:cs="宋体"/>
          <w:color w:val="auto"/>
          <w:spacing w:val="-7"/>
          <w:sz w:val="24"/>
          <w:szCs w:val="24"/>
          <w:highlight w:val="none"/>
        </w:rPr>
        <w:t>定的义务不变。</w:t>
      </w:r>
    </w:p>
    <w:p w14:paraId="659DFF9D">
      <w:pPr>
        <w:pStyle w:val="3"/>
        <w:spacing w:line="308" w:lineRule="auto"/>
        <w:rPr>
          <w:color w:val="auto"/>
          <w:highlight w:val="none"/>
        </w:rPr>
      </w:pPr>
    </w:p>
    <w:p w14:paraId="46AC6FC3">
      <w:pPr>
        <w:pStyle w:val="3"/>
        <w:spacing w:line="309" w:lineRule="auto"/>
        <w:rPr>
          <w:color w:val="auto"/>
          <w:highlight w:val="none"/>
        </w:rPr>
      </w:pPr>
    </w:p>
    <w:p w14:paraId="4998D681">
      <w:pPr>
        <w:pStyle w:val="3"/>
        <w:spacing w:line="309" w:lineRule="auto"/>
        <w:rPr>
          <w:color w:val="auto"/>
          <w:highlight w:val="none"/>
        </w:rPr>
      </w:pPr>
    </w:p>
    <w:p w14:paraId="0CFC373A">
      <w:pPr>
        <w:spacing w:before="79" w:line="219" w:lineRule="auto"/>
        <w:ind w:left="3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担保人</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3"/>
          <w:sz w:val="24"/>
          <w:szCs w:val="24"/>
          <w:highlight w:val="none"/>
        </w:rPr>
        <w:t>盖单位章）</w:t>
      </w:r>
    </w:p>
    <w:p w14:paraId="17A18162">
      <w:pPr>
        <w:pStyle w:val="3"/>
        <w:spacing w:line="257" w:lineRule="auto"/>
        <w:rPr>
          <w:color w:val="auto"/>
          <w:highlight w:val="none"/>
        </w:rPr>
      </w:pPr>
    </w:p>
    <w:p w14:paraId="1ED29583">
      <w:pPr>
        <w:spacing w:before="78" w:line="220" w:lineRule="auto"/>
        <w:ind w:left="3327" w:firstLine="236" w:firstLineChars="10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法定代表人或其委托代理人</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2"/>
          <w:sz w:val="24"/>
          <w:szCs w:val="24"/>
          <w:highlight w:val="none"/>
        </w:rPr>
        <w:t>签字）</w:t>
      </w:r>
    </w:p>
    <w:p w14:paraId="50712055">
      <w:pPr>
        <w:pStyle w:val="3"/>
        <w:spacing w:line="257" w:lineRule="auto"/>
        <w:rPr>
          <w:color w:val="auto"/>
          <w:highlight w:val="none"/>
        </w:rPr>
      </w:pPr>
    </w:p>
    <w:p w14:paraId="39F3A0ED">
      <w:pPr>
        <w:spacing w:before="79" w:line="229" w:lineRule="auto"/>
        <w:ind w:left="3489"/>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地</w:t>
      </w:r>
      <w:r>
        <w:rPr>
          <w:rFonts w:ascii="宋体" w:hAnsi="宋体" w:eastAsia="宋体" w:cs="宋体"/>
          <w:color w:val="auto"/>
          <w:spacing w:val="2"/>
          <w:sz w:val="24"/>
          <w:szCs w:val="24"/>
          <w:highlight w:val="none"/>
        </w:rPr>
        <w:t xml:space="preserve">    </w:t>
      </w:r>
      <w:r>
        <w:rPr>
          <w:rFonts w:ascii="宋体" w:hAnsi="宋体" w:eastAsia="宋体" w:cs="宋体"/>
          <w:color w:val="auto"/>
          <w:spacing w:val="-7"/>
          <w:sz w:val="24"/>
          <w:szCs w:val="24"/>
          <w:highlight w:val="none"/>
        </w:rPr>
        <w:t>址：</w:t>
      </w:r>
      <w:r>
        <w:rPr>
          <w:rFonts w:ascii="宋体" w:hAnsi="宋体" w:eastAsia="宋体" w:cs="宋体"/>
          <w:color w:val="auto"/>
          <w:sz w:val="24"/>
          <w:szCs w:val="24"/>
          <w:highlight w:val="none"/>
          <w:u w:val="single" w:color="auto"/>
        </w:rPr>
        <w:t xml:space="preserve">                     </w:t>
      </w:r>
    </w:p>
    <w:p w14:paraId="5524C8C0">
      <w:pPr>
        <w:spacing w:before="167" w:line="220" w:lineRule="auto"/>
        <w:ind w:left="3507"/>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邮政编码：</w:t>
      </w:r>
      <w:r>
        <w:rPr>
          <w:rFonts w:ascii="宋体" w:hAnsi="宋体" w:eastAsia="宋体" w:cs="宋体"/>
          <w:color w:val="auto"/>
          <w:sz w:val="24"/>
          <w:szCs w:val="24"/>
          <w:highlight w:val="none"/>
          <w:u w:val="single" w:color="auto"/>
        </w:rPr>
        <w:t xml:space="preserve">                     </w:t>
      </w:r>
    </w:p>
    <w:p w14:paraId="3ECDE628">
      <w:pPr>
        <w:spacing w:before="182" w:line="222" w:lineRule="auto"/>
        <w:ind w:left="3517"/>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rPr>
        <w:t>电</w:t>
      </w:r>
      <w:r>
        <w:rPr>
          <w:rFonts w:ascii="宋体" w:hAnsi="宋体" w:eastAsia="宋体" w:cs="宋体"/>
          <w:color w:val="auto"/>
          <w:spacing w:val="2"/>
          <w:sz w:val="24"/>
          <w:szCs w:val="24"/>
          <w:highlight w:val="none"/>
        </w:rPr>
        <w:t xml:space="preserve">    </w:t>
      </w:r>
      <w:r>
        <w:rPr>
          <w:rFonts w:ascii="宋体" w:hAnsi="宋体" w:eastAsia="宋体" w:cs="宋体"/>
          <w:color w:val="auto"/>
          <w:spacing w:val="-16"/>
          <w:sz w:val="24"/>
          <w:szCs w:val="24"/>
          <w:highlight w:val="none"/>
        </w:rPr>
        <w:t>话：</w:t>
      </w:r>
      <w:r>
        <w:rPr>
          <w:rFonts w:ascii="宋体" w:hAnsi="宋体" w:eastAsia="宋体" w:cs="宋体"/>
          <w:color w:val="auto"/>
          <w:sz w:val="24"/>
          <w:szCs w:val="24"/>
          <w:highlight w:val="none"/>
          <w:u w:val="single" w:color="auto"/>
        </w:rPr>
        <w:t xml:space="preserve">                     </w:t>
      </w:r>
    </w:p>
    <w:p w14:paraId="3F0FB710">
      <w:pPr>
        <w:spacing w:before="177" w:line="219" w:lineRule="auto"/>
        <w:ind w:left="3487"/>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传</w:t>
      </w:r>
      <w:r>
        <w:rPr>
          <w:rFonts w:ascii="宋体" w:hAnsi="宋体" w:eastAsia="宋体" w:cs="宋体"/>
          <w:color w:val="auto"/>
          <w:spacing w:val="3"/>
          <w:sz w:val="24"/>
          <w:szCs w:val="24"/>
          <w:highlight w:val="none"/>
        </w:rPr>
        <w:t xml:space="preserve">    </w:t>
      </w:r>
      <w:r>
        <w:rPr>
          <w:rFonts w:ascii="宋体" w:hAnsi="宋体" w:eastAsia="宋体" w:cs="宋体"/>
          <w:color w:val="auto"/>
          <w:spacing w:val="-7"/>
          <w:sz w:val="24"/>
          <w:szCs w:val="24"/>
          <w:highlight w:val="none"/>
        </w:rPr>
        <w:t>真：</w:t>
      </w:r>
      <w:r>
        <w:rPr>
          <w:rFonts w:ascii="宋体" w:hAnsi="宋体" w:eastAsia="宋体" w:cs="宋体"/>
          <w:color w:val="auto"/>
          <w:sz w:val="24"/>
          <w:szCs w:val="24"/>
          <w:highlight w:val="none"/>
          <w:u w:val="single" w:color="auto"/>
        </w:rPr>
        <w:t xml:space="preserve">                     </w:t>
      </w:r>
    </w:p>
    <w:p w14:paraId="6229713A">
      <w:pPr>
        <w:pStyle w:val="3"/>
        <w:spacing w:line="257" w:lineRule="auto"/>
        <w:rPr>
          <w:color w:val="auto"/>
          <w:highlight w:val="none"/>
        </w:rPr>
      </w:pPr>
    </w:p>
    <w:p w14:paraId="73C17F91">
      <w:pPr>
        <w:pStyle w:val="3"/>
        <w:spacing w:line="257" w:lineRule="auto"/>
        <w:rPr>
          <w:color w:val="auto"/>
          <w:highlight w:val="none"/>
        </w:rPr>
      </w:pPr>
    </w:p>
    <w:p w14:paraId="268B7CED">
      <w:pPr>
        <w:tabs>
          <w:tab w:val="left" w:pos="5412"/>
        </w:tabs>
        <w:spacing w:before="79" w:line="220" w:lineRule="auto"/>
        <w:ind w:left="4692"/>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10"/>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0156F9F6">
      <w:pPr>
        <w:spacing w:before="176" w:line="220" w:lineRule="auto"/>
        <w:ind w:left="8"/>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注：委托代理人应附授权委托书。</w:t>
      </w:r>
    </w:p>
    <w:p w14:paraId="4A91C46A">
      <w:pPr>
        <w:spacing w:line="220" w:lineRule="auto"/>
        <w:rPr>
          <w:rFonts w:ascii="宋体" w:hAnsi="宋体" w:eastAsia="宋体" w:cs="宋体"/>
          <w:color w:val="auto"/>
          <w:sz w:val="21"/>
          <w:szCs w:val="21"/>
          <w:highlight w:val="none"/>
        </w:rPr>
        <w:sectPr>
          <w:footerReference r:id="rId84" w:type="default"/>
          <w:pgSz w:w="11907" w:h="16841"/>
          <w:pgMar w:top="1425" w:right="1496" w:bottom="1254" w:left="1588" w:header="0" w:footer="1093" w:gutter="0"/>
          <w:pgNumType w:fmt="decimal"/>
          <w:cols w:space="720" w:num="1"/>
        </w:sectPr>
      </w:pPr>
    </w:p>
    <w:p w14:paraId="1622AFA0">
      <w:pPr>
        <w:spacing w:before="56" w:line="219" w:lineRule="auto"/>
        <w:ind w:left="23"/>
        <w:outlineLvl w:val="1"/>
        <w:rPr>
          <w:rFonts w:ascii="宋体" w:hAnsi="宋体" w:eastAsia="宋体" w:cs="宋体"/>
          <w:color w:val="auto"/>
          <w:sz w:val="28"/>
          <w:szCs w:val="28"/>
          <w:highlight w:val="none"/>
        </w:rPr>
      </w:pPr>
      <w:bookmarkStart w:id="1039" w:name="bookmark390"/>
      <w:bookmarkEnd w:id="1039"/>
      <w:bookmarkStart w:id="1040" w:name="_Toc28369"/>
      <w:bookmarkStart w:id="1041" w:name="_Toc26866"/>
      <w:r>
        <w:rPr>
          <w:rFonts w:ascii="宋体" w:hAnsi="宋体" w:eastAsia="宋体" w:cs="宋体"/>
          <w:b/>
          <w:bCs/>
          <w:color w:val="auto"/>
          <w:spacing w:val="-5"/>
          <w:sz w:val="28"/>
          <w:szCs w:val="28"/>
          <w:highlight w:val="none"/>
        </w:rPr>
        <w:t>附件三</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5"/>
          <w:sz w:val="28"/>
          <w:szCs w:val="28"/>
          <w:highlight w:val="none"/>
        </w:rPr>
        <w:t>工程廉政责任书（格式）</w:t>
      </w:r>
      <w:bookmarkEnd w:id="1040"/>
      <w:bookmarkEnd w:id="1041"/>
    </w:p>
    <w:p w14:paraId="40576F7F">
      <w:pPr>
        <w:pStyle w:val="3"/>
        <w:spacing w:line="246" w:lineRule="auto"/>
        <w:rPr>
          <w:color w:val="auto"/>
          <w:highlight w:val="none"/>
        </w:rPr>
      </w:pPr>
    </w:p>
    <w:p w14:paraId="2DC1FC8D">
      <w:pPr>
        <w:spacing w:before="78" w:line="219" w:lineRule="auto"/>
        <w:ind w:left="3552"/>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工程廉政责任书</w:t>
      </w:r>
    </w:p>
    <w:p w14:paraId="2951C61A">
      <w:pPr>
        <w:spacing w:before="182" w:line="354" w:lineRule="auto"/>
        <w:ind w:right="87" w:firstLine="482"/>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为加强工程建设中的廉政建设，保证工程建设高效优质完成，保证建设资金的安全和有效使用</w:t>
      </w:r>
      <w:r>
        <w:rPr>
          <w:rFonts w:ascii="宋体" w:hAnsi="宋体" w:eastAsia="宋体" w:cs="宋体"/>
          <w:color w:val="auto"/>
          <w:spacing w:val="-11"/>
          <w:sz w:val="24"/>
          <w:szCs w:val="24"/>
          <w:highlight w:val="none"/>
        </w:rPr>
        <w:t>，</w:t>
      </w:r>
      <w:r>
        <w:rPr>
          <w:rFonts w:ascii="宋体" w:hAnsi="宋体" w:eastAsia="宋体" w:cs="宋体"/>
          <w:color w:val="auto"/>
          <w:spacing w:val="7"/>
          <w:sz w:val="24"/>
          <w:szCs w:val="24"/>
          <w:highlight w:val="none"/>
          <w:u w:val="single" w:color="auto"/>
        </w:rPr>
        <w:t xml:space="preserve">                </w:t>
      </w:r>
      <w:r>
        <w:rPr>
          <w:rFonts w:ascii="宋体" w:hAnsi="宋体" w:eastAsia="宋体" w:cs="宋体"/>
          <w:color w:val="auto"/>
          <w:spacing w:val="-11"/>
          <w:sz w:val="24"/>
          <w:szCs w:val="24"/>
          <w:highlight w:val="none"/>
        </w:rPr>
        <w:t>（</w:t>
      </w:r>
      <w:r>
        <w:rPr>
          <w:rFonts w:ascii="宋体" w:hAnsi="宋体" w:eastAsia="宋体" w:cs="宋体"/>
          <w:color w:val="auto"/>
          <w:spacing w:val="-25"/>
          <w:sz w:val="24"/>
          <w:szCs w:val="24"/>
          <w:highlight w:val="none"/>
        </w:rPr>
        <w:t xml:space="preserve"> </w:t>
      </w:r>
      <w:r>
        <w:rPr>
          <w:rFonts w:ascii="宋体" w:hAnsi="宋体" w:eastAsia="宋体" w:cs="宋体"/>
          <w:i/>
          <w:iCs/>
          <w:color w:val="auto"/>
          <w:spacing w:val="-3"/>
          <w:sz w:val="25"/>
          <w:szCs w:val="25"/>
          <w:highlight w:val="none"/>
        </w:rPr>
        <w:t>项目名称</w:t>
      </w:r>
      <w:r>
        <w:rPr>
          <w:rFonts w:ascii="宋体" w:hAnsi="宋体" w:eastAsia="宋体" w:cs="宋体"/>
          <w:color w:val="auto"/>
          <w:spacing w:val="-3"/>
          <w:sz w:val="24"/>
          <w:szCs w:val="24"/>
          <w:highlight w:val="none"/>
        </w:rPr>
        <w:t>）的发包人</w:t>
      </w:r>
      <w:r>
        <w:rPr>
          <w:rFonts w:ascii="宋体" w:hAnsi="宋体" w:eastAsia="宋体" w:cs="宋体"/>
          <w:color w:val="auto"/>
          <w:spacing w:val="-118"/>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3"/>
          <w:sz w:val="24"/>
          <w:szCs w:val="24"/>
          <w:highlight w:val="none"/>
        </w:rPr>
        <w:t>（以下称</w:t>
      </w:r>
      <w:r>
        <w:rPr>
          <w:rFonts w:ascii="宋体" w:hAnsi="宋体" w:eastAsia="宋体" w:cs="宋体"/>
          <w:color w:val="auto"/>
          <w:spacing w:val="-1"/>
          <w:sz w:val="24"/>
          <w:szCs w:val="24"/>
          <w:highlight w:val="none"/>
        </w:rPr>
        <w:t>甲方）与承包人</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（以下称乙方</w:t>
      </w:r>
      <w:r>
        <w:rPr>
          <w:rFonts w:ascii="宋体" w:hAnsi="宋体" w:eastAsia="宋体" w:cs="宋体"/>
          <w:color w:val="auto"/>
          <w:spacing w:val="-2"/>
          <w:sz w:val="24"/>
          <w:szCs w:val="24"/>
          <w:highlight w:val="none"/>
        </w:rPr>
        <w:t>），</w:t>
      </w:r>
      <w:r>
        <w:rPr>
          <w:rFonts w:ascii="宋体" w:hAnsi="宋体" w:eastAsia="宋体" w:cs="宋体"/>
          <w:color w:val="auto"/>
          <w:spacing w:val="-1"/>
          <w:sz w:val="24"/>
          <w:szCs w:val="24"/>
          <w:highlight w:val="none"/>
        </w:rPr>
        <w:t>特订立如下责任</w:t>
      </w:r>
      <w:r>
        <w:rPr>
          <w:rFonts w:ascii="宋体" w:hAnsi="宋体" w:eastAsia="宋体" w:cs="宋体"/>
          <w:color w:val="auto"/>
          <w:spacing w:val="-2"/>
          <w:sz w:val="24"/>
          <w:szCs w:val="24"/>
          <w:highlight w:val="none"/>
        </w:rPr>
        <w:t>书。</w:t>
      </w:r>
    </w:p>
    <w:p w14:paraId="1D4C6D45">
      <w:pPr>
        <w:spacing w:line="219" w:lineRule="auto"/>
        <w:ind w:left="48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第一条</w:t>
      </w:r>
      <w:r>
        <w:rPr>
          <w:rFonts w:ascii="宋体" w:hAnsi="宋体" w:eastAsia="宋体" w:cs="宋体"/>
          <w:color w:val="auto"/>
          <w:spacing w:val="22"/>
          <w:sz w:val="24"/>
          <w:szCs w:val="24"/>
          <w:highlight w:val="none"/>
        </w:rPr>
        <w:t xml:space="preserve">  </w:t>
      </w:r>
      <w:r>
        <w:rPr>
          <w:rFonts w:ascii="宋体" w:hAnsi="宋体" w:eastAsia="宋体" w:cs="宋体"/>
          <w:color w:val="auto"/>
          <w:spacing w:val="-4"/>
          <w:sz w:val="24"/>
          <w:szCs w:val="24"/>
          <w:highlight w:val="none"/>
        </w:rPr>
        <w:t>甲乙双方的权利和义务</w:t>
      </w:r>
    </w:p>
    <w:p w14:paraId="7A08C35D">
      <w:pPr>
        <w:spacing w:before="182" w:line="220" w:lineRule="auto"/>
        <w:ind w:left="6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（一）严格遵守党和国家工程建设的有关法律法规及水利部门的有关规定。</w:t>
      </w:r>
    </w:p>
    <w:p w14:paraId="178FC56B">
      <w:pPr>
        <w:spacing w:before="180" w:line="220" w:lineRule="auto"/>
        <w:ind w:left="48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（二）严格执行</w:t>
      </w:r>
      <w:r>
        <w:rPr>
          <w:rFonts w:ascii="宋体" w:hAnsi="宋体" w:eastAsia="宋体" w:cs="宋体"/>
          <w:color w:val="auto"/>
          <w:spacing w:val="-92"/>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91"/>
          <w:sz w:val="24"/>
          <w:szCs w:val="24"/>
          <w:highlight w:val="none"/>
        </w:rPr>
        <w:t xml:space="preserve"> </w:t>
      </w:r>
      <w:r>
        <w:rPr>
          <w:rFonts w:ascii="宋体" w:hAnsi="宋体" w:eastAsia="宋体" w:cs="宋体"/>
          <w:color w:val="auto"/>
          <w:spacing w:val="-5"/>
          <w:sz w:val="24"/>
          <w:szCs w:val="24"/>
          <w:highlight w:val="none"/>
        </w:rPr>
        <w:t>的合同文件，自觉按合同办事。</w:t>
      </w:r>
    </w:p>
    <w:p w14:paraId="0E1DFE7A">
      <w:pPr>
        <w:spacing w:before="182" w:line="313" w:lineRule="auto"/>
        <w:ind w:left="2" w:right="87" w:firstLine="50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（三）双方的业务活动坚持公开、公平、公正、诚信、透明的</w:t>
      </w:r>
      <w:r>
        <w:rPr>
          <w:rFonts w:ascii="宋体" w:hAnsi="宋体" w:eastAsia="宋体" w:cs="宋体"/>
          <w:color w:val="auto"/>
          <w:spacing w:val="-5"/>
          <w:sz w:val="24"/>
          <w:szCs w:val="24"/>
          <w:highlight w:val="none"/>
        </w:rPr>
        <w:t>原则（除法律认定</w:t>
      </w:r>
      <w:r>
        <w:rPr>
          <w:rFonts w:ascii="宋体" w:hAnsi="宋体" w:eastAsia="宋体" w:cs="宋体"/>
          <w:color w:val="auto"/>
          <w:spacing w:val="-2"/>
          <w:sz w:val="24"/>
          <w:szCs w:val="24"/>
          <w:highlight w:val="none"/>
        </w:rPr>
        <w:t>的商业秘密和合同文件另有规定之外</w:t>
      </w:r>
      <w:r>
        <w:rPr>
          <w:rFonts w:ascii="宋体" w:hAnsi="宋体" w:eastAsia="宋体" w:cs="宋体"/>
          <w:color w:val="auto"/>
          <w:spacing w:val="-18"/>
          <w:sz w:val="24"/>
          <w:szCs w:val="24"/>
          <w:highlight w:val="none"/>
        </w:rPr>
        <w:t>），</w:t>
      </w:r>
      <w:r>
        <w:rPr>
          <w:rFonts w:ascii="宋体" w:hAnsi="宋体" w:eastAsia="宋体" w:cs="宋体"/>
          <w:color w:val="auto"/>
          <w:spacing w:val="-2"/>
          <w:sz w:val="24"/>
          <w:szCs w:val="24"/>
          <w:highlight w:val="none"/>
        </w:rPr>
        <w:t>不得损害国家和集体利益，违反工程建设管</w:t>
      </w:r>
      <w:r>
        <w:rPr>
          <w:rFonts w:ascii="宋体" w:hAnsi="宋体" w:eastAsia="宋体" w:cs="宋体"/>
          <w:color w:val="auto"/>
          <w:spacing w:val="-9"/>
          <w:sz w:val="24"/>
          <w:szCs w:val="24"/>
          <w:highlight w:val="none"/>
        </w:rPr>
        <w:t>理规定。</w:t>
      </w:r>
    </w:p>
    <w:p w14:paraId="11774E55">
      <w:pPr>
        <w:spacing w:before="180" w:line="289" w:lineRule="auto"/>
        <w:ind w:right="97" w:firstLine="509"/>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（四）建立健全廉政制度、监督制度和处罚制度， 开展</w:t>
      </w:r>
      <w:r>
        <w:rPr>
          <w:rFonts w:ascii="宋体" w:hAnsi="宋体" w:eastAsia="宋体" w:cs="宋体"/>
          <w:color w:val="auto"/>
          <w:spacing w:val="-8"/>
          <w:sz w:val="24"/>
          <w:szCs w:val="24"/>
          <w:highlight w:val="none"/>
        </w:rPr>
        <w:t>廉政教育，设立廉政告示</w:t>
      </w:r>
      <w:r>
        <w:rPr>
          <w:rFonts w:ascii="宋体" w:hAnsi="宋体" w:eastAsia="宋体" w:cs="宋体"/>
          <w:color w:val="auto"/>
          <w:spacing w:val="-5"/>
          <w:sz w:val="24"/>
          <w:szCs w:val="24"/>
          <w:highlight w:val="none"/>
        </w:rPr>
        <w:t>牌，公布举报电话。</w:t>
      </w:r>
    </w:p>
    <w:p w14:paraId="099DABDD">
      <w:pPr>
        <w:spacing w:before="181" w:line="290" w:lineRule="auto"/>
        <w:ind w:right="96" w:firstLine="50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（五）发现对方在业务活动中有违反廉政规定的行为，有及时提醒对方纠正</w:t>
      </w:r>
      <w:r>
        <w:rPr>
          <w:rFonts w:ascii="宋体" w:hAnsi="宋体" w:eastAsia="宋体" w:cs="宋体"/>
          <w:color w:val="auto"/>
          <w:spacing w:val="-5"/>
          <w:sz w:val="24"/>
          <w:szCs w:val="24"/>
          <w:highlight w:val="none"/>
        </w:rPr>
        <w:t>的权</w:t>
      </w:r>
      <w:r>
        <w:rPr>
          <w:rFonts w:ascii="宋体" w:hAnsi="宋体" w:eastAsia="宋体" w:cs="宋体"/>
          <w:color w:val="auto"/>
          <w:spacing w:val="-8"/>
          <w:sz w:val="24"/>
          <w:szCs w:val="24"/>
          <w:highlight w:val="none"/>
        </w:rPr>
        <w:t>利和义务。</w:t>
      </w:r>
    </w:p>
    <w:p w14:paraId="533E1069">
      <w:pPr>
        <w:spacing w:before="180" w:line="289" w:lineRule="auto"/>
        <w:ind w:left="2" w:firstLine="50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（六）发现对方严重违反本责任书义务条款的行为，有向</w:t>
      </w:r>
      <w:r>
        <w:rPr>
          <w:rFonts w:ascii="宋体" w:hAnsi="宋体" w:eastAsia="宋体" w:cs="宋体"/>
          <w:color w:val="auto"/>
          <w:spacing w:val="-2"/>
          <w:sz w:val="24"/>
          <w:szCs w:val="24"/>
          <w:highlight w:val="none"/>
        </w:rPr>
        <w:t>其上级有关部门举报、</w:t>
      </w:r>
      <w:r>
        <w:rPr>
          <w:rFonts w:ascii="宋体" w:hAnsi="宋体" w:eastAsia="宋体" w:cs="宋体"/>
          <w:color w:val="auto"/>
          <w:spacing w:val="-3"/>
          <w:sz w:val="24"/>
          <w:szCs w:val="24"/>
          <w:highlight w:val="none"/>
        </w:rPr>
        <w:t>建议给予处理并要求告知处理结果的权利。</w:t>
      </w:r>
    </w:p>
    <w:p w14:paraId="1F878EB5">
      <w:pPr>
        <w:spacing w:before="182" w:line="220" w:lineRule="auto"/>
        <w:ind w:left="480"/>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第二条</w:t>
      </w:r>
      <w:r>
        <w:rPr>
          <w:rFonts w:ascii="宋体" w:hAnsi="宋体" w:eastAsia="宋体" w:cs="宋体"/>
          <w:color w:val="auto"/>
          <w:spacing w:val="22"/>
          <w:sz w:val="24"/>
          <w:szCs w:val="24"/>
          <w:highlight w:val="none"/>
        </w:rPr>
        <w:t xml:space="preserve">  </w:t>
      </w:r>
      <w:r>
        <w:rPr>
          <w:rFonts w:ascii="宋体" w:hAnsi="宋体" w:eastAsia="宋体" w:cs="宋体"/>
          <w:color w:val="auto"/>
          <w:spacing w:val="-6"/>
          <w:sz w:val="24"/>
          <w:szCs w:val="24"/>
          <w:highlight w:val="none"/>
        </w:rPr>
        <w:t>甲方的义务</w:t>
      </w:r>
    </w:p>
    <w:p w14:paraId="544D0F45">
      <w:pPr>
        <w:spacing w:before="182" w:line="290" w:lineRule="auto"/>
        <w:ind w:left="3" w:right="21"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（一）甲方及其工作人员不得索要或接受乙方的礼金、礼券、有</w:t>
      </w:r>
      <w:r>
        <w:rPr>
          <w:rFonts w:ascii="宋体" w:hAnsi="宋体" w:eastAsia="宋体" w:cs="宋体"/>
          <w:color w:val="auto"/>
          <w:spacing w:val="-2"/>
          <w:sz w:val="24"/>
          <w:szCs w:val="24"/>
          <w:highlight w:val="none"/>
        </w:rPr>
        <w:t>价证券和物品，不得到乙方报销任何由甲方或个人支付的费</w:t>
      </w:r>
      <w:r>
        <w:rPr>
          <w:rFonts w:ascii="宋体" w:hAnsi="宋体" w:eastAsia="宋体" w:cs="宋体"/>
          <w:color w:val="auto"/>
          <w:spacing w:val="-3"/>
          <w:sz w:val="24"/>
          <w:szCs w:val="24"/>
          <w:highlight w:val="none"/>
        </w:rPr>
        <w:t>用等。</w:t>
      </w:r>
    </w:p>
    <w:p w14:paraId="6F24782A">
      <w:pPr>
        <w:spacing w:before="179" w:line="290" w:lineRule="auto"/>
        <w:ind w:left="1" w:right="119" w:firstLine="484"/>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（二）甲方不得有意刁难、拖延承包商工程款， 不得违反规定</w:t>
      </w:r>
      <w:r>
        <w:rPr>
          <w:rFonts w:ascii="宋体" w:hAnsi="宋体" w:eastAsia="宋体" w:cs="宋体"/>
          <w:color w:val="auto"/>
          <w:spacing w:val="-8"/>
          <w:sz w:val="24"/>
          <w:szCs w:val="24"/>
          <w:highlight w:val="none"/>
        </w:rPr>
        <w:t>批拨工程建设费用</w:t>
      </w:r>
      <w:r>
        <w:rPr>
          <w:rFonts w:ascii="宋体" w:hAnsi="宋体" w:eastAsia="宋体" w:cs="宋体"/>
          <w:color w:val="auto"/>
          <w:spacing w:val="-12"/>
          <w:sz w:val="24"/>
          <w:szCs w:val="24"/>
          <w:highlight w:val="none"/>
        </w:rPr>
        <w:t>等。</w:t>
      </w:r>
    </w:p>
    <w:p w14:paraId="24E39A80">
      <w:pPr>
        <w:spacing w:before="180" w:line="290" w:lineRule="auto"/>
        <w:ind w:right="106" w:firstLine="48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（三）甲方工作人员不得参加乙方安排的宴请和娱乐活动；不得接受乙方提供的</w:t>
      </w:r>
      <w:r>
        <w:rPr>
          <w:rFonts w:ascii="宋体" w:hAnsi="宋体" w:eastAsia="宋体" w:cs="宋体"/>
          <w:color w:val="auto"/>
          <w:spacing w:val="-3"/>
          <w:sz w:val="24"/>
          <w:szCs w:val="24"/>
          <w:highlight w:val="none"/>
        </w:rPr>
        <w:t>通讯工具、交通工具和高档办公用品等。</w:t>
      </w:r>
    </w:p>
    <w:p w14:paraId="5459626C">
      <w:pPr>
        <w:spacing w:before="181" w:line="289" w:lineRule="auto"/>
        <w:ind w:left="4" w:right="2" w:firstLine="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（四）甲方及其工作人员不得要求或者接受乙方为其住房装修、操办婚丧嫁娶、</w:t>
      </w:r>
      <w:r>
        <w:rPr>
          <w:rFonts w:ascii="宋体" w:hAnsi="宋体" w:eastAsia="宋体" w:cs="宋体"/>
          <w:color w:val="auto"/>
          <w:spacing w:val="-3"/>
          <w:sz w:val="24"/>
          <w:szCs w:val="24"/>
          <w:highlight w:val="none"/>
        </w:rPr>
        <w:t>安排配偶子女的工作以及出国出境、旅游等。</w:t>
      </w:r>
    </w:p>
    <w:p w14:paraId="1B3C0B81">
      <w:pPr>
        <w:spacing w:before="182" w:line="289" w:lineRule="auto"/>
        <w:ind w:left="2" w:right="98" w:firstLine="48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（五）甲方工作人员的配偶、子女及下属单位</w:t>
      </w:r>
      <w:r>
        <w:rPr>
          <w:rFonts w:ascii="宋体" w:hAnsi="宋体" w:eastAsia="宋体" w:cs="宋体"/>
          <w:color w:val="auto"/>
          <w:spacing w:val="-4"/>
          <w:sz w:val="24"/>
          <w:szCs w:val="24"/>
          <w:highlight w:val="none"/>
        </w:rPr>
        <w:t>不得从事与甲方工程有关的材料设</w:t>
      </w:r>
      <w:r>
        <w:rPr>
          <w:rFonts w:ascii="宋体" w:hAnsi="宋体" w:eastAsia="宋体" w:cs="宋体"/>
          <w:color w:val="auto"/>
          <w:spacing w:val="-3"/>
          <w:sz w:val="24"/>
          <w:szCs w:val="24"/>
          <w:highlight w:val="none"/>
        </w:rPr>
        <w:t>备供应、工程分包、劳务等经济活动。</w:t>
      </w:r>
    </w:p>
    <w:p w14:paraId="6391B464">
      <w:pPr>
        <w:spacing w:before="181" w:line="219" w:lineRule="auto"/>
        <w:ind w:left="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（六）甲方及其工作人员不得以任何理由向乙方推荐</w:t>
      </w:r>
      <w:r>
        <w:rPr>
          <w:rFonts w:ascii="宋体" w:hAnsi="宋体" w:eastAsia="宋体" w:cs="宋体"/>
          <w:color w:val="auto"/>
          <w:spacing w:val="-4"/>
          <w:sz w:val="24"/>
          <w:szCs w:val="24"/>
          <w:highlight w:val="none"/>
        </w:rPr>
        <w:t>分包单位，不得要求乙方购</w:t>
      </w:r>
    </w:p>
    <w:p w14:paraId="1D71F273">
      <w:pPr>
        <w:spacing w:line="219" w:lineRule="auto"/>
        <w:rPr>
          <w:rFonts w:ascii="宋体" w:hAnsi="宋体" w:eastAsia="宋体" w:cs="宋体"/>
          <w:color w:val="auto"/>
          <w:sz w:val="24"/>
          <w:szCs w:val="24"/>
          <w:highlight w:val="none"/>
        </w:rPr>
        <w:sectPr>
          <w:footerReference r:id="rId85" w:type="default"/>
          <w:pgSz w:w="11907" w:h="16841"/>
          <w:pgMar w:top="1425" w:right="1441" w:bottom="1254" w:left="1598" w:header="0" w:footer="1093" w:gutter="0"/>
          <w:pgNumType w:fmt="decimal"/>
          <w:cols w:space="720" w:num="1"/>
        </w:sectPr>
      </w:pPr>
    </w:p>
    <w:p w14:paraId="2EA7BE74">
      <w:pPr>
        <w:spacing w:before="47" w:line="219" w:lineRule="auto"/>
        <w:ind w:left="1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买合同规定外的材料和设备。</w:t>
      </w:r>
    </w:p>
    <w:p w14:paraId="00A3AC2A">
      <w:pPr>
        <w:spacing w:before="182" w:line="220" w:lineRule="auto"/>
        <w:ind w:left="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第三条</w:t>
      </w:r>
      <w:r>
        <w:rPr>
          <w:rFonts w:ascii="宋体" w:hAnsi="宋体" w:eastAsia="宋体" w:cs="宋体"/>
          <w:color w:val="auto"/>
          <w:spacing w:val="16"/>
          <w:sz w:val="24"/>
          <w:szCs w:val="24"/>
          <w:highlight w:val="none"/>
        </w:rPr>
        <w:t xml:space="preserve">  </w:t>
      </w:r>
      <w:r>
        <w:rPr>
          <w:rFonts w:ascii="宋体" w:hAnsi="宋体" w:eastAsia="宋体" w:cs="宋体"/>
          <w:color w:val="auto"/>
          <w:spacing w:val="-5"/>
          <w:sz w:val="24"/>
          <w:szCs w:val="24"/>
          <w:highlight w:val="none"/>
        </w:rPr>
        <w:t>乙方义务</w:t>
      </w:r>
    </w:p>
    <w:p w14:paraId="3F276EDF">
      <w:pPr>
        <w:spacing w:before="180" w:line="290" w:lineRule="auto"/>
        <w:ind w:right="14" w:firstLine="48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（一）乙方不得以任何理由向甲方及其工作</w:t>
      </w:r>
      <w:r>
        <w:rPr>
          <w:rFonts w:ascii="宋体" w:hAnsi="宋体" w:eastAsia="宋体" w:cs="宋体"/>
          <w:color w:val="auto"/>
          <w:spacing w:val="-4"/>
          <w:sz w:val="24"/>
          <w:szCs w:val="24"/>
          <w:highlight w:val="none"/>
        </w:rPr>
        <w:t>人员行贿或馈赠礼金、礼券、有价证</w:t>
      </w:r>
      <w:r>
        <w:rPr>
          <w:rFonts w:ascii="宋体" w:hAnsi="宋体" w:eastAsia="宋体" w:cs="宋体"/>
          <w:color w:val="auto"/>
          <w:spacing w:val="-7"/>
          <w:sz w:val="24"/>
          <w:szCs w:val="24"/>
          <w:highlight w:val="none"/>
        </w:rPr>
        <w:t>券、礼品。</w:t>
      </w:r>
    </w:p>
    <w:p w14:paraId="28B8B04B">
      <w:pPr>
        <w:spacing w:before="178" w:line="290" w:lineRule="auto"/>
        <w:ind w:right="20" w:firstLine="48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（二）乙方不得以任何名义为甲方及其工作人员报销应由甲方单位或个人支付的</w:t>
      </w:r>
      <w:r>
        <w:rPr>
          <w:rFonts w:ascii="宋体" w:hAnsi="宋体" w:eastAsia="宋体" w:cs="宋体"/>
          <w:color w:val="auto"/>
          <w:spacing w:val="-7"/>
          <w:sz w:val="24"/>
          <w:szCs w:val="24"/>
          <w:highlight w:val="none"/>
        </w:rPr>
        <w:t>任何费用。</w:t>
      </w:r>
    </w:p>
    <w:p w14:paraId="2A675910">
      <w:pPr>
        <w:spacing w:before="180" w:line="220"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（三）乙方不得要求甲方违反规定，批拨、追加工程建设费用等。</w:t>
      </w:r>
    </w:p>
    <w:p w14:paraId="57A0C288">
      <w:pPr>
        <w:spacing w:before="182" w:line="220" w:lineRule="auto"/>
        <w:ind w:left="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（四）乙方不得以任何理由安排甲方工作人员参加宴请及娱乐活动。</w:t>
      </w:r>
    </w:p>
    <w:p w14:paraId="6BAF541A">
      <w:pPr>
        <w:spacing w:before="180" w:line="290" w:lineRule="auto"/>
        <w:ind w:left="2" w:right="12" w:firstLine="48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（五）乙方不得为甲方单位和个人购置或提供</w:t>
      </w:r>
      <w:r>
        <w:rPr>
          <w:rFonts w:ascii="宋体" w:hAnsi="宋体" w:eastAsia="宋体" w:cs="宋体"/>
          <w:color w:val="auto"/>
          <w:spacing w:val="-4"/>
          <w:sz w:val="24"/>
          <w:szCs w:val="24"/>
          <w:highlight w:val="none"/>
        </w:rPr>
        <w:t>通讯工具、交通工具和高档办公室</w:t>
      </w:r>
      <w:r>
        <w:rPr>
          <w:rFonts w:ascii="宋体" w:hAnsi="宋体" w:eastAsia="宋体" w:cs="宋体"/>
          <w:color w:val="auto"/>
          <w:spacing w:val="-9"/>
          <w:sz w:val="24"/>
          <w:szCs w:val="24"/>
          <w:highlight w:val="none"/>
        </w:rPr>
        <w:t>用品等。</w:t>
      </w:r>
    </w:p>
    <w:p w14:paraId="6DB7BBAE">
      <w:pPr>
        <w:spacing w:before="179" w:line="220" w:lineRule="auto"/>
        <w:ind w:left="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第四条  违约责任</w:t>
      </w:r>
    </w:p>
    <w:p w14:paraId="2A8AEAE1">
      <w:pPr>
        <w:spacing w:before="181" w:line="313" w:lineRule="auto"/>
        <w:ind w:right="3" w:firstLine="487"/>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（一）甲方及其工作人员违反本责任书第一、二</w:t>
      </w:r>
      <w:r>
        <w:rPr>
          <w:rFonts w:ascii="宋体" w:hAnsi="宋体" w:eastAsia="宋体" w:cs="宋体"/>
          <w:color w:val="auto"/>
          <w:spacing w:val="-7"/>
          <w:sz w:val="24"/>
          <w:szCs w:val="24"/>
          <w:highlight w:val="none"/>
        </w:rPr>
        <w:t>条， 按管理权限，依据有关规定</w:t>
      </w:r>
      <w:r>
        <w:rPr>
          <w:rFonts w:ascii="宋体" w:hAnsi="宋体" w:eastAsia="宋体" w:cs="宋体"/>
          <w:color w:val="auto"/>
          <w:spacing w:val="-6"/>
          <w:sz w:val="24"/>
          <w:szCs w:val="24"/>
          <w:highlight w:val="none"/>
        </w:rPr>
        <w:t>给予党纪、政纪或组织处理； 涉嫌犯罪的，移送司法机关追究刑事责任；给乙方单位</w:t>
      </w:r>
      <w:r>
        <w:rPr>
          <w:rFonts w:ascii="宋体" w:hAnsi="宋体" w:eastAsia="宋体" w:cs="宋体"/>
          <w:color w:val="auto"/>
          <w:spacing w:val="-3"/>
          <w:sz w:val="24"/>
          <w:szCs w:val="24"/>
          <w:highlight w:val="none"/>
        </w:rPr>
        <w:t>造成经济损失的，应予以赔偿。</w:t>
      </w:r>
    </w:p>
    <w:p w14:paraId="0B43A008">
      <w:pPr>
        <w:spacing w:before="178" w:line="325" w:lineRule="auto"/>
        <w:ind w:right="1" w:firstLine="487"/>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（二）乙方及其工作人员违反本责任书第一、三条，按管理权限，依据有关规定，</w:t>
      </w:r>
      <w:r>
        <w:rPr>
          <w:rFonts w:ascii="宋体" w:hAnsi="宋体" w:eastAsia="宋体" w:cs="宋体"/>
          <w:color w:val="auto"/>
          <w:spacing w:val="-3"/>
          <w:sz w:val="24"/>
          <w:szCs w:val="24"/>
          <w:highlight w:val="none"/>
        </w:rPr>
        <w:t>给予党纪、政纪、组织处理或停止承接业务处理；给甲方单位造成经济损失的，应予以赔偿；情节严重的，甲方建议有关工程建设主管部门给予乙方</w:t>
      </w: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3</w:t>
      </w:r>
      <w:r>
        <w:rPr>
          <w:rFonts w:ascii="宋体" w:hAnsi="宋体" w:eastAsia="宋体" w:cs="宋体"/>
          <w:color w:val="auto"/>
          <w:spacing w:val="-3"/>
          <w:sz w:val="24"/>
          <w:szCs w:val="24"/>
          <w:highlight w:val="none"/>
        </w:rPr>
        <w:t>年内不得参与工</w:t>
      </w:r>
      <w:r>
        <w:rPr>
          <w:rFonts w:ascii="宋体" w:hAnsi="宋体" w:eastAsia="宋体" w:cs="宋体"/>
          <w:color w:val="auto"/>
          <w:spacing w:val="-4"/>
          <w:sz w:val="24"/>
          <w:szCs w:val="24"/>
          <w:highlight w:val="none"/>
        </w:rPr>
        <w:t>程建设项目投标的处罚。</w:t>
      </w:r>
    </w:p>
    <w:p w14:paraId="6A3FE79C">
      <w:pPr>
        <w:spacing w:before="181" w:line="220" w:lineRule="auto"/>
        <w:ind w:left="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第五条  双方约定</w:t>
      </w:r>
    </w:p>
    <w:p w14:paraId="384116BD">
      <w:pPr>
        <w:spacing w:before="181" w:line="359" w:lineRule="auto"/>
        <w:ind w:right="1" w:firstLine="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本责任书由纪检监察机关负责监督执行。纪检监察机关对本责任书执行情况进行</w:t>
      </w:r>
      <w:r>
        <w:rPr>
          <w:rFonts w:ascii="宋体" w:hAnsi="宋体" w:eastAsia="宋体" w:cs="宋体"/>
          <w:color w:val="auto"/>
          <w:spacing w:val="-2"/>
          <w:sz w:val="24"/>
          <w:szCs w:val="24"/>
          <w:highlight w:val="none"/>
        </w:rPr>
        <w:t>抽查。提出属于本责任书规定范围的处理意见。</w:t>
      </w:r>
    </w:p>
    <w:p w14:paraId="2284C495">
      <w:pPr>
        <w:spacing w:before="1" w:line="218" w:lineRule="auto"/>
        <w:ind w:left="449"/>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rPr>
        <w:t>第六条 本责任书有效期同甲乙双方签署之日起至该工程项目工程款支付完结时止。</w:t>
      </w:r>
    </w:p>
    <w:p w14:paraId="42F47724">
      <w:pPr>
        <w:spacing w:before="183" w:line="289" w:lineRule="auto"/>
        <w:ind w:right="1" w:firstLine="44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第七条 本责任书作为本工程施工承包合同的附件，与工</w:t>
      </w:r>
      <w:r>
        <w:rPr>
          <w:rFonts w:ascii="宋体" w:hAnsi="宋体" w:eastAsia="宋体" w:cs="宋体"/>
          <w:color w:val="auto"/>
          <w:spacing w:val="-6"/>
          <w:sz w:val="24"/>
          <w:szCs w:val="24"/>
          <w:highlight w:val="none"/>
        </w:rPr>
        <w:t>程施工合同具有同等的法</w:t>
      </w:r>
      <w:r>
        <w:rPr>
          <w:rFonts w:ascii="宋体" w:hAnsi="宋体" w:eastAsia="宋体" w:cs="宋体"/>
          <w:color w:val="auto"/>
          <w:spacing w:val="-3"/>
          <w:sz w:val="24"/>
          <w:szCs w:val="24"/>
          <w:highlight w:val="none"/>
        </w:rPr>
        <w:t>律效力，经甲、乙双方签署后生效。</w:t>
      </w:r>
    </w:p>
    <w:p w14:paraId="5A576A1B">
      <w:pPr>
        <w:spacing w:before="182" w:line="219" w:lineRule="auto"/>
        <w:ind w:left="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第八条 本责任书甲、乙双方各执一份，送交监督单位一份。</w:t>
      </w:r>
    </w:p>
    <w:p w14:paraId="582D2D30">
      <w:pPr>
        <w:spacing w:before="181" w:line="219" w:lineRule="auto"/>
        <w:ind w:right="42"/>
        <w:jc w:val="right"/>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甲方</w:t>
      </w:r>
      <w:r>
        <w:rPr>
          <w:rFonts w:ascii="宋体" w:hAnsi="宋体" w:eastAsia="宋体" w:cs="宋体"/>
          <w:color w:val="auto"/>
          <w:spacing w:val="-7"/>
          <w:sz w:val="24"/>
          <w:szCs w:val="24"/>
          <w:highlight w:val="none"/>
        </w:rPr>
        <w:t>：</w:t>
      </w:r>
      <w:r>
        <w:rPr>
          <w:rFonts w:ascii="宋体" w:hAnsi="宋体" w:eastAsia="宋体" w:cs="宋体"/>
          <w:color w:val="auto"/>
          <w:spacing w:val="7"/>
          <w:sz w:val="24"/>
          <w:szCs w:val="24"/>
          <w:highlight w:val="none"/>
        </w:rPr>
        <w:t xml:space="preserve">                 </w:t>
      </w:r>
      <w:r>
        <w:rPr>
          <w:rFonts w:ascii="宋体" w:hAnsi="宋体" w:eastAsia="宋体" w:cs="宋体"/>
          <w:color w:val="auto"/>
          <w:spacing w:val="-7"/>
          <w:sz w:val="24"/>
          <w:szCs w:val="24"/>
          <w:highlight w:val="none"/>
        </w:rPr>
        <w:t>（</w:t>
      </w:r>
      <w:r>
        <w:rPr>
          <w:rFonts w:ascii="宋体" w:hAnsi="宋体" w:eastAsia="宋体" w:cs="宋体"/>
          <w:color w:val="auto"/>
          <w:spacing w:val="-6"/>
          <w:sz w:val="24"/>
          <w:szCs w:val="24"/>
          <w:highlight w:val="none"/>
        </w:rPr>
        <w:t>盖章）</w:t>
      </w:r>
      <w:r>
        <w:rPr>
          <w:rFonts w:ascii="宋体" w:hAnsi="宋体" w:eastAsia="宋体" w:cs="宋体"/>
          <w:color w:val="auto"/>
          <w:spacing w:val="3"/>
          <w:sz w:val="24"/>
          <w:szCs w:val="24"/>
          <w:highlight w:val="none"/>
        </w:rPr>
        <w:t xml:space="preserve">          </w:t>
      </w:r>
      <w:r>
        <w:rPr>
          <w:rFonts w:ascii="宋体" w:hAnsi="宋体" w:eastAsia="宋体" w:cs="宋体"/>
          <w:color w:val="auto"/>
          <w:spacing w:val="-6"/>
          <w:sz w:val="24"/>
          <w:szCs w:val="24"/>
          <w:highlight w:val="none"/>
        </w:rPr>
        <w:t>乙方</w:t>
      </w:r>
      <w:r>
        <w:rPr>
          <w:rFonts w:ascii="宋体" w:hAnsi="宋体" w:eastAsia="宋体" w:cs="宋体"/>
          <w:color w:val="auto"/>
          <w:spacing w:val="-7"/>
          <w:sz w:val="24"/>
          <w:szCs w:val="24"/>
          <w:highlight w:val="none"/>
        </w:rPr>
        <w:t>：</w:t>
      </w:r>
      <w:r>
        <w:rPr>
          <w:rFonts w:ascii="宋体" w:hAnsi="宋体" w:eastAsia="宋体" w:cs="宋体"/>
          <w:color w:val="auto"/>
          <w:spacing w:val="10"/>
          <w:sz w:val="24"/>
          <w:szCs w:val="24"/>
          <w:highlight w:val="none"/>
        </w:rPr>
        <w:t xml:space="preserve">            </w:t>
      </w:r>
      <w:r>
        <w:rPr>
          <w:rFonts w:ascii="宋体" w:hAnsi="宋体" w:eastAsia="宋体" w:cs="宋体"/>
          <w:color w:val="auto"/>
          <w:spacing w:val="-7"/>
          <w:sz w:val="24"/>
          <w:szCs w:val="24"/>
          <w:highlight w:val="none"/>
        </w:rPr>
        <w:t>（</w:t>
      </w:r>
      <w:r>
        <w:rPr>
          <w:rFonts w:ascii="宋体" w:hAnsi="宋体" w:eastAsia="宋体" w:cs="宋体"/>
          <w:color w:val="auto"/>
          <w:spacing w:val="-6"/>
          <w:sz w:val="24"/>
          <w:szCs w:val="24"/>
          <w:highlight w:val="none"/>
        </w:rPr>
        <w:t>盖章）</w:t>
      </w:r>
    </w:p>
    <w:p w14:paraId="437372EB">
      <w:pPr>
        <w:spacing w:before="183" w:line="220" w:lineRule="auto"/>
        <w:ind w:left="48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法定代表人：</w:t>
      </w:r>
      <w:r>
        <w:rPr>
          <w:rFonts w:ascii="宋体" w:hAnsi="宋体" w:eastAsia="宋体" w:cs="宋体"/>
          <w:color w:val="auto"/>
          <w:sz w:val="24"/>
          <w:szCs w:val="24"/>
          <w:highlight w:val="none"/>
        </w:rPr>
        <w:t xml:space="preserve">                              </w:t>
      </w:r>
      <w:r>
        <w:rPr>
          <w:rFonts w:ascii="宋体" w:hAnsi="宋体" w:eastAsia="宋体" w:cs="宋体"/>
          <w:color w:val="auto"/>
          <w:spacing w:val="-6"/>
          <w:sz w:val="24"/>
          <w:szCs w:val="24"/>
          <w:highlight w:val="none"/>
        </w:rPr>
        <w:t>法定代表人：</w:t>
      </w:r>
    </w:p>
    <w:p w14:paraId="38843461">
      <w:pPr>
        <w:spacing w:before="180" w:line="229" w:lineRule="auto"/>
        <w:ind w:left="48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地址：                                     地址：</w:t>
      </w:r>
    </w:p>
    <w:p w14:paraId="25A6CD9F">
      <w:pPr>
        <w:spacing w:before="170" w:line="222" w:lineRule="auto"/>
        <w:ind w:left="509"/>
        <w:rPr>
          <w:rFonts w:ascii="宋体" w:hAnsi="宋体" w:eastAsia="宋体" w:cs="宋体"/>
          <w:color w:val="auto"/>
          <w:sz w:val="24"/>
          <w:szCs w:val="24"/>
          <w:highlight w:val="none"/>
        </w:rPr>
      </w:pPr>
      <w:r>
        <w:rPr>
          <w:rFonts w:ascii="宋体" w:hAnsi="宋体" w:eastAsia="宋体" w:cs="宋体"/>
          <w:color w:val="auto"/>
          <w:spacing w:val="-17"/>
          <w:sz w:val="24"/>
          <w:szCs w:val="24"/>
          <w:highlight w:val="none"/>
        </w:rPr>
        <w:t>电话：</w:t>
      </w:r>
      <w:r>
        <w:rPr>
          <w:rFonts w:ascii="宋体" w:hAnsi="宋体" w:eastAsia="宋体" w:cs="宋体"/>
          <w:color w:val="auto"/>
          <w:spacing w:val="1"/>
          <w:sz w:val="24"/>
          <w:szCs w:val="24"/>
          <w:highlight w:val="none"/>
        </w:rPr>
        <w:t xml:space="preserve">                                    </w:t>
      </w:r>
      <w:r>
        <w:rPr>
          <w:rFonts w:ascii="宋体" w:hAnsi="宋体" w:eastAsia="宋体" w:cs="宋体"/>
          <w:color w:val="auto"/>
          <w:spacing w:val="-17"/>
          <w:sz w:val="24"/>
          <w:szCs w:val="24"/>
          <w:highlight w:val="none"/>
        </w:rPr>
        <w:t>电话：</w:t>
      </w:r>
    </w:p>
    <w:p w14:paraId="7EFB9B26">
      <w:pPr>
        <w:spacing w:before="177" w:line="220" w:lineRule="auto"/>
        <w:ind w:left="1561"/>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年</w:t>
      </w:r>
      <w:r>
        <w:rPr>
          <w:rFonts w:ascii="宋体" w:hAnsi="宋体" w:eastAsia="宋体" w:cs="宋体"/>
          <w:color w:val="auto"/>
          <w:spacing w:val="3"/>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13"/>
          <w:sz w:val="24"/>
          <w:szCs w:val="24"/>
          <w:highlight w:val="none"/>
        </w:rPr>
        <w:t xml:space="preserve">    </w:t>
      </w:r>
      <w:r>
        <w:rPr>
          <w:rFonts w:ascii="宋体" w:hAnsi="宋体" w:eastAsia="宋体" w:cs="宋体"/>
          <w:color w:val="auto"/>
          <w:spacing w:val="-9"/>
          <w:sz w:val="24"/>
          <w:szCs w:val="24"/>
          <w:highlight w:val="none"/>
        </w:rPr>
        <w:t xml:space="preserve">日                        </w:t>
      </w:r>
      <w:r>
        <w:rPr>
          <w:rFonts w:ascii="宋体" w:hAnsi="宋体" w:eastAsia="宋体" w:cs="宋体"/>
          <w:color w:val="auto"/>
          <w:spacing w:val="-10"/>
          <w:sz w:val="24"/>
          <w:szCs w:val="24"/>
          <w:highlight w:val="none"/>
        </w:rPr>
        <w:t xml:space="preserve">      年</w:t>
      </w:r>
      <w:r>
        <w:rPr>
          <w:rFonts w:ascii="宋体" w:hAnsi="宋体" w:eastAsia="宋体" w:cs="宋体"/>
          <w:color w:val="auto"/>
          <w:spacing w:val="4"/>
          <w:sz w:val="24"/>
          <w:szCs w:val="24"/>
          <w:highlight w:val="none"/>
        </w:rPr>
        <w:t xml:space="preserve">    </w:t>
      </w:r>
      <w:r>
        <w:rPr>
          <w:rFonts w:ascii="宋体" w:hAnsi="宋体" w:eastAsia="宋体" w:cs="宋体"/>
          <w:color w:val="auto"/>
          <w:spacing w:val="-10"/>
          <w:sz w:val="24"/>
          <w:szCs w:val="24"/>
          <w:highlight w:val="none"/>
        </w:rPr>
        <w:t>月</w:t>
      </w:r>
      <w:r>
        <w:rPr>
          <w:rFonts w:ascii="宋体" w:hAnsi="宋体" w:eastAsia="宋体" w:cs="宋体"/>
          <w:color w:val="auto"/>
          <w:spacing w:val="13"/>
          <w:sz w:val="24"/>
          <w:szCs w:val="24"/>
          <w:highlight w:val="none"/>
        </w:rPr>
        <w:t xml:space="preserve">    </w:t>
      </w:r>
      <w:r>
        <w:rPr>
          <w:rFonts w:ascii="宋体" w:hAnsi="宋体" w:eastAsia="宋体" w:cs="宋体"/>
          <w:color w:val="auto"/>
          <w:spacing w:val="-10"/>
          <w:sz w:val="24"/>
          <w:szCs w:val="24"/>
          <w:highlight w:val="none"/>
        </w:rPr>
        <w:t>日</w:t>
      </w:r>
    </w:p>
    <w:p w14:paraId="42F4F394">
      <w:pPr>
        <w:spacing w:line="220" w:lineRule="auto"/>
        <w:rPr>
          <w:rFonts w:ascii="宋体" w:hAnsi="宋体" w:eastAsia="宋体" w:cs="宋体"/>
          <w:color w:val="auto"/>
          <w:sz w:val="24"/>
          <w:szCs w:val="24"/>
          <w:highlight w:val="none"/>
        </w:rPr>
        <w:sectPr>
          <w:footerReference r:id="rId86" w:type="default"/>
          <w:pgSz w:w="11907" w:h="16841"/>
          <w:pgMar w:top="1428" w:right="1527" w:bottom="1254" w:left="1597" w:header="0" w:footer="1093" w:gutter="0"/>
          <w:pgNumType w:fmt="decimal"/>
          <w:cols w:space="720" w:num="1"/>
        </w:sectPr>
      </w:pPr>
    </w:p>
    <w:p w14:paraId="41BB773E">
      <w:pPr>
        <w:spacing w:before="56" w:line="219" w:lineRule="auto"/>
        <w:ind w:left="24"/>
        <w:outlineLvl w:val="1"/>
        <w:rPr>
          <w:rFonts w:ascii="宋体" w:hAnsi="宋体" w:eastAsia="宋体" w:cs="宋体"/>
          <w:color w:val="auto"/>
          <w:sz w:val="28"/>
          <w:szCs w:val="28"/>
          <w:highlight w:val="none"/>
        </w:rPr>
      </w:pPr>
      <w:bookmarkStart w:id="1042" w:name="bookmark391"/>
      <w:bookmarkEnd w:id="1042"/>
      <w:bookmarkStart w:id="1043" w:name="_Toc19339"/>
      <w:bookmarkStart w:id="1044" w:name="_Toc4565"/>
      <w:r>
        <w:rPr>
          <w:rFonts w:ascii="宋体" w:hAnsi="宋体" w:eastAsia="宋体" w:cs="宋体"/>
          <w:b/>
          <w:bCs/>
          <w:color w:val="auto"/>
          <w:spacing w:val="-5"/>
          <w:sz w:val="28"/>
          <w:szCs w:val="28"/>
          <w:highlight w:val="none"/>
        </w:rPr>
        <w:t>附件四</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5"/>
          <w:sz w:val="28"/>
          <w:szCs w:val="28"/>
          <w:highlight w:val="none"/>
        </w:rPr>
        <w:t>安全生产协议书（格式）</w:t>
      </w:r>
      <w:bookmarkEnd w:id="1043"/>
      <w:bookmarkEnd w:id="1044"/>
    </w:p>
    <w:p w14:paraId="3C996C16">
      <w:pPr>
        <w:pStyle w:val="3"/>
        <w:spacing w:line="246" w:lineRule="auto"/>
        <w:rPr>
          <w:color w:val="auto"/>
          <w:highlight w:val="none"/>
        </w:rPr>
      </w:pPr>
    </w:p>
    <w:p w14:paraId="2D9465F9">
      <w:pPr>
        <w:spacing w:before="78" w:line="219" w:lineRule="auto"/>
        <w:ind w:left="3555"/>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安全生产协议书</w:t>
      </w:r>
    </w:p>
    <w:p w14:paraId="023364E3">
      <w:pPr>
        <w:spacing w:before="180" w:line="219" w:lineRule="auto"/>
        <w:ind w:left="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发包人</w:t>
      </w:r>
      <w:r>
        <w:rPr>
          <w:rFonts w:ascii="宋体" w:hAnsi="宋体" w:eastAsia="宋体" w:cs="宋体"/>
          <w:color w:val="auto"/>
          <w:spacing w:val="-3"/>
          <w:sz w:val="24"/>
          <w:szCs w:val="24"/>
          <w:highlight w:val="none"/>
        </w:rPr>
        <w:t>：</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2"/>
          <w:sz w:val="24"/>
          <w:szCs w:val="24"/>
          <w:highlight w:val="none"/>
        </w:rPr>
        <w:t>以下简称“甲方”）</w:t>
      </w:r>
    </w:p>
    <w:p w14:paraId="44338569">
      <w:pPr>
        <w:pStyle w:val="3"/>
        <w:spacing w:line="258" w:lineRule="auto"/>
        <w:rPr>
          <w:color w:val="auto"/>
          <w:highlight w:val="none"/>
        </w:rPr>
      </w:pPr>
    </w:p>
    <w:p w14:paraId="53F221DA">
      <w:pPr>
        <w:pStyle w:val="3"/>
        <w:spacing w:line="259" w:lineRule="auto"/>
        <w:rPr>
          <w:color w:val="auto"/>
          <w:highlight w:val="none"/>
        </w:rPr>
      </w:pPr>
    </w:p>
    <w:p w14:paraId="1110DF4E">
      <w:pPr>
        <w:spacing w:before="78" w:line="219" w:lineRule="auto"/>
        <w:ind w:left="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承包人</w:t>
      </w:r>
      <w:r>
        <w:rPr>
          <w:rFonts w:ascii="宋体" w:hAnsi="宋体" w:eastAsia="宋体" w:cs="宋体"/>
          <w:color w:val="auto"/>
          <w:spacing w:val="-1"/>
          <w:sz w:val="24"/>
          <w:szCs w:val="24"/>
          <w:highlight w:val="none"/>
        </w:rPr>
        <w:t>：</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2"/>
          <w:sz w:val="24"/>
          <w:szCs w:val="24"/>
          <w:highlight w:val="none"/>
        </w:rPr>
        <w:t>以下简称“乙方”）</w:t>
      </w:r>
    </w:p>
    <w:p w14:paraId="3B6F9B29">
      <w:pPr>
        <w:pStyle w:val="3"/>
        <w:spacing w:line="258" w:lineRule="auto"/>
        <w:rPr>
          <w:color w:val="auto"/>
          <w:highlight w:val="none"/>
        </w:rPr>
      </w:pPr>
    </w:p>
    <w:p w14:paraId="17999D26">
      <w:pPr>
        <w:pStyle w:val="3"/>
        <w:spacing w:line="258" w:lineRule="auto"/>
        <w:rPr>
          <w:color w:val="auto"/>
          <w:highlight w:val="none"/>
        </w:rPr>
      </w:pPr>
    </w:p>
    <w:p w14:paraId="03458499">
      <w:pPr>
        <w:spacing w:before="78" w:line="355" w:lineRule="auto"/>
        <w:ind w:left="4" w:right="14" w:firstLine="479"/>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为认真贯彻落实“安全第一、预防为主、综合治理”</w:t>
      </w:r>
      <w:r>
        <w:rPr>
          <w:rFonts w:ascii="宋体" w:hAnsi="宋体" w:eastAsia="宋体" w:cs="宋体"/>
          <w:color w:val="auto"/>
          <w:spacing w:val="-4"/>
          <w:sz w:val="24"/>
          <w:szCs w:val="24"/>
          <w:highlight w:val="none"/>
        </w:rPr>
        <w:t>的安全生产方针，切实做好</w:t>
      </w:r>
      <w:r>
        <w:rPr>
          <w:rFonts w:ascii="宋体" w:hAnsi="宋体" w:eastAsia="宋体" w:cs="宋体"/>
          <w:color w:val="auto"/>
          <w:spacing w:val="-3"/>
          <w:sz w:val="24"/>
          <w:szCs w:val="24"/>
          <w:highlight w:val="none"/>
        </w:rPr>
        <w:t>（</w:t>
      </w:r>
      <w:r>
        <w:rPr>
          <w:rFonts w:ascii="宋体" w:hAnsi="宋体" w:eastAsia="宋体" w:cs="宋体"/>
          <w:i/>
          <w:iCs/>
          <w:color w:val="auto"/>
          <w:spacing w:val="-3"/>
          <w:sz w:val="25"/>
          <w:szCs w:val="25"/>
          <w:highlight w:val="none"/>
        </w:rPr>
        <w:t>项目名称</w:t>
      </w:r>
      <w:r>
        <w:rPr>
          <w:rFonts w:ascii="宋体" w:hAnsi="宋体" w:eastAsia="宋体" w:cs="宋体"/>
          <w:color w:val="auto"/>
          <w:spacing w:val="-52"/>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52"/>
          <w:sz w:val="24"/>
          <w:szCs w:val="24"/>
          <w:highlight w:val="none"/>
        </w:rPr>
        <w:t>（</w:t>
      </w:r>
      <w:r>
        <w:rPr>
          <w:rFonts w:ascii="宋体" w:hAnsi="宋体" w:eastAsia="宋体" w:cs="宋体"/>
          <w:i/>
          <w:iCs/>
          <w:color w:val="auto"/>
          <w:spacing w:val="-3"/>
          <w:sz w:val="25"/>
          <w:szCs w:val="25"/>
          <w:highlight w:val="none"/>
        </w:rPr>
        <w:t>标段名称</w:t>
      </w:r>
      <w:r>
        <w:rPr>
          <w:rFonts w:ascii="宋体" w:hAnsi="宋体" w:eastAsia="宋体" w:cs="宋体"/>
          <w:color w:val="auto"/>
          <w:spacing w:val="-3"/>
          <w:sz w:val="24"/>
          <w:szCs w:val="24"/>
          <w:highlight w:val="none"/>
        </w:rPr>
        <w:t>）施工合同实施期间的安全</w:t>
      </w:r>
      <w:r>
        <w:rPr>
          <w:rFonts w:ascii="宋体" w:hAnsi="宋体" w:eastAsia="宋体" w:cs="宋体"/>
          <w:color w:val="auto"/>
          <w:spacing w:val="-4"/>
          <w:sz w:val="24"/>
          <w:szCs w:val="24"/>
          <w:highlight w:val="none"/>
        </w:rPr>
        <w:t>管理工作，确保不</w:t>
      </w:r>
      <w:r>
        <w:rPr>
          <w:rFonts w:ascii="宋体" w:hAnsi="宋体" w:eastAsia="宋体" w:cs="宋体"/>
          <w:color w:val="auto"/>
          <w:spacing w:val="-3"/>
          <w:sz w:val="24"/>
          <w:szCs w:val="24"/>
          <w:highlight w:val="none"/>
        </w:rPr>
        <w:t>发生安全生产事故，特此签订安全生产协议书。</w:t>
      </w:r>
    </w:p>
    <w:p w14:paraId="585A6BE4">
      <w:pPr>
        <w:spacing w:before="57" w:line="183" w:lineRule="auto"/>
        <w:ind w:left="475"/>
        <w:rPr>
          <w:rFonts w:ascii="微软雅黑" w:hAnsi="微软雅黑" w:eastAsia="微软雅黑" w:cs="微软雅黑"/>
          <w:color w:val="auto"/>
          <w:sz w:val="24"/>
          <w:szCs w:val="24"/>
          <w:highlight w:val="none"/>
        </w:rPr>
      </w:pPr>
      <w:r>
        <w:rPr>
          <w:rFonts w:ascii="微软雅黑" w:hAnsi="微软雅黑" w:eastAsia="微软雅黑" w:cs="微软雅黑"/>
          <w:color w:val="auto"/>
          <w:spacing w:val="-2"/>
          <w:sz w:val="24"/>
          <w:szCs w:val="24"/>
          <w:highlight w:val="none"/>
        </w:rPr>
        <w:t>一、甲方职责</w:t>
      </w:r>
    </w:p>
    <w:p w14:paraId="10169B7B">
      <w:pPr>
        <w:spacing w:before="240" w:line="220" w:lineRule="auto"/>
        <w:ind w:left="499"/>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严格遵守安全生产法律法规，认真执行工程承包合同中的有关安全要求。</w:t>
      </w:r>
    </w:p>
    <w:p w14:paraId="01DFAAEC">
      <w:pPr>
        <w:spacing w:before="184" w:line="288" w:lineRule="auto"/>
        <w:ind w:right="4" w:firstLine="475"/>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项目开工前成立安全生产领导小组，设置安全生产管理机构，配备专</w:t>
      </w:r>
      <w:r>
        <w:rPr>
          <w:rFonts w:ascii="宋体" w:hAnsi="宋体" w:eastAsia="宋体" w:cs="宋体"/>
          <w:color w:val="auto"/>
          <w:spacing w:val="-2"/>
          <w:sz w:val="24"/>
          <w:szCs w:val="24"/>
          <w:highlight w:val="none"/>
        </w:rPr>
        <w:t>职安全生产管理人员。明确领导小组、管理机构及专职安全生产管理人员职责。</w:t>
      </w:r>
    </w:p>
    <w:p w14:paraId="271C196C">
      <w:pPr>
        <w:spacing w:before="184" w:line="289" w:lineRule="auto"/>
        <w:ind w:left="12" w:firstLine="469"/>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坚持“管生产必须管安全”的原则进行安全生产管理，做到生产与安</w:t>
      </w:r>
      <w:r>
        <w:rPr>
          <w:rFonts w:ascii="宋体" w:hAnsi="宋体" w:eastAsia="宋体" w:cs="宋体"/>
          <w:color w:val="auto"/>
          <w:spacing w:val="-2"/>
          <w:sz w:val="24"/>
          <w:szCs w:val="24"/>
          <w:highlight w:val="none"/>
        </w:rPr>
        <w:t>全工作同</w:t>
      </w:r>
      <w:r>
        <w:rPr>
          <w:rFonts w:ascii="宋体" w:hAnsi="宋体" w:eastAsia="宋体" w:cs="宋体"/>
          <w:color w:val="auto"/>
          <w:spacing w:val="-4"/>
          <w:sz w:val="24"/>
          <w:szCs w:val="24"/>
          <w:highlight w:val="none"/>
        </w:rPr>
        <w:t>时计划、布置、检查、总结和评比。</w:t>
      </w:r>
    </w:p>
    <w:p w14:paraId="73C17B61">
      <w:pPr>
        <w:spacing w:before="181" w:line="290" w:lineRule="auto"/>
        <w:ind w:left="24" w:right="58" w:firstLine="450"/>
        <w:rPr>
          <w:rFonts w:ascii="宋体" w:hAnsi="宋体" w:eastAsia="宋体" w:cs="宋体"/>
          <w:color w:val="auto"/>
          <w:sz w:val="24"/>
          <w:szCs w:val="24"/>
          <w:highlight w:val="none"/>
        </w:rPr>
      </w:pPr>
      <w:r>
        <w:rPr>
          <w:rFonts w:ascii="Times New Roman" w:hAnsi="Times New Roman" w:eastAsia="Times New Roman" w:cs="Times New Roman"/>
          <w:color w:val="auto"/>
          <w:spacing w:val="-9"/>
          <w:sz w:val="24"/>
          <w:szCs w:val="24"/>
          <w:highlight w:val="none"/>
        </w:rPr>
        <w:t>4.</w:t>
      </w:r>
      <w:r>
        <w:rPr>
          <w:rFonts w:ascii="宋体" w:hAnsi="宋体" w:eastAsia="宋体" w:cs="宋体"/>
          <w:color w:val="auto"/>
          <w:spacing w:val="-9"/>
          <w:sz w:val="24"/>
          <w:szCs w:val="24"/>
          <w:highlight w:val="none"/>
        </w:rPr>
        <w:t>重要的安全设施必须坚持与主体工程“三同时”的原则，即：同时设计、审批，</w:t>
      </w:r>
      <w:r>
        <w:rPr>
          <w:rFonts w:ascii="宋体" w:hAnsi="宋体" w:eastAsia="宋体" w:cs="宋体"/>
          <w:color w:val="auto"/>
          <w:spacing w:val="-5"/>
          <w:sz w:val="24"/>
          <w:szCs w:val="24"/>
          <w:highlight w:val="none"/>
        </w:rPr>
        <w:t>同时施工，同时验收、投入使用。</w:t>
      </w:r>
    </w:p>
    <w:p w14:paraId="68D886C1">
      <w:pPr>
        <w:spacing w:before="179" w:line="290" w:lineRule="auto"/>
        <w:ind w:right="4" w:firstLine="482"/>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5.</w:t>
      </w:r>
      <w:r>
        <w:rPr>
          <w:rFonts w:ascii="宋体" w:hAnsi="宋体" w:eastAsia="宋体" w:cs="宋体"/>
          <w:color w:val="auto"/>
          <w:spacing w:val="-1"/>
          <w:sz w:val="24"/>
          <w:szCs w:val="24"/>
          <w:highlight w:val="none"/>
        </w:rPr>
        <w:t>及时传达上级有关安全生产精神和要求，定期听取乙</w:t>
      </w:r>
      <w:r>
        <w:rPr>
          <w:rFonts w:ascii="宋体" w:hAnsi="宋体" w:eastAsia="宋体" w:cs="宋体"/>
          <w:color w:val="auto"/>
          <w:spacing w:val="-2"/>
          <w:sz w:val="24"/>
          <w:szCs w:val="24"/>
          <w:highlight w:val="none"/>
        </w:rPr>
        <w:t>方的意见和要求，加强安</w:t>
      </w:r>
      <w:r>
        <w:rPr>
          <w:rFonts w:ascii="宋体" w:hAnsi="宋体" w:eastAsia="宋体" w:cs="宋体"/>
          <w:color w:val="auto"/>
          <w:spacing w:val="-4"/>
          <w:sz w:val="24"/>
          <w:szCs w:val="24"/>
          <w:highlight w:val="none"/>
        </w:rPr>
        <w:t>全生产的指导和协调。</w:t>
      </w:r>
    </w:p>
    <w:p w14:paraId="7A30AB40">
      <w:pPr>
        <w:spacing w:before="180" w:line="290" w:lineRule="auto"/>
        <w:ind w:right="2" w:firstLine="48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6.</w:t>
      </w:r>
      <w:r>
        <w:rPr>
          <w:rFonts w:ascii="宋体" w:hAnsi="宋体" w:eastAsia="宋体" w:cs="宋体"/>
          <w:color w:val="auto"/>
          <w:spacing w:val="-1"/>
          <w:sz w:val="24"/>
          <w:szCs w:val="24"/>
          <w:highlight w:val="none"/>
        </w:rPr>
        <w:t>组织制订各项安全生产管理制度和编制保证安全生产的措施方</w:t>
      </w:r>
      <w:r>
        <w:rPr>
          <w:rFonts w:ascii="宋体" w:hAnsi="宋体" w:eastAsia="宋体" w:cs="宋体"/>
          <w:color w:val="auto"/>
          <w:spacing w:val="-2"/>
          <w:sz w:val="24"/>
          <w:szCs w:val="24"/>
          <w:highlight w:val="none"/>
        </w:rPr>
        <w:t>案，并对管理制</w:t>
      </w:r>
      <w:r>
        <w:rPr>
          <w:rFonts w:ascii="宋体" w:hAnsi="宋体" w:eastAsia="宋体" w:cs="宋体"/>
          <w:color w:val="auto"/>
          <w:spacing w:val="-4"/>
          <w:sz w:val="24"/>
          <w:szCs w:val="24"/>
          <w:highlight w:val="none"/>
        </w:rPr>
        <w:t>度和措施方案实行动态管理。</w:t>
      </w:r>
    </w:p>
    <w:p w14:paraId="164A880F">
      <w:pPr>
        <w:spacing w:before="180" w:line="290" w:lineRule="auto"/>
        <w:ind w:left="24" w:right="4" w:firstLine="456"/>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7.</w:t>
      </w:r>
      <w:r>
        <w:rPr>
          <w:rFonts w:ascii="宋体" w:hAnsi="宋体" w:eastAsia="宋体" w:cs="宋体"/>
          <w:color w:val="auto"/>
          <w:spacing w:val="-4"/>
          <w:sz w:val="24"/>
          <w:szCs w:val="24"/>
          <w:highlight w:val="none"/>
        </w:rPr>
        <w:t>组织风险源辨识和评价，每月至少组织</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次</w:t>
      </w:r>
      <w:r>
        <w:rPr>
          <w:rFonts w:ascii="宋体" w:hAnsi="宋体" w:eastAsia="宋体" w:cs="宋体"/>
          <w:color w:val="auto"/>
          <w:spacing w:val="-5"/>
          <w:sz w:val="24"/>
          <w:szCs w:val="24"/>
          <w:highlight w:val="none"/>
        </w:rPr>
        <w:t>对乙方施工现场安全生产检查，监督</w:t>
      </w:r>
      <w:r>
        <w:rPr>
          <w:rFonts w:ascii="宋体" w:hAnsi="宋体" w:eastAsia="宋体" w:cs="宋体"/>
          <w:color w:val="auto"/>
          <w:spacing w:val="-4"/>
          <w:sz w:val="24"/>
          <w:szCs w:val="24"/>
          <w:highlight w:val="none"/>
        </w:rPr>
        <w:t>乙方及时整改发现的各种安全隐患。</w:t>
      </w:r>
    </w:p>
    <w:p w14:paraId="3411509E">
      <w:pPr>
        <w:spacing w:before="179" w:line="220" w:lineRule="auto"/>
        <w:ind w:left="486"/>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8.</w:t>
      </w:r>
      <w:r>
        <w:rPr>
          <w:rFonts w:ascii="宋体" w:hAnsi="宋体" w:eastAsia="宋体" w:cs="宋体"/>
          <w:color w:val="auto"/>
          <w:spacing w:val="-2"/>
          <w:sz w:val="24"/>
          <w:szCs w:val="24"/>
          <w:highlight w:val="none"/>
        </w:rPr>
        <w:t>制订安全生产培训教育计划，按计划对乙方人员开展培训教育。</w:t>
      </w:r>
    </w:p>
    <w:p w14:paraId="755EDA0E">
      <w:pPr>
        <w:spacing w:before="182" w:line="220" w:lineRule="auto"/>
        <w:ind w:left="48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9.</w:t>
      </w:r>
      <w:r>
        <w:rPr>
          <w:rFonts w:ascii="宋体" w:hAnsi="宋体" w:eastAsia="宋体" w:cs="宋体"/>
          <w:color w:val="auto"/>
          <w:spacing w:val="-1"/>
          <w:sz w:val="24"/>
          <w:szCs w:val="24"/>
          <w:highlight w:val="none"/>
        </w:rPr>
        <w:t>及时向乙方支付安全生产措施费，监督乙方</w:t>
      </w:r>
      <w:r>
        <w:rPr>
          <w:rFonts w:ascii="宋体" w:hAnsi="宋体" w:eastAsia="宋体" w:cs="宋体"/>
          <w:color w:val="auto"/>
          <w:spacing w:val="-2"/>
          <w:sz w:val="24"/>
          <w:szCs w:val="24"/>
          <w:highlight w:val="none"/>
        </w:rPr>
        <w:t>合理使用安全生产措施费。</w:t>
      </w:r>
    </w:p>
    <w:p w14:paraId="12D2DCD9">
      <w:pPr>
        <w:spacing w:before="243" w:line="183" w:lineRule="auto"/>
        <w:ind w:left="478"/>
        <w:rPr>
          <w:rFonts w:ascii="微软雅黑" w:hAnsi="微软雅黑" w:eastAsia="微软雅黑" w:cs="微软雅黑"/>
          <w:color w:val="auto"/>
          <w:sz w:val="24"/>
          <w:szCs w:val="24"/>
          <w:highlight w:val="none"/>
        </w:rPr>
      </w:pPr>
      <w:r>
        <w:rPr>
          <w:rFonts w:ascii="微软雅黑" w:hAnsi="微软雅黑" w:eastAsia="微软雅黑" w:cs="微软雅黑"/>
          <w:color w:val="auto"/>
          <w:spacing w:val="-1"/>
          <w:sz w:val="24"/>
          <w:szCs w:val="24"/>
          <w:highlight w:val="none"/>
        </w:rPr>
        <w:t>二、乙方职责</w:t>
      </w:r>
    </w:p>
    <w:p w14:paraId="2A3923B1">
      <w:pPr>
        <w:spacing w:before="243" w:line="289" w:lineRule="auto"/>
        <w:ind w:left="1" w:right="4" w:firstLine="497"/>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1.</w:t>
      </w:r>
      <w:r>
        <w:rPr>
          <w:rFonts w:ascii="宋体" w:hAnsi="宋体" w:eastAsia="宋体" w:cs="宋体"/>
          <w:color w:val="auto"/>
          <w:spacing w:val="-6"/>
          <w:sz w:val="24"/>
          <w:szCs w:val="24"/>
          <w:highlight w:val="none"/>
        </w:rPr>
        <w:t>严格遵守安全生产法律法规、技术规程有关安全</w:t>
      </w:r>
      <w:r>
        <w:rPr>
          <w:rFonts w:ascii="宋体" w:hAnsi="宋体" w:eastAsia="宋体" w:cs="宋体"/>
          <w:color w:val="auto"/>
          <w:spacing w:val="-7"/>
          <w:sz w:val="24"/>
          <w:szCs w:val="24"/>
          <w:highlight w:val="none"/>
        </w:rPr>
        <w:t>生产规定，</w:t>
      </w:r>
      <w:r>
        <w:rPr>
          <w:rFonts w:ascii="宋体" w:hAnsi="宋体" w:eastAsia="宋体" w:cs="宋体"/>
          <w:color w:val="auto"/>
          <w:spacing w:val="46"/>
          <w:sz w:val="24"/>
          <w:szCs w:val="24"/>
          <w:highlight w:val="none"/>
        </w:rPr>
        <w:t xml:space="preserve"> </w:t>
      </w:r>
      <w:r>
        <w:rPr>
          <w:rFonts w:ascii="宋体" w:hAnsi="宋体" w:eastAsia="宋体" w:cs="宋体"/>
          <w:color w:val="auto"/>
          <w:spacing w:val="-7"/>
          <w:sz w:val="24"/>
          <w:szCs w:val="24"/>
          <w:highlight w:val="none"/>
        </w:rPr>
        <w:t>认真执行工程承包</w:t>
      </w:r>
      <w:r>
        <w:rPr>
          <w:rFonts w:ascii="宋体" w:hAnsi="宋体" w:eastAsia="宋体" w:cs="宋体"/>
          <w:color w:val="auto"/>
          <w:spacing w:val="-4"/>
          <w:sz w:val="24"/>
          <w:szCs w:val="24"/>
          <w:highlight w:val="none"/>
        </w:rPr>
        <w:t>合同中的有关安全要求。</w:t>
      </w:r>
    </w:p>
    <w:p w14:paraId="3B91D645">
      <w:pPr>
        <w:spacing w:before="182" w:line="219" w:lineRule="auto"/>
        <w:ind w:right="2"/>
        <w:jc w:val="right"/>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项目开工前成立安全生产领导小组，设置安全生产管理机构，按《建筑施</w:t>
      </w:r>
      <w:r>
        <w:rPr>
          <w:rFonts w:ascii="宋体" w:hAnsi="宋体" w:eastAsia="宋体" w:cs="宋体"/>
          <w:color w:val="auto"/>
          <w:spacing w:val="-2"/>
          <w:sz w:val="24"/>
          <w:szCs w:val="24"/>
          <w:highlight w:val="none"/>
        </w:rPr>
        <w:t>工企</w:t>
      </w:r>
    </w:p>
    <w:p w14:paraId="45BC1BC7">
      <w:pPr>
        <w:spacing w:line="219" w:lineRule="auto"/>
        <w:rPr>
          <w:rFonts w:ascii="宋体" w:hAnsi="宋体" w:eastAsia="宋体" w:cs="宋体"/>
          <w:color w:val="auto"/>
          <w:sz w:val="24"/>
          <w:szCs w:val="24"/>
          <w:highlight w:val="none"/>
        </w:rPr>
        <w:sectPr>
          <w:footerReference r:id="rId87" w:type="default"/>
          <w:pgSz w:w="11907" w:h="16841"/>
          <w:pgMar w:top="1425" w:right="1526" w:bottom="1254" w:left="1597" w:header="0" w:footer="1093" w:gutter="0"/>
          <w:pgNumType w:fmt="decimal"/>
          <w:cols w:space="720" w:num="1"/>
        </w:sectPr>
      </w:pPr>
    </w:p>
    <w:p w14:paraId="28A2AFFD">
      <w:pPr>
        <w:spacing w:before="48" w:line="359" w:lineRule="auto"/>
        <w:ind w:left="6" w:right="85" w:hanging="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业安全生产管理机构设置及专职安全生产管理人员配备办法》规定配备专职安全生产</w:t>
      </w:r>
      <w:r>
        <w:rPr>
          <w:rFonts w:ascii="宋体" w:hAnsi="宋体" w:eastAsia="宋体" w:cs="宋体"/>
          <w:color w:val="auto"/>
          <w:spacing w:val="-4"/>
          <w:sz w:val="24"/>
          <w:szCs w:val="24"/>
          <w:highlight w:val="none"/>
        </w:rPr>
        <w:t>管理人员，并报甲方备案。</w:t>
      </w:r>
    </w:p>
    <w:p w14:paraId="2B845402">
      <w:pPr>
        <w:spacing w:before="1" w:line="289" w:lineRule="auto"/>
        <w:ind w:left="14" w:firstLine="467"/>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建立健全全员安全生产责任制，明确所有项目实施人员（包括劳务派遣人员、</w:t>
      </w:r>
      <w:r>
        <w:rPr>
          <w:rFonts w:ascii="宋体" w:hAnsi="宋体" w:eastAsia="宋体" w:cs="宋体"/>
          <w:color w:val="auto"/>
          <w:spacing w:val="-2"/>
          <w:sz w:val="24"/>
          <w:szCs w:val="24"/>
          <w:highlight w:val="none"/>
        </w:rPr>
        <w:t>临时雇请的民工等）的安全生产工作职责、考核标准等内容，并公示。</w:t>
      </w:r>
    </w:p>
    <w:p w14:paraId="22F471F4">
      <w:pPr>
        <w:spacing w:before="179" w:line="290" w:lineRule="auto"/>
        <w:ind w:left="8" w:right="82" w:firstLine="467"/>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4.</w:t>
      </w:r>
      <w:r>
        <w:rPr>
          <w:rFonts w:ascii="宋体" w:hAnsi="宋体" w:eastAsia="宋体" w:cs="宋体"/>
          <w:color w:val="auto"/>
          <w:spacing w:val="-1"/>
          <w:sz w:val="24"/>
          <w:szCs w:val="24"/>
          <w:highlight w:val="none"/>
        </w:rPr>
        <w:t>建立健全安全风险分级管控、安全隐患排查治理、安全生产教育培训、值班值</w:t>
      </w:r>
      <w:r>
        <w:rPr>
          <w:rFonts w:ascii="宋体" w:hAnsi="宋体" w:eastAsia="宋体" w:cs="宋体"/>
          <w:color w:val="auto"/>
          <w:spacing w:val="-5"/>
          <w:sz w:val="24"/>
          <w:szCs w:val="24"/>
          <w:highlight w:val="none"/>
        </w:rPr>
        <w:t>守等制度并严格执行。</w:t>
      </w:r>
    </w:p>
    <w:p w14:paraId="47B76092">
      <w:pPr>
        <w:spacing w:before="179" w:line="219" w:lineRule="auto"/>
        <w:ind w:left="483"/>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5.</w:t>
      </w:r>
      <w:r>
        <w:rPr>
          <w:rFonts w:ascii="宋体" w:hAnsi="宋体" w:eastAsia="宋体" w:cs="宋体"/>
          <w:color w:val="auto"/>
          <w:spacing w:val="-2"/>
          <w:sz w:val="24"/>
          <w:szCs w:val="24"/>
          <w:highlight w:val="none"/>
        </w:rPr>
        <w:t>生产与安全工作同时计划、布置、检查、总结和评比。</w:t>
      </w:r>
    </w:p>
    <w:p w14:paraId="49CDAA3D">
      <w:pPr>
        <w:spacing w:before="182" w:line="313" w:lineRule="auto"/>
        <w:ind w:right="82" w:firstLine="48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6.</w:t>
      </w:r>
      <w:r>
        <w:rPr>
          <w:rFonts w:ascii="宋体" w:hAnsi="宋体" w:eastAsia="宋体" w:cs="宋体"/>
          <w:color w:val="auto"/>
          <w:spacing w:val="-1"/>
          <w:sz w:val="24"/>
          <w:szCs w:val="24"/>
          <w:highlight w:val="none"/>
        </w:rPr>
        <w:t>项目开工前开展危险源辨识和评估，建立重大危险源清单，制订管</w:t>
      </w:r>
      <w:r>
        <w:rPr>
          <w:rFonts w:ascii="宋体" w:hAnsi="宋体" w:eastAsia="宋体" w:cs="宋体"/>
          <w:color w:val="auto"/>
          <w:spacing w:val="-2"/>
          <w:sz w:val="24"/>
          <w:szCs w:val="24"/>
          <w:highlight w:val="none"/>
        </w:rPr>
        <w:t>控措施。根</w:t>
      </w:r>
      <w:r>
        <w:rPr>
          <w:rFonts w:ascii="宋体" w:hAnsi="宋体" w:eastAsia="宋体" w:cs="宋体"/>
          <w:color w:val="auto"/>
          <w:sz w:val="24"/>
          <w:szCs w:val="24"/>
          <w:highlight w:val="none"/>
        </w:rPr>
        <w:t>据施工进展，对危险源实施动态管理。在危险性较大的单项工程施工前，至少组织</w:t>
      </w:r>
      <w:r>
        <w:rPr>
          <w:rFonts w:ascii="Times New Roman" w:hAnsi="Times New Roman" w:eastAsia="Times New Roman" w:cs="Times New Roman"/>
          <w:color w:val="auto"/>
          <w:sz w:val="24"/>
          <w:szCs w:val="24"/>
          <w:highlight w:val="none"/>
        </w:rPr>
        <w:t>1</w:t>
      </w:r>
      <w:r>
        <w:rPr>
          <w:rFonts w:ascii="宋体" w:hAnsi="宋体" w:eastAsia="宋体" w:cs="宋体"/>
          <w:color w:val="auto"/>
          <w:spacing w:val="-2"/>
          <w:sz w:val="24"/>
          <w:szCs w:val="24"/>
          <w:highlight w:val="none"/>
        </w:rPr>
        <w:t>次危险源辨识。危险源辨识和管控情况报甲方和监理单位备案。</w:t>
      </w:r>
    </w:p>
    <w:p w14:paraId="5CB0A115">
      <w:pPr>
        <w:spacing w:before="181" w:line="359" w:lineRule="auto"/>
        <w:ind w:left="16" w:right="103" w:firstLine="48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乙方负责安全管理的部门每月至少对施工现场开展</w:t>
      </w:r>
      <w:r>
        <w:rPr>
          <w:rFonts w:ascii="Times New Roman" w:hAnsi="Times New Roman" w:eastAsia="Times New Roman" w:cs="Times New Roman"/>
          <w:color w:val="auto"/>
          <w:spacing w:val="-1"/>
          <w:sz w:val="24"/>
          <w:szCs w:val="24"/>
          <w:highlight w:val="none"/>
        </w:rPr>
        <w:t>1</w:t>
      </w:r>
      <w:r>
        <w:rPr>
          <w:rFonts w:ascii="宋体" w:hAnsi="宋体" w:eastAsia="宋体" w:cs="宋体"/>
          <w:color w:val="auto"/>
          <w:spacing w:val="-1"/>
          <w:sz w:val="24"/>
          <w:szCs w:val="24"/>
          <w:highlight w:val="none"/>
        </w:rPr>
        <w:t>次安全生产检查，对发现的</w:t>
      </w:r>
      <w:r>
        <w:rPr>
          <w:rFonts w:ascii="宋体" w:hAnsi="宋体" w:eastAsia="宋体" w:cs="宋体"/>
          <w:color w:val="auto"/>
          <w:spacing w:val="-2"/>
          <w:sz w:val="24"/>
          <w:szCs w:val="24"/>
          <w:highlight w:val="none"/>
        </w:rPr>
        <w:t>隐患建档，按计划或甲方要求完成整改，并向甲方报告隐患排查整改情况。</w:t>
      </w:r>
    </w:p>
    <w:p w14:paraId="49E4881B">
      <w:pPr>
        <w:spacing w:before="1" w:line="359" w:lineRule="auto"/>
        <w:ind w:left="2" w:right="85" w:firstLine="501"/>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乙方专职安全生产管理人员每天至少</w:t>
      </w:r>
      <w:r>
        <w:rPr>
          <w:rFonts w:ascii="Times New Roman" w:hAnsi="Times New Roman" w:eastAsia="Times New Roman" w:cs="Times New Roman"/>
          <w:color w:val="auto"/>
          <w:sz w:val="24"/>
          <w:szCs w:val="24"/>
          <w:highlight w:val="none"/>
        </w:rPr>
        <w:t>2</w:t>
      </w:r>
      <w:r>
        <w:rPr>
          <w:rFonts w:ascii="宋体" w:hAnsi="宋体" w:eastAsia="宋体" w:cs="宋体"/>
          <w:color w:val="auto"/>
          <w:sz w:val="24"/>
          <w:szCs w:val="24"/>
          <w:highlight w:val="none"/>
        </w:rPr>
        <w:t>次对施工现场开展安全巡查</w:t>
      </w:r>
      <w:r>
        <w:rPr>
          <w:rFonts w:ascii="宋体" w:hAnsi="宋体" w:eastAsia="宋体" w:cs="宋体"/>
          <w:color w:val="auto"/>
          <w:spacing w:val="-1"/>
          <w:sz w:val="24"/>
          <w:szCs w:val="24"/>
          <w:highlight w:val="none"/>
        </w:rPr>
        <w:t>，每次检查时</w:t>
      </w:r>
      <w:r>
        <w:rPr>
          <w:rFonts w:ascii="宋体" w:hAnsi="宋体" w:eastAsia="宋体" w:cs="宋体"/>
          <w:color w:val="auto"/>
          <w:spacing w:val="-6"/>
          <w:sz w:val="24"/>
          <w:szCs w:val="24"/>
          <w:highlight w:val="none"/>
        </w:rPr>
        <w:t>间不少于</w:t>
      </w:r>
      <w:r>
        <w:rPr>
          <w:rFonts w:ascii="Times New Roman" w:hAnsi="Times New Roman" w:eastAsia="Times New Roman" w:cs="Times New Roman"/>
          <w:color w:val="auto"/>
          <w:spacing w:val="-6"/>
          <w:sz w:val="24"/>
          <w:szCs w:val="24"/>
          <w:highlight w:val="none"/>
        </w:rPr>
        <w:t>45</w:t>
      </w:r>
      <w:r>
        <w:rPr>
          <w:rFonts w:ascii="宋体" w:hAnsi="宋体" w:eastAsia="宋体" w:cs="宋体"/>
          <w:color w:val="auto"/>
          <w:spacing w:val="-6"/>
          <w:sz w:val="24"/>
          <w:szCs w:val="24"/>
          <w:highlight w:val="none"/>
        </w:rPr>
        <w:t>分钟，范围应覆盖所有重大危险源、风险点， 检查内容为危险源管控措施</w:t>
      </w:r>
      <w:r>
        <w:rPr>
          <w:rFonts w:ascii="宋体" w:hAnsi="宋体" w:eastAsia="宋体" w:cs="宋体"/>
          <w:color w:val="auto"/>
          <w:spacing w:val="-1"/>
          <w:sz w:val="24"/>
          <w:szCs w:val="24"/>
          <w:highlight w:val="none"/>
        </w:rPr>
        <w:t>落实情况、隐患整改情况，制止和纠正违章指挥、</w:t>
      </w:r>
      <w:r>
        <w:rPr>
          <w:rFonts w:ascii="宋体" w:hAnsi="宋体" w:eastAsia="宋体" w:cs="宋体"/>
          <w:color w:val="auto"/>
          <w:spacing w:val="-2"/>
          <w:sz w:val="24"/>
          <w:szCs w:val="24"/>
          <w:highlight w:val="none"/>
        </w:rPr>
        <w:t>违章作业和违反劳动纪律。</w:t>
      </w:r>
    </w:p>
    <w:p w14:paraId="30AF513F">
      <w:pPr>
        <w:spacing w:line="359" w:lineRule="auto"/>
        <w:ind w:left="1" w:right="85" w:firstLine="478"/>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7.</w:t>
      </w:r>
      <w:r>
        <w:rPr>
          <w:rFonts w:ascii="宋体" w:hAnsi="宋体" w:eastAsia="宋体" w:cs="宋体"/>
          <w:color w:val="auto"/>
          <w:spacing w:val="-1"/>
          <w:sz w:val="24"/>
          <w:szCs w:val="24"/>
          <w:highlight w:val="none"/>
        </w:rPr>
        <w:t>强化安全生产教育培训，对新进场的工人，须进行三级安全教育</w:t>
      </w:r>
      <w:r>
        <w:rPr>
          <w:rFonts w:ascii="宋体" w:hAnsi="宋体" w:eastAsia="宋体" w:cs="宋体"/>
          <w:color w:val="auto"/>
          <w:spacing w:val="-2"/>
          <w:sz w:val="24"/>
          <w:szCs w:val="24"/>
          <w:highlight w:val="none"/>
        </w:rPr>
        <w:t>培训，经考核</w:t>
      </w:r>
      <w:r>
        <w:rPr>
          <w:rFonts w:ascii="宋体" w:hAnsi="宋体" w:eastAsia="宋体" w:cs="宋体"/>
          <w:color w:val="auto"/>
          <w:spacing w:val="-3"/>
          <w:sz w:val="24"/>
          <w:szCs w:val="24"/>
          <w:highlight w:val="none"/>
        </w:rPr>
        <w:t>合格后才能上岗；特种作业人员须持证上岗。</w:t>
      </w:r>
    </w:p>
    <w:p w14:paraId="0FCE1E8E">
      <w:pPr>
        <w:spacing w:line="359" w:lineRule="auto"/>
        <w:ind w:right="85"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认真做好岗前培训教育，施工负责人或专职安全员在每日上岗前对前一日安全生</w:t>
      </w:r>
      <w:r>
        <w:rPr>
          <w:rFonts w:ascii="宋体" w:hAnsi="宋体" w:eastAsia="宋体" w:cs="宋体"/>
          <w:color w:val="auto"/>
          <w:spacing w:val="-2"/>
          <w:sz w:val="24"/>
          <w:szCs w:val="24"/>
          <w:highlight w:val="none"/>
        </w:rPr>
        <w:t>产情况进行回顾，并对当日施工需注意的安全要点进行宣教。</w:t>
      </w:r>
    </w:p>
    <w:p w14:paraId="4B276A25">
      <w:pPr>
        <w:spacing w:before="2" w:line="324" w:lineRule="auto"/>
        <w:ind w:right="85" w:firstLine="485"/>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8.</w:t>
      </w:r>
      <w:r>
        <w:rPr>
          <w:rFonts w:ascii="宋体" w:hAnsi="宋体" w:eastAsia="宋体" w:cs="宋体"/>
          <w:color w:val="auto"/>
          <w:spacing w:val="-1"/>
          <w:sz w:val="24"/>
          <w:szCs w:val="24"/>
          <w:highlight w:val="none"/>
        </w:rPr>
        <w:t>操作人员上岗，必须按规定穿戴防护用品。施</w:t>
      </w:r>
      <w:r>
        <w:rPr>
          <w:rFonts w:ascii="宋体" w:hAnsi="宋体" w:eastAsia="宋体" w:cs="宋体"/>
          <w:color w:val="auto"/>
          <w:spacing w:val="-2"/>
          <w:sz w:val="24"/>
          <w:szCs w:val="24"/>
          <w:highlight w:val="none"/>
        </w:rPr>
        <w:t>工负责人和安全检查员应随时检</w:t>
      </w:r>
      <w:r>
        <w:rPr>
          <w:rFonts w:ascii="宋体" w:hAnsi="宋体" w:eastAsia="宋体" w:cs="宋体"/>
          <w:color w:val="auto"/>
          <w:spacing w:val="-3"/>
          <w:sz w:val="24"/>
          <w:szCs w:val="24"/>
          <w:highlight w:val="none"/>
        </w:rPr>
        <w:t>查劳动防护用品的穿戴情况，不按规定穿戴防护用品的人员不得上岗。所有施工机具设备和高空作业的设备均应定期检查，并有安全员的签字记录，保证其经常处于完好</w:t>
      </w:r>
      <w:r>
        <w:rPr>
          <w:rFonts w:ascii="宋体" w:hAnsi="宋体" w:eastAsia="宋体" w:cs="宋体"/>
          <w:color w:val="auto"/>
          <w:spacing w:val="-2"/>
          <w:sz w:val="24"/>
          <w:szCs w:val="24"/>
          <w:highlight w:val="none"/>
        </w:rPr>
        <w:t>状态；不合格的机具、设备和劳动保护用品严禁使用。</w:t>
      </w:r>
    </w:p>
    <w:p w14:paraId="12D79929">
      <w:pPr>
        <w:spacing w:before="180" w:line="220" w:lineRule="auto"/>
        <w:ind w:left="481"/>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9.</w:t>
      </w:r>
      <w:r>
        <w:rPr>
          <w:rFonts w:ascii="宋体" w:hAnsi="宋体" w:eastAsia="宋体" w:cs="宋体"/>
          <w:color w:val="auto"/>
          <w:spacing w:val="-1"/>
          <w:sz w:val="24"/>
          <w:szCs w:val="24"/>
          <w:highlight w:val="none"/>
        </w:rPr>
        <w:t>在项目开工前投保安全生产责任保险，所需经费在安</w:t>
      </w:r>
      <w:r>
        <w:rPr>
          <w:rFonts w:ascii="宋体" w:hAnsi="宋体" w:eastAsia="宋体" w:cs="宋体"/>
          <w:color w:val="auto"/>
          <w:spacing w:val="-2"/>
          <w:sz w:val="24"/>
          <w:szCs w:val="24"/>
          <w:highlight w:val="none"/>
        </w:rPr>
        <w:t>全生产措施费中列支。</w:t>
      </w:r>
    </w:p>
    <w:p w14:paraId="39EA10D3">
      <w:pPr>
        <w:spacing w:before="183" w:line="288" w:lineRule="auto"/>
        <w:ind w:left="4" w:right="87" w:firstLine="494"/>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10.</w:t>
      </w:r>
      <w:r>
        <w:rPr>
          <w:rFonts w:ascii="宋体" w:hAnsi="宋体" w:eastAsia="宋体" w:cs="宋体"/>
          <w:color w:val="auto"/>
          <w:spacing w:val="2"/>
          <w:sz w:val="24"/>
          <w:szCs w:val="24"/>
          <w:highlight w:val="none"/>
        </w:rPr>
        <w:t>按照本项目特点，组织制定生产安全事故</w:t>
      </w:r>
      <w:r>
        <w:rPr>
          <w:rFonts w:ascii="宋体" w:hAnsi="宋体" w:eastAsia="宋体" w:cs="宋体"/>
          <w:color w:val="auto"/>
          <w:spacing w:val="1"/>
          <w:sz w:val="24"/>
          <w:szCs w:val="24"/>
          <w:highlight w:val="none"/>
        </w:rPr>
        <w:t>应急救援预案；如发生生产安全事</w:t>
      </w:r>
      <w:r>
        <w:rPr>
          <w:rFonts w:ascii="宋体" w:hAnsi="宋体" w:eastAsia="宋体" w:cs="宋体"/>
          <w:color w:val="auto"/>
          <w:spacing w:val="-5"/>
          <w:sz w:val="24"/>
          <w:szCs w:val="24"/>
          <w:highlight w:val="none"/>
        </w:rPr>
        <w:t>故，及时处置、报告。</w:t>
      </w:r>
    </w:p>
    <w:p w14:paraId="687FBEE9">
      <w:pPr>
        <w:spacing w:before="247" w:line="183" w:lineRule="auto"/>
        <w:ind w:left="478"/>
        <w:rPr>
          <w:rFonts w:ascii="微软雅黑" w:hAnsi="微软雅黑" w:eastAsia="微软雅黑" w:cs="微软雅黑"/>
          <w:color w:val="auto"/>
          <w:sz w:val="24"/>
          <w:szCs w:val="24"/>
          <w:highlight w:val="none"/>
        </w:rPr>
      </w:pPr>
      <w:r>
        <w:rPr>
          <w:rFonts w:ascii="微软雅黑" w:hAnsi="微软雅黑" w:eastAsia="微软雅黑" w:cs="微软雅黑"/>
          <w:color w:val="auto"/>
          <w:spacing w:val="-1"/>
          <w:sz w:val="24"/>
          <w:szCs w:val="24"/>
          <w:highlight w:val="none"/>
        </w:rPr>
        <w:t>三、违约责任</w:t>
      </w:r>
    </w:p>
    <w:p w14:paraId="1E0B1AD7">
      <w:pPr>
        <w:spacing w:before="240" w:line="362" w:lineRule="auto"/>
        <w:ind w:right="85" w:firstLine="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若一方违约，违约方需承担相应的经济赔偿责任；若造成生产安全事故，将依法</w:t>
      </w:r>
      <w:r>
        <w:rPr>
          <w:rFonts w:ascii="宋体" w:hAnsi="宋体" w:eastAsia="宋体" w:cs="宋体"/>
          <w:color w:val="auto"/>
          <w:spacing w:val="-2"/>
          <w:sz w:val="24"/>
          <w:szCs w:val="24"/>
          <w:highlight w:val="none"/>
        </w:rPr>
        <w:t>追究责任，并视事故轻重承担相应的经济赔偿责任。</w:t>
      </w:r>
    </w:p>
    <w:p w14:paraId="0D67C78B">
      <w:pPr>
        <w:spacing w:line="362" w:lineRule="auto"/>
        <w:rPr>
          <w:rFonts w:ascii="宋体" w:hAnsi="宋体" w:eastAsia="宋体" w:cs="宋体"/>
          <w:color w:val="auto"/>
          <w:sz w:val="24"/>
          <w:szCs w:val="24"/>
          <w:highlight w:val="none"/>
        </w:rPr>
        <w:sectPr>
          <w:footerReference r:id="rId88" w:type="default"/>
          <w:pgSz w:w="11907" w:h="16841"/>
          <w:pgMar w:top="1428" w:right="1443" w:bottom="1254" w:left="1597" w:header="0" w:footer="1093" w:gutter="0"/>
          <w:pgNumType w:fmt="decimal"/>
          <w:cols w:space="720" w:num="1"/>
        </w:sectPr>
      </w:pPr>
    </w:p>
    <w:p w14:paraId="59DBAF3A">
      <w:pPr>
        <w:spacing w:before="47" w:line="362" w:lineRule="auto"/>
        <w:ind w:right="3" w:firstLine="47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本合同正本一式二份，副本八份，合同双方各执正本一份，副本四份。由双方法</w:t>
      </w:r>
      <w:r>
        <w:rPr>
          <w:rFonts w:ascii="宋体" w:hAnsi="宋体" w:eastAsia="宋体" w:cs="宋体"/>
          <w:color w:val="auto"/>
          <w:spacing w:val="-1"/>
          <w:sz w:val="24"/>
          <w:szCs w:val="24"/>
          <w:highlight w:val="none"/>
        </w:rPr>
        <w:t>定代表人或其授权的代理人签署与加盖公章后</w:t>
      </w:r>
      <w:r>
        <w:rPr>
          <w:rFonts w:ascii="宋体" w:hAnsi="宋体" w:eastAsia="宋体" w:cs="宋体"/>
          <w:color w:val="auto"/>
          <w:spacing w:val="-2"/>
          <w:sz w:val="24"/>
          <w:szCs w:val="24"/>
          <w:highlight w:val="none"/>
        </w:rPr>
        <w:t>生效，全部工程竣工验收后失效。</w:t>
      </w:r>
    </w:p>
    <w:p w14:paraId="28C53906">
      <w:pPr>
        <w:pStyle w:val="3"/>
        <w:spacing w:line="328" w:lineRule="auto"/>
        <w:rPr>
          <w:color w:val="auto"/>
          <w:highlight w:val="none"/>
        </w:rPr>
      </w:pPr>
    </w:p>
    <w:p w14:paraId="40D74AA4">
      <w:pPr>
        <w:spacing w:before="78" w:line="219" w:lineRule="auto"/>
        <w:ind w:left="38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甲方</w:t>
      </w:r>
      <w:r>
        <w:rPr>
          <w:rFonts w:ascii="宋体" w:hAnsi="宋体" w:eastAsia="宋体" w:cs="宋体"/>
          <w:color w:val="auto"/>
          <w:spacing w:val="-5"/>
          <w:sz w:val="24"/>
          <w:szCs w:val="24"/>
          <w:highlight w:val="none"/>
        </w:rPr>
        <w:t>：</w:t>
      </w:r>
      <w:r>
        <w:rPr>
          <w:rFonts w:ascii="宋体" w:hAnsi="宋体" w:eastAsia="宋体" w:cs="宋体"/>
          <w:color w:val="auto"/>
          <w:spacing w:val="20"/>
          <w:sz w:val="24"/>
          <w:szCs w:val="24"/>
          <w:highlight w:val="none"/>
          <w:u w:val="single" w:color="auto"/>
        </w:rPr>
        <w:t xml:space="preserve">      </w:t>
      </w:r>
      <w:r>
        <w:rPr>
          <w:rFonts w:ascii="宋体" w:hAnsi="宋体" w:eastAsia="宋体" w:cs="宋体"/>
          <w:color w:val="auto"/>
          <w:spacing w:val="-5"/>
          <w:sz w:val="24"/>
          <w:szCs w:val="24"/>
          <w:highlight w:val="none"/>
          <w:u w:val="single" w:color="auto"/>
        </w:rPr>
        <w:t>（</w:t>
      </w:r>
      <w:r>
        <w:rPr>
          <w:rFonts w:ascii="宋体" w:hAnsi="宋体" w:eastAsia="宋体" w:cs="宋体"/>
          <w:color w:val="auto"/>
          <w:spacing w:val="-3"/>
          <w:sz w:val="24"/>
          <w:szCs w:val="24"/>
          <w:highlight w:val="none"/>
          <w:u w:val="single" w:color="auto"/>
        </w:rPr>
        <w:t xml:space="preserve">盖单位章）     </w:t>
      </w:r>
      <w:r>
        <w:rPr>
          <w:rFonts w:ascii="宋体" w:hAnsi="宋体" w:eastAsia="宋体" w:cs="宋体"/>
          <w:color w:val="auto"/>
          <w:spacing w:val="5"/>
          <w:sz w:val="24"/>
          <w:szCs w:val="24"/>
          <w:highlight w:val="none"/>
        </w:rPr>
        <w:t xml:space="preserve">      </w:t>
      </w:r>
      <w:r>
        <w:rPr>
          <w:rFonts w:ascii="宋体" w:hAnsi="宋体" w:eastAsia="宋体" w:cs="宋体"/>
          <w:color w:val="auto"/>
          <w:spacing w:val="-3"/>
          <w:sz w:val="24"/>
          <w:szCs w:val="24"/>
          <w:highlight w:val="none"/>
        </w:rPr>
        <w:t>乙方</w:t>
      </w:r>
      <w:r>
        <w:rPr>
          <w:rFonts w:ascii="宋体" w:hAnsi="宋体" w:eastAsia="宋体" w:cs="宋体"/>
          <w:color w:val="auto"/>
          <w:spacing w:val="-5"/>
          <w:sz w:val="24"/>
          <w:szCs w:val="24"/>
          <w:highlight w:val="none"/>
        </w:rPr>
        <w:t>：</w:t>
      </w:r>
      <w:r>
        <w:rPr>
          <w:rFonts w:ascii="宋体" w:hAnsi="宋体" w:eastAsia="宋体" w:cs="宋体"/>
          <w:color w:val="auto"/>
          <w:spacing w:val="17"/>
          <w:sz w:val="24"/>
          <w:szCs w:val="24"/>
          <w:highlight w:val="none"/>
          <w:u w:val="single" w:color="auto"/>
        </w:rPr>
        <w:t xml:space="preserve">       </w:t>
      </w:r>
      <w:r>
        <w:rPr>
          <w:rFonts w:ascii="宋体" w:hAnsi="宋体" w:eastAsia="宋体" w:cs="宋体"/>
          <w:color w:val="auto"/>
          <w:spacing w:val="-5"/>
          <w:sz w:val="24"/>
          <w:szCs w:val="24"/>
          <w:highlight w:val="none"/>
          <w:u w:val="single" w:color="auto"/>
        </w:rPr>
        <w:t>（</w:t>
      </w:r>
      <w:r>
        <w:rPr>
          <w:rFonts w:ascii="宋体" w:hAnsi="宋体" w:eastAsia="宋体" w:cs="宋体"/>
          <w:color w:val="auto"/>
          <w:spacing w:val="-3"/>
          <w:sz w:val="24"/>
          <w:szCs w:val="24"/>
          <w:highlight w:val="none"/>
          <w:u w:val="single" w:color="auto"/>
        </w:rPr>
        <w:t>盖单位章）</w:t>
      </w:r>
      <w:r>
        <w:rPr>
          <w:rFonts w:ascii="宋体" w:hAnsi="宋体" w:eastAsia="宋体" w:cs="宋体"/>
          <w:color w:val="auto"/>
          <w:sz w:val="24"/>
          <w:szCs w:val="24"/>
          <w:highlight w:val="none"/>
          <w:u w:val="single" w:color="auto"/>
        </w:rPr>
        <w:t xml:space="preserve">       </w:t>
      </w:r>
    </w:p>
    <w:p w14:paraId="288C2C23">
      <w:pPr>
        <w:spacing w:before="180" w:line="220" w:lineRule="auto"/>
        <w:ind w:right="30"/>
        <w:jc w:val="right"/>
        <w:rPr>
          <w:rFonts w:ascii="宋体" w:hAnsi="宋体" w:eastAsia="宋体" w:cs="宋体"/>
          <w:color w:val="auto"/>
          <w:sz w:val="24"/>
          <w:szCs w:val="24"/>
          <w:highlight w:val="none"/>
        </w:rPr>
      </w:pPr>
      <w:r>
        <w:rPr>
          <w:rFonts w:ascii="宋体" w:hAnsi="宋体" w:eastAsia="宋体" w:cs="宋体"/>
          <w:color w:val="auto"/>
          <w:sz w:val="24"/>
          <w:szCs w:val="24"/>
          <w:highlight w:val="none"/>
        </w:rPr>
        <w:t>法定代表人或其委托代理人</w:t>
      </w:r>
      <w:r>
        <w:rPr>
          <w:rFonts w:ascii="宋体" w:hAnsi="宋体" w:eastAsia="宋体" w:cs="宋体"/>
          <w:color w:val="auto"/>
          <w:spacing w:val="-1"/>
          <w:sz w:val="24"/>
          <w:szCs w:val="24"/>
          <w:highlight w:val="none"/>
        </w:rPr>
        <w:t>：</w:t>
      </w:r>
      <w:r>
        <w:rPr>
          <w:rFonts w:ascii="宋体" w:hAnsi="宋体" w:eastAsia="宋体" w:cs="宋体"/>
          <w:color w:val="auto"/>
          <w:spacing w:val="-1"/>
          <w:sz w:val="24"/>
          <w:szCs w:val="24"/>
          <w:highlight w:val="none"/>
          <w:u w:val="single" w:color="auto"/>
        </w:rPr>
        <w:t>（</w:t>
      </w:r>
      <w:r>
        <w:rPr>
          <w:rFonts w:ascii="宋体" w:hAnsi="宋体" w:eastAsia="宋体" w:cs="宋体"/>
          <w:color w:val="auto"/>
          <w:sz w:val="24"/>
          <w:szCs w:val="24"/>
          <w:highlight w:val="none"/>
          <w:u w:val="single" w:color="auto"/>
        </w:rPr>
        <w:t>签字）</w:t>
      </w:r>
      <w:r>
        <w:rPr>
          <w:rFonts w:ascii="宋体" w:hAnsi="宋体" w:eastAsia="宋体" w:cs="宋体"/>
          <w:color w:val="auto"/>
          <w:sz w:val="24"/>
          <w:szCs w:val="24"/>
          <w:highlight w:val="none"/>
        </w:rPr>
        <w:t xml:space="preserve">  法定代表人</w:t>
      </w:r>
      <w:r>
        <w:rPr>
          <w:rFonts w:ascii="宋体" w:hAnsi="宋体" w:eastAsia="宋体" w:cs="宋体"/>
          <w:color w:val="auto"/>
          <w:spacing w:val="-1"/>
          <w:sz w:val="24"/>
          <w:szCs w:val="24"/>
          <w:highlight w:val="none"/>
        </w:rPr>
        <w:t>或其委托代理人：</w:t>
      </w:r>
      <w:r>
        <w:rPr>
          <w:rFonts w:ascii="宋体" w:hAnsi="宋体" w:eastAsia="宋体" w:cs="宋体"/>
          <w:color w:val="auto"/>
          <w:spacing w:val="-1"/>
          <w:sz w:val="24"/>
          <w:szCs w:val="24"/>
          <w:highlight w:val="none"/>
          <w:u w:val="single" w:color="auto"/>
        </w:rPr>
        <w:t>（签字）</w:t>
      </w:r>
    </w:p>
    <w:p w14:paraId="5134153C">
      <w:pPr>
        <w:tabs>
          <w:tab w:val="left" w:pos="2720"/>
        </w:tabs>
        <w:spacing w:before="182" w:line="214" w:lineRule="auto"/>
        <w:ind w:left="2000"/>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8"/>
          <w:sz w:val="24"/>
          <w:szCs w:val="24"/>
          <w:highlight w:val="none"/>
        </w:rPr>
        <w:t xml:space="preserve"> </w:t>
      </w:r>
      <w:r>
        <w:rPr>
          <w:rFonts w:ascii="宋体" w:hAnsi="宋体" w:eastAsia="宋体" w:cs="宋体"/>
          <w:color w:val="auto"/>
          <w:spacing w:val="-4"/>
          <w:sz w:val="24"/>
          <w:szCs w:val="24"/>
          <w:highlight w:val="none"/>
        </w:rPr>
        <w:t>年</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4"/>
          <w:sz w:val="24"/>
          <w:szCs w:val="24"/>
          <w:highlight w:val="none"/>
        </w:rPr>
        <w:t>月＿日</w:t>
      </w:r>
      <w:r>
        <w:rPr>
          <w:rFonts w:ascii="宋体" w:hAnsi="宋体" w:eastAsia="宋体" w:cs="宋体"/>
          <w:color w:val="auto"/>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4"/>
          <w:sz w:val="24"/>
          <w:szCs w:val="24"/>
          <w:highlight w:val="none"/>
        </w:rPr>
        <w:t>年</w:t>
      </w:r>
      <w:r>
        <w:rPr>
          <w:rFonts w:ascii="宋体" w:hAnsi="宋体" w:eastAsia="宋体" w:cs="宋体"/>
          <w:color w:val="auto"/>
          <w:spacing w:val="-120"/>
          <w:sz w:val="24"/>
          <w:szCs w:val="24"/>
          <w:highlight w:val="none"/>
        </w:rPr>
        <w:t xml:space="preserve"> </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4"/>
          <w:sz w:val="24"/>
          <w:szCs w:val="24"/>
          <w:highlight w:val="none"/>
        </w:rPr>
        <w:t>月＿日</w:t>
      </w:r>
    </w:p>
    <w:p w14:paraId="75A4BBB1">
      <w:pPr>
        <w:spacing w:line="214" w:lineRule="auto"/>
        <w:rPr>
          <w:rFonts w:ascii="宋体" w:hAnsi="宋体" w:eastAsia="宋体" w:cs="宋体"/>
          <w:color w:val="auto"/>
          <w:sz w:val="24"/>
          <w:szCs w:val="24"/>
          <w:highlight w:val="none"/>
        </w:rPr>
        <w:sectPr>
          <w:footerReference r:id="rId89" w:type="default"/>
          <w:pgSz w:w="11907" w:h="16841"/>
          <w:pgMar w:top="1428" w:right="1527" w:bottom="1254" w:left="1603" w:header="0" w:footer="1093" w:gutter="0"/>
          <w:pgNumType w:fmt="decimal"/>
          <w:cols w:space="720" w:num="1"/>
        </w:sectPr>
      </w:pPr>
    </w:p>
    <w:p w14:paraId="700DDC15">
      <w:pPr>
        <w:spacing w:before="71" w:line="219" w:lineRule="auto"/>
        <w:ind w:left="2675"/>
        <w:outlineLvl w:val="0"/>
        <w:rPr>
          <w:rFonts w:ascii="宋体" w:hAnsi="宋体" w:eastAsia="宋体" w:cs="宋体"/>
          <w:color w:val="auto"/>
          <w:sz w:val="36"/>
          <w:szCs w:val="36"/>
          <w:highlight w:val="none"/>
        </w:rPr>
      </w:pPr>
      <w:bookmarkStart w:id="1045" w:name="bookmark392"/>
      <w:bookmarkEnd w:id="1045"/>
      <w:bookmarkStart w:id="1046" w:name="_Toc27581"/>
      <w:bookmarkStart w:id="1047" w:name="_Toc7799"/>
      <w:r>
        <w:rPr>
          <w:rFonts w:ascii="宋体" w:hAnsi="宋体" w:eastAsia="宋体" w:cs="宋体"/>
          <w:b/>
          <w:bCs/>
          <w:color w:val="auto"/>
          <w:spacing w:val="-4"/>
          <w:sz w:val="36"/>
          <w:szCs w:val="36"/>
          <w:highlight w:val="none"/>
        </w:rPr>
        <w:t>第五章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工程量清单</w:t>
      </w:r>
      <w:bookmarkEnd w:id="1046"/>
      <w:bookmarkEnd w:id="1047"/>
    </w:p>
    <w:p w14:paraId="6AFF14A3">
      <w:pPr>
        <w:spacing w:line="219" w:lineRule="auto"/>
        <w:rPr>
          <w:rFonts w:ascii="宋体" w:hAnsi="宋体" w:eastAsia="宋体" w:cs="宋体"/>
          <w:color w:val="auto"/>
          <w:sz w:val="36"/>
          <w:szCs w:val="36"/>
          <w:highlight w:val="none"/>
        </w:rPr>
        <w:sectPr>
          <w:footerReference r:id="rId90" w:type="default"/>
          <w:pgSz w:w="11907" w:h="16841"/>
          <w:pgMar w:top="1423" w:right="1527" w:bottom="1254" w:left="1785" w:header="0" w:footer="1093" w:gutter="0"/>
          <w:pgNumType w:fmt="decimal"/>
          <w:cols w:space="720" w:num="1"/>
        </w:sectPr>
      </w:pPr>
    </w:p>
    <w:p w14:paraId="068DB342">
      <w:pPr>
        <w:pStyle w:val="3"/>
        <w:spacing w:line="263" w:lineRule="auto"/>
        <w:rPr>
          <w:color w:val="auto"/>
          <w:highlight w:val="none"/>
        </w:rPr>
      </w:pPr>
    </w:p>
    <w:p w14:paraId="26C7A580">
      <w:pPr>
        <w:pStyle w:val="3"/>
        <w:spacing w:line="263" w:lineRule="auto"/>
        <w:rPr>
          <w:color w:val="auto"/>
          <w:highlight w:val="none"/>
        </w:rPr>
      </w:pPr>
    </w:p>
    <w:p w14:paraId="26A48BA6">
      <w:pPr>
        <w:pStyle w:val="3"/>
        <w:spacing w:line="264" w:lineRule="auto"/>
        <w:rPr>
          <w:color w:val="auto"/>
          <w:highlight w:val="none"/>
        </w:rPr>
      </w:pPr>
    </w:p>
    <w:p w14:paraId="2729377F">
      <w:pPr>
        <w:tabs>
          <w:tab w:val="left" w:pos="3557"/>
        </w:tabs>
        <w:spacing w:before="78" w:line="220" w:lineRule="auto"/>
        <w:ind w:left="2702"/>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3"/>
          <w:sz w:val="24"/>
          <w:szCs w:val="24"/>
          <w:highlight w:val="none"/>
          <w:u w:val="single" w:color="auto"/>
        </w:rPr>
        <w:t>（项目名称及标段名称）</w:t>
      </w:r>
      <w:r>
        <w:rPr>
          <w:rFonts w:ascii="宋体" w:hAnsi="宋体" w:eastAsia="宋体" w:cs="宋体"/>
          <w:color w:val="auto"/>
          <w:spacing w:val="1"/>
          <w:sz w:val="24"/>
          <w:szCs w:val="24"/>
          <w:highlight w:val="none"/>
          <w:u w:val="single" w:color="auto"/>
        </w:rPr>
        <w:t xml:space="preserve">    </w:t>
      </w:r>
    </w:p>
    <w:p w14:paraId="54560EB6">
      <w:pPr>
        <w:pStyle w:val="3"/>
        <w:spacing w:line="260" w:lineRule="auto"/>
        <w:rPr>
          <w:color w:val="auto"/>
          <w:highlight w:val="none"/>
        </w:rPr>
      </w:pPr>
    </w:p>
    <w:p w14:paraId="68BFE1FC">
      <w:pPr>
        <w:pStyle w:val="3"/>
        <w:spacing w:line="261" w:lineRule="auto"/>
        <w:rPr>
          <w:color w:val="auto"/>
          <w:highlight w:val="none"/>
        </w:rPr>
      </w:pPr>
    </w:p>
    <w:p w14:paraId="2E510946">
      <w:pPr>
        <w:pStyle w:val="3"/>
        <w:spacing w:line="261" w:lineRule="auto"/>
        <w:rPr>
          <w:color w:val="auto"/>
          <w:highlight w:val="none"/>
        </w:rPr>
      </w:pPr>
    </w:p>
    <w:p w14:paraId="0C330C81">
      <w:pPr>
        <w:pStyle w:val="3"/>
        <w:spacing w:line="261" w:lineRule="auto"/>
        <w:rPr>
          <w:color w:val="auto"/>
          <w:highlight w:val="none"/>
        </w:rPr>
      </w:pPr>
    </w:p>
    <w:p w14:paraId="265FB684">
      <w:pPr>
        <w:pStyle w:val="3"/>
        <w:spacing w:line="261" w:lineRule="auto"/>
        <w:rPr>
          <w:color w:val="auto"/>
          <w:highlight w:val="none"/>
        </w:rPr>
      </w:pPr>
    </w:p>
    <w:p w14:paraId="323DA493">
      <w:pPr>
        <w:spacing w:before="139" w:line="226" w:lineRule="auto"/>
        <w:ind w:left="2860"/>
        <w:rPr>
          <w:rFonts w:ascii="黑体" w:hAnsi="黑体" w:eastAsia="黑体" w:cs="黑体"/>
          <w:color w:val="auto"/>
          <w:sz w:val="43"/>
          <w:szCs w:val="43"/>
          <w:highlight w:val="none"/>
        </w:rPr>
      </w:pPr>
      <w:r>
        <w:rPr>
          <w:rFonts w:ascii="黑体" w:hAnsi="黑体" w:eastAsia="黑体" w:cs="黑体"/>
          <w:color w:val="auto"/>
          <w:spacing w:val="-9"/>
          <w:sz w:val="43"/>
          <w:szCs w:val="43"/>
          <w:highlight w:val="none"/>
        </w:rPr>
        <w:t>工</w:t>
      </w:r>
      <w:r>
        <w:rPr>
          <w:rFonts w:ascii="黑体" w:hAnsi="黑体" w:eastAsia="黑体" w:cs="黑体"/>
          <w:color w:val="auto"/>
          <w:spacing w:val="23"/>
          <w:sz w:val="43"/>
          <w:szCs w:val="43"/>
          <w:highlight w:val="none"/>
        </w:rPr>
        <w:t xml:space="preserve"> </w:t>
      </w:r>
      <w:r>
        <w:rPr>
          <w:rFonts w:ascii="黑体" w:hAnsi="黑体" w:eastAsia="黑体" w:cs="黑体"/>
          <w:color w:val="auto"/>
          <w:spacing w:val="-9"/>
          <w:sz w:val="43"/>
          <w:szCs w:val="43"/>
          <w:highlight w:val="none"/>
        </w:rPr>
        <w:t>程</w:t>
      </w:r>
      <w:r>
        <w:rPr>
          <w:rFonts w:ascii="黑体" w:hAnsi="黑体" w:eastAsia="黑体" w:cs="黑体"/>
          <w:color w:val="auto"/>
          <w:spacing w:val="28"/>
          <w:sz w:val="43"/>
          <w:szCs w:val="43"/>
          <w:highlight w:val="none"/>
        </w:rPr>
        <w:t xml:space="preserve"> </w:t>
      </w:r>
      <w:r>
        <w:rPr>
          <w:rFonts w:ascii="黑体" w:hAnsi="黑体" w:eastAsia="黑体" w:cs="黑体"/>
          <w:color w:val="auto"/>
          <w:spacing w:val="-9"/>
          <w:sz w:val="43"/>
          <w:szCs w:val="43"/>
          <w:highlight w:val="none"/>
        </w:rPr>
        <w:t>量</w:t>
      </w:r>
      <w:r>
        <w:rPr>
          <w:rFonts w:ascii="黑体" w:hAnsi="黑体" w:eastAsia="黑体" w:cs="黑体"/>
          <w:color w:val="auto"/>
          <w:spacing w:val="28"/>
          <w:sz w:val="43"/>
          <w:szCs w:val="43"/>
          <w:highlight w:val="none"/>
        </w:rPr>
        <w:t xml:space="preserve"> </w:t>
      </w:r>
      <w:r>
        <w:rPr>
          <w:rFonts w:ascii="黑体" w:hAnsi="黑体" w:eastAsia="黑体" w:cs="黑体"/>
          <w:color w:val="auto"/>
          <w:spacing w:val="-9"/>
          <w:sz w:val="43"/>
          <w:szCs w:val="43"/>
          <w:highlight w:val="none"/>
        </w:rPr>
        <w:t>清</w:t>
      </w:r>
      <w:r>
        <w:rPr>
          <w:rFonts w:ascii="黑体" w:hAnsi="黑体" w:eastAsia="黑体" w:cs="黑体"/>
          <w:color w:val="auto"/>
          <w:spacing w:val="35"/>
          <w:sz w:val="43"/>
          <w:szCs w:val="43"/>
          <w:highlight w:val="none"/>
        </w:rPr>
        <w:t xml:space="preserve"> </w:t>
      </w:r>
      <w:r>
        <w:rPr>
          <w:rFonts w:ascii="黑体" w:hAnsi="黑体" w:eastAsia="黑体" w:cs="黑体"/>
          <w:color w:val="auto"/>
          <w:spacing w:val="-9"/>
          <w:sz w:val="43"/>
          <w:szCs w:val="43"/>
          <w:highlight w:val="none"/>
        </w:rPr>
        <w:t>单</w:t>
      </w:r>
    </w:p>
    <w:p w14:paraId="0A514FE9">
      <w:pPr>
        <w:pStyle w:val="3"/>
        <w:spacing w:line="249" w:lineRule="auto"/>
        <w:rPr>
          <w:color w:val="auto"/>
          <w:highlight w:val="none"/>
        </w:rPr>
      </w:pPr>
    </w:p>
    <w:p w14:paraId="13224240">
      <w:pPr>
        <w:pStyle w:val="3"/>
        <w:spacing w:line="249" w:lineRule="auto"/>
        <w:rPr>
          <w:color w:val="auto"/>
          <w:highlight w:val="none"/>
        </w:rPr>
      </w:pPr>
    </w:p>
    <w:p w14:paraId="4869380F">
      <w:pPr>
        <w:pStyle w:val="3"/>
        <w:spacing w:line="249" w:lineRule="auto"/>
        <w:rPr>
          <w:color w:val="auto"/>
          <w:highlight w:val="none"/>
        </w:rPr>
      </w:pPr>
    </w:p>
    <w:p w14:paraId="15A89CAB">
      <w:pPr>
        <w:pStyle w:val="3"/>
        <w:spacing w:line="249" w:lineRule="auto"/>
        <w:rPr>
          <w:color w:val="auto"/>
          <w:highlight w:val="none"/>
        </w:rPr>
      </w:pPr>
    </w:p>
    <w:p w14:paraId="73790F32">
      <w:pPr>
        <w:pStyle w:val="3"/>
        <w:spacing w:line="249" w:lineRule="auto"/>
        <w:rPr>
          <w:color w:val="auto"/>
          <w:highlight w:val="none"/>
        </w:rPr>
      </w:pPr>
    </w:p>
    <w:p w14:paraId="49E3BCE8">
      <w:pPr>
        <w:pStyle w:val="3"/>
        <w:spacing w:line="249" w:lineRule="auto"/>
        <w:rPr>
          <w:color w:val="auto"/>
          <w:highlight w:val="none"/>
        </w:rPr>
      </w:pPr>
    </w:p>
    <w:p w14:paraId="2F59BD88">
      <w:pPr>
        <w:pStyle w:val="3"/>
        <w:spacing w:line="249" w:lineRule="auto"/>
        <w:rPr>
          <w:color w:val="auto"/>
          <w:highlight w:val="none"/>
        </w:rPr>
      </w:pPr>
    </w:p>
    <w:p w14:paraId="67C2F231">
      <w:pPr>
        <w:pStyle w:val="3"/>
        <w:spacing w:line="249" w:lineRule="auto"/>
        <w:rPr>
          <w:color w:val="auto"/>
          <w:highlight w:val="none"/>
        </w:rPr>
      </w:pPr>
    </w:p>
    <w:p w14:paraId="735FE53D">
      <w:pPr>
        <w:pStyle w:val="3"/>
        <w:spacing w:line="249" w:lineRule="auto"/>
        <w:rPr>
          <w:color w:val="auto"/>
          <w:highlight w:val="none"/>
        </w:rPr>
      </w:pPr>
    </w:p>
    <w:p w14:paraId="4F1CC2CE">
      <w:pPr>
        <w:pStyle w:val="3"/>
        <w:spacing w:line="249" w:lineRule="auto"/>
        <w:rPr>
          <w:color w:val="auto"/>
          <w:highlight w:val="none"/>
        </w:rPr>
      </w:pPr>
    </w:p>
    <w:p w14:paraId="01840C50">
      <w:pPr>
        <w:pStyle w:val="3"/>
        <w:spacing w:line="249" w:lineRule="auto"/>
        <w:rPr>
          <w:color w:val="auto"/>
          <w:highlight w:val="none"/>
        </w:rPr>
      </w:pPr>
    </w:p>
    <w:p w14:paraId="7BB720DB">
      <w:pPr>
        <w:pStyle w:val="3"/>
        <w:spacing w:line="249" w:lineRule="auto"/>
        <w:rPr>
          <w:color w:val="auto"/>
          <w:highlight w:val="none"/>
        </w:rPr>
      </w:pPr>
    </w:p>
    <w:p w14:paraId="77B26E98">
      <w:pPr>
        <w:pStyle w:val="3"/>
        <w:spacing w:line="249" w:lineRule="auto"/>
        <w:rPr>
          <w:color w:val="auto"/>
          <w:highlight w:val="none"/>
        </w:rPr>
      </w:pPr>
    </w:p>
    <w:p w14:paraId="4F6E2D87">
      <w:pPr>
        <w:pStyle w:val="3"/>
        <w:spacing w:line="249" w:lineRule="auto"/>
        <w:rPr>
          <w:color w:val="auto"/>
          <w:highlight w:val="none"/>
        </w:rPr>
      </w:pPr>
    </w:p>
    <w:p w14:paraId="3545A7C9">
      <w:pPr>
        <w:pStyle w:val="3"/>
        <w:spacing w:line="250" w:lineRule="auto"/>
        <w:rPr>
          <w:color w:val="auto"/>
          <w:highlight w:val="none"/>
        </w:rPr>
      </w:pPr>
    </w:p>
    <w:p w14:paraId="1DF0AB99">
      <w:pPr>
        <w:pStyle w:val="3"/>
        <w:spacing w:line="250" w:lineRule="auto"/>
        <w:rPr>
          <w:color w:val="auto"/>
          <w:highlight w:val="none"/>
        </w:rPr>
      </w:pPr>
    </w:p>
    <w:p w14:paraId="027EB295">
      <w:pPr>
        <w:pStyle w:val="3"/>
        <w:spacing w:line="250" w:lineRule="auto"/>
        <w:rPr>
          <w:color w:val="auto"/>
          <w:highlight w:val="none"/>
        </w:rPr>
      </w:pPr>
    </w:p>
    <w:p w14:paraId="2866F2C4">
      <w:pPr>
        <w:pStyle w:val="3"/>
        <w:spacing w:line="250" w:lineRule="auto"/>
        <w:rPr>
          <w:color w:val="auto"/>
          <w:highlight w:val="none"/>
        </w:rPr>
      </w:pPr>
    </w:p>
    <w:p w14:paraId="1F7A1FE2">
      <w:pPr>
        <w:pStyle w:val="3"/>
        <w:spacing w:line="250" w:lineRule="auto"/>
        <w:rPr>
          <w:color w:val="auto"/>
          <w:highlight w:val="none"/>
        </w:rPr>
      </w:pPr>
    </w:p>
    <w:p w14:paraId="63A22911">
      <w:pPr>
        <w:spacing w:before="91" w:line="213" w:lineRule="auto"/>
        <w:rPr>
          <w:rFonts w:ascii="Times New Roman" w:hAnsi="Times New Roman" w:eastAsia="Times New Roman" w:cs="Times New Roman"/>
          <w:color w:val="auto"/>
          <w:sz w:val="28"/>
          <w:szCs w:val="28"/>
          <w:highlight w:val="none"/>
        </w:rPr>
      </w:pPr>
      <w:r>
        <w:rPr>
          <w:rFonts w:ascii="宋体" w:hAnsi="宋体" w:eastAsia="宋体" w:cs="宋体"/>
          <w:color w:val="auto"/>
          <w:spacing w:val="-1"/>
          <w:sz w:val="28"/>
          <w:szCs w:val="28"/>
          <w:highlight w:val="none"/>
        </w:rPr>
        <w:t>招    标    人：</w:t>
      </w:r>
      <w:r>
        <w:rPr>
          <w:rFonts w:ascii="宋体" w:hAnsi="宋体" w:eastAsia="宋体" w:cs="宋体"/>
          <w:color w:val="auto"/>
          <w:spacing w:val="20"/>
          <w:sz w:val="28"/>
          <w:szCs w:val="28"/>
          <w:highlight w:val="none"/>
          <w:u w:val="single" w:color="auto"/>
        </w:rPr>
        <w:t xml:space="preserve">       </w:t>
      </w:r>
      <w:r>
        <w:rPr>
          <w:rFonts w:ascii="宋体" w:hAnsi="宋体" w:eastAsia="宋体" w:cs="宋体"/>
          <w:color w:val="auto"/>
          <w:spacing w:val="-1"/>
          <w:sz w:val="28"/>
          <w:szCs w:val="28"/>
          <w:highlight w:val="none"/>
          <w:u w:val="single" w:color="auto"/>
        </w:rPr>
        <w:t>（全称）</w:t>
      </w:r>
      <w:r>
        <w:rPr>
          <w:rFonts w:ascii="宋体" w:hAnsi="宋体" w:eastAsia="宋体" w:cs="宋体"/>
          <w:color w:val="auto"/>
          <w:sz w:val="28"/>
          <w:szCs w:val="28"/>
          <w:highlight w:val="none"/>
          <w:u w:val="single" w:color="auto"/>
        </w:rPr>
        <w:t xml:space="preserve">        </w:t>
      </w:r>
      <w:r>
        <w:rPr>
          <w:rFonts w:ascii="宋体" w:hAnsi="宋体" w:eastAsia="宋体" w:cs="宋体"/>
          <w:color w:val="auto"/>
          <w:spacing w:val="-127"/>
          <w:sz w:val="28"/>
          <w:szCs w:val="28"/>
          <w:highlight w:val="none"/>
        </w:rPr>
        <w:t xml:space="preserve"> </w:t>
      </w:r>
      <w:r>
        <w:rPr>
          <w:rFonts w:ascii="Times New Roman" w:hAnsi="Times New Roman" w:eastAsia="Times New Roman" w:cs="Times New Roman"/>
          <w:color w:val="auto"/>
          <w:spacing w:val="-1"/>
          <w:sz w:val="28"/>
          <w:szCs w:val="28"/>
          <w:highlight w:val="none"/>
        </w:rPr>
        <w:t>(</w:t>
      </w:r>
      <w:r>
        <w:rPr>
          <w:rFonts w:ascii="宋体" w:hAnsi="宋体" w:eastAsia="宋体" w:cs="宋体"/>
          <w:color w:val="auto"/>
          <w:spacing w:val="-1"/>
          <w:sz w:val="28"/>
          <w:szCs w:val="28"/>
          <w:highlight w:val="none"/>
        </w:rPr>
        <w:t>单位盖章</w:t>
      </w:r>
      <w:r>
        <w:rPr>
          <w:rFonts w:ascii="Times New Roman" w:hAnsi="Times New Roman" w:eastAsia="Times New Roman" w:cs="Times New Roman"/>
          <w:color w:val="auto"/>
          <w:spacing w:val="-1"/>
          <w:sz w:val="28"/>
          <w:szCs w:val="28"/>
          <w:highlight w:val="none"/>
        </w:rPr>
        <w:t>)</w:t>
      </w:r>
    </w:p>
    <w:p w14:paraId="0509098D">
      <w:pPr>
        <w:pStyle w:val="3"/>
        <w:spacing w:line="295" w:lineRule="auto"/>
        <w:rPr>
          <w:color w:val="auto"/>
          <w:highlight w:val="none"/>
        </w:rPr>
      </w:pPr>
    </w:p>
    <w:p w14:paraId="268C653B">
      <w:pPr>
        <w:pStyle w:val="3"/>
        <w:spacing w:line="295" w:lineRule="auto"/>
        <w:rPr>
          <w:color w:val="auto"/>
          <w:highlight w:val="none"/>
        </w:rPr>
      </w:pPr>
    </w:p>
    <w:p w14:paraId="34A7456E">
      <w:pPr>
        <w:spacing w:before="91" w:line="213" w:lineRule="auto"/>
        <w:ind w:left="1"/>
        <w:rPr>
          <w:rFonts w:ascii="Times New Roman" w:hAnsi="Times New Roman" w:eastAsia="Times New Roman" w:cs="Times New Roman"/>
          <w:color w:val="auto"/>
          <w:sz w:val="28"/>
          <w:szCs w:val="28"/>
          <w:highlight w:val="none"/>
        </w:rPr>
      </w:pPr>
      <w:r>
        <w:rPr>
          <w:rFonts w:ascii="宋体" w:hAnsi="宋体" w:eastAsia="宋体" w:cs="宋体"/>
          <w:color w:val="auto"/>
          <w:spacing w:val="-2"/>
          <w:sz w:val="28"/>
          <w:szCs w:val="28"/>
          <w:highlight w:val="none"/>
        </w:rPr>
        <w:t>编  制  单</w:t>
      </w:r>
      <w:r>
        <w:rPr>
          <w:rFonts w:ascii="宋体" w:hAnsi="宋体" w:eastAsia="宋体" w:cs="宋体"/>
          <w:color w:val="auto"/>
          <w:spacing w:val="5"/>
          <w:sz w:val="28"/>
          <w:szCs w:val="28"/>
          <w:highlight w:val="none"/>
        </w:rPr>
        <w:t xml:space="preserve">  </w:t>
      </w:r>
      <w:r>
        <w:rPr>
          <w:rFonts w:ascii="宋体" w:hAnsi="宋体" w:eastAsia="宋体" w:cs="宋体"/>
          <w:color w:val="auto"/>
          <w:spacing w:val="-2"/>
          <w:sz w:val="28"/>
          <w:szCs w:val="28"/>
          <w:highlight w:val="none"/>
        </w:rPr>
        <w:t>位</w:t>
      </w:r>
      <w:r>
        <w:rPr>
          <w:rFonts w:ascii="宋体" w:hAnsi="宋体" w:eastAsia="宋体" w:cs="宋体"/>
          <w:color w:val="auto"/>
          <w:sz w:val="28"/>
          <w:szCs w:val="28"/>
          <w:highlight w:val="none"/>
        </w:rPr>
        <w:t>：</w:t>
      </w:r>
      <w:r>
        <w:rPr>
          <w:rFonts w:ascii="宋体" w:hAnsi="宋体" w:eastAsia="宋体" w:cs="宋体"/>
          <w:color w:val="auto"/>
          <w:spacing w:val="20"/>
          <w:sz w:val="28"/>
          <w:szCs w:val="28"/>
          <w:highlight w:val="none"/>
          <w:u w:val="single" w:color="auto"/>
        </w:rPr>
        <w:t xml:space="preserve">       </w:t>
      </w:r>
      <w:r>
        <w:rPr>
          <w:rFonts w:ascii="宋体" w:hAnsi="宋体" w:eastAsia="宋体" w:cs="宋体"/>
          <w:color w:val="auto"/>
          <w:sz w:val="28"/>
          <w:szCs w:val="28"/>
          <w:highlight w:val="none"/>
          <w:u w:val="single" w:color="auto"/>
        </w:rPr>
        <w:t>（</w:t>
      </w:r>
      <w:r>
        <w:rPr>
          <w:rFonts w:ascii="宋体" w:hAnsi="宋体" w:eastAsia="宋体" w:cs="宋体"/>
          <w:color w:val="auto"/>
          <w:spacing w:val="-2"/>
          <w:sz w:val="28"/>
          <w:szCs w:val="28"/>
          <w:highlight w:val="none"/>
          <w:u w:val="single" w:color="auto"/>
        </w:rPr>
        <w:t>全称）</w:t>
      </w:r>
      <w:r>
        <w:rPr>
          <w:rFonts w:ascii="宋体" w:hAnsi="宋体" w:eastAsia="宋体" w:cs="宋体"/>
          <w:color w:val="auto"/>
          <w:sz w:val="28"/>
          <w:szCs w:val="28"/>
          <w:highlight w:val="none"/>
          <w:u w:val="single" w:color="auto"/>
        </w:rPr>
        <w:t xml:space="preserve">        </w:t>
      </w:r>
      <w:r>
        <w:rPr>
          <w:rFonts w:ascii="宋体" w:hAnsi="宋体" w:eastAsia="宋体" w:cs="宋体"/>
          <w:color w:val="auto"/>
          <w:spacing w:val="-126"/>
          <w:sz w:val="28"/>
          <w:szCs w:val="28"/>
          <w:highlight w:val="none"/>
        </w:rPr>
        <w:t xml:space="preserve"> </w:t>
      </w:r>
      <w:r>
        <w:rPr>
          <w:rFonts w:ascii="Times New Roman" w:hAnsi="Times New Roman" w:eastAsia="Times New Roman" w:cs="Times New Roman"/>
          <w:color w:val="auto"/>
          <w:spacing w:val="-2"/>
          <w:sz w:val="28"/>
          <w:szCs w:val="28"/>
          <w:highlight w:val="none"/>
        </w:rPr>
        <w:t>(</w:t>
      </w:r>
      <w:r>
        <w:rPr>
          <w:rFonts w:ascii="宋体" w:hAnsi="宋体" w:eastAsia="宋体" w:cs="宋体"/>
          <w:color w:val="auto"/>
          <w:spacing w:val="-2"/>
          <w:sz w:val="28"/>
          <w:szCs w:val="28"/>
          <w:highlight w:val="none"/>
        </w:rPr>
        <w:t>单位盖章</w:t>
      </w:r>
      <w:r>
        <w:rPr>
          <w:rFonts w:ascii="Times New Roman" w:hAnsi="Times New Roman" w:eastAsia="Times New Roman" w:cs="Times New Roman"/>
          <w:color w:val="auto"/>
          <w:spacing w:val="-2"/>
          <w:sz w:val="28"/>
          <w:szCs w:val="28"/>
          <w:highlight w:val="none"/>
        </w:rPr>
        <w:t>)</w:t>
      </w:r>
    </w:p>
    <w:p w14:paraId="76B550CD">
      <w:pPr>
        <w:pStyle w:val="3"/>
        <w:spacing w:line="294" w:lineRule="auto"/>
        <w:rPr>
          <w:color w:val="auto"/>
          <w:highlight w:val="none"/>
        </w:rPr>
      </w:pPr>
    </w:p>
    <w:p w14:paraId="10A1E900">
      <w:pPr>
        <w:pStyle w:val="3"/>
        <w:spacing w:line="295" w:lineRule="auto"/>
        <w:rPr>
          <w:color w:val="auto"/>
          <w:highlight w:val="none"/>
        </w:rPr>
      </w:pPr>
    </w:p>
    <w:p w14:paraId="0357D7F9">
      <w:pPr>
        <w:spacing w:before="91" w:line="219" w:lineRule="auto"/>
        <w:ind w:left="13"/>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审    定</w:t>
      </w:r>
      <w:r>
        <w:rPr>
          <w:rFonts w:ascii="宋体" w:hAnsi="宋体" w:eastAsia="宋体" w:cs="宋体"/>
          <w:color w:val="auto"/>
          <w:spacing w:val="3"/>
          <w:sz w:val="28"/>
          <w:szCs w:val="28"/>
          <w:highlight w:val="none"/>
        </w:rPr>
        <w:t xml:space="preserve">    </w:t>
      </w:r>
      <w:r>
        <w:rPr>
          <w:rFonts w:ascii="宋体" w:hAnsi="宋体" w:eastAsia="宋体" w:cs="宋体"/>
          <w:color w:val="auto"/>
          <w:spacing w:val="-3"/>
          <w:sz w:val="28"/>
          <w:szCs w:val="28"/>
          <w:highlight w:val="none"/>
        </w:rPr>
        <w:t>人</w:t>
      </w:r>
      <w:r>
        <w:rPr>
          <w:rFonts w:ascii="宋体" w:hAnsi="宋体" w:eastAsia="宋体" w:cs="宋体"/>
          <w:color w:val="auto"/>
          <w:spacing w:val="1"/>
          <w:sz w:val="28"/>
          <w:szCs w:val="28"/>
          <w:highlight w:val="none"/>
        </w:rPr>
        <w:t>：</w:t>
      </w:r>
      <w:r>
        <w:rPr>
          <w:rFonts w:ascii="宋体" w:hAnsi="宋体" w:eastAsia="宋体" w:cs="宋体"/>
          <w:color w:val="auto"/>
          <w:sz w:val="28"/>
          <w:szCs w:val="28"/>
          <w:highlight w:val="none"/>
          <w:u w:val="single" w:color="auto"/>
        </w:rPr>
        <w:t xml:space="preserve">                     </w:t>
      </w:r>
      <w:r>
        <w:rPr>
          <w:rFonts w:ascii="宋体" w:hAnsi="宋体" w:eastAsia="宋体" w:cs="宋体"/>
          <w:color w:val="auto"/>
          <w:spacing w:val="1"/>
          <w:sz w:val="28"/>
          <w:szCs w:val="28"/>
          <w:highlight w:val="none"/>
        </w:rPr>
        <w:t>（</w:t>
      </w:r>
      <w:r>
        <w:rPr>
          <w:rFonts w:ascii="宋体" w:hAnsi="宋体" w:eastAsia="宋体" w:cs="宋体"/>
          <w:color w:val="auto"/>
          <w:spacing w:val="-3"/>
          <w:sz w:val="28"/>
          <w:szCs w:val="28"/>
          <w:highlight w:val="none"/>
        </w:rPr>
        <w:t>签字并盖执业专用章）</w:t>
      </w:r>
    </w:p>
    <w:p w14:paraId="2B534396">
      <w:pPr>
        <w:pStyle w:val="3"/>
        <w:spacing w:line="261" w:lineRule="auto"/>
        <w:rPr>
          <w:color w:val="auto"/>
          <w:highlight w:val="none"/>
        </w:rPr>
      </w:pPr>
    </w:p>
    <w:p w14:paraId="27DF1A10">
      <w:pPr>
        <w:spacing w:before="91" w:line="219" w:lineRule="auto"/>
        <w:ind w:left="13"/>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审    核    人</w:t>
      </w:r>
      <w:r>
        <w:rPr>
          <w:rFonts w:ascii="宋体" w:hAnsi="宋体" w:eastAsia="宋体" w:cs="宋体"/>
          <w:color w:val="auto"/>
          <w:spacing w:val="3"/>
          <w:sz w:val="28"/>
          <w:szCs w:val="28"/>
          <w:highlight w:val="none"/>
        </w:rPr>
        <w:t>：</w:t>
      </w:r>
      <w:r>
        <w:rPr>
          <w:rFonts w:ascii="宋体" w:hAnsi="宋体" w:eastAsia="宋体" w:cs="宋体"/>
          <w:color w:val="auto"/>
          <w:sz w:val="28"/>
          <w:szCs w:val="28"/>
          <w:highlight w:val="none"/>
          <w:u w:val="single" w:color="auto"/>
        </w:rPr>
        <w:t xml:space="preserve">                     </w:t>
      </w:r>
      <w:r>
        <w:rPr>
          <w:rFonts w:ascii="宋体" w:hAnsi="宋体" w:eastAsia="宋体" w:cs="宋体"/>
          <w:color w:val="auto"/>
          <w:spacing w:val="3"/>
          <w:sz w:val="28"/>
          <w:szCs w:val="28"/>
          <w:highlight w:val="none"/>
        </w:rPr>
        <w:t>（</w:t>
      </w:r>
      <w:r>
        <w:rPr>
          <w:rFonts w:ascii="宋体" w:hAnsi="宋体" w:eastAsia="宋体" w:cs="宋体"/>
          <w:color w:val="auto"/>
          <w:spacing w:val="-2"/>
          <w:sz w:val="28"/>
          <w:szCs w:val="28"/>
          <w:highlight w:val="none"/>
        </w:rPr>
        <w:t>签字并盖执业专用章）</w:t>
      </w:r>
    </w:p>
    <w:p w14:paraId="54BB8E30">
      <w:pPr>
        <w:pStyle w:val="3"/>
        <w:spacing w:line="259" w:lineRule="auto"/>
        <w:rPr>
          <w:color w:val="auto"/>
          <w:highlight w:val="none"/>
        </w:rPr>
      </w:pPr>
    </w:p>
    <w:p w14:paraId="16CDA968">
      <w:pPr>
        <w:spacing w:before="91" w:line="219" w:lineRule="auto"/>
        <w:ind w:left="1"/>
        <w:rPr>
          <w:rFonts w:ascii="宋体" w:hAnsi="宋体" w:eastAsia="宋体" w:cs="宋体"/>
          <w:color w:val="auto"/>
          <w:sz w:val="28"/>
          <w:szCs w:val="28"/>
          <w:highlight w:val="none"/>
        </w:rPr>
      </w:pPr>
      <w:r>
        <w:rPr>
          <w:rFonts w:ascii="宋体" w:hAnsi="宋体" w:eastAsia="宋体" w:cs="宋体"/>
          <w:color w:val="auto"/>
          <w:spacing w:val="-1"/>
          <w:sz w:val="28"/>
          <w:szCs w:val="28"/>
          <w:highlight w:val="none"/>
        </w:rPr>
        <w:t>编    制    人</w:t>
      </w:r>
      <w:r>
        <w:rPr>
          <w:rFonts w:ascii="宋体" w:hAnsi="宋体" w:eastAsia="宋体" w:cs="宋体"/>
          <w:color w:val="auto"/>
          <w:spacing w:val="-2"/>
          <w:sz w:val="28"/>
          <w:szCs w:val="28"/>
          <w:highlight w:val="none"/>
        </w:rPr>
        <w:t>：</w:t>
      </w:r>
      <w:r>
        <w:rPr>
          <w:rFonts w:ascii="宋体" w:hAnsi="宋体" w:eastAsia="宋体" w:cs="宋体"/>
          <w:color w:val="auto"/>
          <w:sz w:val="28"/>
          <w:szCs w:val="28"/>
          <w:highlight w:val="none"/>
          <w:u w:val="single" w:color="auto"/>
        </w:rPr>
        <w:t xml:space="preserve">                     </w:t>
      </w:r>
      <w:r>
        <w:rPr>
          <w:rFonts w:ascii="宋体" w:hAnsi="宋体" w:eastAsia="宋体" w:cs="宋体"/>
          <w:color w:val="auto"/>
          <w:spacing w:val="-2"/>
          <w:sz w:val="28"/>
          <w:szCs w:val="28"/>
          <w:highlight w:val="none"/>
        </w:rPr>
        <w:t>（</w:t>
      </w:r>
      <w:r>
        <w:rPr>
          <w:rFonts w:ascii="宋体" w:hAnsi="宋体" w:eastAsia="宋体" w:cs="宋体"/>
          <w:color w:val="auto"/>
          <w:spacing w:val="-1"/>
          <w:sz w:val="28"/>
          <w:szCs w:val="28"/>
          <w:highlight w:val="none"/>
        </w:rPr>
        <w:t>签字并盖执业专用章）</w:t>
      </w:r>
    </w:p>
    <w:p w14:paraId="766D0FE4">
      <w:pPr>
        <w:pStyle w:val="3"/>
        <w:spacing w:line="290" w:lineRule="auto"/>
        <w:rPr>
          <w:color w:val="auto"/>
          <w:highlight w:val="none"/>
        </w:rPr>
      </w:pPr>
    </w:p>
    <w:p w14:paraId="4B2BCFAA">
      <w:pPr>
        <w:pStyle w:val="3"/>
        <w:spacing w:line="290" w:lineRule="auto"/>
        <w:rPr>
          <w:color w:val="auto"/>
          <w:highlight w:val="none"/>
        </w:rPr>
      </w:pPr>
    </w:p>
    <w:p w14:paraId="6C66CCAF">
      <w:pPr>
        <w:spacing w:before="92" w:line="220" w:lineRule="auto"/>
        <w:ind w:left="1"/>
        <w:rPr>
          <w:rFonts w:ascii="宋体" w:hAnsi="宋体" w:eastAsia="宋体" w:cs="宋体"/>
          <w:color w:val="auto"/>
          <w:sz w:val="28"/>
          <w:szCs w:val="28"/>
          <w:highlight w:val="none"/>
        </w:rPr>
      </w:pPr>
      <w:r>
        <w:rPr>
          <w:rFonts w:ascii="宋体" w:hAnsi="宋体" w:eastAsia="宋体" w:cs="宋体"/>
          <w:color w:val="auto"/>
          <w:spacing w:val="-16"/>
          <w:sz w:val="28"/>
          <w:szCs w:val="28"/>
          <w:highlight w:val="none"/>
        </w:rPr>
        <w:t>编</w:t>
      </w:r>
      <w:r>
        <w:rPr>
          <w:rFonts w:ascii="宋体" w:hAnsi="宋体" w:eastAsia="宋体" w:cs="宋体"/>
          <w:color w:val="auto"/>
          <w:spacing w:val="5"/>
          <w:sz w:val="28"/>
          <w:szCs w:val="28"/>
          <w:highlight w:val="none"/>
        </w:rPr>
        <w:t xml:space="preserve">  </w:t>
      </w:r>
      <w:r>
        <w:rPr>
          <w:rFonts w:ascii="宋体" w:hAnsi="宋体" w:eastAsia="宋体" w:cs="宋体"/>
          <w:color w:val="auto"/>
          <w:spacing w:val="-16"/>
          <w:sz w:val="28"/>
          <w:szCs w:val="28"/>
          <w:highlight w:val="none"/>
        </w:rPr>
        <w:t>制</w:t>
      </w:r>
      <w:r>
        <w:rPr>
          <w:rFonts w:ascii="宋体" w:hAnsi="宋体" w:eastAsia="宋体" w:cs="宋体"/>
          <w:color w:val="auto"/>
          <w:spacing w:val="11"/>
          <w:sz w:val="28"/>
          <w:szCs w:val="28"/>
          <w:highlight w:val="none"/>
        </w:rPr>
        <w:t xml:space="preserve">  </w:t>
      </w:r>
      <w:r>
        <w:rPr>
          <w:rFonts w:ascii="宋体" w:hAnsi="宋体" w:eastAsia="宋体" w:cs="宋体"/>
          <w:color w:val="auto"/>
          <w:spacing w:val="-16"/>
          <w:sz w:val="28"/>
          <w:szCs w:val="28"/>
          <w:highlight w:val="none"/>
        </w:rPr>
        <w:t>时</w:t>
      </w:r>
      <w:r>
        <w:rPr>
          <w:rFonts w:ascii="宋体" w:hAnsi="宋体" w:eastAsia="宋体" w:cs="宋体"/>
          <w:color w:val="auto"/>
          <w:spacing w:val="16"/>
          <w:sz w:val="28"/>
          <w:szCs w:val="28"/>
          <w:highlight w:val="none"/>
        </w:rPr>
        <w:t xml:space="preserve">  </w:t>
      </w:r>
      <w:r>
        <w:rPr>
          <w:rFonts w:ascii="宋体" w:hAnsi="宋体" w:eastAsia="宋体" w:cs="宋体"/>
          <w:color w:val="auto"/>
          <w:spacing w:val="-16"/>
          <w:sz w:val="28"/>
          <w:szCs w:val="28"/>
          <w:highlight w:val="none"/>
        </w:rPr>
        <w:t>间：</w:t>
      </w:r>
      <w:r>
        <w:rPr>
          <w:rFonts w:ascii="宋体" w:hAnsi="宋体" w:eastAsia="宋体" w:cs="宋体"/>
          <w:color w:val="auto"/>
          <w:sz w:val="28"/>
          <w:szCs w:val="28"/>
          <w:highlight w:val="none"/>
          <w:u w:val="single" w:color="auto"/>
        </w:rPr>
        <w:t xml:space="preserve">                      </w:t>
      </w:r>
    </w:p>
    <w:p w14:paraId="331B30B3">
      <w:pPr>
        <w:spacing w:line="220" w:lineRule="auto"/>
        <w:rPr>
          <w:rFonts w:ascii="宋体" w:hAnsi="宋体" w:eastAsia="宋体" w:cs="宋体"/>
          <w:color w:val="auto"/>
          <w:sz w:val="28"/>
          <w:szCs w:val="28"/>
          <w:highlight w:val="none"/>
        </w:rPr>
        <w:sectPr>
          <w:footerReference r:id="rId91" w:type="default"/>
          <w:pgSz w:w="11907" w:h="16841"/>
          <w:pgMar w:top="1431" w:right="1527" w:bottom="1254" w:left="1600" w:header="0" w:footer="1093" w:gutter="0"/>
          <w:pgNumType w:fmt="decimal"/>
          <w:cols w:space="720" w:num="1"/>
        </w:sectPr>
      </w:pPr>
    </w:p>
    <w:p w14:paraId="24F5F669">
      <w:pPr>
        <w:spacing w:before="55" w:line="221" w:lineRule="auto"/>
        <w:ind w:left="3623"/>
        <w:rPr>
          <w:rFonts w:ascii="宋体" w:hAnsi="宋体" w:eastAsia="宋体" w:cs="宋体"/>
          <w:color w:val="auto"/>
          <w:sz w:val="28"/>
          <w:szCs w:val="28"/>
          <w:highlight w:val="none"/>
        </w:rPr>
      </w:pPr>
      <w:r>
        <w:rPr>
          <w:rFonts w:ascii="宋体" w:hAnsi="宋体" w:eastAsia="宋体" w:cs="宋体"/>
          <w:b/>
          <w:bCs/>
          <w:color w:val="auto"/>
          <w:spacing w:val="-12"/>
          <w:sz w:val="28"/>
          <w:szCs w:val="28"/>
          <w:highlight w:val="none"/>
        </w:rPr>
        <w:t>填</w:t>
      </w:r>
      <w:r>
        <w:rPr>
          <w:rFonts w:ascii="宋体" w:hAnsi="宋体" w:eastAsia="宋体" w:cs="宋体"/>
          <w:color w:val="auto"/>
          <w:spacing w:val="11"/>
          <w:sz w:val="28"/>
          <w:szCs w:val="28"/>
          <w:highlight w:val="none"/>
        </w:rPr>
        <w:t xml:space="preserve"> </w:t>
      </w:r>
      <w:r>
        <w:rPr>
          <w:rFonts w:ascii="宋体" w:hAnsi="宋体" w:eastAsia="宋体" w:cs="宋体"/>
          <w:b/>
          <w:bCs/>
          <w:color w:val="auto"/>
          <w:spacing w:val="-12"/>
          <w:sz w:val="28"/>
          <w:szCs w:val="28"/>
          <w:highlight w:val="none"/>
        </w:rPr>
        <w:t>表</w:t>
      </w:r>
      <w:r>
        <w:rPr>
          <w:rFonts w:ascii="宋体" w:hAnsi="宋体" w:eastAsia="宋体" w:cs="宋体"/>
          <w:color w:val="auto"/>
          <w:spacing w:val="17"/>
          <w:sz w:val="28"/>
          <w:szCs w:val="28"/>
          <w:highlight w:val="none"/>
        </w:rPr>
        <w:t xml:space="preserve"> </w:t>
      </w:r>
      <w:r>
        <w:rPr>
          <w:rFonts w:ascii="宋体" w:hAnsi="宋体" w:eastAsia="宋体" w:cs="宋体"/>
          <w:b/>
          <w:bCs/>
          <w:color w:val="auto"/>
          <w:spacing w:val="-12"/>
          <w:sz w:val="28"/>
          <w:szCs w:val="28"/>
          <w:highlight w:val="none"/>
        </w:rPr>
        <w:t>须</w:t>
      </w:r>
      <w:r>
        <w:rPr>
          <w:rFonts w:ascii="宋体" w:hAnsi="宋体" w:eastAsia="宋体" w:cs="宋体"/>
          <w:color w:val="auto"/>
          <w:spacing w:val="15"/>
          <w:sz w:val="28"/>
          <w:szCs w:val="28"/>
          <w:highlight w:val="none"/>
        </w:rPr>
        <w:t xml:space="preserve"> </w:t>
      </w:r>
      <w:r>
        <w:rPr>
          <w:rFonts w:ascii="宋体" w:hAnsi="宋体" w:eastAsia="宋体" w:cs="宋体"/>
          <w:b/>
          <w:bCs/>
          <w:color w:val="auto"/>
          <w:spacing w:val="-12"/>
          <w:sz w:val="28"/>
          <w:szCs w:val="28"/>
          <w:highlight w:val="none"/>
        </w:rPr>
        <w:t>知</w:t>
      </w:r>
    </w:p>
    <w:p w14:paraId="642ACE5A">
      <w:pPr>
        <w:pStyle w:val="3"/>
        <w:spacing w:line="268" w:lineRule="auto"/>
        <w:rPr>
          <w:color w:val="auto"/>
          <w:highlight w:val="none"/>
        </w:rPr>
      </w:pPr>
    </w:p>
    <w:p w14:paraId="33B07D74">
      <w:pPr>
        <w:pStyle w:val="3"/>
        <w:spacing w:line="268" w:lineRule="auto"/>
        <w:rPr>
          <w:color w:val="auto"/>
          <w:highlight w:val="none"/>
        </w:rPr>
      </w:pPr>
    </w:p>
    <w:p w14:paraId="166E25BC">
      <w:pPr>
        <w:spacing w:before="78" w:line="289" w:lineRule="auto"/>
        <w:ind w:right="87" w:firstLine="496"/>
        <w:rPr>
          <w:rFonts w:ascii="宋体" w:hAnsi="宋体" w:eastAsia="宋体" w:cs="宋体"/>
          <w:color w:val="auto"/>
          <w:sz w:val="24"/>
          <w:szCs w:val="24"/>
          <w:highlight w:val="none"/>
        </w:rPr>
      </w:pPr>
      <w:r>
        <w:rPr>
          <w:rFonts w:ascii="Times New Roman" w:hAnsi="Times New Roman" w:eastAsia="Times New Roman" w:cs="Times New Roman"/>
          <w:color w:val="auto"/>
          <w:spacing w:val="-6"/>
          <w:sz w:val="24"/>
          <w:szCs w:val="24"/>
          <w:highlight w:val="none"/>
        </w:rPr>
        <w:t>1.</w:t>
      </w:r>
      <w:r>
        <w:rPr>
          <w:rFonts w:ascii="宋体" w:hAnsi="宋体" w:eastAsia="宋体" w:cs="宋体"/>
          <w:color w:val="auto"/>
          <w:spacing w:val="-6"/>
          <w:sz w:val="24"/>
          <w:szCs w:val="24"/>
          <w:highlight w:val="none"/>
        </w:rPr>
        <w:t>工程量清单及其计价格式中所有要求盖</w:t>
      </w:r>
      <w:r>
        <w:rPr>
          <w:rFonts w:ascii="宋体" w:hAnsi="宋体" w:eastAsia="宋体" w:cs="宋体"/>
          <w:color w:val="auto"/>
          <w:spacing w:val="-7"/>
          <w:sz w:val="24"/>
          <w:szCs w:val="24"/>
          <w:highlight w:val="none"/>
        </w:rPr>
        <w:t>章、签字的地方，</w:t>
      </w:r>
      <w:r>
        <w:rPr>
          <w:rFonts w:ascii="宋体" w:hAnsi="宋体" w:eastAsia="宋体" w:cs="宋体"/>
          <w:color w:val="auto"/>
          <w:spacing w:val="50"/>
          <w:sz w:val="24"/>
          <w:szCs w:val="24"/>
          <w:highlight w:val="none"/>
        </w:rPr>
        <w:t xml:space="preserve"> </w:t>
      </w:r>
      <w:r>
        <w:rPr>
          <w:rFonts w:ascii="宋体" w:hAnsi="宋体" w:eastAsia="宋体" w:cs="宋体"/>
          <w:color w:val="auto"/>
          <w:spacing w:val="-7"/>
          <w:sz w:val="24"/>
          <w:szCs w:val="24"/>
          <w:highlight w:val="none"/>
        </w:rPr>
        <w:t>必须由规定的单位和</w:t>
      </w:r>
      <w:r>
        <w:rPr>
          <w:rFonts w:ascii="宋体" w:hAnsi="宋体" w:eastAsia="宋体" w:cs="宋体"/>
          <w:color w:val="auto"/>
          <w:spacing w:val="-6"/>
          <w:sz w:val="24"/>
          <w:szCs w:val="24"/>
          <w:highlight w:val="none"/>
        </w:rPr>
        <w:t>人员盖章、签字。</w:t>
      </w:r>
    </w:p>
    <w:p w14:paraId="2D12E701">
      <w:pPr>
        <w:spacing w:before="183" w:line="218" w:lineRule="auto"/>
        <w:jc w:val="right"/>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除另有规定外，工程量清单及其计价格式中的任何内容不得随意删除或涂改。</w:t>
      </w:r>
    </w:p>
    <w:p w14:paraId="091A9568">
      <w:pPr>
        <w:spacing w:before="182" w:line="289" w:lineRule="auto"/>
        <w:ind w:left="1" w:firstLine="476"/>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3.</w:t>
      </w:r>
      <w:r>
        <w:rPr>
          <w:rFonts w:ascii="宋体" w:hAnsi="宋体" w:eastAsia="宋体" w:cs="宋体"/>
          <w:color w:val="auto"/>
          <w:spacing w:val="1"/>
          <w:sz w:val="24"/>
          <w:szCs w:val="24"/>
          <w:highlight w:val="none"/>
        </w:rPr>
        <w:t>工程量清单计价格式中列明的所有需要填报的单价和合价，投标人均应填报。</w:t>
      </w:r>
      <w:r>
        <w:rPr>
          <w:rFonts w:ascii="宋体" w:hAnsi="宋体" w:eastAsia="宋体" w:cs="宋体"/>
          <w:color w:val="auto"/>
          <w:spacing w:val="-1"/>
          <w:sz w:val="24"/>
          <w:szCs w:val="24"/>
          <w:highlight w:val="none"/>
        </w:rPr>
        <w:t>未填报的单价和合价，视为此项费用已包含在工程</w:t>
      </w:r>
      <w:r>
        <w:rPr>
          <w:rFonts w:ascii="宋体" w:hAnsi="宋体" w:eastAsia="宋体" w:cs="宋体"/>
          <w:color w:val="auto"/>
          <w:spacing w:val="-2"/>
          <w:sz w:val="24"/>
          <w:szCs w:val="24"/>
          <w:highlight w:val="none"/>
        </w:rPr>
        <w:t>量清单的其它单价和合价中。</w:t>
      </w:r>
    </w:p>
    <w:p w14:paraId="08DD1AEA">
      <w:pPr>
        <w:spacing w:before="182" w:line="218" w:lineRule="auto"/>
        <w:ind w:left="472"/>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投标金额（价格）均应以人民币表示。</w:t>
      </w:r>
    </w:p>
    <w:p w14:paraId="431132F9">
      <w:pPr>
        <w:spacing w:line="218" w:lineRule="auto"/>
        <w:rPr>
          <w:rFonts w:ascii="宋体" w:hAnsi="宋体" w:eastAsia="宋体" w:cs="宋体"/>
          <w:color w:val="auto"/>
          <w:sz w:val="24"/>
          <w:szCs w:val="24"/>
          <w:highlight w:val="none"/>
        </w:rPr>
        <w:sectPr>
          <w:footerReference r:id="rId92" w:type="default"/>
          <w:pgSz w:w="11907" w:h="16841"/>
          <w:pgMar w:top="1425" w:right="1443" w:bottom="1254" w:left="1600" w:header="0" w:footer="1093" w:gutter="0"/>
          <w:pgNumType w:fmt="decimal"/>
          <w:cols w:space="720" w:num="1"/>
        </w:sectPr>
      </w:pPr>
    </w:p>
    <w:p w14:paraId="5D73BC45">
      <w:pPr>
        <w:spacing w:before="56" w:line="220" w:lineRule="auto"/>
        <w:ind w:left="3601"/>
        <w:rPr>
          <w:rFonts w:hint="eastAsia" w:ascii="宋体" w:hAnsi="宋体" w:eastAsia="宋体" w:cs="宋体"/>
          <w:color w:val="auto"/>
          <w:sz w:val="28"/>
          <w:szCs w:val="28"/>
          <w:highlight w:val="none"/>
          <w:lang w:val="en-US" w:eastAsia="zh-CN"/>
        </w:rPr>
      </w:pPr>
      <w:r>
        <w:rPr>
          <w:rFonts w:ascii="宋体" w:hAnsi="宋体" w:eastAsia="宋体" w:cs="宋体"/>
          <w:b/>
          <w:bCs/>
          <w:color w:val="auto"/>
          <w:spacing w:val="-14"/>
          <w:sz w:val="28"/>
          <w:szCs w:val="28"/>
          <w:highlight w:val="none"/>
        </w:rPr>
        <w:t>总</w:t>
      </w:r>
      <w:r>
        <w:rPr>
          <w:rFonts w:ascii="宋体" w:hAnsi="宋体" w:eastAsia="宋体" w:cs="宋体"/>
          <w:color w:val="auto"/>
          <w:spacing w:val="8"/>
          <w:sz w:val="28"/>
          <w:szCs w:val="28"/>
          <w:highlight w:val="none"/>
        </w:rPr>
        <w:t xml:space="preserve">  </w:t>
      </w:r>
      <w:r>
        <w:rPr>
          <w:rFonts w:ascii="宋体" w:hAnsi="宋体" w:eastAsia="宋体" w:cs="宋体"/>
          <w:b/>
          <w:bCs/>
          <w:color w:val="auto"/>
          <w:spacing w:val="-14"/>
          <w:sz w:val="28"/>
          <w:szCs w:val="28"/>
          <w:highlight w:val="none"/>
        </w:rPr>
        <w:t>说</w:t>
      </w:r>
      <w:r>
        <w:rPr>
          <w:rFonts w:ascii="宋体" w:hAnsi="宋体" w:eastAsia="宋体" w:cs="宋体"/>
          <w:color w:val="auto"/>
          <w:spacing w:val="19"/>
          <w:sz w:val="28"/>
          <w:szCs w:val="28"/>
          <w:highlight w:val="none"/>
        </w:rPr>
        <w:t xml:space="preserve">  </w:t>
      </w:r>
      <w:r>
        <w:rPr>
          <w:rFonts w:ascii="宋体" w:hAnsi="宋体" w:eastAsia="宋体" w:cs="宋体"/>
          <w:b/>
          <w:bCs/>
          <w:color w:val="auto"/>
          <w:spacing w:val="-14"/>
          <w:sz w:val="28"/>
          <w:szCs w:val="28"/>
          <w:highlight w:val="none"/>
        </w:rPr>
        <w:t>明</w:t>
      </w:r>
    </w:p>
    <w:p w14:paraId="53A57BE3">
      <w:pPr>
        <w:spacing w:before="198" w:line="221" w:lineRule="auto"/>
        <w:ind w:left="114"/>
        <w:rPr>
          <w:rFonts w:ascii="宋体" w:hAnsi="宋体" w:eastAsia="宋体" w:cs="宋体"/>
          <w:color w:val="auto"/>
          <w:sz w:val="21"/>
          <w:szCs w:val="21"/>
          <w:highlight w:val="none"/>
        </w:rPr>
      </w:pPr>
      <w:r>
        <w:rPr>
          <w:rFonts w:ascii="宋体" w:hAnsi="宋体" w:eastAsia="宋体" w:cs="宋体"/>
          <w:color w:val="auto"/>
          <w:sz w:val="21"/>
          <w:szCs w:val="21"/>
          <w:highlight w:val="none"/>
        </w:rPr>
        <w:t>项目及标段名称：</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第</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页共</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w:t>
      </w:r>
    </w:p>
    <w:p w14:paraId="0CAF5E31">
      <w:pPr>
        <w:spacing w:line="127" w:lineRule="exact"/>
        <w:rPr>
          <w:color w:val="auto"/>
          <w:highlight w:val="none"/>
        </w:rPr>
      </w:pPr>
    </w:p>
    <w:tbl>
      <w:tblPr>
        <w:tblStyle w:val="16"/>
        <w:tblW w:w="887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79"/>
      </w:tblGrid>
      <w:tr w14:paraId="68033F9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971" w:hRule="atLeast"/>
        </w:trPr>
        <w:tc>
          <w:tcPr>
            <w:tcW w:w="8879" w:type="dxa"/>
            <w:vAlign w:val="top"/>
          </w:tcPr>
          <w:p w14:paraId="75AD3686">
            <w:pPr>
              <w:spacing w:line="480" w:lineRule="auto"/>
              <w:rPr>
                <w:rFonts w:hint="eastAsia" w:ascii="宋体" w:hAnsi="宋体" w:cs="宋体"/>
                <w:bCs/>
                <w:color w:val="auto"/>
                <w:kern w:val="0"/>
                <w:sz w:val="24"/>
                <w:szCs w:val="24"/>
                <w:highlight w:val="none"/>
                <w:lang w:val="zh-CN"/>
              </w:rPr>
            </w:pPr>
            <w:r>
              <w:rPr>
                <w:rFonts w:hint="eastAsia" w:ascii="微软简行楷" w:hAnsi="楷体_GB2312" w:eastAsia="微软简行楷" w:cs="楷体_GB2312"/>
                <w:b/>
                <w:color w:val="auto"/>
                <w:sz w:val="28"/>
                <w:szCs w:val="28"/>
                <w:highlight w:val="none"/>
                <w:lang w:val="zh-CN"/>
              </w:rPr>
              <w:t>一、编制依据：</w:t>
            </w:r>
          </w:p>
          <w:p w14:paraId="306FD777">
            <w:pPr>
              <w:spacing w:line="480" w:lineRule="auto"/>
              <w:jc w:val="left"/>
              <w:rPr>
                <w:rFonts w:hint="eastAsia"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w:t>
            </w:r>
            <w:r>
              <w:rPr>
                <w:rFonts w:hint="eastAsia" w:ascii="宋体" w:hAnsi="宋体" w:cs="宋体"/>
                <w:bCs/>
                <w:color w:val="auto"/>
                <w:kern w:val="0"/>
                <w:sz w:val="24"/>
                <w:szCs w:val="24"/>
                <w:highlight w:val="none"/>
                <w:lang w:val="en-US" w:eastAsia="zh-CN"/>
              </w:rPr>
              <w:t>1</w:t>
            </w:r>
            <w:r>
              <w:rPr>
                <w:rFonts w:hint="eastAsia" w:ascii="宋体" w:hAnsi="宋体" w:cs="宋体"/>
                <w:bCs/>
                <w:color w:val="auto"/>
                <w:kern w:val="0"/>
                <w:sz w:val="24"/>
                <w:szCs w:val="24"/>
                <w:highlight w:val="none"/>
                <w:lang w:val="zh-CN"/>
              </w:rPr>
              <w:t>、《浙江省水利水电工程费用定额及概（预）算编制规定》（20</w:t>
            </w:r>
            <w:r>
              <w:rPr>
                <w:rFonts w:hint="eastAsia" w:ascii="宋体" w:hAnsi="宋体" w:cs="宋体"/>
                <w:bCs/>
                <w:color w:val="auto"/>
                <w:kern w:val="0"/>
                <w:sz w:val="24"/>
                <w:szCs w:val="24"/>
                <w:highlight w:val="none"/>
                <w:lang w:val="en-US" w:eastAsia="zh-CN"/>
              </w:rPr>
              <w:t>21</w:t>
            </w:r>
            <w:r>
              <w:rPr>
                <w:rFonts w:hint="eastAsia" w:ascii="宋体" w:hAnsi="宋体" w:cs="宋体"/>
                <w:bCs/>
                <w:color w:val="auto"/>
                <w:kern w:val="0"/>
                <w:sz w:val="24"/>
                <w:szCs w:val="24"/>
                <w:highlight w:val="none"/>
                <w:lang w:val="zh-CN"/>
              </w:rPr>
              <w:t>）；</w:t>
            </w:r>
          </w:p>
          <w:p w14:paraId="0B5A9E5F">
            <w:pPr>
              <w:spacing w:line="480" w:lineRule="auto"/>
              <w:jc w:val="left"/>
              <w:rPr>
                <w:rFonts w:hint="eastAsia" w:ascii="宋体" w:hAnsi="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 xml:space="preserve">  2、</w:t>
            </w:r>
            <w:r>
              <w:rPr>
                <w:rFonts w:hint="eastAsia" w:ascii="宋体" w:hAnsi="宋体" w:cs="宋体"/>
                <w:bCs/>
                <w:color w:val="auto"/>
                <w:kern w:val="0"/>
                <w:sz w:val="24"/>
                <w:szCs w:val="24"/>
                <w:highlight w:val="none"/>
                <w:lang w:val="zh-CN"/>
              </w:rPr>
              <w:t>《浙江省水利水电工程建筑工程预算定额》（</w:t>
            </w:r>
            <w:r>
              <w:rPr>
                <w:rFonts w:hint="eastAsia" w:ascii="宋体" w:hAnsi="宋体" w:cs="宋体"/>
                <w:bCs/>
                <w:color w:val="auto"/>
                <w:kern w:val="0"/>
                <w:sz w:val="24"/>
                <w:szCs w:val="24"/>
                <w:highlight w:val="none"/>
                <w:lang w:val="en-US" w:eastAsia="zh-CN"/>
              </w:rPr>
              <w:t>2021）；</w:t>
            </w:r>
          </w:p>
          <w:p w14:paraId="4AEE0290">
            <w:pPr>
              <w:spacing w:line="480" w:lineRule="auto"/>
              <w:jc w:val="left"/>
              <w:rPr>
                <w:rFonts w:hint="eastAsia"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en-US" w:eastAsia="zh-CN"/>
              </w:rPr>
              <w:t xml:space="preserve">  3、</w:t>
            </w:r>
            <w:r>
              <w:rPr>
                <w:rFonts w:hint="eastAsia" w:ascii="宋体" w:hAnsi="宋体" w:cs="宋体"/>
                <w:bCs/>
                <w:color w:val="auto"/>
                <w:kern w:val="0"/>
                <w:sz w:val="24"/>
                <w:szCs w:val="24"/>
                <w:highlight w:val="none"/>
                <w:lang w:val="zh-CN"/>
              </w:rPr>
              <w:t>《浙江省水利水电工程施工机械台班费定额》（20</w:t>
            </w:r>
            <w:r>
              <w:rPr>
                <w:rFonts w:hint="eastAsia" w:ascii="宋体" w:hAnsi="宋体" w:cs="宋体"/>
                <w:bCs/>
                <w:color w:val="auto"/>
                <w:kern w:val="0"/>
                <w:sz w:val="24"/>
                <w:szCs w:val="24"/>
                <w:highlight w:val="none"/>
                <w:lang w:val="en-US" w:eastAsia="zh-CN"/>
              </w:rPr>
              <w:t>21</w:t>
            </w:r>
            <w:r>
              <w:rPr>
                <w:rFonts w:hint="eastAsia" w:ascii="宋体" w:hAnsi="宋体" w:cs="宋体"/>
                <w:bCs/>
                <w:color w:val="auto"/>
                <w:kern w:val="0"/>
                <w:sz w:val="24"/>
                <w:szCs w:val="24"/>
                <w:highlight w:val="none"/>
                <w:lang w:val="zh-CN"/>
              </w:rPr>
              <w:t>）；</w:t>
            </w:r>
          </w:p>
          <w:p w14:paraId="20372821">
            <w:pPr>
              <w:spacing w:line="480" w:lineRule="auto"/>
              <w:jc w:val="left"/>
              <w:rPr>
                <w:rFonts w:hint="eastAsia"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en-US" w:eastAsia="zh-CN"/>
              </w:rPr>
              <w:t xml:space="preserve">  4、</w:t>
            </w:r>
            <w:r>
              <w:rPr>
                <w:rFonts w:hint="eastAsia" w:ascii="宋体" w:hAnsi="宋体" w:cs="宋体"/>
                <w:bCs/>
                <w:color w:val="auto"/>
                <w:kern w:val="0"/>
                <w:sz w:val="24"/>
                <w:szCs w:val="24"/>
                <w:highlight w:val="none"/>
                <w:lang w:val="zh-CN"/>
              </w:rPr>
              <w:t>《浙江省水利水电工程建筑工程安装定额》(20</w:t>
            </w:r>
            <w:r>
              <w:rPr>
                <w:rFonts w:hint="eastAsia" w:ascii="宋体" w:hAnsi="宋体" w:cs="宋体"/>
                <w:bCs/>
                <w:color w:val="auto"/>
                <w:kern w:val="0"/>
                <w:sz w:val="24"/>
                <w:szCs w:val="24"/>
                <w:highlight w:val="none"/>
                <w:lang w:val="en-US" w:eastAsia="zh-CN"/>
              </w:rPr>
              <w:t>21</w:t>
            </w:r>
            <w:r>
              <w:rPr>
                <w:rFonts w:hint="eastAsia" w:ascii="宋体" w:hAnsi="宋体" w:cs="宋体"/>
                <w:bCs/>
                <w:color w:val="auto"/>
                <w:kern w:val="0"/>
                <w:sz w:val="24"/>
                <w:szCs w:val="24"/>
                <w:highlight w:val="none"/>
                <w:lang w:val="zh-CN"/>
              </w:rPr>
              <w:t>版)；</w:t>
            </w:r>
          </w:p>
          <w:p w14:paraId="7C0EC43D">
            <w:pPr>
              <w:spacing w:line="480" w:lineRule="auto"/>
              <w:jc w:val="left"/>
              <w:rPr>
                <w:rFonts w:hint="eastAsia" w:ascii="宋体" w:hAnsi="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 xml:space="preserve">  5、</w:t>
            </w:r>
            <w:r>
              <w:rPr>
                <w:rFonts w:hint="eastAsia" w:ascii="宋体" w:hAnsi="宋体" w:cs="宋体"/>
                <w:bCs/>
                <w:color w:val="auto"/>
                <w:kern w:val="0"/>
                <w:sz w:val="24"/>
                <w:szCs w:val="24"/>
                <w:highlight w:val="none"/>
                <w:lang w:val="zh-CN"/>
              </w:rPr>
              <w:t>《浙江省水利工程工程量清单计价办法》（20</w:t>
            </w:r>
            <w:r>
              <w:rPr>
                <w:rFonts w:hint="eastAsia" w:ascii="宋体" w:hAnsi="宋体" w:cs="宋体"/>
                <w:bCs/>
                <w:color w:val="auto"/>
                <w:kern w:val="0"/>
                <w:sz w:val="24"/>
                <w:szCs w:val="24"/>
                <w:highlight w:val="none"/>
                <w:lang w:val="en-US" w:eastAsia="zh-CN"/>
              </w:rPr>
              <w:t>22</w:t>
            </w:r>
            <w:r>
              <w:rPr>
                <w:rFonts w:hint="eastAsia" w:ascii="宋体" w:hAnsi="宋体" w:cs="宋体"/>
                <w:bCs/>
                <w:color w:val="auto"/>
                <w:kern w:val="0"/>
                <w:sz w:val="24"/>
                <w:szCs w:val="24"/>
                <w:highlight w:val="none"/>
                <w:lang w:val="zh-CN"/>
              </w:rPr>
              <w:t>版）；</w:t>
            </w:r>
          </w:p>
          <w:p w14:paraId="6E7AF0D6">
            <w:pPr>
              <w:spacing w:line="480" w:lineRule="auto"/>
              <w:jc w:val="left"/>
              <w:rPr>
                <w:rFonts w:hint="default" w:ascii="宋体" w:hAnsi="宋体" w:cs="宋体"/>
                <w:bCs/>
                <w:kern w:val="0"/>
                <w:sz w:val="24"/>
                <w:highlight w:val="none"/>
                <w:lang w:val="en-US" w:eastAsia="zh-CN"/>
              </w:rPr>
            </w:pPr>
            <w:r>
              <w:rPr>
                <w:rFonts w:hint="eastAsia" w:ascii="宋体" w:hAnsi="宋体" w:cs="宋体"/>
                <w:bCs/>
                <w:color w:val="auto"/>
                <w:kern w:val="0"/>
                <w:sz w:val="24"/>
                <w:szCs w:val="24"/>
                <w:highlight w:val="none"/>
                <w:lang w:val="zh-CN"/>
              </w:rPr>
              <w:t xml:space="preserve"> </w:t>
            </w:r>
            <w:r>
              <w:rPr>
                <w:rFonts w:hint="eastAsia" w:ascii="宋体" w:hAnsi="宋体" w:cs="宋体"/>
                <w:bCs/>
                <w:color w:val="auto"/>
                <w:kern w:val="0"/>
                <w:sz w:val="24"/>
                <w:szCs w:val="24"/>
                <w:highlight w:val="none"/>
                <w:lang w:val="en-US" w:eastAsia="zh-CN"/>
              </w:rPr>
              <w:t xml:space="preserve"> </w:t>
            </w:r>
            <w:r>
              <w:rPr>
                <w:rFonts w:hint="eastAsia" w:ascii="宋体" w:hAnsi="宋体" w:cs="宋体"/>
                <w:kern w:val="0"/>
                <w:sz w:val="24"/>
                <w:highlight w:val="none"/>
                <w:lang w:val="en-US" w:eastAsia="zh-CN" w:bidi="ar"/>
              </w:rPr>
              <w:t>6、浙水建</w:t>
            </w:r>
            <w:r>
              <w:rPr>
                <w:rFonts w:hint="eastAsia" w:ascii="宋体" w:hAnsi="宋体" w:cs="宋体"/>
                <w:bCs/>
                <w:kern w:val="0"/>
                <w:sz w:val="24"/>
                <w:highlight w:val="none"/>
              </w:rPr>
              <w:t>〔201</w:t>
            </w:r>
            <w:r>
              <w:rPr>
                <w:rFonts w:hint="eastAsia" w:ascii="宋体" w:hAnsi="宋体" w:cs="宋体"/>
                <w:bCs/>
                <w:kern w:val="0"/>
                <w:sz w:val="24"/>
                <w:highlight w:val="none"/>
                <w:lang w:val="en-US" w:eastAsia="zh-CN"/>
              </w:rPr>
              <w:t>9</w:t>
            </w:r>
            <w:r>
              <w:rPr>
                <w:rFonts w:hint="eastAsia" w:ascii="宋体" w:hAnsi="宋体" w:cs="宋体"/>
                <w:bCs/>
                <w:kern w:val="0"/>
                <w:sz w:val="24"/>
                <w:highlight w:val="none"/>
              </w:rPr>
              <w:t>〕</w:t>
            </w:r>
            <w:r>
              <w:rPr>
                <w:rFonts w:hint="eastAsia" w:ascii="宋体" w:hAnsi="宋体" w:cs="宋体"/>
                <w:bCs/>
                <w:kern w:val="0"/>
                <w:sz w:val="24"/>
                <w:highlight w:val="none"/>
                <w:lang w:val="en-US" w:eastAsia="zh-CN"/>
              </w:rPr>
              <w:t>4号《浙江省水利厅关于重新调整水利工程计价依据增值税税率的通知》；</w:t>
            </w:r>
          </w:p>
          <w:p w14:paraId="027C3B3B">
            <w:pPr>
              <w:spacing w:line="480" w:lineRule="auto"/>
              <w:ind w:firstLine="240" w:firstLineChars="100"/>
              <w:jc w:val="left"/>
              <w:rPr>
                <w:rFonts w:hint="eastAsia" w:ascii="宋体" w:hAnsi="宋体" w:cs="宋体"/>
                <w:kern w:val="0"/>
                <w:sz w:val="24"/>
                <w:highlight w:val="none"/>
                <w:lang w:val="en-US" w:eastAsia="zh-CN" w:bidi="ar"/>
              </w:rPr>
            </w:pPr>
            <w:r>
              <w:rPr>
                <w:rFonts w:hint="eastAsia" w:ascii="宋体" w:hAnsi="宋体" w:cs="宋体"/>
                <w:kern w:val="0"/>
                <w:sz w:val="24"/>
                <w:highlight w:val="none"/>
                <w:lang w:val="en-US" w:eastAsia="zh-CN" w:bidi="ar"/>
              </w:rPr>
              <w:t>7、</w:t>
            </w:r>
            <w:r>
              <w:rPr>
                <w:rFonts w:hint="eastAsia" w:ascii="宋体" w:hAnsi="宋体" w:cs="宋体"/>
                <w:bCs/>
                <w:kern w:val="0"/>
                <w:sz w:val="24"/>
                <w:highlight w:val="none"/>
                <w:lang w:val="zh-CN"/>
              </w:rPr>
              <w:t>浙江省及国内现行的法律、规范、规程及政策性文件；</w:t>
            </w:r>
          </w:p>
          <w:p w14:paraId="26BE7189">
            <w:pPr>
              <w:spacing w:line="480" w:lineRule="auto"/>
              <w:jc w:val="left"/>
              <w:rPr>
                <w:rFonts w:hint="eastAsia"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 xml:space="preserve">  </w:t>
            </w:r>
            <w:r>
              <w:rPr>
                <w:rFonts w:hint="eastAsia" w:ascii="宋体" w:hAnsi="宋体" w:cs="宋体"/>
                <w:bCs/>
                <w:color w:val="auto"/>
                <w:kern w:val="0"/>
                <w:sz w:val="24"/>
                <w:szCs w:val="24"/>
                <w:highlight w:val="none"/>
                <w:lang w:val="en-US" w:eastAsia="zh-CN"/>
              </w:rPr>
              <w:t>8</w:t>
            </w:r>
            <w:r>
              <w:rPr>
                <w:rFonts w:hint="eastAsia" w:ascii="宋体" w:hAnsi="宋体" w:cs="宋体"/>
                <w:bCs/>
                <w:color w:val="auto"/>
                <w:kern w:val="0"/>
                <w:sz w:val="24"/>
                <w:szCs w:val="24"/>
                <w:highlight w:val="none"/>
                <w:lang w:val="zh-CN"/>
              </w:rPr>
              <w:t>、 常规施工方案及业主的相关要求。</w:t>
            </w:r>
          </w:p>
          <w:p w14:paraId="63B27AFA">
            <w:pPr>
              <w:spacing w:line="480" w:lineRule="auto"/>
              <w:rPr>
                <w:rFonts w:hint="eastAsia" w:ascii="微软简行楷" w:hAnsi="楷体_GB2312" w:eastAsia="微软简行楷" w:cs="楷体_GB2312"/>
                <w:b/>
                <w:color w:val="auto"/>
                <w:sz w:val="28"/>
                <w:szCs w:val="28"/>
                <w:highlight w:val="none"/>
                <w:lang w:val="en-US"/>
              </w:rPr>
            </w:pPr>
            <w:r>
              <w:rPr>
                <w:rFonts w:hint="eastAsia" w:ascii="微软简行楷" w:hAnsi="楷体_GB2312" w:eastAsia="微软简行楷" w:cs="楷体_GB2312"/>
                <w:b/>
                <w:color w:val="auto"/>
                <w:sz w:val="28"/>
                <w:szCs w:val="28"/>
                <w:highlight w:val="none"/>
                <w:lang w:val="zh-CN"/>
              </w:rPr>
              <w:t>二、编制范围：</w:t>
            </w:r>
          </w:p>
          <w:p w14:paraId="0238C41A">
            <w:pPr>
              <w:keepNext w:val="0"/>
              <w:keepLines w:val="0"/>
              <w:pageBreakBefore w:val="0"/>
              <w:kinsoku/>
              <w:wordWrap/>
              <w:overflowPunct/>
              <w:topLinePunct w:val="0"/>
              <w:bidi w:val="0"/>
              <w:snapToGrid/>
              <w:spacing w:line="20" w:lineRule="atLeast"/>
              <w:ind w:right="0" w:rightChars="0" w:firstLine="480" w:firstLineChars="200"/>
              <w:textAlignment w:val="auto"/>
              <w:outlineLvl w:val="9"/>
              <w:rPr>
                <w:rFonts w:hint="eastAsia" w:ascii="宋体" w:hAnsi="宋体" w:cs="宋体"/>
                <w:bCs/>
                <w:color w:val="auto"/>
                <w:sz w:val="24"/>
                <w:szCs w:val="24"/>
                <w:highlight w:val="none"/>
                <w:lang w:val="en-US"/>
              </w:rPr>
            </w:pPr>
            <w:r>
              <w:rPr>
                <w:rFonts w:hint="eastAsia" w:ascii="宋体" w:hAnsi="宋体" w:cs="宋体"/>
                <w:bCs/>
                <w:color w:val="auto"/>
                <w:sz w:val="24"/>
                <w:szCs w:val="24"/>
                <w:highlight w:val="none"/>
                <w:lang w:val="en-US"/>
              </w:rPr>
              <w:t xml:space="preserve"> </w:t>
            </w:r>
            <w:r>
              <w:rPr>
                <w:rFonts w:hint="eastAsia" w:ascii="宋体" w:hAnsi="宋体" w:cs="宋体"/>
                <w:bCs/>
                <w:color w:val="auto"/>
                <w:kern w:val="0"/>
                <w:sz w:val="24"/>
                <w:szCs w:val="24"/>
                <w:highlight w:val="none"/>
                <w:lang w:val="en-US" w:eastAsia="zh-CN"/>
              </w:rPr>
              <w:t>2025年嵊州市浦口街道高标准农田建设项目（Ⅰ标）</w:t>
            </w:r>
            <w:r>
              <w:rPr>
                <w:rFonts w:hint="eastAsia" w:ascii="宋体" w:hAnsi="宋体" w:cs="宋体"/>
                <w:bCs/>
                <w:color w:val="auto"/>
                <w:kern w:val="0"/>
                <w:sz w:val="24"/>
                <w:szCs w:val="24"/>
                <w:highlight w:val="none"/>
                <w:lang w:val="zh-CN" w:eastAsia="zh-CN"/>
              </w:rPr>
              <w:t>图纸上所有内容。</w:t>
            </w:r>
          </w:p>
          <w:p w14:paraId="26667805">
            <w:pPr>
              <w:spacing w:line="480" w:lineRule="auto"/>
              <w:rPr>
                <w:rFonts w:hint="eastAsia" w:ascii="微软简行楷" w:hAnsi="楷体_GB2312" w:eastAsia="微软简行楷" w:cs="楷体_GB2312"/>
                <w:b/>
                <w:color w:val="auto"/>
                <w:sz w:val="28"/>
                <w:szCs w:val="28"/>
                <w:highlight w:val="none"/>
                <w:lang w:val="en-US"/>
              </w:rPr>
            </w:pPr>
            <w:r>
              <w:rPr>
                <w:rFonts w:hint="eastAsia" w:ascii="微软简行楷" w:hAnsi="楷体_GB2312" w:eastAsia="微软简行楷" w:cs="楷体_GB2312"/>
                <w:b/>
                <w:color w:val="auto"/>
                <w:sz w:val="28"/>
                <w:szCs w:val="28"/>
                <w:highlight w:val="none"/>
                <w:lang w:val="zh-CN"/>
              </w:rPr>
              <w:t>三、事项说明：</w:t>
            </w:r>
          </w:p>
          <w:p w14:paraId="66F80FC0">
            <w:pPr>
              <w:spacing w:line="480" w:lineRule="auto"/>
              <w:ind w:firstLine="480"/>
              <w:jc w:val="left"/>
              <w:rPr>
                <w:rFonts w:hint="eastAsia"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zh-CN"/>
              </w:rPr>
              <w:t>1、工程量计算：根据现行有关工程量计算规则及业主送审的工程实施方案、设计施工图纸和其他设计补充资料计算工程量，施工时按实调整；</w:t>
            </w:r>
          </w:p>
          <w:p w14:paraId="7D6E4299">
            <w:pPr>
              <w:spacing w:line="480" w:lineRule="auto"/>
              <w:ind w:firstLine="480"/>
              <w:jc w:val="left"/>
              <w:rPr>
                <w:rFonts w:hint="eastAsia"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en-US" w:eastAsia="zh-CN"/>
              </w:rPr>
              <w:t>2、</w:t>
            </w:r>
            <w:r>
              <w:rPr>
                <w:rFonts w:hint="eastAsia" w:ascii="宋体" w:hAnsi="宋体" w:cs="宋体"/>
                <w:bCs/>
                <w:color w:val="auto"/>
                <w:kern w:val="0"/>
                <w:sz w:val="24"/>
                <w:szCs w:val="24"/>
                <w:highlight w:val="none"/>
                <w:lang w:val="zh-CN"/>
              </w:rPr>
              <w:t>水利部分取费标准：</w:t>
            </w:r>
            <w:r>
              <w:rPr>
                <w:rFonts w:hint="eastAsia"/>
                <w:color w:val="auto"/>
                <w:sz w:val="24"/>
                <w:highlight w:val="none"/>
              </w:rPr>
              <w:t>按三类</w:t>
            </w:r>
            <w:r>
              <w:rPr>
                <w:rFonts w:hint="eastAsia"/>
                <w:color w:val="auto"/>
                <w:sz w:val="24"/>
                <w:highlight w:val="none"/>
                <w:lang w:eastAsia="zh-CN"/>
              </w:rPr>
              <w:t>水利</w:t>
            </w:r>
            <w:r>
              <w:rPr>
                <w:rFonts w:hint="eastAsia"/>
                <w:color w:val="auto"/>
                <w:sz w:val="24"/>
                <w:highlight w:val="none"/>
              </w:rPr>
              <w:t>工程取费标准取费，</w:t>
            </w:r>
            <w:r>
              <w:rPr>
                <w:rFonts w:hint="eastAsia"/>
                <w:color w:val="auto"/>
                <w:sz w:val="24"/>
                <w:highlight w:val="none"/>
                <w:lang w:eastAsia="zh-CN"/>
              </w:rPr>
              <w:t>管理费及规费、利润按</w:t>
            </w:r>
            <w:r>
              <w:rPr>
                <w:rFonts w:hint="eastAsia" w:ascii="宋体" w:hAnsi="宋体" w:cs="宋体"/>
                <w:bCs/>
                <w:kern w:val="0"/>
                <w:sz w:val="24"/>
                <w:highlight w:val="none"/>
                <w:lang w:eastAsia="zh-CN"/>
              </w:rPr>
              <w:t>（</w:t>
            </w:r>
            <w:r>
              <w:rPr>
                <w:rFonts w:hint="eastAsia" w:ascii="宋体" w:hAnsi="宋体" w:cs="宋体"/>
                <w:bCs/>
                <w:kern w:val="0"/>
                <w:sz w:val="24"/>
                <w:highlight w:val="none"/>
                <w:lang w:val="en-US" w:eastAsia="zh-CN"/>
              </w:rPr>
              <w:t>2021）《规定》计取，</w:t>
            </w:r>
            <w:r>
              <w:rPr>
                <w:rFonts w:hint="eastAsia"/>
                <w:color w:val="auto"/>
                <w:sz w:val="24"/>
                <w:highlight w:val="none"/>
              </w:rPr>
              <w:t>并按规定计取民工工伤保险，税金按</w:t>
            </w:r>
            <w:r>
              <w:rPr>
                <w:rFonts w:hint="eastAsia" w:ascii="宋体" w:hAnsi="宋体" w:cs="宋体"/>
                <w:kern w:val="0"/>
                <w:sz w:val="24"/>
                <w:highlight w:val="none"/>
                <w:lang w:val="en-US" w:eastAsia="zh-CN" w:bidi="ar"/>
              </w:rPr>
              <w:t>浙水建</w:t>
            </w:r>
            <w:r>
              <w:rPr>
                <w:rFonts w:hint="eastAsia" w:ascii="宋体" w:hAnsi="宋体" w:cs="宋体"/>
                <w:bCs/>
                <w:kern w:val="0"/>
                <w:sz w:val="24"/>
                <w:highlight w:val="none"/>
              </w:rPr>
              <w:t>〔201</w:t>
            </w:r>
            <w:r>
              <w:rPr>
                <w:rFonts w:hint="eastAsia" w:ascii="宋体" w:hAnsi="宋体" w:cs="宋体"/>
                <w:bCs/>
                <w:kern w:val="0"/>
                <w:sz w:val="24"/>
                <w:highlight w:val="none"/>
                <w:lang w:val="en-US" w:eastAsia="zh-CN"/>
              </w:rPr>
              <w:t>9</w:t>
            </w:r>
            <w:r>
              <w:rPr>
                <w:rFonts w:hint="eastAsia" w:ascii="宋体" w:hAnsi="宋体" w:cs="宋体"/>
                <w:bCs/>
                <w:kern w:val="0"/>
                <w:sz w:val="24"/>
                <w:highlight w:val="none"/>
              </w:rPr>
              <w:t>〕</w:t>
            </w:r>
            <w:r>
              <w:rPr>
                <w:rFonts w:hint="eastAsia" w:ascii="宋体" w:hAnsi="宋体" w:cs="宋体"/>
                <w:bCs/>
                <w:kern w:val="0"/>
                <w:sz w:val="24"/>
                <w:highlight w:val="none"/>
                <w:lang w:val="en-US" w:eastAsia="zh-CN"/>
              </w:rPr>
              <w:t>4号《浙江省水利厅关于重新调整水利工程计价依据增值税税率的通知》</w:t>
            </w:r>
            <w:r>
              <w:rPr>
                <w:rFonts w:hint="eastAsia" w:ascii="宋体" w:hAnsi="宋体" w:cs="宋体"/>
                <w:kern w:val="0"/>
                <w:sz w:val="24"/>
                <w:highlight w:val="none"/>
                <w:lang w:val="en-US" w:eastAsia="zh-CN" w:bidi="ar"/>
              </w:rPr>
              <w:t>计取为9%</w:t>
            </w:r>
            <w:r>
              <w:rPr>
                <w:rFonts w:hint="eastAsia" w:ascii="宋体" w:hAnsi="宋体" w:cs="宋体"/>
                <w:bCs/>
                <w:color w:val="auto"/>
                <w:kern w:val="0"/>
                <w:sz w:val="24"/>
                <w:szCs w:val="24"/>
                <w:highlight w:val="none"/>
                <w:lang w:val="zh-CN"/>
              </w:rPr>
              <w:t>；</w:t>
            </w:r>
          </w:p>
          <w:p w14:paraId="65C57039">
            <w:pPr>
              <w:spacing w:line="480" w:lineRule="auto"/>
              <w:ind w:firstLine="480"/>
              <w:jc w:val="left"/>
              <w:rPr>
                <w:rFonts w:hint="eastAsia"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en-US" w:eastAsia="zh-CN"/>
              </w:rPr>
              <w:t>3</w:t>
            </w:r>
            <w:r>
              <w:rPr>
                <w:rFonts w:hint="eastAsia" w:ascii="宋体" w:hAnsi="宋体" w:cs="宋体"/>
                <w:bCs/>
                <w:color w:val="auto"/>
                <w:kern w:val="0"/>
                <w:sz w:val="24"/>
                <w:szCs w:val="24"/>
                <w:highlight w:val="none"/>
                <w:lang w:val="zh-CN"/>
              </w:rPr>
              <w:t>、人工及材料价格：</w:t>
            </w:r>
          </w:p>
          <w:p w14:paraId="4296E4B3">
            <w:pPr>
              <w:spacing w:line="480" w:lineRule="auto"/>
              <w:ind w:firstLine="480"/>
              <w:jc w:val="left"/>
              <w:rPr>
                <w:rFonts w:hint="eastAsia" w:ascii="宋体" w:hAnsi="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 xml:space="preserve">   </w:t>
            </w:r>
            <w:r>
              <w:rPr>
                <w:rFonts w:hint="eastAsia" w:ascii="宋体" w:hAnsi="宋体" w:cs="宋体"/>
                <w:bCs/>
                <w:color w:val="auto"/>
                <w:kern w:val="0"/>
                <w:sz w:val="24"/>
                <w:szCs w:val="24"/>
                <w:highlight w:val="none"/>
                <w:lang w:val="zh-CN"/>
              </w:rPr>
              <w:t>人工费单价按</w:t>
            </w:r>
            <w:r>
              <w:rPr>
                <w:rFonts w:hint="eastAsia" w:ascii="宋体" w:hAnsi="宋体" w:cs="宋体"/>
                <w:bCs/>
                <w:color w:val="auto"/>
                <w:kern w:val="0"/>
                <w:sz w:val="24"/>
                <w:szCs w:val="24"/>
                <w:highlight w:val="none"/>
                <w:lang w:val="en-US" w:eastAsia="zh-CN"/>
              </w:rPr>
              <w:t>128</w:t>
            </w:r>
            <w:r>
              <w:rPr>
                <w:rFonts w:hint="eastAsia" w:ascii="宋体" w:hAnsi="宋体" w:cs="宋体"/>
                <w:bCs/>
                <w:color w:val="auto"/>
                <w:kern w:val="0"/>
                <w:sz w:val="24"/>
                <w:szCs w:val="24"/>
                <w:highlight w:val="none"/>
                <w:lang w:val="zh-CN"/>
              </w:rPr>
              <w:t>元/工日计算；</w:t>
            </w:r>
          </w:p>
          <w:p w14:paraId="3D6006E3">
            <w:pPr>
              <w:spacing w:line="480" w:lineRule="auto"/>
              <w:ind w:firstLine="480"/>
              <w:jc w:val="left"/>
              <w:rPr>
                <w:rFonts w:hint="eastAsia" w:ascii="宋体" w:hAnsi="宋体" w:cs="宋体"/>
                <w:bCs/>
                <w:color w:val="auto"/>
                <w:kern w:val="0"/>
                <w:sz w:val="24"/>
                <w:szCs w:val="24"/>
                <w:highlight w:val="none"/>
                <w:lang w:val="zh-CN" w:eastAsia="zh-CN"/>
              </w:rPr>
            </w:pPr>
            <w:r>
              <w:rPr>
                <w:rFonts w:hint="eastAsia" w:ascii="宋体" w:hAnsi="宋体" w:cs="宋体"/>
                <w:bCs/>
                <w:color w:val="auto"/>
                <w:kern w:val="0"/>
                <w:sz w:val="24"/>
                <w:szCs w:val="24"/>
                <w:highlight w:val="none"/>
                <w:lang w:val="en-US" w:eastAsia="zh-CN"/>
              </w:rPr>
              <w:t xml:space="preserve">   材料预算价格：进入直接费水泥限价为300元/T，柴油预算限价3000元/T,外购砂石料1指混凝土骨料（砂、碎石或卵石）、砌筑块（片）石预算限价为60元/m3,外购砂石料2指用做垫层或回填料的砂、碎（卵）石、塘渣、石渣、毛块石、抛石等预算限价为30元/m3,钢筋预算限价为3000元/T，市场价高于限价，超过限价部分作为价差，计取税金后列入相应单价内，实际市场价低于现价的，按实际算；其余材料单价</w:t>
            </w:r>
            <w:r>
              <w:rPr>
                <w:rFonts w:hint="eastAsia" w:ascii="宋体" w:hAnsi="宋体" w:cs="宋体"/>
                <w:bCs/>
                <w:color w:val="auto"/>
                <w:kern w:val="0"/>
                <w:sz w:val="24"/>
                <w:szCs w:val="24"/>
                <w:highlight w:val="none"/>
                <w:lang w:val="zh-CN" w:eastAsia="zh-CN"/>
              </w:rPr>
              <w:t>按20</w:t>
            </w:r>
            <w:r>
              <w:rPr>
                <w:rFonts w:hint="eastAsia" w:ascii="宋体" w:hAnsi="宋体" w:cs="宋体"/>
                <w:bCs/>
                <w:color w:val="auto"/>
                <w:kern w:val="0"/>
                <w:sz w:val="24"/>
                <w:szCs w:val="24"/>
                <w:highlight w:val="none"/>
                <w:lang w:val="en-US" w:eastAsia="zh-CN"/>
              </w:rPr>
              <w:t>25</w:t>
            </w:r>
            <w:r>
              <w:rPr>
                <w:rFonts w:hint="eastAsia" w:ascii="宋体" w:hAnsi="宋体" w:cs="宋体"/>
                <w:bCs/>
                <w:color w:val="auto"/>
                <w:kern w:val="0"/>
                <w:sz w:val="24"/>
                <w:szCs w:val="24"/>
                <w:highlight w:val="none"/>
                <w:lang w:val="zh-CN" w:eastAsia="zh-CN"/>
              </w:rPr>
              <w:t>年第</w:t>
            </w:r>
            <w:r>
              <w:rPr>
                <w:rFonts w:hint="eastAsia" w:ascii="宋体" w:hAnsi="宋体" w:cs="宋体"/>
                <w:bCs/>
                <w:color w:val="auto"/>
                <w:kern w:val="0"/>
                <w:sz w:val="24"/>
                <w:szCs w:val="24"/>
                <w:highlight w:val="none"/>
                <w:lang w:val="en-US" w:eastAsia="zh-CN"/>
              </w:rPr>
              <w:t>11</w:t>
            </w:r>
            <w:r>
              <w:rPr>
                <w:rFonts w:hint="eastAsia" w:ascii="宋体" w:hAnsi="宋体" w:cs="宋体"/>
                <w:bCs/>
                <w:color w:val="auto"/>
                <w:kern w:val="0"/>
                <w:sz w:val="24"/>
                <w:szCs w:val="24"/>
                <w:highlight w:val="none"/>
                <w:lang w:val="zh-CN" w:eastAsia="zh-CN"/>
              </w:rPr>
              <w:t>期《绍兴市建设工程造价管理信息》嵊州信息价（除税价），</w:t>
            </w:r>
            <w:r>
              <w:rPr>
                <w:rFonts w:hint="eastAsia" w:ascii="宋体" w:hAnsi="宋体" w:cs="宋体"/>
                <w:bCs/>
                <w:color w:val="auto"/>
                <w:kern w:val="0"/>
                <w:sz w:val="24"/>
                <w:szCs w:val="24"/>
                <w:highlight w:val="none"/>
                <w:lang w:val="en-US" w:eastAsia="zh-CN"/>
              </w:rPr>
              <w:t xml:space="preserve"> </w:t>
            </w:r>
            <w:r>
              <w:rPr>
                <w:rFonts w:hint="eastAsia" w:ascii="宋体" w:hAnsi="宋体" w:cs="宋体"/>
                <w:bCs/>
                <w:color w:val="auto"/>
                <w:kern w:val="0"/>
                <w:sz w:val="24"/>
                <w:szCs w:val="24"/>
                <w:highlight w:val="none"/>
                <w:lang w:val="zh-CN" w:eastAsia="zh-CN"/>
              </w:rPr>
              <w:t>并参考20</w:t>
            </w:r>
            <w:r>
              <w:rPr>
                <w:rFonts w:hint="eastAsia" w:ascii="宋体" w:hAnsi="宋体" w:cs="宋体"/>
                <w:bCs/>
                <w:color w:val="auto"/>
                <w:kern w:val="0"/>
                <w:sz w:val="24"/>
                <w:szCs w:val="24"/>
                <w:highlight w:val="none"/>
                <w:lang w:val="en-US" w:eastAsia="zh-CN"/>
              </w:rPr>
              <w:t>25</w:t>
            </w:r>
            <w:r>
              <w:rPr>
                <w:rFonts w:hint="eastAsia" w:ascii="宋体" w:hAnsi="宋体" w:cs="宋体"/>
                <w:bCs/>
                <w:color w:val="auto"/>
                <w:kern w:val="0"/>
                <w:sz w:val="24"/>
                <w:szCs w:val="24"/>
                <w:highlight w:val="none"/>
                <w:lang w:val="zh-CN" w:eastAsia="zh-CN"/>
              </w:rPr>
              <w:t>年第</w:t>
            </w:r>
            <w:r>
              <w:rPr>
                <w:rFonts w:hint="eastAsia" w:ascii="宋体" w:hAnsi="宋体" w:cs="宋体"/>
                <w:bCs/>
                <w:color w:val="auto"/>
                <w:kern w:val="0"/>
                <w:sz w:val="24"/>
                <w:szCs w:val="24"/>
                <w:highlight w:val="none"/>
                <w:lang w:val="en-US" w:eastAsia="zh-CN"/>
              </w:rPr>
              <w:t>10</w:t>
            </w:r>
            <w:r>
              <w:rPr>
                <w:rFonts w:hint="eastAsia" w:ascii="宋体" w:hAnsi="宋体" w:cs="宋体"/>
                <w:bCs/>
                <w:color w:val="auto"/>
                <w:kern w:val="0"/>
                <w:sz w:val="24"/>
                <w:szCs w:val="24"/>
                <w:highlight w:val="none"/>
                <w:lang w:val="zh-CN" w:eastAsia="zh-CN"/>
              </w:rPr>
              <w:t>期《浙江造价信息》（除税价）及市场调查价；</w:t>
            </w:r>
          </w:p>
          <w:p w14:paraId="6DDDE500">
            <w:pPr>
              <w:spacing w:line="480" w:lineRule="auto"/>
              <w:ind w:firstLine="480"/>
              <w:jc w:val="left"/>
              <w:rPr>
                <w:rFonts w:hint="eastAsia" w:ascii="宋体" w:hAnsi="宋体" w:cs="宋体"/>
                <w:bCs/>
                <w:color w:val="auto"/>
                <w:kern w:val="0"/>
                <w:sz w:val="24"/>
                <w:szCs w:val="24"/>
                <w:highlight w:val="none"/>
                <w:lang w:val="zh-CN"/>
              </w:rPr>
            </w:pPr>
            <w:r>
              <w:rPr>
                <w:rFonts w:hint="eastAsia" w:ascii="宋体" w:hAnsi="宋体" w:cs="宋体"/>
                <w:bCs/>
                <w:color w:val="auto"/>
                <w:kern w:val="0"/>
                <w:sz w:val="24"/>
                <w:szCs w:val="24"/>
                <w:highlight w:val="none"/>
                <w:lang w:val="en-US" w:eastAsia="zh-CN"/>
              </w:rPr>
              <w:t>4</w:t>
            </w:r>
            <w:r>
              <w:rPr>
                <w:rFonts w:hint="eastAsia" w:ascii="宋体" w:hAnsi="宋体" w:cs="宋体"/>
                <w:bCs/>
                <w:color w:val="auto"/>
                <w:kern w:val="0"/>
                <w:sz w:val="24"/>
                <w:szCs w:val="24"/>
                <w:highlight w:val="none"/>
                <w:lang w:val="zh-CN"/>
              </w:rPr>
              <w:t>、规费、税金按规定计算。</w:t>
            </w:r>
          </w:p>
          <w:p w14:paraId="5AAEA03A">
            <w:pPr>
              <w:spacing w:line="480" w:lineRule="auto"/>
              <w:rPr>
                <w:rFonts w:hint="eastAsia" w:ascii="微软简行楷" w:hAnsi="楷体_GB2312" w:eastAsia="微软简行楷" w:cs="楷体_GB2312"/>
                <w:b/>
                <w:color w:val="auto"/>
                <w:sz w:val="28"/>
                <w:szCs w:val="28"/>
                <w:highlight w:val="none"/>
                <w:lang w:val="en-US"/>
              </w:rPr>
            </w:pPr>
            <w:r>
              <w:rPr>
                <w:rFonts w:hint="eastAsia" w:ascii="微软简行楷" w:hAnsi="楷体_GB2312" w:eastAsia="微软简行楷" w:cs="楷体_GB2312"/>
                <w:b/>
                <w:color w:val="auto"/>
                <w:sz w:val="28"/>
                <w:szCs w:val="28"/>
                <w:highlight w:val="none"/>
                <w:lang w:val="zh-CN"/>
              </w:rPr>
              <w:t>四、其他说明：</w:t>
            </w:r>
          </w:p>
          <w:p w14:paraId="3B00D9AB">
            <w:pPr>
              <w:spacing w:line="480" w:lineRule="auto"/>
              <w:ind w:firstLine="480"/>
              <w:jc w:val="left"/>
              <w:rPr>
                <w:rFonts w:hint="eastAsia" w:ascii="宋体" w:hAnsi="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1、施工导流30000元/项，施工交通工程30000元/项，施工场外供电工程30000元/项，施工房屋建筑工程30000元/项；</w:t>
            </w:r>
          </w:p>
          <w:p w14:paraId="3224B9A5">
            <w:pPr>
              <w:spacing w:line="480" w:lineRule="auto"/>
              <w:ind w:firstLine="480"/>
              <w:jc w:val="left"/>
              <w:rPr>
                <w:rFonts w:hint="eastAsia" w:ascii="宋体" w:hAnsi="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2、其他临时工程按建筑部分建安合计+机电部分建安合计+金属部分建安合计+临时工程清单建安合计[不含安全生产措施费,不含其他临时工程]的0.5%计取；</w:t>
            </w:r>
          </w:p>
          <w:p w14:paraId="3C2769D5">
            <w:pPr>
              <w:spacing w:line="480" w:lineRule="auto"/>
              <w:ind w:firstLine="480"/>
              <w:jc w:val="left"/>
              <w:rPr>
                <w:rFonts w:hint="eastAsia" w:ascii="宋体" w:hAnsi="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3、安全文明生产措施费建筑部分建安合计+机电部分建安合计+金属部分建安合计+临时工程清单建安合计[扣减当前行]的2.5%计取；</w:t>
            </w:r>
          </w:p>
          <w:p w14:paraId="0C63ECB9">
            <w:pPr>
              <w:spacing w:line="480" w:lineRule="auto"/>
              <w:ind w:firstLine="480"/>
              <w:jc w:val="left"/>
              <w:rPr>
                <w:rFonts w:hint="eastAsia" w:ascii="宋体" w:hAnsi="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4、工程一切险按照建筑安装工程费的0.45%计取；</w:t>
            </w:r>
          </w:p>
          <w:p w14:paraId="6DFA09D0">
            <w:pPr>
              <w:spacing w:line="480" w:lineRule="auto"/>
              <w:ind w:firstLine="480"/>
              <w:jc w:val="left"/>
              <w:rPr>
                <w:color w:val="auto"/>
                <w:sz w:val="21"/>
                <w:szCs w:val="21"/>
                <w:highlight w:val="none"/>
              </w:rPr>
            </w:pPr>
            <w:r>
              <w:rPr>
                <w:rFonts w:hint="eastAsia" w:ascii="宋体" w:hAnsi="宋体" w:cs="宋体"/>
                <w:bCs/>
                <w:color w:val="auto"/>
                <w:kern w:val="0"/>
                <w:sz w:val="24"/>
                <w:szCs w:val="24"/>
                <w:highlight w:val="none"/>
                <w:lang w:val="en-US" w:eastAsia="zh-CN"/>
              </w:rPr>
              <w:t>5、预留金按一项250000元计取。</w:t>
            </w:r>
          </w:p>
        </w:tc>
      </w:tr>
    </w:tbl>
    <w:p w14:paraId="5451CD13">
      <w:pPr>
        <w:rPr>
          <w:rFonts w:ascii="宋体" w:hAnsi="宋体" w:eastAsia="宋体" w:cs="宋体"/>
          <w:b/>
          <w:bCs/>
          <w:color w:val="auto"/>
          <w:spacing w:val="-4"/>
          <w:sz w:val="24"/>
          <w:szCs w:val="24"/>
          <w:highlight w:val="none"/>
        </w:rPr>
      </w:pPr>
      <w:r>
        <w:rPr>
          <w:rFonts w:ascii="宋体" w:hAnsi="宋体" w:eastAsia="宋体" w:cs="宋体"/>
          <w:b/>
          <w:bCs/>
          <w:color w:val="auto"/>
          <w:spacing w:val="-4"/>
          <w:sz w:val="24"/>
          <w:szCs w:val="24"/>
          <w:highlight w:val="none"/>
        </w:rPr>
        <w:br w:type="page"/>
      </w:r>
    </w:p>
    <w:p w14:paraId="4B6B29CD">
      <w:pPr>
        <w:spacing w:before="48" w:line="220" w:lineRule="auto"/>
        <w:jc w:val="center"/>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工程量清单汇总表</w:t>
      </w:r>
    </w:p>
    <w:p w14:paraId="2C2FC28A">
      <w:pPr>
        <w:spacing w:before="174" w:line="221" w:lineRule="auto"/>
        <w:rPr>
          <w:rFonts w:ascii="宋体" w:hAnsi="宋体" w:eastAsia="宋体" w:cs="宋体"/>
          <w:color w:val="auto"/>
          <w:sz w:val="21"/>
          <w:szCs w:val="21"/>
          <w:highlight w:val="none"/>
        </w:rPr>
      </w:pPr>
      <w:r>
        <w:rPr>
          <w:rFonts w:ascii="宋体" w:hAnsi="宋体" w:eastAsia="宋体" w:cs="宋体"/>
          <w:color w:val="auto"/>
          <w:sz w:val="21"/>
          <w:szCs w:val="21"/>
          <w:highlight w:val="none"/>
        </w:rPr>
        <w:t>项目及标段名称：</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第</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页共</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w:t>
      </w:r>
    </w:p>
    <w:p w14:paraId="19758513">
      <w:pPr>
        <w:spacing w:line="127" w:lineRule="exact"/>
        <w:rPr>
          <w:color w:val="auto"/>
          <w:highlight w:val="none"/>
        </w:rPr>
      </w:pPr>
    </w:p>
    <w:tbl>
      <w:tblPr>
        <w:tblStyle w:val="16"/>
        <w:tblW w:w="8807"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8"/>
        <w:gridCol w:w="5506"/>
        <w:gridCol w:w="2273"/>
      </w:tblGrid>
      <w:tr w14:paraId="48D7A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028" w:type="dxa"/>
            <w:tcBorders>
              <w:top w:val="single" w:color="000000" w:sz="6" w:space="0"/>
              <w:left w:val="single" w:color="000000" w:sz="6" w:space="0"/>
            </w:tcBorders>
            <w:vAlign w:val="top"/>
          </w:tcPr>
          <w:p w14:paraId="0DA21AAA">
            <w:pPr>
              <w:pStyle w:val="17"/>
              <w:spacing w:before="197" w:line="222" w:lineRule="auto"/>
              <w:ind w:left="301"/>
              <w:rPr>
                <w:color w:val="auto"/>
                <w:sz w:val="21"/>
                <w:szCs w:val="21"/>
                <w:highlight w:val="none"/>
              </w:rPr>
            </w:pPr>
            <w:r>
              <w:rPr>
                <w:color w:val="auto"/>
                <w:spacing w:val="-2"/>
                <w:sz w:val="21"/>
                <w:szCs w:val="21"/>
                <w:highlight w:val="none"/>
              </w:rPr>
              <w:t>序号</w:t>
            </w:r>
          </w:p>
        </w:tc>
        <w:tc>
          <w:tcPr>
            <w:tcW w:w="5506" w:type="dxa"/>
            <w:tcBorders>
              <w:top w:val="single" w:color="000000" w:sz="6" w:space="0"/>
            </w:tcBorders>
            <w:vAlign w:val="top"/>
          </w:tcPr>
          <w:p w14:paraId="2D4D020D">
            <w:pPr>
              <w:pStyle w:val="17"/>
              <w:spacing w:before="197" w:line="221" w:lineRule="auto"/>
              <w:ind w:left="2128"/>
              <w:rPr>
                <w:color w:val="auto"/>
                <w:sz w:val="21"/>
                <w:szCs w:val="21"/>
                <w:highlight w:val="none"/>
              </w:rPr>
            </w:pPr>
            <w:r>
              <w:rPr>
                <w:color w:val="auto"/>
                <w:spacing w:val="-2"/>
                <w:sz w:val="21"/>
                <w:szCs w:val="21"/>
                <w:highlight w:val="none"/>
              </w:rPr>
              <w:t>工程项目名称</w:t>
            </w:r>
          </w:p>
        </w:tc>
        <w:tc>
          <w:tcPr>
            <w:tcW w:w="2273" w:type="dxa"/>
            <w:tcBorders>
              <w:top w:val="single" w:color="000000" w:sz="6" w:space="0"/>
              <w:right w:val="single" w:color="000000" w:sz="6" w:space="0"/>
            </w:tcBorders>
            <w:vAlign w:val="top"/>
          </w:tcPr>
          <w:p w14:paraId="0D1145E1">
            <w:pPr>
              <w:pStyle w:val="17"/>
              <w:spacing w:before="196" w:line="221" w:lineRule="auto"/>
              <w:ind w:left="618"/>
              <w:rPr>
                <w:color w:val="auto"/>
                <w:sz w:val="21"/>
                <w:szCs w:val="21"/>
                <w:highlight w:val="none"/>
              </w:rPr>
            </w:pPr>
            <w:r>
              <w:rPr>
                <w:color w:val="auto"/>
                <w:spacing w:val="-5"/>
                <w:sz w:val="21"/>
                <w:szCs w:val="21"/>
                <w:highlight w:val="none"/>
              </w:rPr>
              <w:t>金额（元）</w:t>
            </w:r>
          </w:p>
        </w:tc>
      </w:tr>
      <w:tr w14:paraId="40CEB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028" w:type="dxa"/>
            <w:tcBorders>
              <w:left w:val="single" w:color="000000" w:sz="6" w:space="0"/>
            </w:tcBorders>
            <w:vAlign w:val="top"/>
          </w:tcPr>
          <w:p w14:paraId="23D94880">
            <w:pPr>
              <w:rPr>
                <w:rFonts w:ascii="Arial"/>
                <w:color w:val="auto"/>
                <w:sz w:val="21"/>
                <w:highlight w:val="none"/>
              </w:rPr>
            </w:pPr>
          </w:p>
        </w:tc>
        <w:tc>
          <w:tcPr>
            <w:tcW w:w="5506" w:type="dxa"/>
            <w:vAlign w:val="top"/>
          </w:tcPr>
          <w:p w14:paraId="3AFC749F">
            <w:pPr>
              <w:rPr>
                <w:rFonts w:ascii="Arial"/>
                <w:color w:val="auto"/>
                <w:sz w:val="21"/>
                <w:highlight w:val="none"/>
              </w:rPr>
            </w:pPr>
          </w:p>
        </w:tc>
        <w:tc>
          <w:tcPr>
            <w:tcW w:w="2273" w:type="dxa"/>
            <w:tcBorders>
              <w:right w:val="single" w:color="000000" w:sz="6" w:space="0"/>
            </w:tcBorders>
            <w:vAlign w:val="top"/>
          </w:tcPr>
          <w:p w14:paraId="6D52CAEA">
            <w:pPr>
              <w:rPr>
                <w:rFonts w:ascii="Arial"/>
                <w:color w:val="auto"/>
                <w:sz w:val="21"/>
                <w:highlight w:val="none"/>
              </w:rPr>
            </w:pPr>
          </w:p>
        </w:tc>
      </w:tr>
      <w:tr w14:paraId="1359C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602B6496">
            <w:pPr>
              <w:rPr>
                <w:rFonts w:ascii="Arial"/>
                <w:color w:val="auto"/>
                <w:sz w:val="21"/>
                <w:highlight w:val="none"/>
              </w:rPr>
            </w:pPr>
          </w:p>
        </w:tc>
        <w:tc>
          <w:tcPr>
            <w:tcW w:w="5506" w:type="dxa"/>
            <w:vAlign w:val="top"/>
          </w:tcPr>
          <w:p w14:paraId="0189DD2A">
            <w:pPr>
              <w:rPr>
                <w:rFonts w:ascii="Arial"/>
                <w:color w:val="auto"/>
                <w:sz w:val="21"/>
                <w:highlight w:val="none"/>
              </w:rPr>
            </w:pPr>
          </w:p>
        </w:tc>
        <w:tc>
          <w:tcPr>
            <w:tcW w:w="2273" w:type="dxa"/>
            <w:tcBorders>
              <w:right w:val="single" w:color="000000" w:sz="6" w:space="0"/>
            </w:tcBorders>
            <w:vAlign w:val="top"/>
          </w:tcPr>
          <w:p w14:paraId="39EA73ED">
            <w:pPr>
              <w:rPr>
                <w:rFonts w:ascii="Arial"/>
                <w:color w:val="auto"/>
                <w:sz w:val="21"/>
                <w:highlight w:val="none"/>
              </w:rPr>
            </w:pPr>
          </w:p>
        </w:tc>
      </w:tr>
      <w:tr w14:paraId="61B4C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28" w:type="dxa"/>
            <w:tcBorders>
              <w:left w:val="single" w:color="000000" w:sz="6" w:space="0"/>
            </w:tcBorders>
            <w:vAlign w:val="top"/>
          </w:tcPr>
          <w:p w14:paraId="4BE0B1FD">
            <w:pPr>
              <w:rPr>
                <w:rFonts w:ascii="Arial"/>
                <w:color w:val="auto"/>
                <w:sz w:val="21"/>
                <w:highlight w:val="none"/>
              </w:rPr>
            </w:pPr>
          </w:p>
        </w:tc>
        <w:tc>
          <w:tcPr>
            <w:tcW w:w="5506" w:type="dxa"/>
            <w:vAlign w:val="top"/>
          </w:tcPr>
          <w:p w14:paraId="75DF4B2D">
            <w:pPr>
              <w:rPr>
                <w:rFonts w:ascii="Arial"/>
                <w:color w:val="auto"/>
                <w:sz w:val="21"/>
                <w:highlight w:val="none"/>
              </w:rPr>
            </w:pPr>
          </w:p>
        </w:tc>
        <w:tc>
          <w:tcPr>
            <w:tcW w:w="2273" w:type="dxa"/>
            <w:tcBorders>
              <w:right w:val="single" w:color="000000" w:sz="6" w:space="0"/>
            </w:tcBorders>
            <w:vAlign w:val="top"/>
          </w:tcPr>
          <w:p w14:paraId="5A6FB9DE">
            <w:pPr>
              <w:rPr>
                <w:rFonts w:ascii="Arial"/>
                <w:color w:val="auto"/>
                <w:sz w:val="21"/>
                <w:highlight w:val="none"/>
              </w:rPr>
            </w:pPr>
          </w:p>
        </w:tc>
      </w:tr>
      <w:tr w14:paraId="59445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56A0115B">
            <w:pPr>
              <w:rPr>
                <w:rFonts w:ascii="Arial"/>
                <w:color w:val="auto"/>
                <w:sz w:val="21"/>
                <w:highlight w:val="none"/>
              </w:rPr>
            </w:pPr>
          </w:p>
        </w:tc>
        <w:tc>
          <w:tcPr>
            <w:tcW w:w="5506" w:type="dxa"/>
            <w:vAlign w:val="top"/>
          </w:tcPr>
          <w:p w14:paraId="451238D2">
            <w:pPr>
              <w:rPr>
                <w:rFonts w:ascii="Arial"/>
                <w:color w:val="auto"/>
                <w:sz w:val="21"/>
                <w:highlight w:val="none"/>
              </w:rPr>
            </w:pPr>
          </w:p>
        </w:tc>
        <w:tc>
          <w:tcPr>
            <w:tcW w:w="2273" w:type="dxa"/>
            <w:tcBorders>
              <w:right w:val="single" w:color="000000" w:sz="6" w:space="0"/>
            </w:tcBorders>
            <w:vAlign w:val="top"/>
          </w:tcPr>
          <w:p w14:paraId="6BF58CC3">
            <w:pPr>
              <w:rPr>
                <w:rFonts w:ascii="Arial"/>
                <w:color w:val="auto"/>
                <w:sz w:val="21"/>
                <w:highlight w:val="none"/>
              </w:rPr>
            </w:pPr>
          </w:p>
        </w:tc>
      </w:tr>
      <w:tr w14:paraId="3F9AE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71BD3574">
            <w:pPr>
              <w:rPr>
                <w:rFonts w:ascii="Arial"/>
                <w:color w:val="auto"/>
                <w:sz w:val="21"/>
                <w:highlight w:val="none"/>
              </w:rPr>
            </w:pPr>
          </w:p>
        </w:tc>
        <w:tc>
          <w:tcPr>
            <w:tcW w:w="5506" w:type="dxa"/>
            <w:vAlign w:val="top"/>
          </w:tcPr>
          <w:p w14:paraId="2EC61EE3">
            <w:pPr>
              <w:rPr>
                <w:rFonts w:ascii="Arial"/>
                <w:color w:val="auto"/>
                <w:sz w:val="21"/>
                <w:highlight w:val="none"/>
              </w:rPr>
            </w:pPr>
          </w:p>
        </w:tc>
        <w:tc>
          <w:tcPr>
            <w:tcW w:w="2273" w:type="dxa"/>
            <w:tcBorders>
              <w:right w:val="single" w:color="000000" w:sz="6" w:space="0"/>
            </w:tcBorders>
            <w:vAlign w:val="top"/>
          </w:tcPr>
          <w:p w14:paraId="7076D92B">
            <w:pPr>
              <w:rPr>
                <w:rFonts w:ascii="Arial"/>
                <w:color w:val="auto"/>
                <w:sz w:val="21"/>
                <w:highlight w:val="none"/>
              </w:rPr>
            </w:pPr>
          </w:p>
        </w:tc>
      </w:tr>
      <w:tr w14:paraId="0EAE2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0EAE2D9A">
            <w:pPr>
              <w:rPr>
                <w:rFonts w:ascii="Arial"/>
                <w:color w:val="auto"/>
                <w:sz w:val="21"/>
                <w:highlight w:val="none"/>
              </w:rPr>
            </w:pPr>
          </w:p>
        </w:tc>
        <w:tc>
          <w:tcPr>
            <w:tcW w:w="5506" w:type="dxa"/>
            <w:vAlign w:val="top"/>
          </w:tcPr>
          <w:p w14:paraId="05C714AA">
            <w:pPr>
              <w:rPr>
                <w:rFonts w:ascii="Arial"/>
                <w:color w:val="auto"/>
                <w:sz w:val="21"/>
                <w:highlight w:val="none"/>
              </w:rPr>
            </w:pPr>
          </w:p>
        </w:tc>
        <w:tc>
          <w:tcPr>
            <w:tcW w:w="2273" w:type="dxa"/>
            <w:tcBorders>
              <w:right w:val="single" w:color="000000" w:sz="6" w:space="0"/>
            </w:tcBorders>
            <w:vAlign w:val="top"/>
          </w:tcPr>
          <w:p w14:paraId="1CFA4E82">
            <w:pPr>
              <w:rPr>
                <w:rFonts w:ascii="Arial"/>
                <w:color w:val="auto"/>
                <w:sz w:val="21"/>
                <w:highlight w:val="none"/>
              </w:rPr>
            </w:pPr>
          </w:p>
        </w:tc>
      </w:tr>
      <w:tr w14:paraId="35FA8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638BDA23">
            <w:pPr>
              <w:rPr>
                <w:rFonts w:ascii="Arial"/>
                <w:color w:val="auto"/>
                <w:sz w:val="21"/>
                <w:highlight w:val="none"/>
              </w:rPr>
            </w:pPr>
          </w:p>
        </w:tc>
        <w:tc>
          <w:tcPr>
            <w:tcW w:w="5506" w:type="dxa"/>
            <w:vAlign w:val="top"/>
          </w:tcPr>
          <w:p w14:paraId="1A065BE6">
            <w:pPr>
              <w:rPr>
                <w:rFonts w:ascii="Arial"/>
                <w:color w:val="auto"/>
                <w:sz w:val="21"/>
                <w:highlight w:val="none"/>
              </w:rPr>
            </w:pPr>
          </w:p>
        </w:tc>
        <w:tc>
          <w:tcPr>
            <w:tcW w:w="2273" w:type="dxa"/>
            <w:tcBorders>
              <w:right w:val="single" w:color="000000" w:sz="6" w:space="0"/>
            </w:tcBorders>
            <w:vAlign w:val="top"/>
          </w:tcPr>
          <w:p w14:paraId="38751AB2">
            <w:pPr>
              <w:rPr>
                <w:rFonts w:ascii="Arial"/>
                <w:color w:val="auto"/>
                <w:sz w:val="21"/>
                <w:highlight w:val="none"/>
              </w:rPr>
            </w:pPr>
          </w:p>
        </w:tc>
      </w:tr>
      <w:tr w14:paraId="457A9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4B9438F1">
            <w:pPr>
              <w:rPr>
                <w:rFonts w:ascii="Arial"/>
                <w:color w:val="auto"/>
                <w:sz w:val="21"/>
                <w:highlight w:val="none"/>
              </w:rPr>
            </w:pPr>
          </w:p>
        </w:tc>
        <w:tc>
          <w:tcPr>
            <w:tcW w:w="5506" w:type="dxa"/>
            <w:vAlign w:val="top"/>
          </w:tcPr>
          <w:p w14:paraId="5E859EFF">
            <w:pPr>
              <w:rPr>
                <w:rFonts w:ascii="Arial"/>
                <w:color w:val="auto"/>
                <w:sz w:val="21"/>
                <w:highlight w:val="none"/>
              </w:rPr>
            </w:pPr>
          </w:p>
        </w:tc>
        <w:tc>
          <w:tcPr>
            <w:tcW w:w="2273" w:type="dxa"/>
            <w:tcBorders>
              <w:right w:val="single" w:color="000000" w:sz="6" w:space="0"/>
            </w:tcBorders>
            <w:vAlign w:val="top"/>
          </w:tcPr>
          <w:p w14:paraId="0E91FA52">
            <w:pPr>
              <w:rPr>
                <w:rFonts w:ascii="Arial"/>
                <w:color w:val="auto"/>
                <w:sz w:val="21"/>
                <w:highlight w:val="none"/>
              </w:rPr>
            </w:pPr>
          </w:p>
        </w:tc>
      </w:tr>
      <w:tr w14:paraId="4CA0F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28" w:type="dxa"/>
            <w:tcBorders>
              <w:left w:val="single" w:color="000000" w:sz="6" w:space="0"/>
            </w:tcBorders>
            <w:vAlign w:val="top"/>
          </w:tcPr>
          <w:p w14:paraId="10731213">
            <w:pPr>
              <w:rPr>
                <w:rFonts w:ascii="Arial"/>
                <w:color w:val="auto"/>
                <w:sz w:val="21"/>
                <w:highlight w:val="none"/>
              </w:rPr>
            </w:pPr>
          </w:p>
        </w:tc>
        <w:tc>
          <w:tcPr>
            <w:tcW w:w="5506" w:type="dxa"/>
            <w:vAlign w:val="top"/>
          </w:tcPr>
          <w:p w14:paraId="51D266B0">
            <w:pPr>
              <w:rPr>
                <w:rFonts w:ascii="Arial"/>
                <w:color w:val="auto"/>
                <w:sz w:val="21"/>
                <w:highlight w:val="none"/>
              </w:rPr>
            </w:pPr>
          </w:p>
        </w:tc>
        <w:tc>
          <w:tcPr>
            <w:tcW w:w="2273" w:type="dxa"/>
            <w:tcBorders>
              <w:right w:val="single" w:color="000000" w:sz="6" w:space="0"/>
            </w:tcBorders>
            <w:vAlign w:val="top"/>
          </w:tcPr>
          <w:p w14:paraId="1B576680">
            <w:pPr>
              <w:rPr>
                <w:rFonts w:ascii="Arial"/>
                <w:color w:val="auto"/>
                <w:sz w:val="21"/>
                <w:highlight w:val="none"/>
              </w:rPr>
            </w:pPr>
          </w:p>
        </w:tc>
      </w:tr>
      <w:tr w14:paraId="3F8D2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43B114B1">
            <w:pPr>
              <w:rPr>
                <w:rFonts w:ascii="Arial"/>
                <w:color w:val="auto"/>
                <w:sz w:val="21"/>
                <w:highlight w:val="none"/>
              </w:rPr>
            </w:pPr>
          </w:p>
        </w:tc>
        <w:tc>
          <w:tcPr>
            <w:tcW w:w="5506" w:type="dxa"/>
            <w:vAlign w:val="top"/>
          </w:tcPr>
          <w:p w14:paraId="7F51C9BC">
            <w:pPr>
              <w:rPr>
                <w:rFonts w:ascii="Arial"/>
                <w:color w:val="auto"/>
                <w:sz w:val="21"/>
                <w:highlight w:val="none"/>
              </w:rPr>
            </w:pPr>
          </w:p>
        </w:tc>
        <w:tc>
          <w:tcPr>
            <w:tcW w:w="2273" w:type="dxa"/>
            <w:tcBorders>
              <w:right w:val="single" w:color="000000" w:sz="6" w:space="0"/>
            </w:tcBorders>
            <w:vAlign w:val="top"/>
          </w:tcPr>
          <w:p w14:paraId="50EED0EE">
            <w:pPr>
              <w:rPr>
                <w:rFonts w:ascii="Arial"/>
                <w:color w:val="auto"/>
                <w:sz w:val="21"/>
                <w:highlight w:val="none"/>
              </w:rPr>
            </w:pPr>
          </w:p>
        </w:tc>
      </w:tr>
      <w:tr w14:paraId="116F7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5E0648D4">
            <w:pPr>
              <w:rPr>
                <w:rFonts w:ascii="Arial"/>
                <w:color w:val="auto"/>
                <w:sz w:val="21"/>
                <w:highlight w:val="none"/>
              </w:rPr>
            </w:pPr>
          </w:p>
        </w:tc>
        <w:tc>
          <w:tcPr>
            <w:tcW w:w="5506" w:type="dxa"/>
            <w:vAlign w:val="top"/>
          </w:tcPr>
          <w:p w14:paraId="047F7640">
            <w:pPr>
              <w:rPr>
                <w:rFonts w:ascii="Arial"/>
                <w:color w:val="auto"/>
                <w:sz w:val="21"/>
                <w:highlight w:val="none"/>
              </w:rPr>
            </w:pPr>
          </w:p>
        </w:tc>
        <w:tc>
          <w:tcPr>
            <w:tcW w:w="2273" w:type="dxa"/>
            <w:tcBorders>
              <w:right w:val="single" w:color="000000" w:sz="6" w:space="0"/>
            </w:tcBorders>
            <w:vAlign w:val="top"/>
          </w:tcPr>
          <w:p w14:paraId="30447687">
            <w:pPr>
              <w:rPr>
                <w:rFonts w:ascii="Arial"/>
                <w:color w:val="auto"/>
                <w:sz w:val="21"/>
                <w:highlight w:val="none"/>
              </w:rPr>
            </w:pPr>
          </w:p>
        </w:tc>
      </w:tr>
      <w:tr w14:paraId="498BB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7A6BE1F">
            <w:pPr>
              <w:rPr>
                <w:rFonts w:ascii="Arial"/>
                <w:color w:val="auto"/>
                <w:sz w:val="21"/>
                <w:highlight w:val="none"/>
              </w:rPr>
            </w:pPr>
          </w:p>
        </w:tc>
        <w:tc>
          <w:tcPr>
            <w:tcW w:w="5506" w:type="dxa"/>
            <w:vAlign w:val="top"/>
          </w:tcPr>
          <w:p w14:paraId="0368CCB8">
            <w:pPr>
              <w:rPr>
                <w:rFonts w:ascii="Arial"/>
                <w:color w:val="auto"/>
                <w:sz w:val="21"/>
                <w:highlight w:val="none"/>
              </w:rPr>
            </w:pPr>
          </w:p>
        </w:tc>
        <w:tc>
          <w:tcPr>
            <w:tcW w:w="2273" w:type="dxa"/>
            <w:tcBorders>
              <w:right w:val="single" w:color="000000" w:sz="6" w:space="0"/>
            </w:tcBorders>
            <w:vAlign w:val="top"/>
          </w:tcPr>
          <w:p w14:paraId="7D2269BB">
            <w:pPr>
              <w:rPr>
                <w:rFonts w:ascii="Arial"/>
                <w:color w:val="auto"/>
                <w:sz w:val="21"/>
                <w:highlight w:val="none"/>
              </w:rPr>
            </w:pPr>
          </w:p>
        </w:tc>
      </w:tr>
      <w:tr w14:paraId="6BD1B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229B5D59">
            <w:pPr>
              <w:rPr>
                <w:rFonts w:ascii="Arial"/>
                <w:color w:val="auto"/>
                <w:sz w:val="21"/>
                <w:highlight w:val="none"/>
              </w:rPr>
            </w:pPr>
          </w:p>
        </w:tc>
        <w:tc>
          <w:tcPr>
            <w:tcW w:w="5506" w:type="dxa"/>
            <w:vAlign w:val="top"/>
          </w:tcPr>
          <w:p w14:paraId="0015FDE9">
            <w:pPr>
              <w:rPr>
                <w:rFonts w:ascii="Arial"/>
                <w:color w:val="auto"/>
                <w:sz w:val="21"/>
                <w:highlight w:val="none"/>
              </w:rPr>
            </w:pPr>
          </w:p>
        </w:tc>
        <w:tc>
          <w:tcPr>
            <w:tcW w:w="2273" w:type="dxa"/>
            <w:tcBorders>
              <w:right w:val="single" w:color="000000" w:sz="6" w:space="0"/>
            </w:tcBorders>
            <w:vAlign w:val="top"/>
          </w:tcPr>
          <w:p w14:paraId="6CC8C400">
            <w:pPr>
              <w:rPr>
                <w:rFonts w:ascii="Arial"/>
                <w:color w:val="auto"/>
                <w:sz w:val="21"/>
                <w:highlight w:val="none"/>
              </w:rPr>
            </w:pPr>
          </w:p>
        </w:tc>
      </w:tr>
      <w:tr w14:paraId="2AB4B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1F6F54EB">
            <w:pPr>
              <w:rPr>
                <w:rFonts w:ascii="Arial"/>
                <w:color w:val="auto"/>
                <w:sz w:val="21"/>
                <w:highlight w:val="none"/>
              </w:rPr>
            </w:pPr>
          </w:p>
        </w:tc>
        <w:tc>
          <w:tcPr>
            <w:tcW w:w="5506" w:type="dxa"/>
            <w:vAlign w:val="top"/>
          </w:tcPr>
          <w:p w14:paraId="3E19851A">
            <w:pPr>
              <w:rPr>
                <w:rFonts w:ascii="Arial"/>
                <w:color w:val="auto"/>
                <w:sz w:val="21"/>
                <w:highlight w:val="none"/>
              </w:rPr>
            </w:pPr>
          </w:p>
        </w:tc>
        <w:tc>
          <w:tcPr>
            <w:tcW w:w="2273" w:type="dxa"/>
            <w:tcBorders>
              <w:right w:val="single" w:color="000000" w:sz="6" w:space="0"/>
            </w:tcBorders>
            <w:vAlign w:val="top"/>
          </w:tcPr>
          <w:p w14:paraId="3024626D">
            <w:pPr>
              <w:rPr>
                <w:rFonts w:ascii="Arial"/>
                <w:color w:val="auto"/>
                <w:sz w:val="21"/>
                <w:highlight w:val="none"/>
              </w:rPr>
            </w:pPr>
          </w:p>
        </w:tc>
      </w:tr>
      <w:tr w14:paraId="7EF30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028" w:type="dxa"/>
            <w:tcBorders>
              <w:left w:val="single" w:color="000000" w:sz="6" w:space="0"/>
            </w:tcBorders>
            <w:vAlign w:val="top"/>
          </w:tcPr>
          <w:p w14:paraId="1821DCEB">
            <w:pPr>
              <w:rPr>
                <w:rFonts w:ascii="Arial"/>
                <w:color w:val="auto"/>
                <w:sz w:val="21"/>
                <w:highlight w:val="none"/>
              </w:rPr>
            </w:pPr>
          </w:p>
        </w:tc>
        <w:tc>
          <w:tcPr>
            <w:tcW w:w="5506" w:type="dxa"/>
            <w:vAlign w:val="top"/>
          </w:tcPr>
          <w:p w14:paraId="618A5D42">
            <w:pPr>
              <w:rPr>
                <w:rFonts w:ascii="Arial"/>
                <w:color w:val="auto"/>
                <w:sz w:val="21"/>
                <w:highlight w:val="none"/>
              </w:rPr>
            </w:pPr>
          </w:p>
        </w:tc>
        <w:tc>
          <w:tcPr>
            <w:tcW w:w="2273" w:type="dxa"/>
            <w:tcBorders>
              <w:right w:val="single" w:color="000000" w:sz="6" w:space="0"/>
            </w:tcBorders>
            <w:vAlign w:val="top"/>
          </w:tcPr>
          <w:p w14:paraId="7980073F">
            <w:pPr>
              <w:rPr>
                <w:rFonts w:ascii="Arial"/>
                <w:color w:val="auto"/>
                <w:sz w:val="21"/>
                <w:highlight w:val="none"/>
              </w:rPr>
            </w:pPr>
          </w:p>
        </w:tc>
      </w:tr>
      <w:tr w14:paraId="4F9A6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4E98C71B">
            <w:pPr>
              <w:rPr>
                <w:rFonts w:ascii="Arial"/>
                <w:color w:val="auto"/>
                <w:sz w:val="21"/>
                <w:highlight w:val="none"/>
              </w:rPr>
            </w:pPr>
          </w:p>
        </w:tc>
        <w:tc>
          <w:tcPr>
            <w:tcW w:w="5506" w:type="dxa"/>
            <w:vAlign w:val="top"/>
          </w:tcPr>
          <w:p w14:paraId="6273E124">
            <w:pPr>
              <w:rPr>
                <w:rFonts w:ascii="Arial"/>
                <w:color w:val="auto"/>
                <w:sz w:val="21"/>
                <w:highlight w:val="none"/>
              </w:rPr>
            </w:pPr>
          </w:p>
        </w:tc>
        <w:tc>
          <w:tcPr>
            <w:tcW w:w="2273" w:type="dxa"/>
            <w:tcBorders>
              <w:right w:val="single" w:color="000000" w:sz="6" w:space="0"/>
            </w:tcBorders>
            <w:vAlign w:val="top"/>
          </w:tcPr>
          <w:p w14:paraId="465EBAC5">
            <w:pPr>
              <w:rPr>
                <w:rFonts w:ascii="Arial"/>
                <w:color w:val="auto"/>
                <w:sz w:val="21"/>
                <w:highlight w:val="none"/>
              </w:rPr>
            </w:pPr>
          </w:p>
        </w:tc>
      </w:tr>
      <w:tr w14:paraId="49DB1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30AD047A">
            <w:pPr>
              <w:rPr>
                <w:rFonts w:ascii="Arial"/>
                <w:color w:val="auto"/>
                <w:sz w:val="21"/>
                <w:highlight w:val="none"/>
              </w:rPr>
            </w:pPr>
          </w:p>
        </w:tc>
        <w:tc>
          <w:tcPr>
            <w:tcW w:w="5506" w:type="dxa"/>
            <w:vAlign w:val="top"/>
          </w:tcPr>
          <w:p w14:paraId="36D18FCD">
            <w:pPr>
              <w:rPr>
                <w:rFonts w:ascii="Arial"/>
                <w:color w:val="auto"/>
                <w:sz w:val="21"/>
                <w:highlight w:val="none"/>
              </w:rPr>
            </w:pPr>
          </w:p>
        </w:tc>
        <w:tc>
          <w:tcPr>
            <w:tcW w:w="2273" w:type="dxa"/>
            <w:tcBorders>
              <w:right w:val="single" w:color="000000" w:sz="6" w:space="0"/>
            </w:tcBorders>
            <w:vAlign w:val="top"/>
          </w:tcPr>
          <w:p w14:paraId="48097AD0">
            <w:pPr>
              <w:rPr>
                <w:rFonts w:ascii="Arial"/>
                <w:color w:val="auto"/>
                <w:sz w:val="21"/>
                <w:highlight w:val="none"/>
              </w:rPr>
            </w:pPr>
          </w:p>
        </w:tc>
      </w:tr>
      <w:tr w14:paraId="62A00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7B50131A">
            <w:pPr>
              <w:rPr>
                <w:rFonts w:ascii="Arial"/>
                <w:color w:val="auto"/>
                <w:sz w:val="21"/>
                <w:highlight w:val="none"/>
              </w:rPr>
            </w:pPr>
          </w:p>
        </w:tc>
        <w:tc>
          <w:tcPr>
            <w:tcW w:w="5506" w:type="dxa"/>
            <w:vAlign w:val="top"/>
          </w:tcPr>
          <w:p w14:paraId="1C19CA54">
            <w:pPr>
              <w:rPr>
                <w:rFonts w:ascii="Arial"/>
                <w:color w:val="auto"/>
                <w:sz w:val="21"/>
                <w:highlight w:val="none"/>
              </w:rPr>
            </w:pPr>
          </w:p>
        </w:tc>
        <w:tc>
          <w:tcPr>
            <w:tcW w:w="2273" w:type="dxa"/>
            <w:tcBorders>
              <w:right w:val="single" w:color="000000" w:sz="6" w:space="0"/>
            </w:tcBorders>
            <w:vAlign w:val="top"/>
          </w:tcPr>
          <w:p w14:paraId="327FF30E">
            <w:pPr>
              <w:rPr>
                <w:rFonts w:ascii="Arial"/>
                <w:color w:val="auto"/>
                <w:sz w:val="21"/>
                <w:highlight w:val="none"/>
              </w:rPr>
            </w:pPr>
          </w:p>
        </w:tc>
      </w:tr>
      <w:tr w14:paraId="1FD14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028" w:type="dxa"/>
            <w:tcBorders>
              <w:left w:val="single" w:color="000000" w:sz="6" w:space="0"/>
            </w:tcBorders>
            <w:vAlign w:val="top"/>
          </w:tcPr>
          <w:p w14:paraId="652DA40E">
            <w:pPr>
              <w:rPr>
                <w:rFonts w:ascii="Arial"/>
                <w:color w:val="auto"/>
                <w:sz w:val="21"/>
                <w:highlight w:val="none"/>
              </w:rPr>
            </w:pPr>
          </w:p>
        </w:tc>
        <w:tc>
          <w:tcPr>
            <w:tcW w:w="5506" w:type="dxa"/>
            <w:vAlign w:val="top"/>
          </w:tcPr>
          <w:p w14:paraId="3C93A0F3">
            <w:pPr>
              <w:rPr>
                <w:rFonts w:ascii="Arial"/>
                <w:color w:val="auto"/>
                <w:sz w:val="21"/>
                <w:highlight w:val="none"/>
              </w:rPr>
            </w:pPr>
          </w:p>
        </w:tc>
        <w:tc>
          <w:tcPr>
            <w:tcW w:w="2273" w:type="dxa"/>
            <w:tcBorders>
              <w:right w:val="single" w:color="000000" w:sz="6" w:space="0"/>
            </w:tcBorders>
            <w:vAlign w:val="top"/>
          </w:tcPr>
          <w:p w14:paraId="6ECEDE34">
            <w:pPr>
              <w:rPr>
                <w:rFonts w:ascii="Arial"/>
                <w:color w:val="auto"/>
                <w:sz w:val="21"/>
                <w:highlight w:val="none"/>
              </w:rPr>
            </w:pPr>
          </w:p>
        </w:tc>
      </w:tr>
      <w:tr w14:paraId="4DBBF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534" w:type="dxa"/>
            <w:gridSpan w:val="2"/>
            <w:tcBorders>
              <w:left w:val="single" w:color="000000" w:sz="6" w:space="0"/>
              <w:bottom w:val="single" w:color="000000" w:sz="6" w:space="0"/>
            </w:tcBorders>
            <w:vAlign w:val="top"/>
          </w:tcPr>
          <w:p w14:paraId="48A7B5A7">
            <w:pPr>
              <w:pStyle w:val="17"/>
              <w:spacing w:before="209" w:line="222" w:lineRule="auto"/>
              <w:ind w:left="2953"/>
              <w:rPr>
                <w:color w:val="auto"/>
                <w:sz w:val="21"/>
                <w:szCs w:val="21"/>
                <w:highlight w:val="none"/>
              </w:rPr>
            </w:pPr>
            <w:r>
              <w:rPr>
                <w:b/>
                <w:bCs/>
                <w:color w:val="auto"/>
                <w:spacing w:val="-7"/>
                <w:sz w:val="21"/>
                <w:szCs w:val="21"/>
                <w:highlight w:val="none"/>
              </w:rPr>
              <w:t>合</w:t>
            </w:r>
            <w:r>
              <w:rPr>
                <w:color w:val="auto"/>
                <w:spacing w:val="5"/>
                <w:sz w:val="21"/>
                <w:szCs w:val="21"/>
                <w:highlight w:val="none"/>
              </w:rPr>
              <w:t xml:space="preserve">  </w:t>
            </w:r>
            <w:r>
              <w:rPr>
                <w:b/>
                <w:bCs/>
                <w:color w:val="auto"/>
                <w:spacing w:val="-7"/>
                <w:sz w:val="21"/>
                <w:szCs w:val="21"/>
                <w:highlight w:val="none"/>
              </w:rPr>
              <w:t>计</w:t>
            </w:r>
          </w:p>
        </w:tc>
        <w:tc>
          <w:tcPr>
            <w:tcW w:w="2273" w:type="dxa"/>
            <w:tcBorders>
              <w:bottom w:val="single" w:color="000000" w:sz="6" w:space="0"/>
              <w:right w:val="single" w:color="000000" w:sz="6" w:space="0"/>
            </w:tcBorders>
            <w:vAlign w:val="top"/>
          </w:tcPr>
          <w:p w14:paraId="38C7632C">
            <w:pPr>
              <w:rPr>
                <w:rFonts w:ascii="Arial"/>
                <w:color w:val="auto"/>
                <w:sz w:val="21"/>
                <w:highlight w:val="none"/>
              </w:rPr>
            </w:pPr>
          </w:p>
        </w:tc>
      </w:tr>
    </w:tbl>
    <w:p w14:paraId="425DFEB6">
      <w:pPr>
        <w:pStyle w:val="3"/>
        <w:rPr>
          <w:color w:val="auto"/>
          <w:highlight w:val="none"/>
        </w:rPr>
      </w:pPr>
    </w:p>
    <w:p w14:paraId="3C3665ED">
      <w:pPr>
        <w:rPr>
          <w:color w:val="auto"/>
          <w:highlight w:val="none"/>
        </w:rPr>
        <w:sectPr>
          <w:footerReference r:id="rId93" w:type="default"/>
          <w:pgSz w:w="11907" w:h="16841"/>
          <w:pgMar w:top="1428" w:right="1401" w:bottom="1254" w:left="1600" w:header="0" w:footer="1093" w:gutter="0"/>
          <w:pgNumType w:fmt="decimal"/>
          <w:cols w:space="720" w:num="1"/>
        </w:sectPr>
      </w:pPr>
    </w:p>
    <w:p w14:paraId="283D007D">
      <w:pPr>
        <w:pStyle w:val="3"/>
        <w:spacing w:line="265" w:lineRule="auto"/>
        <w:rPr>
          <w:color w:val="auto"/>
          <w:highlight w:val="none"/>
        </w:rPr>
      </w:pPr>
    </w:p>
    <w:p w14:paraId="5152DF6B">
      <w:pPr>
        <w:pStyle w:val="3"/>
        <w:spacing w:line="266" w:lineRule="auto"/>
        <w:rPr>
          <w:color w:val="auto"/>
          <w:highlight w:val="none"/>
        </w:rPr>
      </w:pPr>
    </w:p>
    <w:p w14:paraId="3B23BD44">
      <w:pPr>
        <w:spacing w:before="78" w:line="220" w:lineRule="auto"/>
        <w:ind w:left="542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建筑工程分类分项工程量清单</w:t>
      </w:r>
    </w:p>
    <w:p w14:paraId="31BCCD9E">
      <w:pPr>
        <w:spacing w:before="173" w:line="221" w:lineRule="auto"/>
        <w:ind w:left="1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项目及标段名称：</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第   页共   页</w:t>
      </w:r>
    </w:p>
    <w:p w14:paraId="5B086EE6">
      <w:pPr>
        <w:spacing w:line="127" w:lineRule="exact"/>
        <w:rPr>
          <w:color w:val="auto"/>
          <w:highlight w:val="none"/>
        </w:rPr>
      </w:pPr>
    </w:p>
    <w:tbl>
      <w:tblPr>
        <w:tblStyle w:val="16"/>
        <w:tblW w:w="141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987"/>
        <w:gridCol w:w="2831"/>
        <w:gridCol w:w="2266"/>
        <w:gridCol w:w="990"/>
        <w:gridCol w:w="993"/>
        <w:gridCol w:w="990"/>
        <w:gridCol w:w="993"/>
        <w:gridCol w:w="1273"/>
        <w:gridCol w:w="1002"/>
      </w:tblGrid>
      <w:tr w14:paraId="30A9A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22" w:type="dxa"/>
            <w:tcBorders>
              <w:top w:val="single" w:color="000000" w:sz="6" w:space="0"/>
              <w:left w:val="single" w:color="000000" w:sz="6" w:space="0"/>
            </w:tcBorders>
            <w:vAlign w:val="top"/>
          </w:tcPr>
          <w:p w14:paraId="40660DDC">
            <w:pPr>
              <w:pStyle w:val="17"/>
              <w:spacing w:before="211" w:line="222" w:lineRule="auto"/>
              <w:ind w:left="196"/>
              <w:rPr>
                <w:color w:val="auto"/>
                <w:sz w:val="21"/>
                <w:szCs w:val="21"/>
                <w:highlight w:val="none"/>
              </w:rPr>
            </w:pPr>
            <w:r>
              <w:rPr>
                <w:color w:val="auto"/>
                <w:spacing w:val="-2"/>
                <w:sz w:val="21"/>
                <w:szCs w:val="21"/>
                <w:highlight w:val="none"/>
              </w:rPr>
              <w:t>序号</w:t>
            </w:r>
          </w:p>
        </w:tc>
        <w:tc>
          <w:tcPr>
            <w:tcW w:w="1987" w:type="dxa"/>
            <w:tcBorders>
              <w:top w:val="single" w:color="000000" w:sz="6" w:space="0"/>
            </w:tcBorders>
            <w:vAlign w:val="top"/>
          </w:tcPr>
          <w:p w14:paraId="61CBBF72">
            <w:pPr>
              <w:pStyle w:val="17"/>
              <w:spacing w:before="211" w:line="221" w:lineRule="auto"/>
              <w:ind w:left="576"/>
              <w:rPr>
                <w:color w:val="auto"/>
                <w:sz w:val="21"/>
                <w:szCs w:val="21"/>
                <w:highlight w:val="none"/>
              </w:rPr>
            </w:pPr>
            <w:r>
              <w:rPr>
                <w:color w:val="auto"/>
                <w:spacing w:val="-3"/>
                <w:sz w:val="21"/>
                <w:szCs w:val="21"/>
                <w:highlight w:val="none"/>
              </w:rPr>
              <w:t>项目编码</w:t>
            </w:r>
          </w:p>
        </w:tc>
        <w:tc>
          <w:tcPr>
            <w:tcW w:w="2831" w:type="dxa"/>
            <w:tcBorders>
              <w:top w:val="single" w:color="000000" w:sz="6" w:space="0"/>
            </w:tcBorders>
            <w:vAlign w:val="top"/>
          </w:tcPr>
          <w:p w14:paraId="4937447F">
            <w:pPr>
              <w:pStyle w:val="17"/>
              <w:spacing w:before="211" w:line="221" w:lineRule="auto"/>
              <w:ind w:left="1001"/>
              <w:rPr>
                <w:color w:val="auto"/>
                <w:sz w:val="21"/>
                <w:szCs w:val="21"/>
                <w:highlight w:val="none"/>
              </w:rPr>
            </w:pPr>
            <w:r>
              <w:rPr>
                <w:color w:val="auto"/>
                <w:spacing w:val="-3"/>
                <w:sz w:val="21"/>
                <w:szCs w:val="21"/>
                <w:highlight w:val="none"/>
              </w:rPr>
              <w:t>项目名称</w:t>
            </w:r>
          </w:p>
        </w:tc>
        <w:tc>
          <w:tcPr>
            <w:tcW w:w="2266" w:type="dxa"/>
            <w:tcBorders>
              <w:top w:val="single" w:color="000000" w:sz="6" w:space="0"/>
            </w:tcBorders>
            <w:vAlign w:val="top"/>
          </w:tcPr>
          <w:p w14:paraId="7DE2E2A2">
            <w:pPr>
              <w:pStyle w:val="17"/>
              <w:spacing w:before="211" w:line="221" w:lineRule="auto"/>
              <w:ind w:left="512"/>
              <w:rPr>
                <w:color w:val="auto"/>
                <w:sz w:val="21"/>
                <w:szCs w:val="21"/>
                <w:highlight w:val="none"/>
              </w:rPr>
            </w:pPr>
            <w:r>
              <w:rPr>
                <w:color w:val="auto"/>
                <w:spacing w:val="-2"/>
                <w:sz w:val="21"/>
                <w:szCs w:val="21"/>
                <w:highlight w:val="none"/>
              </w:rPr>
              <w:t>项目主要特征</w:t>
            </w:r>
          </w:p>
        </w:tc>
        <w:tc>
          <w:tcPr>
            <w:tcW w:w="990" w:type="dxa"/>
            <w:tcBorders>
              <w:top w:val="single" w:color="000000" w:sz="6" w:space="0"/>
            </w:tcBorders>
            <w:vAlign w:val="top"/>
          </w:tcPr>
          <w:p w14:paraId="014498BD">
            <w:pPr>
              <w:pStyle w:val="17"/>
              <w:spacing w:before="74" w:line="222" w:lineRule="auto"/>
              <w:ind w:left="293"/>
              <w:rPr>
                <w:color w:val="auto"/>
                <w:sz w:val="21"/>
                <w:szCs w:val="21"/>
                <w:highlight w:val="none"/>
              </w:rPr>
            </w:pPr>
            <w:r>
              <w:rPr>
                <w:color w:val="auto"/>
                <w:spacing w:val="-2"/>
                <w:sz w:val="21"/>
                <w:szCs w:val="21"/>
                <w:highlight w:val="none"/>
              </w:rPr>
              <w:t>计量</w:t>
            </w:r>
          </w:p>
          <w:p w14:paraId="637379C9">
            <w:pPr>
              <w:pStyle w:val="17"/>
              <w:spacing w:before="21" w:line="221" w:lineRule="auto"/>
              <w:ind w:left="294"/>
              <w:rPr>
                <w:color w:val="auto"/>
                <w:sz w:val="21"/>
                <w:szCs w:val="21"/>
                <w:highlight w:val="none"/>
              </w:rPr>
            </w:pPr>
            <w:r>
              <w:rPr>
                <w:color w:val="auto"/>
                <w:spacing w:val="-2"/>
                <w:sz w:val="21"/>
                <w:szCs w:val="21"/>
                <w:highlight w:val="none"/>
              </w:rPr>
              <w:t>单位</w:t>
            </w:r>
          </w:p>
        </w:tc>
        <w:tc>
          <w:tcPr>
            <w:tcW w:w="993" w:type="dxa"/>
            <w:tcBorders>
              <w:top w:val="single" w:color="000000" w:sz="6" w:space="0"/>
            </w:tcBorders>
            <w:vAlign w:val="top"/>
          </w:tcPr>
          <w:p w14:paraId="6F6DB3D9">
            <w:pPr>
              <w:pStyle w:val="17"/>
              <w:spacing w:before="75" w:line="221" w:lineRule="auto"/>
              <w:ind w:left="297"/>
              <w:rPr>
                <w:color w:val="auto"/>
                <w:sz w:val="21"/>
                <w:szCs w:val="21"/>
                <w:highlight w:val="none"/>
              </w:rPr>
            </w:pPr>
            <w:r>
              <w:rPr>
                <w:color w:val="auto"/>
                <w:spacing w:val="-3"/>
                <w:sz w:val="21"/>
                <w:szCs w:val="21"/>
                <w:highlight w:val="none"/>
              </w:rPr>
              <w:t>工程</w:t>
            </w:r>
          </w:p>
          <w:p w14:paraId="4E13DE6A">
            <w:pPr>
              <w:pStyle w:val="17"/>
              <w:spacing w:before="21" w:line="221" w:lineRule="auto"/>
              <w:ind w:left="296"/>
              <w:rPr>
                <w:color w:val="auto"/>
                <w:sz w:val="21"/>
                <w:szCs w:val="21"/>
                <w:highlight w:val="none"/>
              </w:rPr>
            </w:pPr>
            <w:r>
              <w:rPr>
                <w:color w:val="auto"/>
                <w:spacing w:val="-2"/>
                <w:sz w:val="21"/>
                <w:szCs w:val="21"/>
                <w:highlight w:val="none"/>
              </w:rPr>
              <w:t>数量</w:t>
            </w:r>
          </w:p>
        </w:tc>
        <w:tc>
          <w:tcPr>
            <w:tcW w:w="990" w:type="dxa"/>
            <w:tcBorders>
              <w:top w:val="single" w:color="000000" w:sz="6" w:space="0"/>
            </w:tcBorders>
            <w:vAlign w:val="top"/>
          </w:tcPr>
          <w:p w14:paraId="4976F075">
            <w:pPr>
              <w:pStyle w:val="17"/>
              <w:spacing w:before="75" w:line="241" w:lineRule="auto"/>
              <w:ind w:left="195" w:right="184" w:firstLine="100"/>
              <w:rPr>
                <w:color w:val="auto"/>
                <w:sz w:val="21"/>
                <w:szCs w:val="21"/>
                <w:highlight w:val="none"/>
              </w:rPr>
            </w:pPr>
            <w:r>
              <w:rPr>
                <w:color w:val="auto"/>
                <w:spacing w:val="-4"/>
                <w:sz w:val="21"/>
                <w:szCs w:val="21"/>
                <w:highlight w:val="none"/>
              </w:rPr>
              <w:t>单价</w:t>
            </w:r>
            <w:r>
              <w:rPr>
                <w:color w:val="auto"/>
                <w:spacing w:val="-9"/>
                <w:sz w:val="21"/>
                <w:szCs w:val="21"/>
                <w:highlight w:val="none"/>
              </w:rPr>
              <w:t>（元）</w:t>
            </w:r>
          </w:p>
        </w:tc>
        <w:tc>
          <w:tcPr>
            <w:tcW w:w="993" w:type="dxa"/>
            <w:tcBorders>
              <w:top w:val="single" w:color="000000" w:sz="6" w:space="0"/>
            </w:tcBorders>
            <w:vAlign w:val="top"/>
          </w:tcPr>
          <w:p w14:paraId="20C9B057">
            <w:pPr>
              <w:pStyle w:val="17"/>
              <w:spacing w:before="75" w:line="241" w:lineRule="auto"/>
              <w:ind w:left="197" w:right="186" w:firstLine="100"/>
              <w:rPr>
                <w:color w:val="auto"/>
                <w:sz w:val="21"/>
                <w:szCs w:val="21"/>
                <w:highlight w:val="none"/>
              </w:rPr>
            </w:pPr>
            <w:r>
              <w:rPr>
                <w:color w:val="auto"/>
                <w:spacing w:val="-4"/>
                <w:sz w:val="21"/>
                <w:szCs w:val="21"/>
                <w:highlight w:val="none"/>
              </w:rPr>
              <w:t>合价</w:t>
            </w:r>
            <w:r>
              <w:rPr>
                <w:color w:val="auto"/>
                <w:spacing w:val="-9"/>
                <w:sz w:val="21"/>
                <w:szCs w:val="21"/>
                <w:highlight w:val="none"/>
              </w:rPr>
              <w:t>（元）</w:t>
            </w:r>
          </w:p>
        </w:tc>
        <w:tc>
          <w:tcPr>
            <w:tcW w:w="1273" w:type="dxa"/>
            <w:tcBorders>
              <w:top w:val="single" w:color="000000" w:sz="6" w:space="0"/>
            </w:tcBorders>
            <w:vAlign w:val="top"/>
          </w:tcPr>
          <w:p w14:paraId="37D20229">
            <w:pPr>
              <w:pStyle w:val="17"/>
              <w:spacing w:before="74" w:line="221" w:lineRule="auto"/>
              <w:ind w:left="229"/>
              <w:rPr>
                <w:color w:val="auto"/>
                <w:sz w:val="21"/>
                <w:szCs w:val="21"/>
                <w:highlight w:val="none"/>
              </w:rPr>
            </w:pPr>
            <w:r>
              <w:rPr>
                <w:color w:val="auto"/>
                <w:spacing w:val="-2"/>
                <w:sz w:val="21"/>
                <w:szCs w:val="21"/>
                <w:highlight w:val="none"/>
              </w:rPr>
              <w:t>主要技术</w:t>
            </w:r>
          </w:p>
          <w:p w14:paraId="47CBF6E6">
            <w:pPr>
              <w:pStyle w:val="17"/>
              <w:spacing w:before="22" w:line="221" w:lineRule="auto"/>
              <w:ind w:left="229"/>
              <w:rPr>
                <w:color w:val="auto"/>
                <w:sz w:val="21"/>
                <w:szCs w:val="21"/>
                <w:highlight w:val="none"/>
              </w:rPr>
            </w:pPr>
            <w:r>
              <w:rPr>
                <w:color w:val="auto"/>
                <w:spacing w:val="-2"/>
                <w:sz w:val="21"/>
                <w:szCs w:val="21"/>
                <w:highlight w:val="none"/>
              </w:rPr>
              <w:t>条款编码</w:t>
            </w:r>
          </w:p>
        </w:tc>
        <w:tc>
          <w:tcPr>
            <w:tcW w:w="1002" w:type="dxa"/>
            <w:tcBorders>
              <w:top w:val="single" w:color="000000" w:sz="6" w:space="0"/>
              <w:right w:val="single" w:color="000000" w:sz="6" w:space="0"/>
            </w:tcBorders>
            <w:vAlign w:val="top"/>
          </w:tcPr>
          <w:p w14:paraId="180EEEB9">
            <w:pPr>
              <w:pStyle w:val="17"/>
              <w:spacing w:before="211" w:line="222" w:lineRule="auto"/>
              <w:ind w:left="300"/>
              <w:rPr>
                <w:color w:val="auto"/>
                <w:sz w:val="21"/>
                <w:szCs w:val="21"/>
                <w:highlight w:val="none"/>
              </w:rPr>
            </w:pPr>
            <w:r>
              <w:rPr>
                <w:color w:val="auto"/>
                <w:spacing w:val="-3"/>
                <w:sz w:val="21"/>
                <w:szCs w:val="21"/>
                <w:highlight w:val="none"/>
              </w:rPr>
              <w:t>备注</w:t>
            </w:r>
          </w:p>
        </w:tc>
      </w:tr>
      <w:tr w14:paraId="0EA7D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23AF77A4">
            <w:pPr>
              <w:rPr>
                <w:rFonts w:ascii="Arial"/>
                <w:color w:val="auto"/>
                <w:sz w:val="21"/>
                <w:highlight w:val="none"/>
              </w:rPr>
            </w:pPr>
          </w:p>
        </w:tc>
        <w:tc>
          <w:tcPr>
            <w:tcW w:w="1987" w:type="dxa"/>
            <w:vAlign w:val="top"/>
          </w:tcPr>
          <w:p w14:paraId="272925E4">
            <w:pPr>
              <w:rPr>
                <w:rFonts w:ascii="Arial"/>
                <w:color w:val="auto"/>
                <w:sz w:val="21"/>
                <w:highlight w:val="none"/>
              </w:rPr>
            </w:pPr>
          </w:p>
        </w:tc>
        <w:tc>
          <w:tcPr>
            <w:tcW w:w="2831" w:type="dxa"/>
            <w:vAlign w:val="top"/>
          </w:tcPr>
          <w:p w14:paraId="4D8406A4">
            <w:pPr>
              <w:rPr>
                <w:rFonts w:ascii="Arial"/>
                <w:color w:val="auto"/>
                <w:sz w:val="21"/>
                <w:highlight w:val="none"/>
              </w:rPr>
            </w:pPr>
          </w:p>
        </w:tc>
        <w:tc>
          <w:tcPr>
            <w:tcW w:w="2266" w:type="dxa"/>
            <w:vAlign w:val="top"/>
          </w:tcPr>
          <w:p w14:paraId="03D32028">
            <w:pPr>
              <w:rPr>
                <w:rFonts w:ascii="Arial"/>
                <w:color w:val="auto"/>
                <w:sz w:val="21"/>
                <w:highlight w:val="none"/>
              </w:rPr>
            </w:pPr>
          </w:p>
        </w:tc>
        <w:tc>
          <w:tcPr>
            <w:tcW w:w="990" w:type="dxa"/>
            <w:vAlign w:val="top"/>
          </w:tcPr>
          <w:p w14:paraId="2063C5B7">
            <w:pPr>
              <w:rPr>
                <w:rFonts w:ascii="Arial"/>
                <w:color w:val="auto"/>
                <w:sz w:val="21"/>
                <w:highlight w:val="none"/>
              </w:rPr>
            </w:pPr>
          </w:p>
        </w:tc>
        <w:tc>
          <w:tcPr>
            <w:tcW w:w="993" w:type="dxa"/>
            <w:vAlign w:val="top"/>
          </w:tcPr>
          <w:p w14:paraId="3C41DA88">
            <w:pPr>
              <w:rPr>
                <w:rFonts w:ascii="Arial"/>
                <w:color w:val="auto"/>
                <w:sz w:val="21"/>
                <w:highlight w:val="none"/>
              </w:rPr>
            </w:pPr>
          </w:p>
        </w:tc>
        <w:tc>
          <w:tcPr>
            <w:tcW w:w="990" w:type="dxa"/>
            <w:vAlign w:val="top"/>
          </w:tcPr>
          <w:p w14:paraId="319FC7E2">
            <w:pPr>
              <w:rPr>
                <w:rFonts w:ascii="Arial"/>
                <w:color w:val="auto"/>
                <w:sz w:val="21"/>
                <w:highlight w:val="none"/>
              </w:rPr>
            </w:pPr>
          </w:p>
        </w:tc>
        <w:tc>
          <w:tcPr>
            <w:tcW w:w="993" w:type="dxa"/>
            <w:vAlign w:val="top"/>
          </w:tcPr>
          <w:p w14:paraId="185AD543">
            <w:pPr>
              <w:rPr>
                <w:rFonts w:ascii="Arial"/>
                <w:color w:val="auto"/>
                <w:sz w:val="21"/>
                <w:highlight w:val="none"/>
              </w:rPr>
            </w:pPr>
          </w:p>
        </w:tc>
        <w:tc>
          <w:tcPr>
            <w:tcW w:w="1273" w:type="dxa"/>
            <w:vAlign w:val="top"/>
          </w:tcPr>
          <w:p w14:paraId="6FA76E58">
            <w:pPr>
              <w:rPr>
                <w:rFonts w:ascii="Arial"/>
                <w:color w:val="auto"/>
                <w:sz w:val="21"/>
                <w:highlight w:val="none"/>
              </w:rPr>
            </w:pPr>
          </w:p>
        </w:tc>
        <w:tc>
          <w:tcPr>
            <w:tcW w:w="1002" w:type="dxa"/>
            <w:tcBorders>
              <w:right w:val="single" w:color="000000" w:sz="6" w:space="0"/>
            </w:tcBorders>
            <w:vAlign w:val="top"/>
          </w:tcPr>
          <w:p w14:paraId="493EC85D">
            <w:pPr>
              <w:rPr>
                <w:rFonts w:ascii="Arial"/>
                <w:color w:val="auto"/>
                <w:sz w:val="21"/>
                <w:highlight w:val="none"/>
              </w:rPr>
            </w:pPr>
          </w:p>
        </w:tc>
      </w:tr>
      <w:tr w14:paraId="0856E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16D425D0">
            <w:pPr>
              <w:rPr>
                <w:rFonts w:ascii="Arial"/>
                <w:color w:val="auto"/>
                <w:sz w:val="21"/>
                <w:highlight w:val="none"/>
              </w:rPr>
            </w:pPr>
          </w:p>
        </w:tc>
        <w:tc>
          <w:tcPr>
            <w:tcW w:w="1987" w:type="dxa"/>
            <w:vAlign w:val="top"/>
          </w:tcPr>
          <w:p w14:paraId="10878EA7">
            <w:pPr>
              <w:rPr>
                <w:rFonts w:ascii="Arial"/>
                <w:color w:val="auto"/>
                <w:sz w:val="21"/>
                <w:highlight w:val="none"/>
              </w:rPr>
            </w:pPr>
          </w:p>
        </w:tc>
        <w:tc>
          <w:tcPr>
            <w:tcW w:w="2831" w:type="dxa"/>
            <w:vAlign w:val="top"/>
          </w:tcPr>
          <w:p w14:paraId="11B669B4">
            <w:pPr>
              <w:rPr>
                <w:rFonts w:ascii="Arial"/>
                <w:color w:val="auto"/>
                <w:sz w:val="21"/>
                <w:highlight w:val="none"/>
              </w:rPr>
            </w:pPr>
          </w:p>
        </w:tc>
        <w:tc>
          <w:tcPr>
            <w:tcW w:w="2266" w:type="dxa"/>
            <w:vAlign w:val="top"/>
          </w:tcPr>
          <w:p w14:paraId="2A124B3A">
            <w:pPr>
              <w:rPr>
                <w:rFonts w:ascii="Arial"/>
                <w:color w:val="auto"/>
                <w:sz w:val="21"/>
                <w:highlight w:val="none"/>
              </w:rPr>
            </w:pPr>
          </w:p>
        </w:tc>
        <w:tc>
          <w:tcPr>
            <w:tcW w:w="990" w:type="dxa"/>
            <w:vAlign w:val="top"/>
          </w:tcPr>
          <w:p w14:paraId="25B42C71">
            <w:pPr>
              <w:rPr>
                <w:rFonts w:ascii="Arial"/>
                <w:color w:val="auto"/>
                <w:sz w:val="21"/>
                <w:highlight w:val="none"/>
              </w:rPr>
            </w:pPr>
          </w:p>
        </w:tc>
        <w:tc>
          <w:tcPr>
            <w:tcW w:w="993" w:type="dxa"/>
            <w:vAlign w:val="top"/>
          </w:tcPr>
          <w:p w14:paraId="33766516">
            <w:pPr>
              <w:rPr>
                <w:rFonts w:ascii="Arial"/>
                <w:color w:val="auto"/>
                <w:sz w:val="21"/>
                <w:highlight w:val="none"/>
              </w:rPr>
            </w:pPr>
          </w:p>
        </w:tc>
        <w:tc>
          <w:tcPr>
            <w:tcW w:w="990" w:type="dxa"/>
            <w:vAlign w:val="top"/>
          </w:tcPr>
          <w:p w14:paraId="41ACBB82">
            <w:pPr>
              <w:rPr>
                <w:rFonts w:ascii="Arial"/>
                <w:color w:val="auto"/>
                <w:sz w:val="21"/>
                <w:highlight w:val="none"/>
              </w:rPr>
            </w:pPr>
          </w:p>
        </w:tc>
        <w:tc>
          <w:tcPr>
            <w:tcW w:w="993" w:type="dxa"/>
            <w:vAlign w:val="top"/>
          </w:tcPr>
          <w:p w14:paraId="58699E15">
            <w:pPr>
              <w:rPr>
                <w:rFonts w:ascii="Arial"/>
                <w:color w:val="auto"/>
                <w:sz w:val="21"/>
                <w:highlight w:val="none"/>
              </w:rPr>
            </w:pPr>
          </w:p>
        </w:tc>
        <w:tc>
          <w:tcPr>
            <w:tcW w:w="1273" w:type="dxa"/>
            <w:vAlign w:val="top"/>
          </w:tcPr>
          <w:p w14:paraId="72CB2DCC">
            <w:pPr>
              <w:rPr>
                <w:rFonts w:ascii="Arial"/>
                <w:color w:val="auto"/>
                <w:sz w:val="21"/>
                <w:highlight w:val="none"/>
              </w:rPr>
            </w:pPr>
          </w:p>
        </w:tc>
        <w:tc>
          <w:tcPr>
            <w:tcW w:w="1002" w:type="dxa"/>
            <w:tcBorders>
              <w:right w:val="single" w:color="000000" w:sz="6" w:space="0"/>
            </w:tcBorders>
            <w:vAlign w:val="top"/>
          </w:tcPr>
          <w:p w14:paraId="453A5DBF">
            <w:pPr>
              <w:rPr>
                <w:rFonts w:ascii="Arial"/>
                <w:color w:val="auto"/>
                <w:sz w:val="21"/>
                <w:highlight w:val="none"/>
              </w:rPr>
            </w:pPr>
          </w:p>
        </w:tc>
      </w:tr>
      <w:tr w14:paraId="3ABA0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037A3128">
            <w:pPr>
              <w:rPr>
                <w:rFonts w:ascii="Arial"/>
                <w:color w:val="auto"/>
                <w:sz w:val="21"/>
                <w:highlight w:val="none"/>
              </w:rPr>
            </w:pPr>
          </w:p>
        </w:tc>
        <w:tc>
          <w:tcPr>
            <w:tcW w:w="1987" w:type="dxa"/>
            <w:vAlign w:val="top"/>
          </w:tcPr>
          <w:p w14:paraId="3829218E">
            <w:pPr>
              <w:rPr>
                <w:rFonts w:ascii="Arial"/>
                <w:color w:val="auto"/>
                <w:sz w:val="21"/>
                <w:highlight w:val="none"/>
              </w:rPr>
            </w:pPr>
          </w:p>
        </w:tc>
        <w:tc>
          <w:tcPr>
            <w:tcW w:w="2831" w:type="dxa"/>
            <w:vAlign w:val="top"/>
          </w:tcPr>
          <w:p w14:paraId="6FB69ACB">
            <w:pPr>
              <w:rPr>
                <w:rFonts w:ascii="Arial"/>
                <w:color w:val="auto"/>
                <w:sz w:val="21"/>
                <w:highlight w:val="none"/>
              </w:rPr>
            </w:pPr>
          </w:p>
        </w:tc>
        <w:tc>
          <w:tcPr>
            <w:tcW w:w="2266" w:type="dxa"/>
            <w:vAlign w:val="top"/>
          </w:tcPr>
          <w:p w14:paraId="17BC6FEC">
            <w:pPr>
              <w:rPr>
                <w:rFonts w:ascii="Arial"/>
                <w:color w:val="auto"/>
                <w:sz w:val="21"/>
                <w:highlight w:val="none"/>
              </w:rPr>
            </w:pPr>
          </w:p>
        </w:tc>
        <w:tc>
          <w:tcPr>
            <w:tcW w:w="990" w:type="dxa"/>
            <w:vAlign w:val="top"/>
          </w:tcPr>
          <w:p w14:paraId="3F1D2633">
            <w:pPr>
              <w:rPr>
                <w:rFonts w:ascii="Arial"/>
                <w:color w:val="auto"/>
                <w:sz w:val="21"/>
                <w:highlight w:val="none"/>
              </w:rPr>
            </w:pPr>
          </w:p>
        </w:tc>
        <w:tc>
          <w:tcPr>
            <w:tcW w:w="993" w:type="dxa"/>
            <w:vAlign w:val="top"/>
          </w:tcPr>
          <w:p w14:paraId="4899B175">
            <w:pPr>
              <w:rPr>
                <w:rFonts w:ascii="Arial"/>
                <w:color w:val="auto"/>
                <w:sz w:val="21"/>
                <w:highlight w:val="none"/>
              </w:rPr>
            </w:pPr>
          </w:p>
        </w:tc>
        <w:tc>
          <w:tcPr>
            <w:tcW w:w="990" w:type="dxa"/>
            <w:vAlign w:val="top"/>
          </w:tcPr>
          <w:p w14:paraId="3CE11B80">
            <w:pPr>
              <w:rPr>
                <w:rFonts w:ascii="Arial"/>
                <w:color w:val="auto"/>
                <w:sz w:val="21"/>
                <w:highlight w:val="none"/>
              </w:rPr>
            </w:pPr>
          </w:p>
        </w:tc>
        <w:tc>
          <w:tcPr>
            <w:tcW w:w="993" w:type="dxa"/>
            <w:vAlign w:val="top"/>
          </w:tcPr>
          <w:p w14:paraId="1C46D73E">
            <w:pPr>
              <w:rPr>
                <w:rFonts w:ascii="Arial"/>
                <w:color w:val="auto"/>
                <w:sz w:val="21"/>
                <w:highlight w:val="none"/>
              </w:rPr>
            </w:pPr>
          </w:p>
        </w:tc>
        <w:tc>
          <w:tcPr>
            <w:tcW w:w="1273" w:type="dxa"/>
            <w:vAlign w:val="top"/>
          </w:tcPr>
          <w:p w14:paraId="5AB49ED6">
            <w:pPr>
              <w:rPr>
                <w:rFonts w:ascii="Arial"/>
                <w:color w:val="auto"/>
                <w:sz w:val="21"/>
                <w:highlight w:val="none"/>
              </w:rPr>
            </w:pPr>
          </w:p>
        </w:tc>
        <w:tc>
          <w:tcPr>
            <w:tcW w:w="1002" w:type="dxa"/>
            <w:tcBorders>
              <w:right w:val="single" w:color="000000" w:sz="6" w:space="0"/>
            </w:tcBorders>
            <w:vAlign w:val="top"/>
          </w:tcPr>
          <w:p w14:paraId="41A96800">
            <w:pPr>
              <w:rPr>
                <w:rFonts w:ascii="Arial"/>
                <w:color w:val="auto"/>
                <w:sz w:val="21"/>
                <w:highlight w:val="none"/>
              </w:rPr>
            </w:pPr>
          </w:p>
        </w:tc>
      </w:tr>
      <w:tr w14:paraId="11448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1FA694F1">
            <w:pPr>
              <w:rPr>
                <w:rFonts w:ascii="Arial"/>
                <w:color w:val="auto"/>
                <w:sz w:val="21"/>
                <w:highlight w:val="none"/>
              </w:rPr>
            </w:pPr>
          </w:p>
        </w:tc>
        <w:tc>
          <w:tcPr>
            <w:tcW w:w="1987" w:type="dxa"/>
            <w:vAlign w:val="top"/>
          </w:tcPr>
          <w:p w14:paraId="2F98222C">
            <w:pPr>
              <w:rPr>
                <w:rFonts w:ascii="Arial"/>
                <w:color w:val="auto"/>
                <w:sz w:val="21"/>
                <w:highlight w:val="none"/>
              </w:rPr>
            </w:pPr>
          </w:p>
        </w:tc>
        <w:tc>
          <w:tcPr>
            <w:tcW w:w="2831" w:type="dxa"/>
            <w:vAlign w:val="top"/>
          </w:tcPr>
          <w:p w14:paraId="424A8475">
            <w:pPr>
              <w:rPr>
                <w:rFonts w:ascii="Arial"/>
                <w:color w:val="auto"/>
                <w:sz w:val="21"/>
                <w:highlight w:val="none"/>
              </w:rPr>
            </w:pPr>
          </w:p>
        </w:tc>
        <w:tc>
          <w:tcPr>
            <w:tcW w:w="2266" w:type="dxa"/>
            <w:vAlign w:val="top"/>
          </w:tcPr>
          <w:p w14:paraId="42323CAD">
            <w:pPr>
              <w:rPr>
                <w:rFonts w:ascii="Arial"/>
                <w:color w:val="auto"/>
                <w:sz w:val="21"/>
                <w:highlight w:val="none"/>
              </w:rPr>
            </w:pPr>
          </w:p>
        </w:tc>
        <w:tc>
          <w:tcPr>
            <w:tcW w:w="990" w:type="dxa"/>
            <w:vAlign w:val="top"/>
          </w:tcPr>
          <w:p w14:paraId="20BA9E13">
            <w:pPr>
              <w:rPr>
                <w:rFonts w:ascii="Arial"/>
                <w:color w:val="auto"/>
                <w:sz w:val="21"/>
                <w:highlight w:val="none"/>
              </w:rPr>
            </w:pPr>
          </w:p>
        </w:tc>
        <w:tc>
          <w:tcPr>
            <w:tcW w:w="993" w:type="dxa"/>
            <w:vAlign w:val="top"/>
          </w:tcPr>
          <w:p w14:paraId="1133E0C5">
            <w:pPr>
              <w:rPr>
                <w:rFonts w:ascii="Arial"/>
                <w:color w:val="auto"/>
                <w:sz w:val="21"/>
                <w:highlight w:val="none"/>
              </w:rPr>
            </w:pPr>
          </w:p>
        </w:tc>
        <w:tc>
          <w:tcPr>
            <w:tcW w:w="990" w:type="dxa"/>
            <w:vAlign w:val="top"/>
          </w:tcPr>
          <w:p w14:paraId="451DABEC">
            <w:pPr>
              <w:rPr>
                <w:rFonts w:ascii="Arial"/>
                <w:color w:val="auto"/>
                <w:sz w:val="21"/>
                <w:highlight w:val="none"/>
              </w:rPr>
            </w:pPr>
          </w:p>
        </w:tc>
        <w:tc>
          <w:tcPr>
            <w:tcW w:w="993" w:type="dxa"/>
            <w:vAlign w:val="top"/>
          </w:tcPr>
          <w:p w14:paraId="10213E1C">
            <w:pPr>
              <w:rPr>
                <w:rFonts w:ascii="Arial"/>
                <w:color w:val="auto"/>
                <w:sz w:val="21"/>
                <w:highlight w:val="none"/>
              </w:rPr>
            </w:pPr>
          </w:p>
        </w:tc>
        <w:tc>
          <w:tcPr>
            <w:tcW w:w="1273" w:type="dxa"/>
            <w:vAlign w:val="top"/>
          </w:tcPr>
          <w:p w14:paraId="6B8B74A7">
            <w:pPr>
              <w:rPr>
                <w:rFonts w:ascii="Arial"/>
                <w:color w:val="auto"/>
                <w:sz w:val="21"/>
                <w:highlight w:val="none"/>
              </w:rPr>
            </w:pPr>
          </w:p>
        </w:tc>
        <w:tc>
          <w:tcPr>
            <w:tcW w:w="1002" w:type="dxa"/>
            <w:tcBorders>
              <w:right w:val="single" w:color="000000" w:sz="6" w:space="0"/>
            </w:tcBorders>
            <w:vAlign w:val="top"/>
          </w:tcPr>
          <w:p w14:paraId="494EA7A1">
            <w:pPr>
              <w:rPr>
                <w:rFonts w:ascii="Arial"/>
                <w:color w:val="auto"/>
                <w:sz w:val="21"/>
                <w:highlight w:val="none"/>
              </w:rPr>
            </w:pPr>
          </w:p>
        </w:tc>
      </w:tr>
      <w:tr w14:paraId="59112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22" w:type="dxa"/>
            <w:tcBorders>
              <w:left w:val="single" w:color="000000" w:sz="6" w:space="0"/>
            </w:tcBorders>
            <w:vAlign w:val="top"/>
          </w:tcPr>
          <w:p w14:paraId="12C16767">
            <w:pPr>
              <w:rPr>
                <w:rFonts w:ascii="Arial"/>
                <w:color w:val="auto"/>
                <w:sz w:val="21"/>
                <w:highlight w:val="none"/>
              </w:rPr>
            </w:pPr>
          </w:p>
        </w:tc>
        <w:tc>
          <w:tcPr>
            <w:tcW w:w="1987" w:type="dxa"/>
            <w:vAlign w:val="top"/>
          </w:tcPr>
          <w:p w14:paraId="203DCFEA">
            <w:pPr>
              <w:rPr>
                <w:rFonts w:ascii="Arial"/>
                <w:color w:val="auto"/>
                <w:sz w:val="21"/>
                <w:highlight w:val="none"/>
              </w:rPr>
            </w:pPr>
          </w:p>
        </w:tc>
        <w:tc>
          <w:tcPr>
            <w:tcW w:w="2831" w:type="dxa"/>
            <w:vAlign w:val="top"/>
          </w:tcPr>
          <w:p w14:paraId="51DC6E7D">
            <w:pPr>
              <w:rPr>
                <w:rFonts w:ascii="Arial"/>
                <w:color w:val="auto"/>
                <w:sz w:val="21"/>
                <w:highlight w:val="none"/>
              </w:rPr>
            </w:pPr>
          </w:p>
        </w:tc>
        <w:tc>
          <w:tcPr>
            <w:tcW w:w="2266" w:type="dxa"/>
            <w:vAlign w:val="top"/>
          </w:tcPr>
          <w:p w14:paraId="007DB008">
            <w:pPr>
              <w:rPr>
                <w:rFonts w:ascii="Arial"/>
                <w:color w:val="auto"/>
                <w:sz w:val="21"/>
                <w:highlight w:val="none"/>
              </w:rPr>
            </w:pPr>
          </w:p>
        </w:tc>
        <w:tc>
          <w:tcPr>
            <w:tcW w:w="990" w:type="dxa"/>
            <w:vAlign w:val="top"/>
          </w:tcPr>
          <w:p w14:paraId="0C96278F">
            <w:pPr>
              <w:rPr>
                <w:rFonts w:ascii="Arial"/>
                <w:color w:val="auto"/>
                <w:sz w:val="21"/>
                <w:highlight w:val="none"/>
              </w:rPr>
            </w:pPr>
          </w:p>
        </w:tc>
        <w:tc>
          <w:tcPr>
            <w:tcW w:w="993" w:type="dxa"/>
            <w:vAlign w:val="top"/>
          </w:tcPr>
          <w:p w14:paraId="6A3F8C38">
            <w:pPr>
              <w:rPr>
                <w:rFonts w:ascii="Arial"/>
                <w:color w:val="auto"/>
                <w:sz w:val="21"/>
                <w:highlight w:val="none"/>
              </w:rPr>
            </w:pPr>
          </w:p>
        </w:tc>
        <w:tc>
          <w:tcPr>
            <w:tcW w:w="990" w:type="dxa"/>
            <w:vAlign w:val="top"/>
          </w:tcPr>
          <w:p w14:paraId="66416A68">
            <w:pPr>
              <w:rPr>
                <w:rFonts w:ascii="Arial"/>
                <w:color w:val="auto"/>
                <w:sz w:val="21"/>
                <w:highlight w:val="none"/>
              </w:rPr>
            </w:pPr>
          </w:p>
        </w:tc>
        <w:tc>
          <w:tcPr>
            <w:tcW w:w="993" w:type="dxa"/>
            <w:vAlign w:val="top"/>
          </w:tcPr>
          <w:p w14:paraId="3DFBE90A">
            <w:pPr>
              <w:rPr>
                <w:rFonts w:ascii="Arial"/>
                <w:color w:val="auto"/>
                <w:sz w:val="21"/>
                <w:highlight w:val="none"/>
              </w:rPr>
            </w:pPr>
          </w:p>
        </w:tc>
        <w:tc>
          <w:tcPr>
            <w:tcW w:w="1273" w:type="dxa"/>
            <w:vAlign w:val="top"/>
          </w:tcPr>
          <w:p w14:paraId="6622F432">
            <w:pPr>
              <w:rPr>
                <w:rFonts w:ascii="Arial"/>
                <w:color w:val="auto"/>
                <w:sz w:val="21"/>
                <w:highlight w:val="none"/>
              </w:rPr>
            </w:pPr>
          </w:p>
        </w:tc>
        <w:tc>
          <w:tcPr>
            <w:tcW w:w="1002" w:type="dxa"/>
            <w:tcBorders>
              <w:right w:val="single" w:color="000000" w:sz="6" w:space="0"/>
            </w:tcBorders>
            <w:vAlign w:val="top"/>
          </w:tcPr>
          <w:p w14:paraId="01FB038F">
            <w:pPr>
              <w:rPr>
                <w:rFonts w:ascii="Arial"/>
                <w:color w:val="auto"/>
                <w:sz w:val="21"/>
                <w:highlight w:val="none"/>
              </w:rPr>
            </w:pPr>
          </w:p>
        </w:tc>
      </w:tr>
      <w:tr w14:paraId="28797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102924B1">
            <w:pPr>
              <w:rPr>
                <w:rFonts w:ascii="Arial"/>
                <w:color w:val="auto"/>
                <w:sz w:val="21"/>
                <w:highlight w:val="none"/>
              </w:rPr>
            </w:pPr>
          </w:p>
        </w:tc>
        <w:tc>
          <w:tcPr>
            <w:tcW w:w="1987" w:type="dxa"/>
            <w:vAlign w:val="top"/>
          </w:tcPr>
          <w:p w14:paraId="02713B4A">
            <w:pPr>
              <w:rPr>
                <w:rFonts w:ascii="Arial"/>
                <w:color w:val="auto"/>
                <w:sz w:val="21"/>
                <w:highlight w:val="none"/>
              </w:rPr>
            </w:pPr>
          </w:p>
        </w:tc>
        <w:tc>
          <w:tcPr>
            <w:tcW w:w="2831" w:type="dxa"/>
            <w:vAlign w:val="top"/>
          </w:tcPr>
          <w:p w14:paraId="13A3E551">
            <w:pPr>
              <w:rPr>
                <w:rFonts w:ascii="Arial"/>
                <w:color w:val="auto"/>
                <w:sz w:val="21"/>
                <w:highlight w:val="none"/>
              </w:rPr>
            </w:pPr>
          </w:p>
        </w:tc>
        <w:tc>
          <w:tcPr>
            <w:tcW w:w="2266" w:type="dxa"/>
            <w:vAlign w:val="top"/>
          </w:tcPr>
          <w:p w14:paraId="2658F217">
            <w:pPr>
              <w:rPr>
                <w:rFonts w:ascii="Arial"/>
                <w:color w:val="auto"/>
                <w:sz w:val="21"/>
                <w:highlight w:val="none"/>
              </w:rPr>
            </w:pPr>
          </w:p>
        </w:tc>
        <w:tc>
          <w:tcPr>
            <w:tcW w:w="990" w:type="dxa"/>
            <w:vAlign w:val="top"/>
          </w:tcPr>
          <w:p w14:paraId="490D950E">
            <w:pPr>
              <w:rPr>
                <w:rFonts w:ascii="Arial"/>
                <w:color w:val="auto"/>
                <w:sz w:val="21"/>
                <w:highlight w:val="none"/>
              </w:rPr>
            </w:pPr>
          </w:p>
        </w:tc>
        <w:tc>
          <w:tcPr>
            <w:tcW w:w="993" w:type="dxa"/>
            <w:vAlign w:val="top"/>
          </w:tcPr>
          <w:p w14:paraId="0A8CCCEB">
            <w:pPr>
              <w:rPr>
                <w:rFonts w:ascii="Arial"/>
                <w:color w:val="auto"/>
                <w:sz w:val="21"/>
                <w:highlight w:val="none"/>
              </w:rPr>
            </w:pPr>
          </w:p>
        </w:tc>
        <w:tc>
          <w:tcPr>
            <w:tcW w:w="990" w:type="dxa"/>
            <w:vAlign w:val="top"/>
          </w:tcPr>
          <w:p w14:paraId="62AC6D2D">
            <w:pPr>
              <w:rPr>
                <w:rFonts w:ascii="Arial"/>
                <w:color w:val="auto"/>
                <w:sz w:val="21"/>
                <w:highlight w:val="none"/>
              </w:rPr>
            </w:pPr>
          </w:p>
        </w:tc>
        <w:tc>
          <w:tcPr>
            <w:tcW w:w="993" w:type="dxa"/>
            <w:vAlign w:val="top"/>
          </w:tcPr>
          <w:p w14:paraId="608418B2">
            <w:pPr>
              <w:rPr>
                <w:rFonts w:ascii="Arial"/>
                <w:color w:val="auto"/>
                <w:sz w:val="21"/>
                <w:highlight w:val="none"/>
              </w:rPr>
            </w:pPr>
          </w:p>
        </w:tc>
        <w:tc>
          <w:tcPr>
            <w:tcW w:w="1273" w:type="dxa"/>
            <w:vAlign w:val="top"/>
          </w:tcPr>
          <w:p w14:paraId="192FD9AE">
            <w:pPr>
              <w:rPr>
                <w:rFonts w:ascii="Arial"/>
                <w:color w:val="auto"/>
                <w:sz w:val="21"/>
                <w:highlight w:val="none"/>
              </w:rPr>
            </w:pPr>
          </w:p>
        </w:tc>
        <w:tc>
          <w:tcPr>
            <w:tcW w:w="1002" w:type="dxa"/>
            <w:tcBorders>
              <w:right w:val="single" w:color="000000" w:sz="6" w:space="0"/>
            </w:tcBorders>
            <w:vAlign w:val="top"/>
          </w:tcPr>
          <w:p w14:paraId="78B00827">
            <w:pPr>
              <w:rPr>
                <w:rFonts w:ascii="Arial"/>
                <w:color w:val="auto"/>
                <w:sz w:val="21"/>
                <w:highlight w:val="none"/>
              </w:rPr>
            </w:pPr>
          </w:p>
        </w:tc>
      </w:tr>
      <w:tr w14:paraId="0233B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22" w:type="dxa"/>
            <w:tcBorders>
              <w:left w:val="single" w:color="000000" w:sz="6" w:space="0"/>
            </w:tcBorders>
            <w:vAlign w:val="top"/>
          </w:tcPr>
          <w:p w14:paraId="4CCB06D1">
            <w:pPr>
              <w:rPr>
                <w:rFonts w:ascii="Arial"/>
                <w:color w:val="auto"/>
                <w:sz w:val="21"/>
                <w:highlight w:val="none"/>
              </w:rPr>
            </w:pPr>
          </w:p>
        </w:tc>
        <w:tc>
          <w:tcPr>
            <w:tcW w:w="1987" w:type="dxa"/>
            <w:vAlign w:val="top"/>
          </w:tcPr>
          <w:p w14:paraId="2728F197">
            <w:pPr>
              <w:rPr>
                <w:rFonts w:ascii="Arial"/>
                <w:color w:val="auto"/>
                <w:sz w:val="21"/>
                <w:highlight w:val="none"/>
              </w:rPr>
            </w:pPr>
          </w:p>
        </w:tc>
        <w:tc>
          <w:tcPr>
            <w:tcW w:w="2831" w:type="dxa"/>
            <w:vAlign w:val="top"/>
          </w:tcPr>
          <w:p w14:paraId="58567C9E">
            <w:pPr>
              <w:rPr>
                <w:rFonts w:ascii="Arial"/>
                <w:color w:val="auto"/>
                <w:sz w:val="21"/>
                <w:highlight w:val="none"/>
              </w:rPr>
            </w:pPr>
          </w:p>
        </w:tc>
        <w:tc>
          <w:tcPr>
            <w:tcW w:w="2266" w:type="dxa"/>
            <w:vAlign w:val="top"/>
          </w:tcPr>
          <w:p w14:paraId="71233D9D">
            <w:pPr>
              <w:rPr>
                <w:rFonts w:ascii="Arial"/>
                <w:color w:val="auto"/>
                <w:sz w:val="21"/>
                <w:highlight w:val="none"/>
              </w:rPr>
            </w:pPr>
          </w:p>
        </w:tc>
        <w:tc>
          <w:tcPr>
            <w:tcW w:w="990" w:type="dxa"/>
            <w:vAlign w:val="top"/>
          </w:tcPr>
          <w:p w14:paraId="6CCFD798">
            <w:pPr>
              <w:rPr>
                <w:rFonts w:ascii="Arial"/>
                <w:color w:val="auto"/>
                <w:sz w:val="21"/>
                <w:highlight w:val="none"/>
              </w:rPr>
            </w:pPr>
          </w:p>
        </w:tc>
        <w:tc>
          <w:tcPr>
            <w:tcW w:w="993" w:type="dxa"/>
            <w:vAlign w:val="top"/>
          </w:tcPr>
          <w:p w14:paraId="4A3A5987">
            <w:pPr>
              <w:rPr>
                <w:rFonts w:ascii="Arial"/>
                <w:color w:val="auto"/>
                <w:sz w:val="21"/>
                <w:highlight w:val="none"/>
              </w:rPr>
            </w:pPr>
          </w:p>
        </w:tc>
        <w:tc>
          <w:tcPr>
            <w:tcW w:w="990" w:type="dxa"/>
            <w:vAlign w:val="top"/>
          </w:tcPr>
          <w:p w14:paraId="286C8975">
            <w:pPr>
              <w:rPr>
                <w:rFonts w:ascii="Arial"/>
                <w:color w:val="auto"/>
                <w:sz w:val="21"/>
                <w:highlight w:val="none"/>
              </w:rPr>
            </w:pPr>
          </w:p>
        </w:tc>
        <w:tc>
          <w:tcPr>
            <w:tcW w:w="993" w:type="dxa"/>
            <w:vAlign w:val="top"/>
          </w:tcPr>
          <w:p w14:paraId="4720AC09">
            <w:pPr>
              <w:rPr>
                <w:rFonts w:ascii="Arial"/>
                <w:color w:val="auto"/>
                <w:sz w:val="21"/>
                <w:highlight w:val="none"/>
              </w:rPr>
            </w:pPr>
          </w:p>
        </w:tc>
        <w:tc>
          <w:tcPr>
            <w:tcW w:w="1273" w:type="dxa"/>
            <w:vAlign w:val="top"/>
          </w:tcPr>
          <w:p w14:paraId="52BBAC3B">
            <w:pPr>
              <w:rPr>
                <w:rFonts w:ascii="Arial"/>
                <w:color w:val="auto"/>
                <w:sz w:val="21"/>
                <w:highlight w:val="none"/>
              </w:rPr>
            </w:pPr>
          </w:p>
        </w:tc>
        <w:tc>
          <w:tcPr>
            <w:tcW w:w="1002" w:type="dxa"/>
            <w:tcBorders>
              <w:right w:val="single" w:color="000000" w:sz="6" w:space="0"/>
            </w:tcBorders>
            <w:vAlign w:val="top"/>
          </w:tcPr>
          <w:p w14:paraId="0216193B">
            <w:pPr>
              <w:rPr>
                <w:rFonts w:ascii="Arial"/>
                <w:color w:val="auto"/>
                <w:sz w:val="21"/>
                <w:highlight w:val="none"/>
              </w:rPr>
            </w:pPr>
          </w:p>
        </w:tc>
      </w:tr>
      <w:tr w14:paraId="5A1E1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2" w:type="dxa"/>
            <w:tcBorders>
              <w:left w:val="single" w:color="000000" w:sz="6" w:space="0"/>
            </w:tcBorders>
            <w:vAlign w:val="top"/>
          </w:tcPr>
          <w:p w14:paraId="4FAED3BD">
            <w:pPr>
              <w:rPr>
                <w:rFonts w:ascii="Arial"/>
                <w:color w:val="auto"/>
                <w:sz w:val="21"/>
                <w:highlight w:val="none"/>
              </w:rPr>
            </w:pPr>
          </w:p>
        </w:tc>
        <w:tc>
          <w:tcPr>
            <w:tcW w:w="1987" w:type="dxa"/>
            <w:vAlign w:val="top"/>
          </w:tcPr>
          <w:p w14:paraId="4BA3F532">
            <w:pPr>
              <w:rPr>
                <w:rFonts w:ascii="Arial"/>
                <w:color w:val="auto"/>
                <w:sz w:val="21"/>
                <w:highlight w:val="none"/>
              </w:rPr>
            </w:pPr>
          </w:p>
        </w:tc>
        <w:tc>
          <w:tcPr>
            <w:tcW w:w="2831" w:type="dxa"/>
            <w:vAlign w:val="top"/>
          </w:tcPr>
          <w:p w14:paraId="6BA13A5F">
            <w:pPr>
              <w:rPr>
                <w:rFonts w:ascii="Arial"/>
                <w:color w:val="auto"/>
                <w:sz w:val="21"/>
                <w:highlight w:val="none"/>
              </w:rPr>
            </w:pPr>
          </w:p>
        </w:tc>
        <w:tc>
          <w:tcPr>
            <w:tcW w:w="2266" w:type="dxa"/>
            <w:vAlign w:val="top"/>
          </w:tcPr>
          <w:p w14:paraId="24AC4A32">
            <w:pPr>
              <w:rPr>
                <w:rFonts w:ascii="Arial"/>
                <w:color w:val="auto"/>
                <w:sz w:val="21"/>
                <w:highlight w:val="none"/>
              </w:rPr>
            </w:pPr>
          </w:p>
        </w:tc>
        <w:tc>
          <w:tcPr>
            <w:tcW w:w="990" w:type="dxa"/>
            <w:vAlign w:val="top"/>
          </w:tcPr>
          <w:p w14:paraId="6A8A1157">
            <w:pPr>
              <w:rPr>
                <w:rFonts w:ascii="Arial"/>
                <w:color w:val="auto"/>
                <w:sz w:val="21"/>
                <w:highlight w:val="none"/>
              </w:rPr>
            </w:pPr>
          </w:p>
        </w:tc>
        <w:tc>
          <w:tcPr>
            <w:tcW w:w="993" w:type="dxa"/>
            <w:vAlign w:val="top"/>
          </w:tcPr>
          <w:p w14:paraId="43B4B387">
            <w:pPr>
              <w:rPr>
                <w:rFonts w:ascii="Arial"/>
                <w:color w:val="auto"/>
                <w:sz w:val="21"/>
                <w:highlight w:val="none"/>
              </w:rPr>
            </w:pPr>
          </w:p>
        </w:tc>
        <w:tc>
          <w:tcPr>
            <w:tcW w:w="990" w:type="dxa"/>
            <w:vAlign w:val="top"/>
          </w:tcPr>
          <w:p w14:paraId="5700B84D">
            <w:pPr>
              <w:rPr>
                <w:rFonts w:ascii="Arial"/>
                <w:color w:val="auto"/>
                <w:sz w:val="21"/>
                <w:highlight w:val="none"/>
              </w:rPr>
            </w:pPr>
          </w:p>
        </w:tc>
        <w:tc>
          <w:tcPr>
            <w:tcW w:w="993" w:type="dxa"/>
            <w:vAlign w:val="top"/>
          </w:tcPr>
          <w:p w14:paraId="218C58EF">
            <w:pPr>
              <w:rPr>
                <w:rFonts w:ascii="Arial"/>
                <w:color w:val="auto"/>
                <w:sz w:val="21"/>
                <w:highlight w:val="none"/>
              </w:rPr>
            </w:pPr>
          </w:p>
        </w:tc>
        <w:tc>
          <w:tcPr>
            <w:tcW w:w="1273" w:type="dxa"/>
            <w:vAlign w:val="top"/>
          </w:tcPr>
          <w:p w14:paraId="1FA55B3C">
            <w:pPr>
              <w:rPr>
                <w:rFonts w:ascii="Arial"/>
                <w:color w:val="auto"/>
                <w:sz w:val="21"/>
                <w:highlight w:val="none"/>
              </w:rPr>
            </w:pPr>
          </w:p>
        </w:tc>
        <w:tc>
          <w:tcPr>
            <w:tcW w:w="1002" w:type="dxa"/>
            <w:tcBorders>
              <w:right w:val="single" w:color="000000" w:sz="6" w:space="0"/>
            </w:tcBorders>
            <w:vAlign w:val="top"/>
          </w:tcPr>
          <w:p w14:paraId="4A5AC489">
            <w:pPr>
              <w:rPr>
                <w:rFonts w:ascii="Arial"/>
                <w:color w:val="auto"/>
                <w:sz w:val="21"/>
                <w:highlight w:val="none"/>
              </w:rPr>
            </w:pPr>
          </w:p>
        </w:tc>
      </w:tr>
      <w:tr w14:paraId="6115D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2" w:type="dxa"/>
            <w:tcBorders>
              <w:left w:val="single" w:color="000000" w:sz="6" w:space="0"/>
            </w:tcBorders>
            <w:vAlign w:val="top"/>
          </w:tcPr>
          <w:p w14:paraId="140D7DB0">
            <w:pPr>
              <w:rPr>
                <w:rFonts w:ascii="Arial"/>
                <w:color w:val="auto"/>
                <w:sz w:val="21"/>
                <w:highlight w:val="none"/>
              </w:rPr>
            </w:pPr>
          </w:p>
        </w:tc>
        <w:tc>
          <w:tcPr>
            <w:tcW w:w="1987" w:type="dxa"/>
            <w:vAlign w:val="top"/>
          </w:tcPr>
          <w:p w14:paraId="70EFE33C">
            <w:pPr>
              <w:rPr>
                <w:rFonts w:ascii="Arial"/>
                <w:color w:val="auto"/>
                <w:sz w:val="21"/>
                <w:highlight w:val="none"/>
              </w:rPr>
            </w:pPr>
          </w:p>
        </w:tc>
        <w:tc>
          <w:tcPr>
            <w:tcW w:w="2831" w:type="dxa"/>
            <w:vAlign w:val="top"/>
          </w:tcPr>
          <w:p w14:paraId="6509A050">
            <w:pPr>
              <w:rPr>
                <w:rFonts w:ascii="Arial"/>
                <w:color w:val="auto"/>
                <w:sz w:val="21"/>
                <w:highlight w:val="none"/>
              </w:rPr>
            </w:pPr>
          </w:p>
        </w:tc>
        <w:tc>
          <w:tcPr>
            <w:tcW w:w="2266" w:type="dxa"/>
            <w:vAlign w:val="top"/>
          </w:tcPr>
          <w:p w14:paraId="62B8A83B">
            <w:pPr>
              <w:rPr>
                <w:rFonts w:ascii="Arial"/>
                <w:color w:val="auto"/>
                <w:sz w:val="21"/>
                <w:highlight w:val="none"/>
              </w:rPr>
            </w:pPr>
          </w:p>
        </w:tc>
        <w:tc>
          <w:tcPr>
            <w:tcW w:w="990" w:type="dxa"/>
            <w:vAlign w:val="top"/>
          </w:tcPr>
          <w:p w14:paraId="4A325B19">
            <w:pPr>
              <w:rPr>
                <w:rFonts w:ascii="Arial"/>
                <w:color w:val="auto"/>
                <w:sz w:val="21"/>
                <w:highlight w:val="none"/>
              </w:rPr>
            </w:pPr>
          </w:p>
        </w:tc>
        <w:tc>
          <w:tcPr>
            <w:tcW w:w="993" w:type="dxa"/>
            <w:vAlign w:val="top"/>
          </w:tcPr>
          <w:p w14:paraId="714E87C0">
            <w:pPr>
              <w:rPr>
                <w:rFonts w:ascii="Arial"/>
                <w:color w:val="auto"/>
                <w:sz w:val="21"/>
                <w:highlight w:val="none"/>
              </w:rPr>
            </w:pPr>
          </w:p>
        </w:tc>
        <w:tc>
          <w:tcPr>
            <w:tcW w:w="990" w:type="dxa"/>
            <w:vAlign w:val="top"/>
          </w:tcPr>
          <w:p w14:paraId="50426CAD">
            <w:pPr>
              <w:rPr>
                <w:rFonts w:ascii="Arial"/>
                <w:color w:val="auto"/>
                <w:sz w:val="21"/>
                <w:highlight w:val="none"/>
              </w:rPr>
            </w:pPr>
          </w:p>
        </w:tc>
        <w:tc>
          <w:tcPr>
            <w:tcW w:w="993" w:type="dxa"/>
            <w:vAlign w:val="top"/>
          </w:tcPr>
          <w:p w14:paraId="4D4DF1C2">
            <w:pPr>
              <w:rPr>
                <w:rFonts w:ascii="Arial"/>
                <w:color w:val="auto"/>
                <w:sz w:val="21"/>
                <w:highlight w:val="none"/>
              </w:rPr>
            </w:pPr>
          </w:p>
        </w:tc>
        <w:tc>
          <w:tcPr>
            <w:tcW w:w="1273" w:type="dxa"/>
            <w:vAlign w:val="top"/>
          </w:tcPr>
          <w:p w14:paraId="12195C53">
            <w:pPr>
              <w:rPr>
                <w:rFonts w:ascii="Arial"/>
                <w:color w:val="auto"/>
                <w:sz w:val="21"/>
                <w:highlight w:val="none"/>
              </w:rPr>
            </w:pPr>
          </w:p>
        </w:tc>
        <w:tc>
          <w:tcPr>
            <w:tcW w:w="1002" w:type="dxa"/>
            <w:tcBorders>
              <w:right w:val="single" w:color="000000" w:sz="6" w:space="0"/>
            </w:tcBorders>
            <w:vAlign w:val="top"/>
          </w:tcPr>
          <w:p w14:paraId="274A95DA">
            <w:pPr>
              <w:rPr>
                <w:rFonts w:ascii="Arial"/>
                <w:color w:val="auto"/>
                <w:sz w:val="21"/>
                <w:highlight w:val="none"/>
              </w:rPr>
            </w:pPr>
          </w:p>
        </w:tc>
      </w:tr>
      <w:tr w14:paraId="4ECF4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2" w:type="dxa"/>
            <w:tcBorders>
              <w:left w:val="single" w:color="000000" w:sz="6" w:space="0"/>
            </w:tcBorders>
            <w:vAlign w:val="top"/>
          </w:tcPr>
          <w:p w14:paraId="4B3B1685">
            <w:pPr>
              <w:rPr>
                <w:rFonts w:ascii="Arial"/>
                <w:color w:val="auto"/>
                <w:sz w:val="21"/>
                <w:highlight w:val="none"/>
              </w:rPr>
            </w:pPr>
          </w:p>
        </w:tc>
        <w:tc>
          <w:tcPr>
            <w:tcW w:w="1987" w:type="dxa"/>
            <w:vAlign w:val="top"/>
          </w:tcPr>
          <w:p w14:paraId="1A7EA191">
            <w:pPr>
              <w:rPr>
                <w:rFonts w:ascii="Arial"/>
                <w:color w:val="auto"/>
                <w:sz w:val="21"/>
                <w:highlight w:val="none"/>
              </w:rPr>
            </w:pPr>
          </w:p>
        </w:tc>
        <w:tc>
          <w:tcPr>
            <w:tcW w:w="2831" w:type="dxa"/>
            <w:vAlign w:val="top"/>
          </w:tcPr>
          <w:p w14:paraId="4EB17876">
            <w:pPr>
              <w:rPr>
                <w:rFonts w:ascii="Arial"/>
                <w:color w:val="auto"/>
                <w:sz w:val="21"/>
                <w:highlight w:val="none"/>
              </w:rPr>
            </w:pPr>
          </w:p>
        </w:tc>
        <w:tc>
          <w:tcPr>
            <w:tcW w:w="2266" w:type="dxa"/>
            <w:vAlign w:val="top"/>
          </w:tcPr>
          <w:p w14:paraId="3119EA55">
            <w:pPr>
              <w:rPr>
                <w:rFonts w:ascii="Arial"/>
                <w:color w:val="auto"/>
                <w:sz w:val="21"/>
                <w:highlight w:val="none"/>
              </w:rPr>
            </w:pPr>
          </w:p>
        </w:tc>
        <w:tc>
          <w:tcPr>
            <w:tcW w:w="990" w:type="dxa"/>
            <w:vAlign w:val="top"/>
          </w:tcPr>
          <w:p w14:paraId="62AB55A6">
            <w:pPr>
              <w:rPr>
                <w:rFonts w:ascii="Arial"/>
                <w:color w:val="auto"/>
                <w:sz w:val="21"/>
                <w:highlight w:val="none"/>
              </w:rPr>
            </w:pPr>
          </w:p>
        </w:tc>
        <w:tc>
          <w:tcPr>
            <w:tcW w:w="993" w:type="dxa"/>
            <w:vAlign w:val="top"/>
          </w:tcPr>
          <w:p w14:paraId="6854A9F7">
            <w:pPr>
              <w:rPr>
                <w:rFonts w:ascii="Arial"/>
                <w:color w:val="auto"/>
                <w:sz w:val="21"/>
                <w:highlight w:val="none"/>
              </w:rPr>
            </w:pPr>
          </w:p>
        </w:tc>
        <w:tc>
          <w:tcPr>
            <w:tcW w:w="990" w:type="dxa"/>
            <w:vAlign w:val="top"/>
          </w:tcPr>
          <w:p w14:paraId="6ADDEF74">
            <w:pPr>
              <w:rPr>
                <w:rFonts w:ascii="Arial"/>
                <w:color w:val="auto"/>
                <w:sz w:val="21"/>
                <w:highlight w:val="none"/>
              </w:rPr>
            </w:pPr>
          </w:p>
        </w:tc>
        <w:tc>
          <w:tcPr>
            <w:tcW w:w="993" w:type="dxa"/>
            <w:vAlign w:val="top"/>
          </w:tcPr>
          <w:p w14:paraId="5CE8B739">
            <w:pPr>
              <w:rPr>
                <w:rFonts w:ascii="Arial"/>
                <w:color w:val="auto"/>
                <w:sz w:val="21"/>
                <w:highlight w:val="none"/>
              </w:rPr>
            </w:pPr>
          </w:p>
        </w:tc>
        <w:tc>
          <w:tcPr>
            <w:tcW w:w="1273" w:type="dxa"/>
            <w:vAlign w:val="top"/>
          </w:tcPr>
          <w:p w14:paraId="11A64C5A">
            <w:pPr>
              <w:rPr>
                <w:rFonts w:ascii="Arial"/>
                <w:color w:val="auto"/>
                <w:sz w:val="21"/>
                <w:highlight w:val="none"/>
              </w:rPr>
            </w:pPr>
          </w:p>
        </w:tc>
        <w:tc>
          <w:tcPr>
            <w:tcW w:w="1002" w:type="dxa"/>
            <w:tcBorders>
              <w:right w:val="single" w:color="000000" w:sz="6" w:space="0"/>
            </w:tcBorders>
            <w:vAlign w:val="top"/>
          </w:tcPr>
          <w:p w14:paraId="5BF93FD9">
            <w:pPr>
              <w:rPr>
                <w:rFonts w:ascii="Arial"/>
                <w:color w:val="auto"/>
                <w:sz w:val="21"/>
                <w:highlight w:val="none"/>
              </w:rPr>
            </w:pPr>
          </w:p>
        </w:tc>
      </w:tr>
      <w:tr w14:paraId="7B5FE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bottom w:val="single" w:color="000000" w:sz="6" w:space="0"/>
            </w:tcBorders>
            <w:vAlign w:val="top"/>
          </w:tcPr>
          <w:p w14:paraId="17C8FF05">
            <w:pPr>
              <w:rPr>
                <w:rFonts w:ascii="Arial"/>
                <w:color w:val="auto"/>
                <w:sz w:val="21"/>
                <w:highlight w:val="none"/>
              </w:rPr>
            </w:pPr>
          </w:p>
        </w:tc>
        <w:tc>
          <w:tcPr>
            <w:tcW w:w="1987" w:type="dxa"/>
            <w:tcBorders>
              <w:bottom w:val="single" w:color="000000" w:sz="6" w:space="0"/>
            </w:tcBorders>
            <w:vAlign w:val="top"/>
          </w:tcPr>
          <w:p w14:paraId="38D985E0">
            <w:pPr>
              <w:rPr>
                <w:rFonts w:ascii="Arial"/>
                <w:color w:val="auto"/>
                <w:sz w:val="21"/>
                <w:highlight w:val="none"/>
              </w:rPr>
            </w:pPr>
          </w:p>
        </w:tc>
        <w:tc>
          <w:tcPr>
            <w:tcW w:w="2831" w:type="dxa"/>
            <w:tcBorders>
              <w:bottom w:val="single" w:color="000000" w:sz="6" w:space="0"/>
            </w:tcBorders>
            <w:vAlign w:val="top"/>
          </w:tcPr>
          <w:p w14:paraId="2D11795D">
            <w:pPr>
              <w:pStyle w:val="17"/>
              <w:spacing w:before="220" w:line="222" w:lineRule="auto"/>
              <w:ind w:left="1102"/>
              <w:rPr>
                <w:color w:val="auto"/>
                <w:sz w:val="21"/>
                <w:szCs w:val="21"/>
                <w:highlight w:val="none"/>
              </w:rPr>
            </w:pPr>
            <w:r>
              <w:rPr>
                <w:b/>
                <w:bCs/>
                <w:color w:val="auto"/>
                <w:spacing w:val="-7"/>
                <w:sz w:val="21"/>
                <w:szCs w:val="21"/>
                <w:highlight w:val="none"/>
              </w:rPr>
              <w:t>合</w:t>
            </w:r>
            <w:r>
              <w:rPr>
                <w:color w:val="auto"/>
                <w:spacing w:val="5"/>
                <w:sz w:val="21"/>
                <w:szCs w:val="21"/>
                <w:highlight w:val="none"/>
              </w:rPr>
              <w:t xml:space="preserve">  </w:t>
            </w:r>
            <w:r>
              <w:rPr>
                <w:b/>
                <w:bCs/>
                <w:color w:val="auto"/>
                <w:spacing w:val="-7"/>
                <w:sz w:val="21"/>
                <w:szCs w:val="21"/>
                <w:highlight w:val="none"/>
              </w:rPr>
              <w:t>计</w:t>
            </w:r>
          </w:p>
        </w:tc>
        <w:tc>
          <w:tcPr>
            <w:tcW w:w="2266" w:type="dxa"/>
            <w:tcBorders>
              <w:bottom w:val="single" w:color="000000" w:sz="6" w:space="0"/>
            </w:tcBorders>
            <w:vAlign w:val="top"/>
          </w:tcPr>
          <w:p w14:paraId="4FBF8637">
            <w:pPr>
              <w:rPr>
                <w:rFonts w:ascii="Arial"/>
                <w:color w:val="auto"/>
                <w:sz w:val="21"/>
                <w:highlight w:val="none"/>
              </w:rPr>
            </w:pPr>
          </w:p>
        </w:tc>
        <w:tc>
          <w:tcPr>
            <w:tcW w:w="990" w:type="dxa"/>
            <w:tcBorders>
              <w:bottom w:val="single" w:color="000000" w:sz="6" w:space="0"/>
            </w:tcBorders>
            <w:vAlign w:val="top"/>
          </w:tcPr>
          <w:p w14:paraId="4E94D64B">
            <w:pPr>
              <w:rPr>
                <w:rFonts w:ascii="Arial"/>
                <w:color w:val="auto"/>
                <w:sz w:val="21"/>
                <w:highlight w:val="none"/>
              </w:rPr>
            </w:pPr>
          </w:p>
        </w:tc>
        <w:tc>
          <w:tcPr>
            <w:tcW w:w="993" w:type="dxa"/>
            <w:tcBorders>
              <w:bottom w:val="single" w:color="000000" w:sz="6" w:space="0"/>
            </w:tcBorders>
            <w:vAlign w:val="top"/>
          </w:tcPr>
          <w:p w14:paraId="6D78EBFE">
            <w:pPr>
              <w:rPr>
                <w:rFonts w:ascii="Arial"/>
                <w:color w:val="auto"/>
                <w:sz w:val="21"/>
                <w:highlight w:val="none"/>
              </w:rPr>
            </w:pPr>
          </w:p>
        </w:tc>
        <w:tc>
          <w:tcPr>
            <w:tcW w:w="990" w:type="dxa"/>
            <w:tcBorders>
              <w:bottom w:val="single" w:color="000000" w:sz="6" w:space="0"/>
            </w:tcBorders>
            <w:vAlign w:val="top"/>
          </w:tcPr>
          <w:p w14:paraId="7B01C662">
            <w:pPr>
              <w:rPr>
                <w:rFonts w:ascii="Arial"/>
                <w:color w:val="auto"/>
                <w:sz w:val="21"/>
                <w:highlight w:val="none"/>
              </w:rPr>
            </w:pPr>
          </w:p>
        </w:tc>
        <w:tc>
          <w:tcPr>
            <w:tcW w:w="993" w:type="dxa"/>
            <w:tcBorders>
              <w:bottom w:val="single" w:color="000000" w:sz="6" w:space="0"/>
            </w:tcBorders>
            <w:vAlign w:val="top"/>
          </w:tcPr>
          <w:p w14:paraId="49A26AD5">
            <w:pPr>
              <w:rPr>
                <w:rFonts w:ascii="Arial"/>
                <w:color w:val="auto"/>
                <w:sz w:val="21"/>
                <w:highlight w:val="none"/>
              </w:rPr>
            </w:pPr>
          </w:p>
        </w:tc>
        <w:tc>
          <w:tcPr>
            <w:tcW w:w="1273" w:type="dxa"/>
            <w:tcBorders>
              <w:bottom w:val="single" w:color="000000" w:sz="6" w:space="0"/>
            </w:tcBorders>
            <w:vAlign w:val="top"/>
          </w:tcPr>
          <w:p w14:paraId="1B078B53">
            <w:pPr>
              <w:rPr>
                <w:rFonts w:ascii="Arial"/>
                <w:color w:val="auto"/>
                <w:sz w:val="21"/>
                <w:highlight w:val="none"/>
              </w:rPr>
            </w:pPr>
          </w:p>
        </w:tc>
        <w:tc>
          <w:tcPr>
            <w:tcW w:w="1002" w:type="dxa"/>
            <w:tcBorders>
              <w:bottom w:val="single" w:color="000000" w:sz="6" w:space="0"/>
              <w:right w:val="single" w:color="000000" w:sz="6" w:space="0"/>
            </w:tcBorders>
            <w:vAlign w:val="top"/>
          </w:tcPr>
          <w:p w14:paraId="0E3DD5B6">
            <w:pPr>
              <w:rPr>
                <w:rFonts w:ascii="Arial"/>
                <w:color w:val="auto"/>
                <w:sz w:val="21"/>
                <w:highlight w:val="none"/>
              </w:rPr>
            </w:pPr>
          </w:p>
        </w:tc>
      </w:tr>
    </w:tbl>
    <w:p w14:paraId="3BBE0F52">
      <w:pPr>
        <w:pStyle w:val="3"/>
        <w:rPr>
          <w:color w:val="auto"/>
          <w:highlight w:val="none"/>
        </w:rPr>
      </w:pPr>
    </w:p>
    <w:p w14:paraId="686FA427">
      <w:pPr>
        <w:rPr>
          <w:color w:val="auto"/>
          <w:highlight w:val="none"/>
        </w:rPr>
        <w:sectPr>
          <w:footerReference r:id="rId94" w:type="default"/>
          <w:pgSz w:w="16841" w:h="11907"/>
          <w:pgMar w:top="1012" w:right="1238" w:bottom="1252" w:left="1440" w:header="0" w:footer="1091" w:gutter="0"/>
          <w:pgNumType w:fmt="decimal"/>
          <w:cols w:space="720" w:num="1"/>
        </w:sectPr>
      </w:pPr>
    </w:p>
    <w:p w14:paraId="2640D067">
      <w:pPr>
        <w:pStyle w:val="3"/>
        <w:spacing w:line="265" w:lineRule="auto"/>
        <w:rPr>
          <w:color w:val="auto"/>
          <w:highlight w:val="none"/>
        </w:rPr>
      </w:pPr>
    </w:p>
    <w:p w14:paraId="67301D60">
      <w:pPr>
        <w:pStyle w:val="3"/>
        <w:spacing w:line="266" w:lineRule="auto"/>
        <w:rPr>
          <w:color w:val="auto"/>
          <w:highlight w:val="none"/>
        </w:rPr>
      </w:pPr>
    </w:p>
    <w:p w14:paraId="7680A051">
      <w:pPr>
        <w:spacing w:before="78" w:line="219" w:lineRule="auto"/>
        <w:ind w:left="482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机电设备及安装工程分类分项工程量清单</w:t>
      </w:r>
    </w:p>
    <w:p w14:paraId="52269B3B">
      <w:pPr>
        <w:spacing w:before="174" w:line="221" w:lineRule="auto"/>
        <w:ind w:left="1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项目及标段名称：</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第   页共   页</w:t>
      </w:r>
    </w:p>
    <w:p w14:paraId="71C26743">
      <w:pPr>
        <w:spacing w:line="127" w:lineRule="exact"/>
        <w:rPr>
          <w:color w:val="auto"/>
          <w:highlight w:val="none"/>
        </w:rPr>
      </w:pPr>
    </w:p>
    <w:tbl>
      <w:tblPr>
        <w:tblStyle w:val="16"/>
        <w:tblW w:w="13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1261"/>
        <w:gridCol w:w="1841"/>
        <w:gridCol w:w="2124"/>
        <w:gridCol w:w="779"/>
        <w:gridCol w:w="825"/>
        <w:gridCol w:w="1014"/>
        <w:gridCol w:w="1014"/>
        <w:gridCol w:w="1016"/>
        <w:gridCol w:w="1017"/>
        <w:gridCol w:w="1273"/>
        <w:gridCol w:w="937"/>
      </w:tblGrid>
      <w:tr w14:paraId="475B7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39" w:type="dxa"/>
            <w:vMerge w:val="restart"/>
            <w:tcBorders>
              <w:top w:val="single" w:color="000000" w:sz="6" w:space="0"/>
              <w:left w:val="single" w:color="000000" w:sz="6" w:space="0"/>
              <w:bottom w:val="nil"/>
            </w:tcBorders>
            <w:vAlign w:val="top"/>
          </w:tcPr>
          <w:p w14:paraId="7B7C9825">
            <w:pPr>
              <w:spacing w:line="366" w:lineRule="auto"/>
              <w:rPr>
                <w:rFonts w:ascii="Arial"/>
                <w:color w:val="auto"/>
                <w:sz w:val="21"/>
                <w:highlight w:val="none"/>
              </w:rPr>
            </w:pPr>
          </w:p>
          <w:p w14:paraId="7983AA19">
            <w:pPr>
              <w:pStyle w:val="17"/>
              <w:spacing w:before="68" w:line="222" w:lineRule="auto"/>
              <w:ind w:left="205"/>
              <w:rPr>
                <w:color w:val="auto"/>
                <w:sz w:val="21"/>
                <w:szCs w:val="21"/>
                <w:highlight w:val="none"/>
              </w:rPr>
            </w:pPr>
            <w:r>
              <w:rPr>
                <w:color w:val="auto"/>
                <w:spacing w:val="-2"/>
                <w:sz w:val="21"/>
                <w:szCs w:val="21"/>
                <w:highlight w:val="none"/>
              </w:rPr>
              <w:t>序号</w:t>
            </w:r>
          </w:p>
        </w:tc>
        <w:tc>
          <w:tcPr>
            <w:tcW w:w="1261" w:type="dxa"/>
            <w:vMerge w:val="restart"/>
            <w:tcBorders>
              <w:top w:val="single" w:color="000000" w:sz="6" w:space="0"/>
              <w:bottom w:val="nil"/>
            </w:tcBorders>
            <w:vAlign w:val="top"/>
          </w:tcPr>
          <w:p w14:paraId="30150821">
            <w:pPr>
              <w:spacing w:line="366" w:lineRule="auto"/>
              <w:rPr>
                <w:rFonts w:ascii="Arial"/>
                <w:color w:val="auto"/>
                <w:sz w:val="21"/>
                <w:highlight w:val="none"/>
              </w:rPr>
            </w:pPr>
          </w:p>
          <w:p w14:paraId="37FF221E">
            <w:pPr>
              <w:pStyle w:val="17"/>
              <w:spacing w:before="68" w:line="221" w:lineRule="auto"/>
              <w:ind w:left="213"/>
              <w:rPr>
                <w:color w:val="auto"/>
                <w:sz w:val="21"/>
                <w:szCs w:val="21"/>
                <w:highlight w:val="none"/>
              </w:rPr>
            </w:pPr>
            <w:r>
              <w:rPr>
                <w:color w:val="auto"/>
                <w:spacing w:val="-3"/>
                <w:sz w:val="21"/>
                <w:szCs w:val="21"/>
                <w:highlight w:val="none"/>
              </w:rPr>
              <w:t>项目编码</w:t>
            </w:r>
          </w:p>
        </w:tc>
        <w:tc>
          <w:tcPr>
            <w:tcW w:w="1841" w:type="dxa"/>
            <w:vMerge w:val="restart"/>
            <w:tcBorders>
              <w:top w:val="single" w:color="000000" w:sz="6" w:space="0"/>
              <w:bottom w:val="nil"/>
            </w:tcBorders>
            <w:vAlign w:val="top"/>
          </w:tcPr>
          <w:p w14:paraId="7943C160">
            <w:pPr>
              <w:spacing w:line="367" w:lineRule="auto"/>
              <w:rPr>
                <w:rFonts w:ascii="Arial"/>
                <w:color w:val="auto"/>
                <w:sz w:val="21"/>
                <w:highlight w:val="none"/>
              </w:rPr>
            </w:pPr>
          </w:p>
          <w:p w14:paraId="1D10FEA9">
            <w:pPr>
              <w:pStyle w:val="17"/>
              <w:spacing w:before="68" w:line="221" w:lineRule="auto"/>
              <w:ind w:left="505"/>
              <w:rPr>
                <w:color w:val="auto"/>
                <w:sz w:val="21"/>
                <w:szCs w:val="21"/>
                <w:highlight w:val="none"/>
              </w:rPr>
            </w:pPr>
            <w:r>
              <w:rPr>
                <w:color w:val="auto"/>
                <w:spacing w:val="-3"/>
                <w:sz w:val="21"/>
                <w:szCs w:val="21"/>
                <w:highlight w:val="none"/>
              </w:rPr>
              <w:t>项目名称</w:t>
            </w:r>
          </w:p>
        </w:tc>
        <w:tc>
          <w:tcPr>
            <w:tcW w:w="2124" w:type="dxa"/>
            <w:vMerge w:val="restart"/>
            <w:tcBorders>
              <w:top w:val="single" w:color="000000" w:sz="6" w:space="0"/>
              <w:bottom w:val="nil"/>
            </w:tcBorders>
            <w:vAlign w:val="top"/>
          </w:tcPr>
          <w:p w14:paraId="5A4CDA10">
            <w:pPr>
              <w:spacing w:line="366" w:lineRule="auto"/>
              <w:rPr>
                <w:rFonts w:ascii="Arial"/>
                <w:color w:val="auto"/>
                <w:sz w:val="21"/>
                <w:highlight w:val="none"/>
              </w:rPr>
            </w:pPr>
          </w:p>
          <w:p w14:paraId="1377EA4E">
            <w:pPr>
              <w:pStyle w:val="17"/>
              <w:spacing w:before="68" w:line="221" w:lineRule="auto"/>
              <w:ind w:left="438"/>
              <w:rPr>
                <w:color w:val="auto"/>
                <w:sz w:val="21"/>
                <w:szCs w:val="21"/>
                <w:highlight w:val="none"/>
              </w:rPr>
            </w:pPr>
            <w:r>
              <w:rPr>
                <w:color w:val="auto"/>
                <w:spacing w:val="-2"/>
                <w:sz w:val="21"/>
                <w:szCs w:val="21"/>
                <w:highlight w:val="none"/>
              </w:rPr>
              <w:t>项目主要特征</w:t>
            </w:r>
          </w:p>
        </w:tc>
        <w:tc>
          <w:tcPr>
            <w:tcW w:w="779" w:type="dxa"/>
            <w:vMerge w:val="restart"/>
            <w:tcBorders>
              <w:top w:val="single" w:color="000000" w:sz="6" w:space="0"/>
              <w:bottom w:val="nil"/>
            </w:tcBorders>
            <w:vAlign w:val="top"/>
          </w:tcPr>
          <w:p w14:paraId="426076BD">
            <w:pPr>
              <w:pStyle w:val="17"/>
              <w:spacing w:before="302" w:line="241" w:lineRule="auto"/>
              <w:ind w:left="186" w:right="174" w:hanging="1"/>
              <w:rPr>
                <w:color w:val="auto"/>
                <w:sz w:val="21"/>
                <w:szCs w:val="21"/>
                <w:highlight w:val="none"/>
              </w:rPr>
            </w:pPr>
            <w:r>
              <w:rPr>
                <w:color w:val="auto"/>
                <w:spacing w:val="-3"/>
                <w:sz w:val="21"/>
                <w:szCs w:val="21"/>
                <w:highlight w:val="none"/>
              </w:rPr>
              <w:t>计量</w:t>
            </w:r>
            <w:r>
              <w:rPr>
                <w:color w:val="auto"/>
                <w:spacing w:val="-4"/>
                <w:sz w:val="21"/>
                <w:szCs w:val="21"/>
                <w:highlight w:val="none"/>
              </w:rPr>
              <w:t>单位</w:t>
            </w:r>
          </w:p>
        </w:tc>
        <w:tc>
          <w:tcPr>
            <w:tcW w:w="825" w:type="dxa"/>
            <w:vMerge w:val="restart"/>
            <w:tcBorders>
              <w:top w:val="single" w:color="000000" w:sz="6" w:space="0"/>
              <w:bottom w:val="nil"/>
            </w:tcBorders>
            <w:vAlign w:val="top"/>
          </w:tcPr>
          <w:p w14:paraId="7834D73A">
            <w:pPr>
              <w:pStyle w:val="17"/>
              <w:spacing w:before="303"/>
              <w:ind w:left="209" w:right="198"/>
              <w:rPr>
                <w:color w:val="auto"/>
                <w:sz w:val="21"/>
                <w:szCs w:val="21"/>
                <w:highlight w:val="none"/>
              </w:rPr>
            </w:pPr>
            <w:r>
              <w:rPr>
                <w:color w:val="auto"/>
                <w:spacing w:val="-5"/>
                <w:sz w:val="21"/>
                <w:szCs w:val="21"/>
                <w:highlight w:val="none"/>
              </w:rPr>
              <w:t>工程</w:t>
            </w:r>
            <w:r>
              <w:rPr>
                <w:color w:val="auto"/>
                <w:spacing w:val="-4"/>
                <w:sz w:val="21"/>
                <w:szCs w:val="21"/>
                <w:highlight w:val="none"/>
              </w:rPr>
              <w:t>数量</w:t>
            </w:r>
          </w:p>
        </w:tc>
        <w:tc>
          <w:tcPr>
            <w:tcW w:w="2028" w:type="dxa"/>
            <w:gridSpan w:val="2"/>
            <w:tcBorders>
              <w:top w:val="single" w:color="000000" w:sz="6" w:space="0"/>
            </w:tcBorders>
            <w:vAlign w:val="top"/>
          </w:tcPr>
          <w:p w14:paraId="313B9167">
            <w:pPr>
              <w:pStyle w:val="17"/>
              <w:spacing w:before="171" w:line="219" w:lineRule="auto"/>
              <w:ind w:left="447"/>
              <w:rPr>
                <w:color w:val="auto"/>
                <w:sz w:val="21"/>
                <w:szCs w:val="21"/>
                <w:highlight w:val="none"/>
              </w:rPr>
            </w:pPr>
            <w:r>
              <w:rPr>
                <w:color w:val="auto"/>
                <w:spacing w:val="-4"/>
                <w:sz w:val="21"/>
                <w:szCs w:val="21"/>
                <w:highlight w:val="none"/>
              </w:rPr>
              <w:t>单价 （元）</w:t>
            </w:r>
          </w:p>
        </w:tc>
        <w:tc>
          <w:tcPr>
            <w:tcW w:w="2033" w:type="dxa"/>
            <w:gridSpan w:val="2"/>
            <w:tcBorders>
              <w:top w:val="single" w:color="000000" w:sz="6" w:space="0"/>
            </w:tcBorders>
            <w:vAlign w:val="top"/>
          </w:tcPr>
          <w:p w14:paraId="28AB4CAD">
            <w:pPr>
              <w:pStyle w:val="17"/>
              <w:spacing w:before="171" w:line="219" w:lineRule="auto"/>
              <w:ind w:left="449"/>
              <w:rPr>
                <w:color w:val="auto"/>
                <w:sz w:val="21"/>
                <w:szCs w:val="21"/>
                <w:highlight w:val="none"/>
              </w:rPr>
            </w:pPr>
            <w:r>
              <w:rPr>
                <w:color w:val="auto"/>
                <w:spacing w:val="-4"/>
                <w:sz w:val="21"/>
                <w:szCs w:val="21"/>
                <w:highlight w:val="none"/>
              </w:rPr>
              <w:t>合价 （元）</w:t>
            </w:r>
          </w:p>
        </w:tc>
        <w:tc>
          <w:tcPr>
            <w:tcW w:w="1273" w:type="dxa"/>
            <w:vMerge w:val="restart"/>
            <w:tcBorders>
              <w:top w:val="single" w:color="000000" w:sz="6" w:space="0"/>
              <w:bottom w:val="nil"/>
            </w:tcBorders>
            <w:vAlign w:val="top"/>
          </w:tcPr>
          <w:p w14:paraId="1CC37B29">
            <w:pPr>
              <w:pStyle w:val="17"/>
              <w:spacing w:before="303"/>
              <w:ind w:left="231" w:right="204"/>
              <w:rPr>
                <w:color w:val="auto"/>
                <w:sz w:val="21"/>
                <w:szCs w:val="21"/>
                <w:highlight w:val="none"/>
              </w:rPr>
            </w:pPr>
            <w:r>
              <w:rPr>
                <w:color w:val="auto"/>
                <w:spacing w:val="-2"/>
                <w:sz w:val="21"/>
                <w:szCs w:val="21"/>
                <w:highlight w:val="none"/>
              </w:rPr>
              <w:t>主要技术条款编码</w:t>
            </w:r>
          </w:p>
        </w:tc>
        <w:tc>
          <w:tcPr>
            <w:tcW w:w="937" w:type="dxa"/>
            <w:vMerge w:val="restart"/>
            <w:tcBorders>
              <w:top w:val="single" w:color="000000" w:sz="6" w:space="0"/>
              <w:bottom w:val="nil"/>
              <w:right w:val="single" w:color="000000" w:sz="6" w:space="0"/>
            </w:tcBorders>
            <w:vAlign w:val="top"/>
          </w:tcPr>
          <w:p w14:paraId="263078E5">
            <w:pPr>
              <w:spacing w:line="366" w:lineRule="auto"/>
              <w:rPr>
                <w:rFonts w:ascii="Arial"/>
                <w:color w:val="auto"/>
                <w:sz w:val="21"/>
                <w:highlight w:val="none"/>
              </w:rPr>
            </w:pPr>
          </w:p>
          <w:p w14:paraId="1E06E576">
            <w:pPr>
              <w:pStyle w:val="17"/>
              <w:spacing w:before="68" w:line="222" w:lineRule="auto"/>
              <w:ind w:left="269"/>
              <w:rPr>
                <w:color w:val="auto"/>
                <w:sz w:val="21"/>
                <w:szCs w:val="21"/>
                <w:highlight w:val="none"/>
              </w:rPr>
            </w:pPr>
            <w:r>
              <w:rPr>
                <w:color w:val="auto"/>
                <w:spacing w:val="-3"/>
                <w:sz w:val="21"/>
                <w:szCs w:val="21"/>
                <w:highlight w:val="none"/>
              </w:rPr>
              <w:t>备注</w:t>
            </w:r>
          </w:p>
        </w:tc>
      </w:tr>
      <w:tr w14:paraId="0F0B5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839" w:type="dxa"/>
            <w:vMerge w:val="continue"/>
            <w:tcBorders>
              <w:top w:val="nil"/>
              <w:left w:val="single" w:color="000000" w:sz="6" w:space="0"/>
            </w:tcBorders>
            <w:vAlign w:val="top"/>
          </w:tcPr>
          <w:p w14:paraId="470A354F">
            <w:pPr>
              <w:rPr>
                <w:rFonts w:ascii="Arial"/>
                <w:color w:val="auto"/>
                <w:sz w:val="21"/>
                <w:highlight w:val="none"/>
              </w:rPr>
            </w:pPr>
          </w:p>
        </w:tc>
        <w:tc>
          <w:tcPr>
            <w:tcW w:w="1261" w:type="dxa"/>
            <w:vMerge w:val="continue"/>
            <w:tcBorders>
              <w:top w:val="nil"/>
            </w:tcBorders>
            <w:vAlign w:val="top"/>
          </w:tcPr>
          <w:p w14:paraId="2FE1A1A9">
            <w:pPr>
              <w:rPr>
                <w:rFonts w:ascii="Arial"/>
                <w:color w:val="auto"/>
                <w:sz w:val="21"/>
                <w:highlight w:val="none"/>
              </w:rPr>
            </w:pPr>
          </w:p>
        </w:tc>
        <w:tc>
          <w:tcPr>
            <w:tcW w:w="1841" w:type="dxa"/>
            <w:vMerge w:val="continue"/>
            <w:tcBorders>
              <w:top w:val="nil"/>
            </w:tcBorders>
            <w:vAlign w:val="top"/>
          </w:tcPr>
          <w:p w14:paraId="5A10986D">
            <w:pPr>
              <w:rPr>
                <w:rFonts w:ascii="Arial"/>
                <w:color w:val="auto"/>
                <w:sz w:val="21"/>
                <w:highlight w:val="none"/>
              </w:rPr>
            </w:pPr>
          </w:p>
        </w:tc>
        <w:tc>
          <w:tcPr>
            <w:tcW w:w="2124" w:type="dxa"/>
            <w:vMerge w:val="continue"/>
            <w:tcBorders>
              <w:top w:val="nil"/>
            </w:tcBorders>
            <w:vAlign w:val="top"/>
          </w:tcPr>
          <w:p w14:paraId="41B12403">
            <w:pPr>
              <w:rPr>
                <w:rFonts w:ascii="Arial"/>
                <w:color w:val="auto"/>
                <w:sz w:val="21"/>
                <w:highlight w:val="none"/>
              </w:rPr>
            </w:pPr>
          </w:p>
        </w:tc>
        <w:tc>
          <w:tcPr>
            <w:tcW w:w="779" w:type="dxa"/>
            <w:vMerge w:val="continue"/>
            <w:tcBorders>
              <w:top w:val="nil"/>
            </w:tcBorders>
            <w:vAlign w:val="top"/>
          </w:tcPr>
          <w:p w14:paraId="29E8E738">
            <w:pPr>
              <w:rPr>
                <w:rFonts w:ascii="Arial"/>
                <w:color w:val="auto"/>
                <w:sz w:val="21"/>
                <w:highlight w:val="none"/>
              </w:rPr>
            </w:pPr>
          </w:p>
        </w:tc>
        <w:tc>
          <w:tcPr>
            <w:tcW w:w="825" w:type="dxa"/>
            <w:vMerge w:val="continue"/>
            <w:tcBorders>
              <w:top w:val="nil"/>
            </w:tcBorders>
            <w:vAlign w:val="top"/>
          </w:tcPr>
          <w:p w14:paraId="18AD8D01">
            <w:pPr>
              <w:rPr>
                <w:rFonts w:ascii="Arial"/>
                <w:color w:val="auto"/>
                <w:sz w:val="21"/>
                <w:highlight w:val="none"/>
              </w:rPr>
            </w:pPr>
          </w:p>
        </w:tc>
        <w:tc>
          <w:tcPr>
            <w:tcW w:w="1014" w:type="dxa"/>
            <w:vAlign w:val="top"/>
          </w:tcPr>
          <w:p w14:paraId="0F58752F">
            <w:pPr>
              <w:pStyle w:val="17"/>
              <w:spacing w:before="155" w:line="221" w:lineRule="auto"/>
              <w:ind w:left="202"/>
              <w:rPr>
                <w:color w:val="auto"/>
                <w:sz w:val="21"/>
                <w:szCs w:val="21"/>
                <w:highlight w:val="none"/>
              </w:rPr>
            </w:pPr>
            <w:r>
              <w:rPr>
                <w:color w:val="auto"/>
                <w:spacing w:val="-2"/>
                <w:sz w:val="21"/>
                <w:szCs w:val="21"/>
                <w:highlight w:val="none"/>
              </w:rPr>
              <w:t>设备费</w:t>
            </w:r>
          </w:p>
        </w:tc>
        <w:tc>
          <w:tcPr>
            <w:tcW w:w="1014" w:type="dxa"/>
            <w:vAlign w:val="top"/>
          </w:tcPr>
          <w:p w14:paraId="1ECB7302">
            <w:pPr>
              <w:pStyle w:val="17"/>
              <w:spacing w:before="155" w:line="221" w:lineRule="auto"/>
              <w:ind w:left="204"/>
              <w:rPr>
                <w:color w:val="auto"/>
                <w:sz w:val="21"/>
                <w:szCs w:val="21"/>
                <w:highlight w:val="none"/>
              </w:rPr>
            </w:pPr>
            <w:r>
              <w:rPr>
                <w:color w:val="auto"/>
                <w:spacing w:val="-2"/>
                <w:sz w:val="21"/>
                <w:szCs w:val="21"/>
                <w:highlight w:val="none"/>
              </w:rPr>
              <w:t>安装费</w:t>
            </w:r>
          </w:p>
        </w:tc>
        <w:tc>
          <w:tcPr>
            <w:tcW w:w="1016" w:type="dxa"/>
            <w:vAlign w:val="top"/>
          </w:tcPr>
          <w:p w14:paraId="72EAA427">
            <w:pPr>
              <w:pStyle w:val="17"/>
              <w:spacing w:before="155" w:line="221" w:lineRule="auto"/>
              <w:ind w:left="204"/>
              <w:rPr>
                <w:color w:val="auto"/>
                <w:sz w:val="21"/>
                <w:szCs w:val="21"/>
                <w:highlight w:val="none"/>
              </w:rPr>
            </w:pPr>
            <w:r>
              <w:rPr>
                <w:color w:val="auto"/>
                <w:spacing w:val="-2"/>
                <w:sz w:val="21"/>
                <w:szCs w:val="21"/>
                <w:highlight w:val="none"/>
              </w:rPr>
              <w:t>设备费</w:t>
            </w:r>
          </w:p>
        </w:tc>
        <w:tc>
          <w:tcPr>
            <w:tcW w:w="1017" w:type="dxa"/>
            <w:vAlign w:val="top"/>
          </w:tcPr>
          <w:p w14:paraId="03164545">
            <w:pPr>
              <w:pStyle w:val="17"/>
              <w:spacing w:before="155" w:line="221" w:lineRule="auto"/>
              <w:ind w:left="207"/>
              <w:rPr>
                <w:color w:val="auto"/>
                <w:sz w:val="21"/>
                <w:szCs w:val="21"/>
                <w:highlight w:val="none"/>
              </w:rPr>
            </w:pPr>
            <w:r>
              <w:rPr>
                <w:color w:val="auto"/>
                <w:spacing w:val="-2"/>
                <w:sz w:val="21"/>
                <w:szCs w:val="21"/>
                <w:highlight w:val="none"/>
              </w:rPr>
              <w:t>安装费</w:t>
            </w:r>
          </w:p>
        </w:tc>
        <w:tc>
          <w:tcPr>
            <w:tcW w:w="1273" w:type="dxa"/>
            <w:vMerge w:val="continue"/>
            <w:tcBorders>
              <w:top w:val="nil"/>
            </w:tcBorders>
            <w:vAlign w:val="top"/>
          </w:tcPr>
          <w:p w14:paraId="40090537">
            <w:pPr>
              <w:rPr>
                <w:rFonts w:ascii="Arial"/>
                <w:color w:val="auto"/>
                <w:sz w:val="21"/>
                <w:highlight w:val="none"/>
              </w:rPr>
            </w:pPr>
          </w:p>
        </w:tc>
        <w:tc>
          <w:tcPr>
            <w:tcW w:w="937" w:type="dxa"/>
            <w:vMerge w:val="continue"/>
            <w:tcBorders>
              <w:top w:val="nil"/>
              <w:right w:val="single" w:color="000000" w:sz="6" w:space="0"/>
            </w:tcBorders>
            <w:vAlign w:val="top"/>
          </w:tcPr>
          <w:p w14:paraId="1ED0F736">
            <w:pPr>
              <w:rPr>
                <w:rFonts w:ascii="Arial"/>
                <w:color w:val="auto"/>
                <w:sz w:val="21"/>
                <w:highlight w:val="none"/>
              </w:rPr>
            </w:pPr>
          </w:p>
        </w:tc>
      </w:tr>
      <w:tr w14:paraId="05799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39" w:type="dxa"/>
            <w:tcBorders>
              <w:left w:val="single" w:color="000000" w:sz="6" w:space="0"/>
            </w:tcBorders>
            <w:vAlign w:val="top"/>
          </w:tcPr>
          <w:p w14:paraId="00DC6C97">
            <w:pPr>
              <w:rPr>
                <w:rFonts w:ascii="Arial"/>
                <w:color w:val="auto"/>
                <w:sz w:val="21"/>
                <w:highlight w:val="none"/>
              </w:rPr>
            </w:pPr>
          </w:p>
        </w:tc>
        <w:tc>
          <w:tcPr>
            <w:tcW w:w="1261" w:type="dxa"/>
            <w:vAlign w:val="top"/>
          </w:tcPr>
          <w:p w14:paraId="29CC99AE">
            <w:pPr>
              <w:rPr>
                <w:rFonts w:ascii="Arial"/>
                <w:color w:val="auto"/>
                <w:sz w:val="21"/>
                <w:highlight w:val="none"/>
              </w:rPr>
            </w:pPr>
          </w:p>
        </w:tc>
        <w:tc>
          <w:tcPr>
            <w:tcW w:w="1841" w:type="dxa"/>
            <w:vAlign w:val="top"/>
          </w:tcPr>
          <w:p w14:paraId="55248FCE">
            <w:pPr>
              <w:rPr>
                <w:rFonts w:ascii="Arial"/>
                <w:color w:val="auto"/>
                <w:sz w:val="21"/>
                <w:highlight w:val="none"/>
              </w:rPr>
            </w:pPr>
          </w:p>
        </w:tc>
        <w:tc>
          <w:tcPr>
            <w:tcW w:w="2124" w:type="dxa"/>
            <w:vAlign w:val="top"/>
          </w:tcPr>
          <w:p w14:paraId="089216B4">
            <w:pPr>
              <w:rPr>
                <w:rFonts w:ascii="Arial"/>
                <w:color w:val="auto"/>
                <w:sz w:val="21"/>
                <w:highlight w:val="none"/>
              </w:rPr>
            </w:pPr>
          </w:p>
        </w:tc>
        <w:tc>
          <w:tcPr>
            <w:tcW w:w="779" w:type="dxa"/>
            <w:vAlign w:val="top"/>
          </w:tcPr>
          <w:p w14:paraId="7424A0E9">
            <w:pPr>
              <w:rPr>
                <w:rFonts w:ascii="Arial"/>
                <w:color w:val="auto"/>
                <w:sz w:val="21"/>
                <w:highlight w:val="none"/>
              </w:rPr>
            </w:pPr>
          </w:p>
        </w:tc>
        <w:tc>
          <w:tcPr>
            <w:tcW w:w="825" w:type="dxa"/>
            <w:vAlign w:val="top"/>
          </w:tcPr>
          <w:p w14:paraId="284314EB">
            <w:pPr>
              <w:rPr>
                <w:rFonts w:ascii="Arial"/>
                <w:color w:val="auto"/>
                <w:sz w:val="21"/>
                <w:highlight w:val="none"/>
              </w:rPr>
            </w:pPr>
          </w:p>
        </w:tc>
        <w:tc>
          <w:tcPr>
            <w:tcW w:w="1014" w:type="dxa"/>
            <w:vAlign w:val="top"/>
          </w:tcPr>
          <w:p w14:paraId="7A5EC9D8">
            <w:pPr>
              <w:rPr>
                <w:rFonts w:ascii="Arial"/>
                <w:color w:val="auto"/>
                <w:sz w:val="21"/>
                <w:highlight w:val="none"/>
              </w:rPr>
            </w:pPr>
          </w:p>
        </w:tc>
        <w:tc>
          <w:tcPr>
            <w:tcW w:w="1014" w:type="dxa"/>
            <w:vAlign w:val="top"/>
          </w:tcPr>
          <w:p w14:paraId="771BEF08">
            <w:pPr>
              <w:rPr>
                <w:rFonts w:ascii="Arial"/>
                <w:color w:val="auto"/>
                <w:sz w:val="21"/>
                <w:highlight w:val="none"/>
              </w:rPr>
            </w:pPr>
          </w:p>
        </w:tc>
        <w:tc>
          <w:tcPr>
            <w:tcW w:w="1016" w:type="dxa"/>
            <w:vAlign w:val="top"/>
          </w:tcPr>
          <w:p w14:paraId="3EEC7A65">
            <w:pPr>
              <w:rPr>
                <w:rFonts w:ascii="Arial"/>
                <w:color w:val="auto"/>
                <w:sz w:val="21"/>
                <w:highlight w:val="none"/>
              </w:rPr>
            </w:pPr>
          </w:p>
        </w:tc>
        <w:tc>
          <w:tcPr>
            <w:tcW w:w="1017" w:type="dxa"/>
            <w:vAlign w:val="top"/>
          </w:tcPr>
          <w:p w14:paraId="5F158C52">
            <w:pPr>
              <w:rPr>
                <w:rFonts w:ascii="Arial"/>
                <w:color w:val="auto"/>
                <w:sz w:val="21"/>
                <w:highlight w:val="none"/>
              </w:rPr>
            </w:pPr>
          </w:p>
        </w:tc>
        <w:tc>
          <w:tcPr>
            <w:tcW w:w="1273" w:type="dxa"/>
            <w:vAlign w:val="top"/>
          </w:tcPr>
          <w:p w14:paraId="6CA9170B">
            <w:pPr>
              <w:rPr>
                <w:rFonts w:ascii="Arial"/>
                <w:color w:val="auto"/>
                <w:sz w:val="21"/>
                <w:highlight w:val="none"/>
              </w:rPr>
            </w:pPr>
          </w:p>
        </w:tc>
        <w:tc>
          <w:tcPr>
            <w:tcW w:w="937" w:type="dxa"/>
            <w:tcBorders>
              <w:right w:val="single" w:color="000000" w:sz="6" w:space="0"/>
            </w:tcBorders>
            <w:vAlign w:val="top"/>
          </w:tcPr>
          <w:p w14:paraId="6C6151FD">
            <w:pPr>
              <w:rPr>
                <w:rFonts w:ascii="Arial"/>
                <w:color w:val="auto"/>
                <w:sz w:val="21"/>
                <w:highlight w:val="none"/>
              </w:rPr>
            </w:pPr>
          </w:p>
        </w:tc>
      </w:tr>
      <w:tr w14:paraId="2F671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4894209F">
            <w:pPr>
              <w:rPr>
                <w:rFonts w:ascii="Arial"/>
                <w:color w:val="auto"/>
                <w:sz w:val="21"/>
                <w:highlight w:val="none"/>
              </w:rPr>
            </w:pPr>
          </w:p>
        </w:tc>
        <w:tc>
          <w:tcPr>
            <w:tcW w:w="1261" w:type="dxa"/>
            <w:vAlign w:val="top"/>
          </w:tcPr>
          <w:p w14:paraId="364A28D4">
            <w:pPr>
              <w:rPr>
                <w:rFonts w:ascii="Arial"/>
                <w:color w:val="auto"/>
                <w:sz w:val="21"/>
                <w:highlight w:val="none"/>
              </w:rPr>
            </w:pPr>
          </w:p>
        </w:tc>
        <w:tc>
          <w:tcPr>
            <w:tcW w:w="1841" w:type="dxa"/>
            <w:vAlign w:val="top"/>
          </w:tcPr>
          <w:p w14:paraId="204C96E0">
            <w:pPr>
              <w:rPr>
                <w:rFonts w:ascii="Arial"/>
                <w:color w:val="auto"/>
                <w:sz w:val="21"/>
                <w:highlight w:val="none"/>
              </w:rPr>
            </w:pPr>
          </w:p>
        </w:tc>
        <w:tc>
          <w:tcPr>
            <w:tcW w:w="2124" w:type="dxa"/>
            <w:vAlign w:val="top"/>
          </w:tcPr>
          <w:p w14:paraId="56882286">
            <w:pPr>
              <w:rPr>
                <w:rFonts w:ascii="Arial"/>
                <w:color w:val="auto"/>
                <w:sz w:val="21"/>
                <w:highlight w:val="none"/>
              </w:rPr>
            </w:pPr>
          </w:p>
        </w:tc>
        <w:tc>
          <w:tcPr>
            <w:tcW w:w="779" w:type="dxa"/>
            <w:vAlign w:val="top"/>
          </w:tcPr>
          <w:p w14:paraId="6A3EBB99">
            <w:pPr>
              <w:rPr>
                <w:rFonts w:ascii="Arial"/>
                <w:color w:val="auto"/>
                <w:sz w:val="21"/>
                <w:highlight w:val="none"/>
              </w:rPr>
            </w:pPr>
          </w:p>
        </w:tc>
        <w:tc>
          <w:tcPr>
            <w:tcW w:w="825" w:type="dxa"/>
            <w:vAlign w:val="top"/>
          </w:tcPr>
          <w:p w14:paraId="74C78C5E">
            <w:pPr>
              <w:rPr>
                <w:rFonts w:ascii="Arial"/>
                <w:color w:val="auto"/>
                <w:sz w:val="21"/>
                <w:highlight w:val="none"/>
              </w:rPr>
            </w:pPr>
          </w:p>
        </w:tc>
        <w:tc>
          <w:tcPr>
            <w:tcW w:w="1014" w:type="dxa"/>
            <w:vAlign w:val="top"/>
          </w:tcPr>
          <w:p w14:paraId="5A6277CC">
            <w:pPr>
              <w:rPr>
                <w:rFonts w:ascii="Arial"/>
                <w:color w:val="auto"/>
                <w:sz w:val="21"/>
                <w:highlight w:val="none"/>
              </w:rPr>
            </w:pPr>
          </w:p>
        </w:tc>
        <w:tc>
          <w:tcPr>
            <w:tcW w:w="1014" w:type="dxa"/>
            <w:vAlign w:val="top"/>
          </w:tcPr>
          <w:p w14:paraId="1E14ACA6">
            <w:pPr>
              <w:rPr>
                <w:rFonts w:ascii="Arial"/>
                <w:color w:val="auto"/>
                <w:sz w:val="21"/>
                <w:highlight w:val="none"/>
              </w:rPr>
            </w:pPr>
          </w:p>
        </w:tc>
        <w:tc>
          <w:tcPr>
            <w:tcW w:w="1016" w:type="dxa"/>
            <w:vAlign w:val="top"/>
          </w:tcPr>
          <w:p w14:paraId="2458A436">
            <w:pPr>
              <w:rPr>
                <w:rFonts w:ascii="Arial"/>
                <w:color w:val="auto"/>
                <w:sz w:val="21"/>
                <w:highlight w:val="none"/>
              </w:rPr>
            </w:pPr>
          </w:p>
        </w:tc>
        <w:tc>
          <w:tcPr>
            <w:tcW w:w="1017" w:type="dxa"/>
            <w:vAlign w:val="top"/>
          </w:tcPr>
          <w:p w14:paraId="3EBE2056">
            <w:pPr>
              <w:rPr>
                <w:rFonts w:ascii="Arial"/>
                <w:color w:val="auto"/>
                <w:sz w:val="21"/>
                <w:highlight w:val="none"/>
              </w:rPr>
            </w:pPr>
          </w:p>
        </w:tc>
        <w:tc>
          <w:tcPr>
            <w:tcW w:w="1273" w:type="dxa"/>
            <w:vAlign w:val="top"/>
          </w:tcPr>
          <w:p w14:paraId="36636682">
            <w:pPr>
              <w:rPr>
                <w:rFonts w:ascii="Arial"/>
                <w:color w:val="auto"/>
                <w:sz w:val="21"/>
                <w:highlight w:val="none"/>
              </w:rPr>
            </w:pPr>
          </w:p>
        </w:tc>
        <w:tc>
          <w:tcPr>
            <w:tcW w:w="937" w:type="dxa"/>
            <w:tcBorders>
              <w:right w:val="single" w:color="000000" w:sz="6" w:space="0"/>
            </w:tcBorders>
            <w:vAlign w:val="top"/>
          </w:tcPr>
          <w:p w14:paraId="7036ECFF">
            <w:pPr>
              <w:rPr>
                <w:rFonts w:ascii="Arial"/>
                <w:color w:val="auto"/>
                <w:sz w:val="21"/>
                <w:highlight w:val="none"/>
              </w:rPr>
            </w:pPr>
          </w:p>
        </w:tc>
      </w:tr>
      <w:tr w14:paraId="47537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286427DE">
            <w:pPr>
              <w:rPr>
                <w:rFonts w:ascii="Arial"/>
                <w:color w:val="auto"/>
                <w:sz w:val="21"/>
                <w:highlight w:val="none"/>
              </w:rPr>
            </w:pPr>
          </w:p>
        </w:tc>
        <w:tc>
          <w:tcPr>
            <w:tcW w:w="1261" w:type="dxa"/>
            <w:vAlign w:val="top"/>
          </w:tcPr>
          <w:p w14:paraId="0AFE0BB9">
            <w:pPr>
              <w:rPr>
                <w:rFonts w:ascii="Arial"/>
                <w:color w:val="auto"/>
                <w:sz w:val="21"/>
                <w:highlight w:val="none"/>
              </w:rPr>
            </w:pPr>
          </w:p>
        </w:tc>
        <w:tc>
          <w:tcPr>
            <w:tcW w:w="1841" w:type="dxa"/>
            <w:vAlign w:val="top"/>
          </w:tcPr>
          <w:p w14:paraId="49AF1DDB">
            <w:pPr>
              <w:rPr>
                <w:rFonts w:ascii="Arial"/>
                <w:color w:val="auto"/>
                <w:sz w:val="21"/>
                <w:highlight w:val="none"/>
              </w:rPr>
            </w:pPr>
          </w:p>
        </w:tc>
        <w:tc>
          <w:tcPr>
            <w:tcW w:w="2124" w:type="dxa"/>
            <w:vAlign w:val="top"/>
          </w:tcPr>
          <w:p w14:paraId="36443FAF">
            <w:pPr>
              <w:rPr>
                <w:rFonts w:ascii="Arial"/>
                <w:color w:val="auto"/>
                <w:sz w:val="21"/>
                <w:highlight w:val="none"/>
              </w:rPr>
            </w:pPr>
          </w:p>
        </w:tc>
        <w:tc>
          <w:tcPr>
            <w:tcW w:w="779" w:type="dxa"/>
            <w:vAlign w:val="top"/>
          </w:tcPr>
          <w:p w14:paraId="02C57879">
            <w:pPr>
              <w:rPr>
                <w:rFonts w:ascii="Arial"/>
                <w:color w:val="auto"/>
                <w:sz w:val="21"/>
                <w:highlight w:val="none"/>
              </w:rPr>
            </w:pPr>
          </w:p>
        </w:tc>
        <w:tc>
          <w:tcPr>
            <w:tcW w:w="825" w:type="dxa"/>
            <w:vAlign w:val="top"/>
          </w:tcPr>
          <w:p w14:paraId="010D1135">
            <w:pPr>
              <w:rPr>
                <w:rFonts w:ascii="Arial"/>
                <w:color w:val="auto"/>
                <w:sz w:val="21"/>
                <w:highlight w:val="none"/>
              </w:rPr>
            </w:pPr>
          </w:p>
        </w:tc>
        <w:tc>
          <w:tcPr>
            <w:tcW w:w="1014" w:type="dxa"/>
            <w:vAlign w:val="top"/>
          </w:tcPr>
          <w:p w14:paraId="7CA8594E">
            <w:pPr>
              <w:rPr>
                <w:rFonts w:ascii="Arial"/>
                <w:color w:val="auto"/>
                <w:sz w:val="21"/>
                <w:highlight w:val="none"/>
              </w:rPr>
            </w:pPr>
          </w:p>
        </w:tc>
        <w:tc>
          <w:tcPr>
            <w:tcW w:w="1014" w:type="dxa"/>
            <w:vAlign w:val="top"/>
          </w:tcPr>
          <w:p w14:paraId="50AFA716">
            <w:pPr>
              <w:rPr>
                <w:rFonts w:ascii="Arial"/>
                <w:color w:val="auto"/>
                <w:sz w:val="21"/>
                <w:highlight w:val="none"/>
              </w:rPr>
            </w:pPr>
          </w:p>
        </w:tc>
        <w:tc>
          <w:tcPr>
            <w:tcW w:w="1016" w:type="dxa"/>
            <w:vAlign w:val="top"/>
          </w:tcPr>
          <w:p w14:paraId="57DF40FB">
            <w:pPr>
              <w:rPr>
                <w:rFonts w:ascii="Arial"/>
                <w:color w:val="auto"/>
                <w:sz w:val="21"/>
                <w:highlight w:val="none"/>
              </w:rPr>
            </w:pPr>
          </w:p>
        </w:tc>
        <w:tc>
          <w:tcPr>
            <w:tcW w:w="1017" w:type="dxa"/>
            <w:vAlign w:val="top"/>
          </w:tcPr>
          <w:p w14:paraId="4D5F9A38">
            <w:pPr>
              <w:rPr>
                <w:rFonts w:ascii="Arial"/>
                <w:color w:val="auto"/>
                <w:sz w:val="21"/>
                <w:highlight w:val="none"/>
              </w:rPr>
            </w:pPr>
          </w:p>
        </w:tc>
        <w:tc>
          <w:tcPr>
            <w:tcW w:w="1273" w:type="dxa"/>
            <w:vAlign w:val="top"/>
          </w:tcPr>
          <w:p w14:paraId="5D7053F7">
            <w:pPr>
              <w:rPr>
                <w:rFonts w:ascii="Arial"/>
                <w:color w:val="auto"/>
                <w:sz w:val="21"/>
                <w:highlight w:val="none"/>
              </w:rPr>
            </w:pPr>
          </w:p>
        </w:tc>
        <w:tc>
          <w:tcPr>
            <w:tcW w:w="937" w:type="dxa"/>
            <w:tcBorders>
              <w:right w:val="single" w:color="000000" w:sz="6" w:space="0"/>
            </w:tcBorders>
            <w:vAlign w:val="top"/>
          </w:tcPr>
          <w:p w14:paraId="6D115618">
            <w:pPr>
              <w:rPr>
                <w:rFonts w:ascii="Arial"/>
                <w:color w:val="auto"/>
                <w:sz w:val="21"/>
                <w:highlight w:val="none"/>
              </w:rPr>
            </w:pPr>
          </w:p>
        </w:tc>
      </w:tr>
      <w:tr w14:paraId="42C47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68A65A0E">
            <w:pPr>
              <w:rPr>
                <w:rFonts w:ascii="Arial"/>
                <w:color w:val="auto"/>
                <w:sz w:val="21"/>
                <w:highlight w:val="none"/>
              </w:rPr>
            </w:pPr>
          </w:p>
        </w:tc>
        <w:tc>
          <w:tcPr>
            <w:tcW w:w="1261" w:type="dxa"/>
            <w:vAlign w:val="top"/>
          </w:tcPr>
          <w:p w14:paraId="299E3F95">
            <w:pPr>
              <w:rPr>
                <w:rFonts w:ascii="Arial"/>
                <w:color w:val="auto"/>
                <w:sz w:val="21"/>
                <w:highlight w:val="none"/>
              </w:rPr>
            </w:pPr>
          </w:p>
        </w:tc>
        <w:tc>
          <w:tcPr>
            <w:tcW w:w="1841" w:type="dxa"/>
            <w:vAlign w:val="top"/>
          </w:tcPr>
          <w:p w14:paraId="6DE50E4F">
            <w:pPr>
              <w:rPr>
                <w:rFonts w:ascii="Arial"/>
                <w:color w:val="auto"/>
                <w:sz w:val="21"/>
                <w:highlight w:val="none"/>
              </w:rPr>
            </w:pPr>
          </w:p>
        </w:tc>
        <w:tc>
          <w:tcPr>
            <w:tcW w:w="2124" w:type="dxa"/>
            <w:vAlign w:val="top"/>
          </w:tcPr>
          <w:p w14:paraId="2CB767CF">
            <w:pPr>
              <w:rPr>
                <w:rFonts w:ascii="Arial"/>
                <w:color w:val="auto"/>
                <w:sz w:val="21"/>
                <w:highlight w:val="none"/>
              </w:rPr>
            </w:pPr>
          </w:p>
        </w:tc>
        <w:tc>
          <w:tcPr>
            <w:tcW w:w="779" w:type="dxa"/>
            <w:vAlign w:val="top"/>
          </w:tcPr>
          <w:p w14:paraId="1D3AB4F8">
            <w:pPr>
              <w:rPr>
                <w:rFonts w:ascii="Arial"/>
                <w:color w:val="auto"/>
                <w:sz w:val="21"/>
                <w:highlight w:val="none"/>
              </w:rPr>
            </w:pPr>
          </w:p>
        </w:tc>
        <w:tc>
          <w:tcPr>
            <w:tcW w:w="825" w:type="dxa"/>
            <w:vAlign w:val="top"/>
          </w:tcPr>
          <w:p w14:paraId="37C91A82">
            <w:pPr>
              <w:rPr>
                <w:rFonts w:ascii="Arial"/>
                <w:color w:val="auto"/>
                <w:sz w:val="21"/>
                <w:highlight w:val="none"/>
              </w:rPr>
            </w:pPr>
          </w:p>
        </w:tc>
        <w:tc>
          <w:tcPr>
            <w:tcW w:w="1014" w:type="dxa"/>
            <w:vAlign w:val="top"/>
          </w:tcPr>
          <w:p w14:paraId="69682698">
            <w:pPr>
              <w:rPr>
                <w:rFonts w:ascii="Arial"/>
                <w:color w:val="auto"/>
                <w:sz w:val="21"/>
                <w:highlight w:val="none"/>
              </w:rPr>
            </w:pPr>
          </w:p>
        </w:tc>
        <w:tc>
          <w:tcPr>
            <w:tcW w:w="1014" w:type="dxa"/>
            <w:vAlign w:val="top"/>
          </w:tcPr>
          <w:p w14:paraId="0F162035">
            <w:pPr>
              <w:rPr>
                <w:rFonts w:ascii="Arial"/>
                <w:color w:val="auto"/>
                <w:sz w:val="21"/>
                <w:highlight w:val="none"/>
              </w:rPr>
            </w:pPr>
          </w:p>
        </w:tc>
        <w:tc>
          <w:tcPr>
            <w:tcW w:w="1016" w:type="dxa"/>
            <w:vAlign w:val="top"/>
          </w:tcPr>
          <w:p w14:paraId="6EC90AFE">
            <w:pPr>
              <w:rPr>
                <w:rFonts w:ascii="Arial"/>
                <w:color w:val="auto"/>
                <w:sz w:val="21"/>
                <w:highlight w:val="none"/>
              </w:rPr>
            </w:pPr>
          </w:p>
        </w:tc>
        <w:tc>
          <w:tcPr>
            <w:tcW w:w="1017" w:type="dxa"/>
            <w:vAlign w:val="top"/>
          </w:tcPr>
          <w:p w14:paraId="0DFABB84">
            <w:pPr>
              <w:rPr>
                <w:rFonts w:ascii="Arial"/>
                <w:color w:val="auto"/>
                <w:sz w:val="21"/>
                <w:highlight w:val="none"/>
              </w:rPr>
            </w:pPr>
          </w:p>
        </w:tc>
        <w:tc>
          <w:tcPr>
            <w:tcW w:w="1273" w:type="dxa"/>
            <w:vAlign w:val="top"/>
          </w:tcPr>
          <w:p w14:paraId="4A6513CE">
            <w:pPr>
              <w:rPr>
                <w:rFonts w:ascii="Arial"/>
                <w:color w:val="auto"/>
                <w:sz w:val="21"/>
                <w:highlight w:val="none"/>
              </w:rPr>
            </w:pPr>
          </w:p>
        </w:tc>
        <w:tc>
          <w:tcPr>
            <w:tcW w:w="937" w:type="dxa"/>
            <w:tcBorders>
              <w:right w:val="single" w:color="000000" w:sz="6" w:space="0"/>
            </w:tcBorders>
            <w:vAlign w:val="top"/>
          </w:tcPr>
          <w:p w14:paraId="51D433D5">
            <w:pPr>
              <w:rPr>
                <w:rFonts w:ascii="Arial"/>
                <w:color w:val="auto"/>
                <w:sz w:val="21"/>
                <w:highlight w:val="none"/>
              </w:rPr>
            </w:pPr>
          </w:p>
        </w:tc>
      </w:tr>
      <w:tr w14:paraId="2BB8E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39A74194">
            <w:pPr>
              <w:rPr>
                <w:rFonts w:ascii="Arial"/>
                <w:color w:val="auto"/>
                <w:sz w:val="21"/>
                <w:highlight w:val="none"/>
              </w:rPr>
            </w:pPr>
          </w:p>
        </w:tc>
        <w:tc>
          <w:tcPr>
            <w:tcW w:w="1261" w:type="dxa"/>
            <w:vAlign w:val="top"/>
          </w:tcPr>
          <w:p w14:paraId="054E77A2">
            <w:pPr>
              <w:rPr>
                <w:rFonts w:ascii="Arial"/>
                <w:color w:val="auto"/>
                <w:sz w:val="21"/>
                <w:highlight w:val="none"/>
              </w:rPr>
            </w:pPr>
          </w:p>
        </w:tc>
        <w:tc>
          <w:tcPr>
            <w:tcW w:w="1841" w:type="dxa"/>
            <w:vAlign w:val="top"/>
          </w:tcPr>
          <w:p w14:paraId="28936BFA">
            <w:pPr>
              <w:rPr>
                <w:rFonts w:ascii="Arial"/>
                <w:color w:val="auto"/>
                <w:sz w:val="21"/>
                <w:highlight w:val="none"/>
              </w:rPr>
            </w:pPr>
          </w:p>
        </w:tc>
        <w:tc>
          <w:tcPr>
            <w:tcW w:w="2124" w:type="dxa"/>
            <w:vAlign w:val="top"/>
          </w:tcPr>
          <w:p w14:paraId="65BDA253">
            <w:pPr>
              <w:rPr>
                <w:rFonts w:ascii="Arial"/>
                <w:color w:val="auto"/>
                <w:sz w:val="21"/>
                <w:highlight w:val="none"/>
              </w:rPr>
            </w:pPr>
          </w:p>
        </w:tc>
        <w:tc>
          <w:tcPr>
            <w:tcW w:w="779" w:type="dxa"/>
            <w:vAlign w:val="top"/>
          </w:tcPr>
          <w:p w14:paraId="618AAB4B">
            <w:pPr>
              <w:rPr>
                <w:rFonts w:ascii="Arial"/>
                <w:color w:val="auto"/>
                <w:sz w:val="21"/>
                <w:highlight w:val="none"/>
              </w:rPr>
            </w:pPr>
          </w:p>
        </w:tc>
        <w:tc>
          <w:tcPr>
            <w:tcW w:w="825" w:type="dxa"/>
            <w:vAlign w:val="top"/>
          </w:tcPr>
          <w:p w14:paraId="18FB02C3">
            <w:pPr>
              <w:rPr>
                <w:rFonts w:ascii="Arial"/>
                <w:color w:val="auto"/>
                <w:sz w:val="21"/>
                <w:highlight w:val="none"/>
              </w:rPr>
            </w:pPr>
          </w:p>
        </w:tc>
        <w:tc>
          <w:tcPr>
            <w:tcW w:w="1014" w:type="dxa"/>
            <w:vAlign w:val="top"/>
          </w:tcPr>
          <w:p w14:paraId="1344B05A">
            <w:pPr>
              <w:rPr>
                <w:rFonts w:ascii="Arial"/>
                <w:color w:val="auto"/>
                <w:sz w:val="21"/>
                <w:highlight w:val="none"/>
              </w:rPr>
            </w:pPr>
          </w:p>
        </w:tc>
        <w:tc>
          <w:tcPr>
            <w:tcW w:w="1014" w:type="dxa"/>
            <w:vAlign w:val="top"/>
          </w:tcPr>
          <w:p w14:paraId="170D67A6">
            <w:pPr>
              <w:rPr>
                <w:rFonts w:ascii="Arial"/>
                <w:color w:val="auto"/>
                <w:sz w:val="21"/>
                <w:highlight w:val="none"/>
              </w:rPr>
            </w:pPr>
          </w:p>
        </w:tc>
        <w:tc>
          <w:tcPr>
            <w:tcW w:w="1016" w:type="dxa"/>
            <w:vAlign w:val="top"/>
          </w:tcPr>
          <w:p w14:paraId="5562C15A">
            <w:pPr>
              <w:rPr>
                <w:rFonts w:ascii="Arial"/>
                <w:color w:val="auto"/>
                <w:sz w:val="21"/>
                <w:highlight w:val="none"/>
              </w:rPr>
            </w:pPr>
          </w:p>
        </w:tc>
        <w:tc>
          <w:tcPr>
            <w:tcW w:w="1017" w:type="dxa"/>
            <w:vAlign w:val="top"/>
          </w:tcPr>
          <w:p w14:paraId="67C7479A">
            <w:pPr>
              <w:rPr>
                <w:rFonts w:ascii="Arial"/>
                <w:color w:val="auto"/>
                <w:sz w:val="21"/>
                <w:highlight w:val="none"/>
              </w:rPr>
            </w:pPr>
          </w:p>
        </w:tc>
        <w:tc>
          <w:tcPr>
            <w:tcW w:w="1273" w:type="dxa"/>
            <w:vAlign w:val="top"/>
          </w:tcPr>
          <w:p w14:paraId="713A8EAC">
            <w:pPr>
              <w:rPr>
                <w:rFonts w:ascii="Arial"/>
                <w:color w:val="auto"/>
                <w:sz w:val="21"/>
                <w:highlight w:val="none"/>
              </w:rPr>
            </w:pPr>
          </w:p>
        </w:tc>
        <w:tc>
          <w:tcPr>
            <w:tcW w:w="937" w:type="dxa"/>
            <w:tcBorders>
              <w:right w:val="single" w:color="000000" w:sz="6" w:space="0"/>
            </w:tcBorders>
            <w:vAlign w:val="top"/>
          </w:tcPr>
          <w:p w14:paraId="7800598B">
            <w:pPr>
              <w:rPr>
                <w:rFonts w:ascii="Arial"/>
                <w:color w:val="auto"/>
                <w:sz w:val="21"/>
                <w:highlight w:val="none"/>
              </w:rPr>
            </w:pPr>
          </w:p>
        </w:tc>
      </w:tr>
      <w:tr w14:paraId="1A2FD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5455FC85">
            <w:pPr>
              <w:rPr>
                <w:rFonts w:ascii="Arial"/>
                <w:color w:val="auto"/>
                <w:sz w:val="21"/>
                <w:highlight w:val="none"/>
              </w:rPr>
            </w:pPr>
          </w:p>
        </w:tc>
        <w:tc>
          <w:tcPr>
            <w:tcW w:w="1261" w:type="dxa"/>
            <w:vAlign w:val="top"/>
          </w:tcPr>
          <w:p w14:paraId="76FC909C">
            <w:pPr>
              <w:rPr>
                <w:rFonts w:ascii="Arial"/>
                <w:color w:val="auto"/>
                <w:sz w:val="21"/>
                <w:highlight w:val="none"/>
              </w:rPr>
            </w:pPr>
          </w:p>
        </w:tc>
        <w:tc>
          <w:tcPr>
            <w:tcW w:w="1841" w:type="dxa"/>
            <w:vAlign w:val="top"/>
          </w:tcPr>
          <w:p w14:paraId="333F8F81">
            <w:pPr>
              <w:rPr>
                <w:rFonts w:ascii="Arial"/>
                <w:color w:val="auto"/>
                <w:sz w:val="21"/>
                <w:highlight w:val="none"/>
              </w:rPr>
            </w:pPr>
          </w:p>
        </w:tc>
        <w:tc>
          <w:tcPr>
            <w:tcW w:w="2124" w:type="dxa"/>
            <w:vAlign w:val="top"/>
          </w:tcPr>
          <w:p w14:paraId="7FC4A5C1">
            <w:pPr>
              <w:rPr>
                <w:rFonts w:ascii="Arial"/>
                <w:color w:val="auto"/>
                <w:sz w:val="21"/>
                <w:highlight w:val="none"/>
              </w:rPr>
            </w:pPr>
          </w:p>
        </w:tc>
        <w:tc>
          <w:tcPr>
            <w:tcW w:w="779" w:type="dxa"/>
            <w:vAlign w:val="top"/>
          </w:tcPr>
          <w:p w14:paraId="54441AF9">
            <w:pPr>
              <w:rPr>
                <w:rFonts w:ascii="Arial"/>
                <w:color w:val="auto"/>
                <w:sz w:val="21"/>
                <w:highlight w:val="none"/>
              </w:rPr>
            </w:pPr>
          </w:p>
        </w:tc>
        <w:tc>
          <w:tcPr>
            <w:tcW w:w="825" w:type="dxa"/>
            <w:vAlign w:val="top"/>
          </w:tcPr>
          <w:p w14:paraId="2275470A">
            <w:pPr>
              <w:rPr>
                <w:rFonts w:ascii="Arial"/>
                <w:color w:val="auto"/>
                <w:sz w:val="21"/>
                <w:highlight w:val="none"/>
              </w:rPr>
            </w:pPr>
          </w:p>
        </w:tc>
        <w:tc>
          <w:tcPr>
            <w:tcW w:w="1014" w:type="dxa"/>
            <w:vAlign w:val="top"/>
          </w:tcPr>
          <w:p w14:paraId="46B9B242">
            <w:pPr>
              <w:rPr>
                <w:rFonts w:ascii="Arial"/>
                <w:color w:val="auto"/>
                <w:sz w:val="21"/>
                <w:highlight w:val="none"/>
              </w:rPr>
            </w:pPr>
          </w:p>
        </w:tc>
        <w:tc>
          <w:tcPr>
            <w:tcW w:w="1014" w:type="dxa"/>
            <w:vAlign w:val="top"/>
          </w:tcPr>
          <w:p w14:paraId="7B911872">
            <w:pPr>
              <w:rPr>
                <w:rFonts w:ascii="Arial"/>
                <w:color w:val="auto"/>
                <w:sz w:val="21"/>
                <w:highlight w:val="none"/>
              </w:rPr>
            </w:pPr>
          </w:p>
        </w:tc>
        <w:tc>
          <w:tcPr>
            <w:tcW w:w="1016" w:type="dxa"/>
            <w:vAlign w:val="top"/>
          </w:tcPr>
          <w:p w14:paraId="0B2EE289">
            <w:pPr>
              <w:rPr>
                <w:rFonts w:ascii="Arial"/>
                <w:color w:val="auto"/>
                <w:sz w:val="21"/>
                <w:highlight w:val="none"/>
              </w:rPr>
            </w:pPr>
          </w:p>
        </w:tc>
        <w:tc>
          <w:tcPr>
            <w:tcW w:w="1017" w:type="dxa"/>
            <w:vAlign w:val="top"/>
          </w:tcPr>
          <w:p w14:paraId="787ECE0F">
            <w:pPr>
              <w:rPr>
                <w:rFonts w:ascii="Arial"/>
                <w:color w:val="auto"/>
                <w:sz w:val="21"/>
                <w:highlight w:val="none"/>
              </w:rPr>
            </w:pPr>
          </w:p>
        </w:tc>
        <w:tc>
          <w:tcPr>
            <w:tcW w:w="1273" w:type="dxa"/>
            <w:vAlign w:val="top"/>
          </w:tcPr>
          <w:p w14:paraId="40954B7B">
            <w:pPr>
              <w:rPr>
                <w:rFonts w:ascii="Arial"/>
                <w:color w:val="auto"/>
                <w:sz w:val="21"/>
                <w:highlight w:val="none"/>
              </w:rPr>
            </w:pPr>
          </w:p>
        </w:tc>
        <w:tc>
          <w:tcPr>
            <w:tcW w:w="937" w:type="dxa"/>
            <w:tcBorders>
              <w:right w:val="single" w:color="000000" w:sz="6" w:space="0"/>
            </w:tcBorders>
            <w:vAlign w:val="top"/>
          </w:tcPr>
          <w:p w14:paraId="598A5EA9">
            <w:pPr>
              <w:rPr>
                <w:rFonts w:ascii="Arial"/>
                <w:color w:val="auto"/>
                <w:sz w:val="21"/>
                <w:highlight w:val="none"/>
              </w:rPr>
            </w:pPr>
          </w:p>
        </w:tc>
      </w:tr>
      <w:tr w14:paraId="67567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39" w:type="dxa"/>
            <w:tcBorders>
              <w:left w:val="single" w:color="000000" w:sz="6" w:space="0"/>
            </w:tcBorders>
            <w:vAlign w:val="top"/>
          </w:tcPr>
          <w:p w14:paraId="2613A7A3">
            <w:pPr>
              <w:rPr>
                <w:rFonts w:ascii="Arial"/>
                <w:color w:val="auto"/>
                <w:sz w:val="21"/>
                <w:highlight w:val="none"/>
              </w:rPr>
            </w:pPr>
          </w:p>
        </w:tc>
        <w:tc>
          <w:tcPr>
            <w:tcW w:w="1261" w:type="dxa"/>
            <w:vAlign w:val="top"/>
          </w:tcPr>
          <w:p w14:paraId="1199211D">
            <w:pPr>
              <w:rPr>
                <w:rFonts w:ascii="Arial"/>
                <w:color w:val="auto"/>
                <w:sz w:val="21"/>
                <w:highlight w:val="none"/>
              </w:rPr>
            </w:pPr>
          </w:p>
        </w:tc>
        <w:tc>
          <w:tcPr>
            <w:tcW w:w="1841" w:type="dxa"/>
            <w:vAlign w:val="top"/>
          </w:tcPr>
          <w:p w14:paraId="3C29DA3B">
            <w:pPr>
              <w:rPr>
                <w:rFonts w:ascii="Arial"/>
                <w:color w:val="auto"/>
                <w:sz w:val="21"/>
                <w:highlight w:val="none"/>
              </w:rPr>
            </w:pPr>
          </w:p>
        </w:tc>
        <w:tc>
          <w:tcPr>
            <w:tcW w:w="2124" w:type="dxa"/>
            <w:vAlign w:val="top"/>
          </w:tcPr>
          <w:p w14:paraId="29B04828">
            <w:pPr>
              <w:rPr>
                <w:rFonts w:ascii="Arial"/>
                <w:color w:val="auto"/>
                <w:sz w:val="21"/>
                <w:highlight w:val="none"/>
              </w:rPr>
            </w:pPr>
          </w:p>
        </w:tc>
        <w:tc>
          <w:tcPr>
            <w:tcW w:w="779" w:type="dxa"/>
            <w:vAlign w:val="top"/>
          </w:tcPr>
          <w:p w14:paraId="755121ED">
            <w:pPr>
              <w:rPr>
                <w:rFonts w:ascii="Arial"/>
                <w:color w:val="auto"/>
                <w:sz w:val="21"/>
                <w:highlight w:val="none"/>
              </w:rPr>
            </w:pPr>
          </w:p>
        </w:tc>
        <w:tc>
          <w:tcPr>
            <w:tcW w:w="825" w:type="dxa"/>
            <w:vAlign w:val="top"/>
          </w:tcPr>
          <w:p w14:paraId="1C68E726">
            <w:pPr>
              <w:rPr>
                <w:rFonts w:ascii="Arial"/>
                <w:color w:val="auto"/>
                <w:sz w:val="21"/>
                <w:highlight w:val="none"/>
              </w:rPr>
            </w:pPr>
          </w:p>
        </w:tc>
        <w:tc>
          <w:tcPr>
            <w:tcW w:w="1014" w:type="dxa"/>
            <w:vAlign w:val="top"/>
          </w:tcPr>
          <w:p w14:paraId="11411774">
            <w:pPr>
              <w:rPr>
                <w:rFonts w:ascii="Arial"/>
                <w:color w:val="auto"/>
                <w:sz w:val="21"/>
                <w:highlight w:val="none"/>
              </w:rPr>
            </w:pPr>
          </w:p>
        </w:tc>
        <w:tc>
          <w:tcPr>
            <w:tcW w:w="1014" w:type="dxa"/>
            <w:vAlign w:val="top"/>
          </w:tcPr>
          <w:p w14:paraId="6D8D65BA">
            <w:pPr>
              <w:rPr>
                <w:rFonts w:ascii="Arial"/>
                <w:color w:val="auto"/>
                <w:sz w:val="21"/>
                <w:highlight w:val="none"/>
              </w:rPr>
            </w:pPr>
          </w:p>
        </w:tc>
        <w:tc>
          <w:tcPr>
            <w:tcW w:w="1016" w:type="dxa"/>
            <w:vAlign w:val="top"/>
          </w:tcPr>
          <w:p w14:paraId="31D3FE5A">
            <w:pPr>
              <w:rPr>
                <w:rFonts w:ascii="Arial"/>
                <w:color w:val="auto"/>
                <w:sz w:val="21"/>
                <w:highlight w:val="none"/>
              </w:rPr>
            </w:pPr>
          </w:p>
        </w:tc>
        <w:tc>
          <w:tcPr>
            <w:tcW w:w="1017" w:type="dxa"/>
            <w:vAlign w:val="top"/>
          </w:tcPr>
          <w:p w14:paraId="3BB6DF53">
            <w:pPr>
              <w:rPr>
                <w:rFonts w:ascii="Arial"/>
                <w:color w:val="auto"/>
                <w:sz w:val="21"/>
                <w:highlight w:val="none"/>
              </w:rPr>
            </w:pPr>
          </w:p>
        </w:tc>
        <w:tc>
          <w:tcPr>
            <w:tcW w:w="1273" w:type="dxa"/>
            <w:vAlign w:val="top"/>
          </w:tcPr>
          <w:p w14:paraId="6871EFAB">
            <w:pPr>
              <w:rPr>
                <w:rFonts w:ascii="Arial"/>
                <w:color w:val="auto"/>
                <w:sz w:val="21"/>
                <w:highlight w:val="none"/>
              </w:rPr>
            </w:pPr>
          </w:p>
        </w:tc>
        <w:tc>
          <w:tcPr>
            <w:tcW w:w="937" w:type="dxa"/>
            <w:tcBorders>
              <w:right w:val="single" w:color="000000" w:sz="6" w:space="0"/>
            </w:tcBorders>
            <w:vAlign w:val="top"/>
          </w:tcPr>
          <w:p w14:paraId="265119F9">
            <w:pPr>
              <w:rPr>
                <w:rFonts w:ascii="Arial"/>
                <w:color w:val="auto"/>
                <w:sz w:val="21"/>
                <w:highlight w:val="none"/>
              </w:rPr>
            </w:pPr>
          </w:p>
        </w:tc>
      </w:tr>
      <w:tr w14:paraId="7FD7A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3DE4C7FB">
            <w:pPr>
              <w:rPr>
                <w:rFonts w:ascii="Arial"/>
                <w:color w:val="auto"/>
                <w:sz w:val="21"/>
                <w:highlight w:val="none"/>
              </w:rPr>
            </w:pPr>
          </w:p>
        </w:tc>
        <w:tc>
          <w:tcPr>
            <w:tcW w:w="1261" w:type="dxa"/>
            <w:vAlign w:val="top"/>
          </w:tcPr>
          <w:p w14:paraId="52877D01">
            <w:pPr>
              <w:rPr>
                <w:rFonts w:ascii="Arial"/>
                <w:color w:val="auto"/>
                <w:sz w:val="21"/>
                <w:highlight w:val="none"/>
              </w:rPr>
            </w:pPr>
          </w:p>
        </w:tc>
        <w:tc>
          <w:tcPr>
            <w:tcW w:w="1841" w:type="dxa"/>
            <w:vAlign w:val="top"/>
          </w:tcPr>
          <w:p w14:paraId="193B5523">
            <w:pPr>
              <w:rPr>
                <w:rFonts w:ascii="Arial"/>
                <w:color w:val="auto"/>
                <w:sz w:val="21"/>
                <w:highlight w:val="none"/>
              </w:rPr>
            </w:pPr>
          </w:p>
        </w:tc>
        <w:tc>
          <w:tcPr>
            <w:tcW w:w="2124" w:type="dxa"/>
            <w:vAlign w:val="top"/>
          </w:tcPr>
          <w:p w14:paraId="4D1C9602">
            <w:pPr>
              <w:rPr>
                <w:rFonts w:ascii="Arial"/>
                <w:color w:val="auto"/>
                <w:sz w:val="21"/>
                <w:highlight w:val="none"/>
              </w:rPr>
            </w:pPr>
          </w:p>
        </w:tc>
        <w:tc>
          <w:tcPr>
            <w:tcW w:w="779" w:type="dxa"/>
            <w:vAlign w:val="top"/>
          </w:tcPr>
          <w:p w14:paraId="14A96249">
            <w:pPr>
              <w:rPr>
                <w:rFonts w:ascii="Arial"/>
                <w:color w:val="auto"/>
                <w:sz w:val="21"/>
                <w:highlight w:val="none"/>
              </w:rPr>
            </w:pPr>
          </w:p>
        </w:tc>
        <w:tc>
          <w:tcPr>
            <w:tcW w:w="825" w:type="dxa"/>
            <w:vAlign w:val="top"/>
          </w:tcPr>
          <w:p w14:paraId="4C240F67">
            <w:pPr>
              <w:rPr>
                <w:rFonts w:ascii="Arial"/>
                <w:color w:val="auto"/>
                <w:sz w:val="21"/>
                <w:highlight w:val="none"/>
              </w:rPr>
            </w:pPr>
          </w:p>
        </w:tc>
        <w:tc>
          <w:tcPr>
            <w:tcW w:w="1014" w:type="dxa"/>
            <w:vAlign w:val="top"/>
          </w:tcPr>
          <w:p w14:paraId="69C5F385">
            <w:pPr>
              <w:rPr>
                <w:rFonts w:ascii="Arial"/>
                <w:color w:val="auto"/>
                <w:sz w:val="21"/>
                <w:highlight w:val="none"/>
              </w:rPr>
            </w:pPr>
          </w:p>
        </w:tc>
        <w:tc>
          <w:tcPr>
            <w:tcW w:w="1014" w:type="dxa"/>
            <w:vAlign w:val="top"/>
          </w:tcPr>
          <w:p w14:paraId="3ABB151C">
            <w:pPr>
              <w:rPr>
                <w:rFonts w:ascii="Arial"/>
                <w:color w:val="auto"/>
                <w:sz w:val="21"/>
                <w:highlight w:val="none"/>
              </w:rPr>
            </w:pPr>
          </w:p>
        </w:tc>
        <w:tc>
          <w:tcPr>
            <w:tcW w:w="1016" w:type="dxa"/>
            <w:vAlign w:val="top"/>
          </w:tcPr>
          <w:p w14:paraId="2EE49DA2">
            <w:pPr>
              <w:rPr>
                <w:rFonts w:ascii="Arial"/>
                <w:color w:val="auto"/>
                <w:sz w:val="21"/>
                <w:highlight w:val="none"/>
              </w:rPr>
            </w:pPr>
          </w:p>
        </w:tc>
        <w:tc>
          <w:tcPr>
            <w:tcW w:w="1017" w:type="dxa"/>
            <w:vAlign w:val="top"/>
          </w:tcPr>
          <w:p w14:paraId="7D90AD81">
            <w:pPr>
              <w:rPr>
                <w:rFonts w:ascii="Arial"/>
                <w:color w:val="auto"/>
                <w:sz w:val="21"/>
                <w:highlight w:val="none"/>
              </w:rPr>
            </w:pPr>
          </w:p>
        </w:tc>
        <w:tc>
          <w:tcPr>
            <w:tcW w:w="1273" w:type="dxa"/>
            <w:vAlign w:val="top"/>
          </w:tcPr>
          <w:p w14:paraId="0C5EF8CD">
            <w:pPr>
              <w:rPr>
                <w:rFonts w:ascii="Arial"/>
                <w:color w:val="auto"/>
                <w:sz w:val="21"/>
                <w:highlight w:val="none"/>
              </w:rPr>
            </w:pPr>
          </w:p>
        </w:tc>
        <w:tc>
          <w:tcPr>
            <w:tcW w:w="937" w:type="dxa"/>
            <w:tcBorders>
              <w:right w:val="single" w:color="000000" w:sz="6" w:space="0"/>
            </w:tcBorders>
            <w:vAlign w:val="top"/>
          </w:tcPr>
          <w:p w14:paraId="61590133">
            <w:pPr>
              <w:rPr>
                <w:rFonts w:ascii="Arial"/>
                <w:color w:val="auto"/>
                <w:sz w:val="21"/>
                <w:highlight w:val="none"/>
              </w:rPr>
            </w:pPr>
          </w:p>
        </w:tc>
      </w:tr>
      <w:tr w14:paraId="11D84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0E7BF8E8">
            <w:pPr>
              <w:rPr>
                <w:rFonts w:ascii="Arial"/>
                <w:color w:val="auto"/>
                <w:sz w:val="21"/>
                <w:highlight w:val="none"/>
              </w:rPr>
            </w:pPr>
          </w:p>
        </w:tc>
        <w:tc>
          <w:tcPr>
            <w:tcW w:w="1261" w:type="dxa"/>
            <w:vAlign w:val="top"/>
          </w:tcPr>
          <w:p w14:paraId="24698BE0">
            <w:pPr>
              <w:rPr>
                <w:rFonts w:ascii="Arial"/>
                <w:color w:val="auto"/>
                <w:sz w:val="21"/>
                <w:highlight w:val="none"/>
              </w:rPr>
            </w:pPr>
          </w:p>
        </w:tc>
        <w:tc>
          <w:tcPr>
            <w:tcW w:w="1841" w:type="dxa"/>
            <w:vAlign w:val="top"/>
          </w:tcPr>
          <w:p w14:paraId="1ECE6932">
            <w:pPr>
              <w:rPr>
                <w:rFonts w:ascii="Arial"/>
                <w:color w:val="auto"/>
                <w:sz w:val="21"/>
                <w:highlight w:val="none"/>
              </w:rPr>
            </w:pPr>
          </w:p>
        </w:tc>
        <w:tc>
          <w:tcPr>
            <w:tcW w:w="2124" w:type="dxa"/>
            <w:vAlign w:val="top"/>
          </w:tcPr>
          <w:p w14:paraId="556DEB27">
            <w:pPr>
              <w:rPr>
                <w:rFonts w:ascii="Arial"/>
                <w:color w:val="auto"/>
                <w:sz w:val="21"/>
                <w:highlight w:val="none"/>
              </w:rPr>
            </w:pPr>
          </w:p>
        </w:tc>
        <w:tc>
          <w:tcPr>
            <w:tcW w:w="779" w:type="dxa"/>
            <w:vAlign w:val="top"/>
          </w:tcPr>
          <w:p w14:paraId="30312CBA">
            <w:pPr>
              <w:rPr>
                <w:rFonts w:ascii="Arial"/>
                <w:color w:val="auto"/>
                <w:sz w:val="21"/>
                <w:highlight w:val="none"/>
              </w:rPr>
            </w:pPr>
          </w:p>
        </w:tc>
        <w:tc>
          <w:tcPr>
            <w:tcW w:w="825" w:type="dxa"/>
            <w:vAlign w:val="top"/>
          </w:tcPr>
          <w:p w14:paraId="10A721C9">
            <w:pPr>
              <w:rPr>
                <w:rFonts w:ascii="Arial"/>
                <w:color w:val="auto"/>
                <w:sz w:val="21"/>
                <w:highlight w:val="none"/>
              </w:rPr>
            </w:pPr>
          </w:p>
        </w:tc>
        <w:tc>
          <w:tcPr>
            <w:tcW w:w="1014" w:type="dxa"/>
            <w:vAlign w:val="top"/>
          </w:tcPr>
          <w:p w14:paraId="66BB2388">
            <w:pPr>
              <w:rPr>
                <w:rFonts w:ascii="Arial"/>
                <w:color w:val="auto"/>
                <w:sz w:val="21"/>
                <w:highlight w:val="none"/>
              </w:rPr>
            </w:pPr>
          </w:p>
        </w:tc>
        <w:tc>
          <w:tcPr>
            <w:tcW w:w="1014" w:type="dxa"/>
            <w:vAlign w:val="top"/>
          </w:tcPr>
          <w:p w14:paraId="751E10E2">
            <w:pPr>
              <w:rPr>
                <w:rFonts w:ascii="Arial"/>
                <w:color w:val="auto"/>
                <w:sz w:val="21"/>
                <w:highlight w:val="none"/>
              </w:rPr>
            </w:pPr>
          </w:p>
        </w:tc>
        <w:tc>
          <w:tcPr>
            <w:tcW w:w="1016" w:type="dxa"/>
            <w:vAlign w:val="top"/>
          </w:tcPr>
          <w:p w14:paraId="523BF32B">
            <w:pPr>
              <w:rPr>
                <w:rFonts w:ascii="Arial"/>
                <w:color w:val="auto"/>
                <w:sz w:val="21"/>
                <w:highlight w:val="none"/>
              </w:rPr>
            </w:pPr>
          </w:p>
        </w:tc>
        <w:tc>
          <w:tcPr>
            <w:tcW w:w="1017" w:type="dxa"/>
            <w:vAlign w:val="top"/>
          </w:tcPr>
          <w:p w14:paraId="54A05F1B">
            <w:pPr>
              <w:rPr>
                <w:rFonts w:ascii="Arial"/>
                <w:color w:val="auto"/>
                <w:sz w:val="21"/>
                <w:highlight w:val="none"/>
              </w:rPr>
            </w:pPr>
          </w:p>
        </w:tc>
        <w:tc>
          <w:tcPr>
            <w:tcW w:w="1273" w:type="dxa"/>
            <w:vAlign w:val="top"/>
          </w:tcPr>
          <w:p w14:paraId="289911DE">
            <w:pPr>
              <w:rPr>
                <w:rFonts w:ascii="Arial"/>
                <w:color w:val="auto"/>
                <w:sz w:val="21"/>
                <w:highlight w:val="none"/>
              </w:rPr>
            </w:pPr>
          </w:p>
        </w:tc>
        <w:tc>
          <w:tcPr>
            <w:tcW w:w="937" w:type="dxa"/>
            <w:tcBorders>
              <w:right w:val="single" w:color="000000" w:sz="6" w:space="0"/>
            </w:tcBorders>
            <w:vAlign w:val="top"/>
          </w:tcPr>
          <w:p w14:paraId="05CF2998">
            <w:pPr>
              <w:rPr>
                <w:rFonts w:ascii="Arial"/>
                <w:color w:val="auto"/>
                <w:sz w:val="21"/>
                <w:highlight w:val="none"/>
              </w:rPr>
            </w:pPr>
          </w:p>
        </w:tc>
      </w:tr>
      <w:tr w14:paraId="131AA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839" w:type="dxa"/>
            <w:tcBorders>
              <w:left w:val="single" w:color="000000" w:sz="6" w:space="0"/>
              <w:bottom w:val="single" w:color="000000" w:sz="6" w:space="0"/>
            </w:tcBorders>
            <w:vAlign w:val="top"/>
          </w:tcPr>
          <w:p w14:paraId="3C294BCA">
            <w:pPr>
              <w:rPr>
                <w:rFonts w:ascii="Arial"/>
                <w:color w:val="auto"/>
                <w:sz w:val="21"/>
                <w:highlight w:val="none"/>
              </w:rPr>
            </w:pPr>
          </w:p>
        </w:tc>
        <w:tc>
          <w:tcPr>
            <w:tcW w:w="1261" w:type="dxa"/>
            <w:tcBorders>
              <w:bottom w:val="single" w:color="000000" w:sz="6" w:space="0"/>
            </w:tcBorders>
            <w:vAlign w:val="top"/>
          </w:tcPr>
          <w:p w14:paraId="3DB736C8">
            <w:pPr>
              <w:rPr>
                <w:rFonts w:ascii="Arial"/>
                <w:color w:val="auto"/>
                <w:sz w:val="21"/>
                <w:highlight w:val="none"/>
              </w:rPr>
            </w:pPr>
          </w:p>
        </w:tc>
        <w:tc>
          <w:tcPr>
            <w:tcW w:w="1841" w:type="dxa"/>
            <w:tcBorders>
              <w:bottom w:val="single" w:color="000000" w:sz="6" w:space="0"/>
            </w:tcBorders>
            <w:vAlign w:val="top"/>
          </w:tcPr>
          <w:p w14:paraId="1F5DDBDF">
            <w:pPr>
              <w:pStyle w:val="17"/>
              <w:spacing w:before="238" w:line="222" w:lineRule="auto"/>
              <w:ind w:left="606"/>
              <w:rPr>
                <w:color w:val="auto"/>
                <w:sz w:val="21"/>
                <w:szCs w:val="21"/>
                <w:highlight w:val="none"/>
              </w:rPr>
            </w:pPr>
            <w:r>
              <w:rPr>
                <w:b/>
                <w:bCs/>
                <w:color w:val="auto"/>
                <w:spacing w:val="-7"/>
                <w:sz w:val="21"/>
                <w:szCs w:val="21"/>
                <w:highlight w:val="none"/>
              </w:rPr>
              <w:t>合</w:t>
            </w:r>
            <w:r>
              <w:rPr>
                <w:color w:val="auto"/>
                <w:spacing w:val="5"/>
                <w:sz w:val="21"/>
                <w:szCs w:val="21"/>
                <w:highlight w:val="none"/>
              </w:rPr>
              <w:t xml:space="preserve">  </w:t>
            </w:r>
            <w:r>
              <w:rPr>
                <w:b/>
                <w:bCs/>
                <w:color w:val="auto"/>
                <w:spacing w:val="-7"/>
                <w:sz w:val="21"/>
                <w:szCs w:val="21"/>
                <w:highlight w:val="none"/>
              </w:rPr>
              <w:t>计</w:t>
            </w:r>
          </w:p>
        </w:tc>
        <w:tc>
          <w:tcPr>
            <w:tcW w:w="2124" w:type="dxa"/>
            <w:tcBorders>
              <w:bottom w:val="single" w:color="000000" w:sz="6" w:space="0"/>
            </w:tcBorders>
            <w:vAlign w:val="top"/>
          </w:tcPr>
          <w:p w14:paraId="409E96DD">
            <w:pPr>
              <w:rPr>
                <w:rFonts w:ascii="Arial"/>
                <w:color w:val="auto"/>
                <w:sz w:val="21"/>
                <w:highlight w:val="none"/>
              </w:rPr>
            </w:pPr>
          </w:p>
        </w:tc>
        <w:tc>
          <w:tcPr>
            <w:tcW w:w="779" w:type="dxa"/>
            <w:tcBorders>
              <w:bottom w:val="single" w:color="000000" w:sz="6" w:space="0"/>
            </w:tcBorders>
            <w:vAlign w:val="top"/>
          </w:tcPr>
          <w:p w14:paraId="50027C95">
            <w:pPr>
              <w:rPr>
                <w:rFonts w:ascii="Arial"/>
                <w:color w:val="auto"/>
                <w:sz w:val="21"/>
                <w:highlight w:val="none"/>
              </w:rPr>
            </w:pPr>
          </w:p>
        </w:tc>
        <w:tc>
          <w:tcPr>
            <w:tcW w:w="825" w:type="dxa"/>
            <w:tcBorders>
              <w:bottom w:val="single" w:color="000000" w:sz="6" w:space="0"/>
            </w:tcBorders>
            <w:vAlign w:val="top"/>
          </w:tcPr>
          <w:p w14:paraId="589FCE44">
            <w:pPr>
              <w:rPr>
                <w:rFonts w:ascii="Arial"/>
                <w:color w:val="auto"/>
                <w:sz w:val="21"/>
                <w:highlight w:val="none"/>
              </w:rPr>
            </w:pPr>
          </w:p>
        </w:tc>
        <w:tc>
          <w:tcPr>
            <w:tcW w:w="1014" w:type="dxa"/>
            <w:tcBorders>
              <w:bottom w:val="single" w:color="000000" w:sz="6" w:space="0"/>
            </w:tcBorders>
            <w:vAlign w:val="top"/>
          </w:tcPr>
          <w:p w14:paraId="69F33255">
            <w:pPr>
              <w:rPr>
                <w:rFonts w:ascii="Arial"/>
                <w:color w:val="auto"/>
                <w:sz w:val="21"/>
                <w:highlight w:val="none"/>
              </w:rPr>
            </w:pPr>
          </w:p>
        </w:tc>
        <w:tc>
          <w:tcPr>
            <w:tcW w:w="1014" w:type="dxa"/>
            <w:tcBorders>
              <w:bottom w:val="single" w:color="000000" w:sz="6" w:space="0"/>
            </w:tcBorders>
            <w:vAlign w:val="top"/>
          </w:tcPr>
          <w:p w14:paraId="310AD1A6">
            <w:pPr>
              <w:rPr>
                <w:rFonts w:ascii="Arial"/>
                <w:color w:val="auto"/>
                <w:sz w:val="21"/>
                <w:highlight w:val="none"/>
              </w:rPr>
            </w:pPr>
          </w:p>
        </w:tc>
        <w:tc>
          <w:tcPr>
            <w:tcW w:w="1016" w:type="dxa"/>
            <w:tcBorders>
              <w:bottom w:val="single" w:color="000000" w:sz="6" w:space="0"/>
            </w:tcBorders>
            <w:vAlign w:val="top"/>
          </w:tcPr>
          <w:p w14:paraId="213EAF79">
            <w:pPr>
              <w:rPr>
                <w:rFonts w:ascii="Arial"/>
                <w:color w:val="auto"/>
                <w:sz w:val="21"/>
                <w:highlight w:val="none"/>
              </w:rPr>
            </w:pPr>
          </w:p>
        </w:tc>
        <w:tc>
          <w:tcPr>
            <w:tcW w:w="1017" w:type="dxa"/>
            <w:tcBorders>
              <w:bottom w:val="single" w:color="000000" w:sz="6" w:space="0"/>
            </w:tcBorders>
            <w:vAlign w:val="top"/>
          </w:tcPr>
          <w:p w14:paraId="3E71D93D">
            <w:pPr>
              <w:rPr>
                <w:rFonts w:ascii="Arial"/>
                <w:color w:val="auto"/>
                <w:sz w:val="21"/>
                <w:highlight w:val="none"/>
              </w:rPr>
            </w:pPr>
          </w:p>
        </w:tc>
        <w:tc>
          <w:tcPr>
            <w:tcW w:w="1273" w:type="dxa"/>
            <w:tcBorders>
              <w:bottom w:val="single" w:color="000000" w:sz="6" w:space="0"/>
            </w:tcBorders>
            <w:vAlign w:val="top"/>
          </w:tcPr>
          <w:p w14:paraId="489088AD">
            <w:pPr>
              <w:rPr>
                <w:rFonts w:ascii="Arial"/>
                <w:color w:val="auto"/>
                <w:sz w:val="21"/>
                <w:highlight w:val="none"/>
              </w:rPr>
            </w:pPr>
          </w:p>
        </w:tc>
        <w:tc>
          <w:tcPr>
            <w:tcW w:w="937" w:type="dxa"/>
            <w:tcBorders>
              <w:bottom w:val="single" w:color="000000" w:sz="6" w:space="0"/>
              <w:right w:val="single" w:color="000000" w:sz="6" w:space="0"/>
            </w:tcBorders>
            <w:vAlign w:val="top"/>
          </w:tcPr>
          <w:p w14:paraId="6C20423C">
            <w:pPr>
              <w:rPr>
                <w:rFonts w:ascii="Arial"/>
                <w:color w:val="auto"/>
                <w:sz w:val="21"/>
                <w:highlight w:val="none"/>
              </w:rPr>
            </w:pPr>
          </w:p>
        </w:tc>
      </w:tr>
    </w:tbl>
    <w:p w14:paraId="51F9A28D">
      <w:pPr>
        <w:pStyle w:val="3"/>
        <w:rPr>
          <w:color w:val="auto"/>
          <w:highlight w:val="none"/>
        </w:rPr>
      </w:pPr>
    </w:p>
    <w:p w14:paraId="4F9F12AC">
      <w:pPr>
        <w:rPr>
          <w:color w:val="auto"/>
          <w:highlight w:val="none"/>
        </w:rPr>
        <w:sectPr>
          <w:footerReference r:id="rId95" w:type="default"/>
          <w:pgSz w:w="16841" w:h="11907"/>
          <w:pgMar w:top="1012" w:right="1438" w:bottom="1252" w:left="1440" w:header="0" w:footer="1091" w:gutter="0"/>
          <w:pgNumType w:fmt="decimal"/>
          <w:cols w:space="720" w:num="1"/>
        </w:sectPr>
      </w:pPr>
    </w:p>
    <w:p w14:paraId="483E9322">
      <w:pPr>
        <w:pStyle w:val="3"/>
        <w:spacing w:line="313" w:lineRule="auto"/>
        <w:rPr>
          <w:color w:val="auto"/>
          <w:highlight w:val="none"/>
        </w:rPr>
      </w:pPr>
    </w:p>
    <w:p w14:paraId="2790DC37">
      <w:pPr>
        <w:pStyle w:val="3"/>
        <w:spacing w:line="314" w:lineRule="auto"/>
        <w:rPr>
          <w:color w:val="auto"/>
          <w:highlight w:val="none"/>
        </w:rPr>
      </w:pPr>
    </w:p>
    <w:p w14:paraId="36539DB9">
      <w:pPr>
        <w:pStyle w:val="3"/>
        <w:spacing w:line="314" w:lineRule="auto"/>
        <w:rPr>
          <w:color w:val="auto"/>
          <w:highlight w:val="none"/>
        </w:rPr>
      </w:pPr>
    </w:p>
    <w:p w14:paraId="338C4D88">
      <w:pPr>
        <w:spacing w:before="78" w:line="220" w:lineRule="auto"/>
        <w:ind w:left="458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金属结构设备及安装工程分类分项工程量清单</w:t>
      </w:r>
    </w:p>
    <w:p w14:paraId="18AF115D">
      <w:pPr>
        <w:spacing w:before="175" w:line="221" w:lineRule="auto"/>
        <w:ind w:left="11"/>
        <w:rPr>
          <w:rFonts w:ascii="宋体" w:hAnsi="宋体" w:eastAsia="宋体" w:cs="宋体"/>
          <w:color w:val="auto"/>
          <w:sz w:val="21"/>
          <w:szCs w:val="21"/>
          <w:highlight w:val="none"/>
        </w:rPr>
      </w:pPr>
      <w:r>
        <w:rPr>
          <w:rFonts w:ascii="宋体" w:hAnsi="宋体" w:eastAsia="宋体" w:cs="宋体"/>
          <w:color w:val="auto"/>
          <w:sz w:val="21"/>
          <w:szCs w:val="21"/>
          <w:highlight w:val="none"/>
        </w:rPr>
        <w:t>项目及标段名称：</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1"/>
          <w:sz w:val="21"/>
          <w:szCs w:val="21"/>
          <w:highlight w:val="none"/>
        </w:rPr>
        <w:t xml:space="preserve">                   第</w:t>
      </w:r>
      <w:r>
        <w:rPr>
          <w:rFonts w:ascii="宋体" w:hAnsi="宋体" w:eastAsia="宋体" w:cs="宋体"/>
          <w:color w:val="auto"/>
          <w:spacing w:val="3"/>
          <w:sz w:val="21"/>
          <w:szCs w:val="21"/>
          <w:highlight w:val="none"/>
        </w:rPr>
        <w:t xml:space="preserve">   </w:t>
      </w:r>
      <w:r>
        <w:rPr>
          <w:rFonts w:ascii="宋体" w:hAnsi="宋体" w:eastAsia="宋体" w:cs="宋体"/>
          <w:color w:val="auto"/>
          <w:spacing w:val="-1"/>
          <w:sz w:val="21"/>
          <w:szCs w:val="21"/>
          <w:highlight w:val="none"/>
        </w:rPr>
        <w:t>页共</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w:t>
      </w:r>
    </w:p>
    <w:p w14:paraId="0ABA3B39">
      <w:pPr>
        <w:spacing w:line="127" w:lineRule="exact"/>
        <w:rPr>
          <w:color w:val="auto"/>
          <w:highlight w:val="none"/>
        </w:rPr>
      </w:pPr>
    </w:p>
    <w:tbl>
      <w:tblPr>
        <w:tblStyle w:val="16"/>
        <w:tblW w:w="139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9"/>
        <w:gridCol w:w="1261"/>
        <w:gridCol w:w="1841"/>
        <w:gridCol w:w="2124"/>
        <w:gridCol w:w="779"/>
        <w:gridCol w:w="825"/>
        <w:gridCol w:w="1014"/>
        <w:gridCol w:w="1014"/>
        <w:gridCol w:w="1016"/>
        <w:gridCol w:w="1017"/>
        <w:gridCol w:w="1273"/>
        <w:gridCol w:w="937"/>
      </w:tblGrid>
      <w:tr w14:paraId="42AD3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39" w:type="dxa"/>
            <w:vMerge w:val="restart"/>
            <w:tcBorders>
              <w:top w:val="single" w:color="000000" w:sz="6" w:space="0"/>
              <w:left w:val="single" w:color="000000" w:sz="6" w:space="0"/>
              <w:bottom w:val="nil"/>
            </w:tcBorders>
            <w:vAlign w:val="top"/>
          </w:tcPr>
          <w:p w14:paraId="0CAC3F3F">
            <w:pPr>
              <w:spacing w:line="366" w:lineRule="auto"/>
              <w:rPr>
                <w:rFonts w:ascii="Arial"/>
                <w:color w:val="auto"/>
                <w:sz w:val="21"/>
                <w:highlight w:val="none"/>
              </w:rPr>
            </w:pPr>
          </w:p>
          <w:p w14:paraId="314A6C39">
            <w:pPr>
              <w:pStyle w:val="17"/>
              <w:spacing w:before="68" w:line="222" w:lineRule="auto"/>
              <w:ind w:left="205"/>
              <w:rPr>
                <w:color w:val="auto"/>
                <w:sz w:val="21"/>
                <w:szCs w:val="21"/>
                <w:highlight w:val="none"/>
              </w:rPr>
            </w:pPr>
            <w:r>
              <w:rPr>
                <w:color w:val="auto"/>
                <w:spacing w:val="-2"/>
                <w:sz w:val="21"/>
                <w:szCs w:val="21"/>
                <w:highlight w:val="none"/>
              </w:rPr>
              <w:t>序号</w:t>
            </w:r>
          </w:p>
        </w:tc>
        <w:tc>
          <w:tcPr>
            <w:tcW w:w="1261" w:type="dxa"/>
            <w:vMerge w:val="restart"/>
            <w:tcBorders>
              <w:top w:val="single" w:color="000000" w:sz="6" w:space="0"/>
              <w:bottom w:val="nil"/>
            </w:tcBorders>
            <w:vAlign w:val="top"/>
          </w:tcPr>
          <w:p w14:paraId="54D51B6E">
            <w:pPr>
              <w:spacing w:line="366" w:lineRule="auto"/>
              <w:rPr>
                <w:rFonts w:ascii="Arial"/>
                <w:color w:val="auto"/>
                <w:sz w:val="21"/>
                <w:highlight w:val="none"/>
              </w:rPr>
            </w:pPr>
          </w:p>
          <w:p w14:paraId="100B62DA">
            <w:pPr>
              <w:pStyle w:val="17"/>
              <w:spacing w:before="68" w:line="221" w:lineRule="auto"/>
              <w:ind w:left="213"/>
              <w:rPr>
                <w:color w:val="auto"/>
                <w:sz w:val="21"/>
                <w:szCs w:val="21"/>
                <w:highlight w:val="none"/>
              </w:rPr>
            </w:pPr>
            <w:r>
              <w:rPr>
                <w:color w:val="auto"/>
                <w:spacing w:val="-3"/>
                <w:sz w:val="21"/>
                <w:szCs w:val="21"/>
                <w:highlight w:val="none"/>
              </w:rPr>
              <w:t>项目编码</w:t>
            </w:r>
          </w:p>
        </w:tc>
        <w:tc>
          <w:tcPr>
            <w:tcW w:w="1841" w:type="dxa"/>
            <w:vMerge w:val="restart"/>
            <w:tcBorders>
              <w:top w:val="single" w:color="000000" w:sz="6" w:space="0"/>
              <w:bottom w:val="nil"/>
            </w:tcBorders>
            <w:vAlign w:val="top"/>
          </w:tcPr>
          <w:p w14:paraId="792032B1">
            <w:pPr>
              <w:spacing w:line="367" w:lineRule="auto"/>
              <w:rPr>
                <w:rFonts w:ascii="Arial"/>
                <w:color w:val="auto"/>
                <w:sz w:val="21"/>
                <w:highlight w:val="none"/>
              </w:rPr>
            </w:pPr>
          </w:p>
          <w:p w14:paraId="5725CB1B">
            <w:pPr>
              <w:pStyle w:val="17"/>
              <w:spacing w:before="68" w:line="221" w:lineRule="auto"/>
              <w:ind w:left="505"/>
              <w:rPr>
                <w:color w:val="auto"/>
                <w:sz w:val="21"/>
                <w:szCs w:val="21"/>
                <w:highlight w:val="none"/>
              </w:rPr>
            </w:pPr>
            <w:r>
              <w:rPr>
                <w:color w:val="auto"/>
                <w:spacing w:val="-3"/>
                <w:sz w:val="21"/>
                <w:szCs w:val="21"/>
                <w:highlight w:val="none"/>
              </w:rPr>
              <w:t>项目名称</w:t>
            </w:r>
          </w:p>
        </w:tc>
        <w:tc>
          <w:tcPr>
            <w:tcW w:w="2124" w:type="dxa"/>
            <w:vMerge w:val="restart"/>
            <w:tcBorders>
              <w:top w:val="single" w:color="000000" w:sz="6" w:space="0"/>
              <w:bottom w:val="nil"/>
            </w:tcBorders>
            <w:vAlign w:val="top"/>
          </w:tcPr>
          <w:p w14:paraId="69FF4B48">
            <w:pPr>
              <w:spacing w:line="366" w:lineRule="auto"/>
              <w:rPr>
                <w:rFonts w:ascii="Arial"/>
                <w:color w:val="auto"/>
                <w:sz w:val="21"/>
                <w:highlight w:val="none"/>
              </w:rPr>
            </w:pPr>
          </w:p>
          <w:p w14:paraId="67F876CC">
            <w:pPr>
              <w:pStyle w:val="17"/>
              <w:spacing w:before="68" w:line="221" w:lineRule="auto"/>
              <w:ind w:left="438"/>
              <w:rPr>
                <w:color w:val="auto"/>
                <w:sz w:val="21"/>
                <w:szCs w:val="21"/>
                <w:highlight w:val="none"/>
              </w:rPr>
            </w:pPr>
            <w:r>
              <w:rPr>
                <w:color w:val="auto"/>
                <w:spacing w:val="-2"/>
                <w:sz w:val="21"/>
                <w:szCs w:val="21"/>
                <w:highlight w:val="none"/>
              </w:rPr>
              <w:t>项目主要特征</w:t>
            </w:r>
          </w:p>
        </w:tc>
        <w:tc>
          <w:tcPr>
            <w:tcW w:w="779" w:type="dxa"/>
            <w:vMerge w:val="restart"/>
            <w:tcBorders>
              <w:top w:val="single" w:color="000000" w:sz="6" w:space="0"/>
              <w:bottom w:val="nil"/>
            </w:tcBorders>
            <w:vAlign w:val="top"/>
          </w:tcPr>
          <w:p w14:paraId="12B52832">
            <w:pPr>
              <w:pStyle w:val="17"/>
              <w:spacing w:before="299" w:line="243" w:lineRule="auto"/>
              <w:ind w:left="186" w:right="174" w:hanging="1"/>
              <w:rPr>
                <w:color w:val="auto"/>
                <w:sz w:val="21"/>
                <w:szCs w:val="21"/>
                <w:highlight w:val="none"/>
              </w:rPr>
            </w:pPr>
            <w:r>
              <w:rPr>
                <w:color w:val="auto"/>
                <w:spacing w:val="-3"/>
                <w:sz w:val="21"/>
                <w:szCs w:val="21"/>
                <w:highlight w:val="none"/>
              </w:rPr>
              <w:t>计量</w:t>
            </w:r>
            <w:r>
              <w:rPr>
                <w:color w:val="auto"/>
                <w:spacing w:val="-4"/>
                <w:sz w:val="21"/>
                <w:szCs w:val="21"/>
                <w:highlight w:val="none"/>
              </w:rPr>
              <w:t>单位</w:t>
            </w:r>
          </w:p>
        </w:tc>
        <w:tc>
          <w:tcPr>
            <w:tcW w:w="825" w:type="dxa"/>
            <w:vMerge w:val="restart"/>
            <w:tcBorders>
              <w:top w:val="single" w:color="000000" w:sz="6" w:space="0"/>
              <w:bottom w:val="nil"/>
            </w:tcBorders>
            <w:vAlign w:val="top"/>
          </w:tcPr>
          <w:p w14:paraId="55644C0A">
            <w:pPr>
              <w:pStyle w:val="17"/>
              <w:spacing w:before="301" w:line="242" w:lineRule="auto"/>
              <w:ind w:left="209" w:right="198"/>
              <w:rPr>
                <w:color w:val="auto"/>
                <w:sz w:val="21"/>
                <w:szCs w:val="21"/>
                <w:highlight w:val="none"/>
              </w:rPr>
            </w:pPr>
            <w:r>
              <w:rPr>
                <w:color w:val="auto"/>
                <w:spacing w:val="-5"/>
                <w:sz w:val="21"/>
                <w:szCs w:val="21"/>
                <w:highlight w:val="none"/>
              </w:rPr>
              <w:t>工程</w:t>
            </w:r>
            <w:r>
              <w:rPr>
                <w:color w:val="auto"/>
                <w:spacing w:val="-4"/>
                <w:sz w:val="21"/>
                <w:szCs w:val="21"/>
                <w:highlight w:val="none"/>
              </w:rPr>
              <w:t>数量</w:t>
            </w:r>
          </w:p>
        </w:tc>
        <w:tc>
          <w:tcPr>
            <w:tcW w:w="2028" w:type="dxa"/>
            <w:gridSpan w:val="2"/>
            <w:tcBorders>
              <w:top w:val="single" w:color="000000" w:sz="6" w:space="0"/>
            </w:tcBorders>
            <w:vAlign w:val="top"/>
          </w:tcPr>
          <w:p w14:paraId="54DEBB89">
            <w:pPr>
              <w:pStyle w:val="17"/>
              <w:spacing w:before="168" w:line="219" w:lineRule="auto"/>
              <w:ind w:left="447"/>
              <w:rPr>
                <w:color w:val="auto"/>
                <w:sz w:val="21"/>
                <w:szCs w:val="21"/>
                <w:highlight w:val="none"/>
              </w:rPr>
            </w:pPr>
            <w:r>
              <w:rPr>
                <w:color w:val="auto"/>
                <w:spacing w:val="-4"/>
                <w:sz w:val="21"/>
                <w:szCs w:val="21"/>
                <w:highlight w:val="none"/>
              </w:rPr>
              <w:t>单价 （元）</w:t>
            </w:r>
          </w:p>
        </w:tc>
        <w:tc>
          <w:tcPr>
            <w:tcW w:w="2033" w:type="dxa"/>
            <w:gridSpan w:val="2"/>
            <w:tcBorders>
              <w:top w:val="single" w:color="000000" w:sz="6" w:space="0"/>
            </w:tcBorders>
            <w:vAlign w:val="top"/>
          </w:tcPr>
          <w:p w14:paraId="141BCB42">
            <w:pPr>
              <w:pStyle w:val="17"/>
              <w:spacing w:before="168" w:line="219" w:lineRule="auto"/>
              <w:ind w:left="449"/>
              <w:rPr>
                <w:color w:val="auto"/>
                <w:sz w:val="21"/>
                <w:szCs w:val="21"/>
                <w:highlight w:val="none"/>
              </w:rPr>
            </w:pPr>
            <w:r>
              <w:rPr>
                <w:color w:val="auto"/>
                <w:spacing w:val="-4"/>
                <w:sz w:val="21"/>
                <w:szCs w:val="21"/>
                <w:highlight w:val="none"/>
              </w:rPr>
              <w:t>合价 （元）</w:t>
            </w:r>
          </w:p>
        </w:tc>
        <w:tc>
          <w:tcPr>
            <w:tcW w:w="1273" w:type="dxa"/>
            <w:vMerge w:val="restart"/>
            <w:tcBorders>
              <w:top w:val="single" w:color="000000" w:sz="6" w:space="0"/>
              <w:bottom w:val="nil"/>
            </w:tcBorders>
            <w:vAlign w:val="top"/>
          </w:tcPr>
          <w:p w14:paraId="2EE046C2">
            <w:pPr>
              <w:pStyle w:val="17"/>
              <w:spacing w:before="301" w:line="242" w:lineRule="auto"/>
              <w:ind w:left="231" w:right="204"/>
              <w:rPr>
                <w:color w:val="auto"/>
                <w:sz w:val="21"/>
                <w:szCs w:val="21"/>
                <w:highlight w:val="none"/>
              </w:rPr>
            </w:pPr>
            <w:r>
              <w:rPr>
                <w:color w:val="auto"/>
                <w:spacing w:val="-2"/>
                <w:sz w:val="21"/>
                <w:szCs w:val="21"/>
                <w:highlight w:val="none"/>
              </w:rPr>
              <w:t>主要技术条款编码</w:t>
            </w:r>
          </w:p>
        </w:tc>
        <w:tc>
          <w:tcPr>
            <w:tcW w:w="937" w:type="dxa"/>
            <w:vMerge w:val="restart"/>
            <w:tcBorders>
              <w:top w:val="single" w:color="000000" w:sz="6" w:space="0"/>
              <w:bottom w:val="nil"/>
              <w:right w:val="single" w:color="000000" w:sz="6" w:space="0"/>
            </w:tcBorders>
            <w:vAlign w:val="top"/>
          </w:tcPr>
          <w:p w14:paraId="7E6C81CA">
            <w:pPr>
              <w:spacing w:line="366" w:lineRule="auto"/>
              <w:rPr>
                <w:rFonts w:ascii="Arial"/>
                <w:color w:val="auto"/>
                <w:sz w:val="21"/>
                <w:highlight w:val="none"/>
              </w:rPr>
            </w:pPr>
          </w:p>
          <w:p w14:paraId="271C3848">
            <w:pPr>
              <w:pStyle w:val="17"/>
              <w:spacing w:before="68" w:line="222" w:lineRule="auto"/>
              <w:ind w:left="269"/>
              <w:rPr>
                <w:color w:val="auto"/>
                <w:sz w:val="21"/>
                <w:szCs w:val="21"/>
                <w:highlight w:val="none"/>
              </w:rPr>
            </w:pPr>
            <w:r>
              <w:rPr>
                <w:color w:val="auto"/>
                <w:spacing w:val="-3"/>
                <w:sz w:val="21"/>
                <w:szCs w:val="21"/>
                <w:highlight w:val="none"/>
              </w:rPr>
              <w:t>备注</w:t>
            </w:r>
          </w:p>
        </w:tc>
      </w:tr>
      <w:tr w14:paraId="7C647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839" w:type="dxa"/>
            <w:vMerge w:val="continue"/>
            <w:tcBorders>
              <w:top w:val="nil"/>
              <w:left w:val="single" w:color="000000" w:sz="6" w:space="0"/>
            </w:tcBorders>
            <w:vAlign w:val="top"/>
          </w:tcPr>
          <w:p w14:paraId="4B9CBE7E">
            <w:pPr>
              <w:rPr>
                <w:rFonts w:ascii="Arial"/>
                <w:color w:val="auto"/>
                <w:sz w:val="21"/>
                <w:highlight w:val="none"/>
              </w:rPr>
            </w:pPr>
          </w:p>
        </w:tc>
        <w:tc>
          <w:tcPr>
            <w:tcW w:w="1261" w:type="dxa"/>
            <w:vMerge w:val="continue"/>
            <w:tcBorders>
              <w:top w:val="nil"/>
            </w:tcBorders>
            <w:vAlign w:val="top"/>
          </w:tcPr>
          <w:p w14:paraId="7226B60D">
            <w:pPr>
              <w:rPr>
                <w:rFonts w:ascii="Arial"/>
                <w:color w:val="auto"/>
                <w:sz w:val="21"/>
                <w:highlight w:val="none"/>
              </w:rPr>
            </w:pPr>
          </w:p>
        </w:tc>
        <w:tc>
          <w:tcPr>
            <w:tcW w:w="1841" w:type="dxa"/>
            <w:vMerge w:val="continue"/>
            <w:tcBorders>
              <w:top w:val="nil"/>
            </w:tcBorders>
            <w:vAlign w:val="top"/>
          </w:tcPr>
          <w:p w14:paraId="04E32EDF">
            <w:pPr>
              <w:rPr>
                <w:rFonts w:ascii="Arial"/>
                <w:color w:val="auto"/>
                <w:sz w:val="21"/>
                <w:highlight w:val="none"/>
              </w:rPr>
            </w:pPr>
          </w:p>
        </w:tc>
        <w:tc>
          <w:tcPr>
            <w:tcW w:w="2124" w:type="dxa"/>
            <w:vMerge w:val="continue"/>
            <w:tcBorders>
              <w:top w:val="nil"/>
            </w:tcBorders>
            <w:vAlign w:val="top"/>
          </w:tcPr>
          <w:p w14:paraId="154A2ECB">
            <w:pPr>
              <w:rPr>
                <w:rFonts w:ascii="Arial"/>
                <w:color w:val="auto"/>
                <w:sz w:val="21"/>
                <w:highlight w:val="none"/>
              </w:rPr>
            </w:pPr>
          </w:p>
        </w:tc>
        <w:tc>
          <w:tcPr>
            <w:tcW w:w="779" w:type="dxa"/>
            <w:vMerge w:val="continue"/>
            <w:tcBorders>
              <w:top w:val="nil"/>
            </w:tcBorders>
            <w:vAlign w:val="top"/>
          </w:tcPr>
          <w:p w14:paraId="481A8C13">
            <w:pPr>
              <w:rPr>
                <w:rFonts w:ascii="Arial"/>
                <w:color w:val="auto"/>
                <w:sz w:val="21"/>
                <w:highlight w:val="none"/>
              </w:rPr>
            </w:pPr>
          </w:p>
        </w:tc>
        <w:tc>
          <w:tcPr>
            <w:tcW w:w="825" w:type="dxa"/>
            <w:vMerge w:val="continue"/>
            <w:tcBorders>
              <w:top w:val="nil"/>
            </w:tcBorders>
            <w:vAlign w:val="top"/>
          </w:tcPr>
          <w:p w14:paraId="69C23DAD">
            <w:pPr>
              <w:rPr>
                <w:rFonts w:ascii="Arial"/>
                <w:color w:val="auto"/>
                <w:sz w:val="21"/>
                <w:highlight w:val="none"/>
              </w:rPr>
            </w:pPr>
          </w:p>
        </w:tc>
        <w:tc>
          <w:tcPr>
            <w:tcW w:w="1014" w:type="dxa"/>
            <w:vAlign w:val="top"/>
          </w:tcPr>
          <w:p w14:paraId="79E86CF1">
            <w:pPr>
              <w:pStyle w:val="17"/>
              <w:spacing w:before="157" w:line="221" w:lineRule="auto"/>
              <w:ind w:left="202"/>
              <w:rPr>
                <w:color w:val="auto"/>
                <w:sz w:val="21"/>
                <w:szCs w:val="21"/>
                <w:highlight w:val="none"/>
              </w:rPr>
            </w:pPr>
            <w:r>
              <w:rPr>
                <w:color w:val="auto"/>
                <w:spacing w:val="-2"/>
                <w:sz w:val="21"/>
                <w:szCs w:val="21"/>
                <w:highlight w:val="none"/>
              </w:rPr>
              <w:t>设备费</w:t>
            </w:r>
          </w:p>
        </w:tc>
        <w:tc>
          <w:tcPr>
            <w:tcW w:w="1014" w:type="dxa"/>
            <w:vAlign w:val="top"/>
          </w:tcPr>
          <w:p w14:paraId="28147112">
            <w:pPr>
              <w:pStyle w:val="17"/>
              <w:spacing w:before="157" w:line="221" w:lineRule="auto"/>
              <w:ind w:left="204"/>
              <w:rPr>
                <w:color w:val="auto"/>
                <w:sz w:val="21"/>
                <w:szCs w:val="21"/>
                <w:highlight w:val="none"/>
              </w:rPr>
            </w:pPr>
            <w:r>
              <w:rPr>
                <w:color w:val="auto"/>
                <w:spacing w:val="-2"/>
                <w:sz w:val="21"/>
                <w:szCs w:val="21"/>
                <w:highlight w:val="none"/>
              </w:rPr>
              <w:t>安装费</w:t>
            </w:r>
          </w:p>
        </w:tc>
        <w:tc>
          <w:tcPr>
            <w:tcW w:w="1016" w:type="dxa"/>
            <w:vAlign w:val="top"/>
          </w:tcPr>
          <w:p w14:paraId="36877609">
            <w:pPr>
              <w:pStyle w:val="17"/>
              <w:spacing w:before="157" w:line="221" w:lineRule="auto"/>
              <w:ind w:left="204"/>
              <w:rPr>
                <w:color w:val="auto"/>
                <w:sz w:val="21"/>
                <w:szCs w:val="21"/>
                <w:highlight w:val="none"/>
              </w:rPr>
            </w:pPr>
            <w:r>
              <w:rPr>
                <w:color w:val="auto"/>
                <w:spacing w:val="-2"/>
                <w:sz w:val="21"/>
                <w:szCs w:val="21"/>
                <w:highlight w:val="none"/>
              </w:rPr>
              <w:t>设备费</w:t>
            </w:r>
          </w:p>
        </w:tc>
        <w:tc>
          <w:tcPr>
            <w:tcW w:w="1017" w:type="dxa"/>
            <w:vAlign w:val="top"/>
          </w:tcPr>
          <w:p w14:paraId="0D531820">
            <w:pPr>
              <w:pStyle w:val="17"/>
              <w:spacing w:before="157" w:line="221" w:lineRule="auto"/>
              <w:ind w:left="207"/>
              <w:rPr>
                <w:color w:val="auto"/>
                <w:sz w:val="21"/>
                <w:szCs w:val="21"/>
                <w:highlight w:val="none"/>
              </w:rPr>
            </w:pPr>
            <w:r>
              <w:rPr>
                <w:color w:val="auto"/>
                <w:spacing w:val="-2"/>
                <w:sz w:val="21"/>
                <w:szCs w:val="21"/>
                <w:highlight w:val="none"/>
              </w:rPr>
              <w:t>安装费</w:t>
            </w:r>
          </w:p>
        </w:tc>
        <w:tc>
          <w:tcPr>
            <w:tcW w:w="1273" w:type="dxa"/>
            <w:vMerge w:val="continue"/>
            <w:tcBorders>
              <w:top w:val="nil"/>
            </w:tcBorders>
            <w:vAlign w:val="top"/>
          </w:tcPr>
          <w:p w14:paraId="52ABB7F6">
            <w:pPr>
              <w:rPr>
                <w:rFonts w:ascii="Arial"/>
                <w:color w:val="auto"/>
                <w:sz w:val="21"/>
                <w:highlight w:val="none"/>
              </w:rPr>
            </w:pPr>
          </w:p>
        </w:tc>
        <w:tc>
          <w:tcPr>
            <w:tcW w:w="937" w:type="dxa"/>
            <w:vMerge w:val="continue"/>
            <w:tcBorders>
              <w:top w:val="nil"/>
              <w:right w:val="single" w:color="000000" w:sz="6" w:space="0"/>
            </w:tcBorders>
            <w:vAlign w:val="top"/>
          </w:tcPr>
          <w:p w14:paraId="43A7856A">
            <w:pPr>
              <w:rPr>
                <w:rFonts w:ascii="Arial"/>
                <w:color w:val="auto"/>
                <w:sz w:val="21"/>
                <w:highlight w:val="none"/>
              </w:rPr>
            </w:pPr>
          </w:p>
        </w:tc>
      </w:tr>
      <w:tr w14:paraId="26EC9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4FB33B6C">
            <w:pPr>
              <w:rPr>
                <w:rFonts w:ascii="Arial"/>
                <w:color w:val="auto"/>
                <w:sz w:val="21"/>
                <w:highlight w:val="none"/>
              </w:rPr>
            </w:pPr>
          </w:p>
        </w:tc>
        <w:tc>
          <w:tcPr>
            <w:tcW w:w="1261" w:type="dxa"/>
            <w:vAlign w:val="top"/>
          </w:tcPr>
          <w:p w14:paraId="57908591">
            <w:pPr>
              <w:rPr>
                <w:rFonts w:ascii="Arial"/>
                <w:color w:val="auto"/>
                <w:sz w:val="21"/>
                <w:highlight w:val="none"/>
              </w:rPr>
            </w:pPr>
          </w:p>
        </w:tc>
        <w:tc>
          <w:tcPr>
            <w:tcW w:w="1841" w:type="dxa"/>
            <w:vAlign w:val="top"/>
          </w:tcPr>
          <w:p w14:paraId="27877CE5">
            <w:pPr>
              <w:rPr>
                <w:rFonts w:ascii="Arial"/>
                <w:color w:val="auto"/>
                <w:sz w:val="21"/>
                <w:highlight w:val="none"/>
              </w:rPr>
            </w:pPr>
          </w:p>
        </w:tc>
        <w:tc>
          <w:tcPr>
            <w:tcW w:w="2124" w:type="dxa"/>
            <w:vAlign w:val="top"/>
          </w:tcPr>
          <w:p w14:paraId="135F76CB">
            <w:pPr>
              <w:rPr>
                <w:rFonts w:ascii="Arial"/>
                <w:color w:val="auto"/>
                <w:sz w:val="21"/>
                <w:highlight w:val="none"/>
              </w:rPr>
            </w:pPr>
          </w:p>
        </w:tc>
        <w:tc>
          <w:tcPr>
            <w:tcW w:w="779" w:type="dxa"/>
            <w:vAlign w:val="top"/>
          </w:tcPr>
          <w:p w14:paraId="0B6D94C0">
            <w:pPr>
              <w:rPr>
                <w:rFonts w:ascii="Arial"/>
                <w:color w:val="auto"/>
                <w:sz w:val="21"/>
                <w:highlight w:val="none"/>
              </w:rPr>
            </w:pPr>
          </w:p>
        </w:tc>
        <w:tc>
          <w:tcPr>
            <w:tcW w:w="825" w:type="dxa"/>
            <w:vAlign w:val="top"/>
          </w:tcPr>
          <w:p w14:paraId="19208CBB">
            <w:pPr>
              <w:rPr>
                <w:rFonts w:ascii="Arial"/>
                <w:color w:val="auto"/>
                <w:sz w:val="21"/>
                <w:highlight w:val="none"/>
              </w:rPr>
            </w:pPr>
          </w:p>
        </w:tc>
        <w:tc>
          <w:tcPr>
            <w:tcW w:w="1014" w:type="dxa"/>
            <w:vAlign w:val="top"/>
          </w:tcPr>
          <w:p w14:paraId="4631D2A2">
            <w:pPr>
              <w:rPr>
                <w:rFonts w:ascii="Arial"/>
                <w:color w:val="auto"/>
                <w:sz w:val="21"/>
                <w:highlight w:val="none"/>
              </w:rPr>
            </w:pPr>
          </w:p>
        </w:tc>
        <w:tc>
          <w:tcPr>
            <w:tcW w:w="1014" w:type="dxa"/>
            <w:vAlign w:val="top"/>
          </w:tcPr>
          <w:p w14:paraId="5AD155B1">
            <w:pPr>
              <w:rPr>
                <w:rFonts w:ascii="Arial"/>
                <w:color w:val="auto"/>
                <w:sz w:val="21"/>
                <w:highlight w:val="none"/>
              </w:rPr>
            </w:pPr>
          </w:p>
        </w:tc>
        <w:tc>
          <w:tcPr>
            <w:tcW w:w="1016" w:type="dxa"/>
            <w:vAlign w:val="top"/>
          </w:tcPr>
          <w:p w14:paraId="28784027">
            <w:pPr>
              <w:rPr>
                <w:rFonts w:ascii="Arial"/>
                <w:color w:val="auto"/>
                <w:sz w:val="21"/>
                <w:highlight w:val="none"/>
              </w:rPr>
            </w:pPr>
          </w:p>
        </w:tc>
        <w:tc>
          <w:tcPr>
            <w:tcW w:w="1017" w:type="dxa"/>
            <w:vAlign w:val="top"/>
          </w:tcPr>
          <w:p w14:paraId="1A6065B6">
            <w:pPr>
              <w:rPr>
                <w:rFonts w:ascii="Arial"/>
                <w:color w:val="auto"/>
                <w:sz w:val="21"/>
                <w:highlight w:val="none"/>
              </w:rPr>
            </w:pPr>
          </w:p>
        </w:tc>
        <w:tc>
          <w:tcPr>
            <w:tcW w:w="1273" w:type="dxa"/>
            <w:vAlign w:val="top"/>
          </w:tcPr>
          <w:p w14:paraId="4E17EA31">
            <w:pPr>
              <w:rPr>
                <w:rFonts w:ascii="Arial"/>
                <w:color w:val="auto"/>
                <w:sz w:val="21"/>
                <w:highlight w:val="none"/>
              </w:rPr>
            </w:pPr>
          </w:p>
        </w:tc>
        <w:tc>
          <w:tcPr>
            <w:tcW w:w="937" w:type="dxa"/>
            <w:tcBorders>
              <w:right w:val="single" w:color="000000" w:sz="6" w:space="0"/>
            </w:tcBorders>
            <w:vAlign w:val="top"/>
          </w:tcPr>
          <w:p w14:paraId="45DC3D5F">
            <w:pPr>
              <w:rPr>
                <w:rFonts w:ascii="Arial"/>
                <w:color w:val="auto"/>
                <w:sz w:val="21"/>
                <w:highlight w:val="none"/>
              </w:rPr>
            </w:pPr>
          </w:p>
        </w:tc>
      </w:tr>
      <w:tr w14:paraId="1EC27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166A3DE4">
            <w:pPr>
              <w:rPr>
                <w:rFonts w:ascii="Arial"/>
                <w:color w:val="auto"/>
                <w:sz w:val="21"/>
                <w:highlight w:val="none"/>
              </w:rPr>
            </w:pPr>
          </w:p>
        </w:tc>
        <w:tc>
          <w:tcPr>
            <w:tcW w:w="1261" w:type="dxa"/>
            <w:vAlign w:val="top"/>
          </w:tcPr>
          <w:p w14:paraId="39852291">
            <w:pPr>
              <w:rPr>
                <w:rFonts w:ascii="Arial"/>
                <w:color w:val="auto"/>
                <w:sz w:val="21"/>
                <w:highlight w:val="none"/>
              </w:rPr>
            </w:pPr>
          </w:p>
        </w:tc>
        <w:tc>
          <w:tcPr>
            <w:tcW w:w="1841" w:type="dxa"/>
            <w:vAlign w:val="top"/>
          </w:tcPr>
          <w:p w14:paraId="003B27DB">
            <w:pPr>
              <w:rPr>
                <w:rFonts w:ascii="Arial"/>
                <w:color w:val="auto"/>
                <w:sz w:val="21"/>
                <w:highlight w:val="none"/>
              </w:rPr>
            </w:pPr>
          </w:p>
        </w:tc>
        <w:tc>
          <w:tcPr>
            <w:tcW w:w="2124" w:type="dxa"/>
            <w:vAlign w:val="top"/>
          </w:tcPr>
          <w:p w14:paraId="76EAC693">
            <w:pPr>
              <w:rPr>
                <w:rFonts w:ascii="Arial"/>
                <w:color w:val="auto"/>
                <w:sz w:val="21"/>
                <w:highlight w:val="none"/>
              </w:rPr>
            </w:pPr>
          </w:p>
        </w:tc>
        <w:tc>
          <w:tcPr>
            <w:tcW w:w="779" w:type="dxa"/>
            <w:vAlign w:val="top"/>
          </w:tcPr>
          <w:p w14:paraId="453740DE">
            <w:pPr>
              <w:rPr>
                <w:rFonts w:ascii="Arial"/>
                <w:color w:val="auto"/>
                <w:sz w:val="21"/>
                <w:highlight w:val="none"/>
              </w:rPr>
            </w:pPr>
          </w:p>
        </w:tc>
        <w:tc>
          <w:tcPr>
            <w:tcW w:w="825" w:type="dxa"/>
            <w:vAlign w:val="top"/>
          </w:tcPr>
          <w:p w14:paraId="6D048508">
            <w:pPr>
              <w:rPr>
                <w:rFonts w:ascii="Arial"/>
                <w:color w:val="auto"/>
                <w:sz w:val="21"/>
                <w:highlight w:val="none"/>
              </w:rPr>
            </w:pPr>
          </w:p>
        </w:tc>
        <w:tc>
          <w:tcPr>
            <w:tcW w:w="1014" w:type="dxa"/>
            <w:vAlign w:val="top"/>
          </w:tcPr>
          <w:p w14:paraId="7F94C0E1">
            <w:pPr>
              <w:rPr>
                <w:rFonts w:ascii="Arial"/>
                <w:color w:val="auto"/>
                <w:sz w:val="21"/>
                <w:highlight w:val="none"/>
              </w:rPr>
            </w:pPr>
          </w:p>
        </w:tc>
        <w:tc>
          <w:tcPr>
            <w:tcW w:w="1014" w:type="dxa"/>
            <w:vAlign w:val="top"/>
          </w:tcPr>
          <w:p w14:paraId="7F112CE2">
            <w:pPr>
              <w:rPr>
                <w:rFonts w:ascii="Arial"/>
                <w:color w:val="auto"/>
                <w:sz w:val="21"/>
                <w:highlight w:val="none"/>
              </w:rPr>
            </w:pPr>
          </w:p>
        </w:tc>
        <w:tc>
          <w:tcPr>
            <w:tcW w:w="1016" w:type="dxa"/>
            <w:vAlign w:val="top"/>
          </w:tcPr>
          <w:p w14:paraId="35AAE098">
            <w:pPr>
              <w:rPr>
                <w:rFonts w:ascii="Arial"/>
                <w:color w:val="auto"/>
                <w:sz w:val="21"/>
                <w:highlight w:val="none"/>
              </w:rPr>
            </w:pPr>
          </w:p>
        </w:tc>
        <w:tc>
          <w:tcPr>
            <w:tcW w:w="1017" w:type="dxa"/>
            <w:vAlign w:val="top"/>
          </w:tcPr>
          <w:p w14:paraId="735B4F00">
            <w:pPr>
              <w:rPr>
                <w:rFonts w:ascii="Arial"/>
                <w:color w:val="auto"/>
                <w:sz w:val="21"/>
                <w:highlight w:val="none"/>
              </w:rPr>
            </w:pPr>
          </w:p>
        </w:tc>
        <w:tc>
          <w:tcPr>
            <w:tcW w:w="1273" w:type="dxa"/>
            <w:vAlign w:val="top"/>
          </w:tcPr>
          <w:p w14:paraId="455EDCE3">
            <w:pPr>
              <w:rPr>
                <w:rFonts w:ascii="Arial"/>
                <w:color w:val="auto"/>
                <w:sz w:val="21"/>
                <w:highlight w:val="none"/>
              </w:rPr>
            </w:pPr>
          </w:p>
        </w:tc>
        <w:tc>
          <w:tcPr>
            <w:tcW w:w="937" w:type="dxa"/>
            <w:tcBorders>
              <w:right w:val="single" w:color="000000" w:sz="6" w:space="0"/>
            </w:tcBorders>
            <w:vAlign w:val="top"/>
          </w:tcPr>
          <w:p w14:paraId="284D9191">
            <w:pPr>
              <w:rPr>
                <w:rFonts w:ascii="Arial"/>
                <w:color w:val="auto"/>
                <w:sz w:val="21"/>
                <w:highlight w:val="none"/>
              </w:rPr>
            </w:pPr>
          </w:p>
        </w:tc>
      </w:tr>
      <w:tr w14:paraId="7432A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2ED56E21">
            <w:pPr>
              <w:rPr>
                <w:rFonts w:ascii="Arial"/>
                <w:color w:val="auto"/>
                <w:sz w:val="21"/>
                <w:highlight w:val="none"/>
              </w:rPr>
            </w:pPr>
          </w:p>
        </w:tc>
        <w:tc>
          <w:tcPr>
            <w:tcW w:w="1261" w:type="dxa"/>
            <w:vAlign w:val="top"/>
          </w:tcPr>
          <w:p w14:paraId="11271E49">
            <w:pPr>
              <w:rPr>
                <w:rFonts w:ascii="Arial"/>
                <w:color w:val="auto"/>
                <w:sz w:val="21"/>
                <w:highlight w:val="none"/>
              </w:rPr>
            </w:pPr>
          </w:p>
        </w:tc>
        <w:tc>
          <w:tcPr>
            <w:tcW w:w="1841" w:type="dxa"/>
            <w:vAlign w:val="top"/>
          </w:tcPr>
          <w:p w14:paraId="2B2E02D9">
            <w:pPr>
              <w:rPr>
                <w:rFonts w:ascii="Arial"/>
                <w:color w:val="auto"/>
                <w:sz w:val="21"/>
                <w:highlight w:val="none"/>
              </w:rPr>
            </w:pPr>
          </w:p>
        </w:tc>
        <w:tc>
          <w:tcPr>
            <w:tcW w:w="2124" w:type="dxa"/>
            <w:vAlign w:val="top"/>
          </w:tcPr>
          <w:p w14:paraId="1F4C62C1">
            <w:pPr>
              <w:rPr>
                <w:rFonts w:ascii="Arial"/>
                <w:color w:val="auto"/>
                <w:sz w:val="21"/>
                <w:highlight w:val="none"/>
              </w:rPr>
            </w:pPr>
          </w:p>
        </w:tc>
        <w:tc>
          <w:tcPr>
            <w:tcW w:w="779" w:type="dxa"/>
            <w:vAlign w:val="top"/>
          </w:tcPr>
          <w:p w14:paraId="7C73A86A">
            <w:pPr>
              <w:rPr>
                <w:rFonts w:ascii="Arial"/>
                <w:color w:val="auto"/>
                <w:sz w:val="21"/>
                <w:highlight w:val="none"/>
              </w:rPr>
            </w:pPr>
          </w:p>
        </w:tc>
        <w:tc>
          <w:tcPr>
            <w:tcW w:w="825" w:type="dxa"/>
            <w:vAlign w:val="top"/>
          </w:tcPr>
          <w:p w14:paraId="26A58371">
            <w:pPr>
              <w:rPr>
                <w:rFonts w:ascii="Arial"/>
                <w:color w:val="auto"/>
                <w:sz w:val="21"/>
                <w:highlight w:val="none"/>
              </w:rPr>
            </w:pPr>
          </w:p>
        </w:tc>
        <w:tc>
          <w:tcPr>
            <w:tcW w:w="1014" w:type="dxa"/>
            <w:vAlign w:val="top"/>
          </w:tcPr>
          <w:p w14:paraId="6424E205">
            <w:pPr>
              <w:rPr>
                <w:rFonts w:ascii="Arial"/>
                <w:color w:val="auto"/>
                <w:sz w:val="21"/>
                <w:highlight w:val="none"/>
              </w:rPr>
            </w:pPr>
          </w:p>
        </w:tc>
        <w:tc>
          <w:tcPr>
            <w:tcW w:w="1014" w:type="dxa"/>
            <w:vAlign w:val="top"/>
          </w:tcPr>
          <w:p w14:paraId="20C84648">
            <w:pPr>
              <w:rPr>
                <w:rFonts w:ascii="Arial"/>
                <w:color w:val="auto"/>
                <w:sz w:val="21"/>
                <w:highlight w:val="none"/>
              </w:rPr>
            </w:pPr>
          </w:p>
        </w:tc>
        <w:tc>
          <w:tcPr>
            <w:tcW w:w="1016" w:type="dxa"/>
            <w:vAlign w:val="top"/>
          </w:tcPr>
          <w:p w14:paraId="65A5036E">
            <w:pPr>
              <w:rPr>
                <w:rFonts w:ascii="Arial"/>
                <w:color w:val="auto"/>
                <w:sz w:val="21"/>
                <w:highlight w:val="none"/>
              </w:rPr>
            </w:pPr>
          </w:p>
        </w:tc>
        <w:tc>
          <w:tcPr>
            <w:tcW w:w="1017" w:type="dxa"/>
            <w:vAlign w:val="top"/>
          </w:tcPr>
          <w:p w14:paraId="70D8A17E">
            <w:pPr>
              <w:rPr>
                <w:rFonts w:ascii="Arial"/>
                <w:color w:val="auto"/>
                <w:sz w:val="21"/>
                <w:highlight w:val="none"/>
              </w:rPr>
            </w:pPr>
          </w:p>
        </w:tc>
        <w:tc>
          <w:tcPr>
            <w:tcW w:w="1273" w:type="dxa"/>
            <w:vAlign w:val="top"/>
          </w:tcPr>
          <w:p w14:paraId="6294125F">
            <w:pPr>
              <w:rPr>
                <w:rFonts w:ascii="Arial"/>
                <w:color w:val="auto"/>
                <w:sz w:val="21"/>
                <w:highlight w:val="none"/>
              </w:rPr>
            </w:pPr>
          </w:p>
        </w:tc>
        <w:tc>
          <w:tcPr>
            <w:tcW w:w="937" w:type="dxa"/>
            <w:tcBorders>
              <w:right w:val="single" w:color="000000" w:sz="6" w:space="0"/>
            </w:tcBorders>
            <w:vAlign w:val="top"/>
          </w:tcPr>
          <w:p w14:paraId="01D7706B">
            <w:pPr>
              <w:rPr>
                <w:rFonts w:ascii="Arial"/>
                <w:color w:val="auto"/>
                <w:sz w:val="21"/>
                <w:highlight w:val="none"/>
              </w:rPr>
            </w:pPr>
          </w:p>
        </w:tc>
      </w:tr>
      <w:tr w14:paraId="72DE3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39" w:type="dxa"/>
            <w:tcBorders>
              <w:left w:val="single" w:color="000000" w:sz="6" w:space="0"/>
            </w:tcBorders>
            <w:vAlign w:val="top"/>
          </w:tcPr>
          <w:p w14:paraId="45579FE2">
            <w:pPr>
              <w:rPr>
                <w:rFonts w:ascii="Arial"/>
                <w:color w:val="auto"/>
                <w:sz w:val="21"/>
                <w:highlight w:val="none"/>
              </w:rPr>
            </w:pPr>
          </w:p>
        </w:tc>
        <w:tc>
          <w:tcPr>
            <w:tcW w:w="1261" w:type="dxa"/>
            <w:vAlign w:val="top"/>
          </w:tcPr>
          <w:p w14:paraId="224D5B59">
            <w:pPr>
              <w:rPr>
                <w:rFonts w:ascii="Arial"/>
                <w:color w:val="auto"/>
                <w:sz w:val="21"/>
                <w:highlight w:val="none"/>
              </w:rPr>
            </w:pPr>
          </w:p>
        </w:tc>
        <w:tc>
          <w:tcPr>
            <w:tcW w:w="1841" w:type="dxa"/>
            <w:vAlign w:val="top"/>
          </w:tcPr>
          <w:p w14:paraId="257BCCFA">
            <w:pPr>
              <w:rPr>
                <w:rFonts w:ascii="Arial"/>
                <w:color w:val="auto"/>
                <w:sz w:val="21"/>
                <w:highlight w:val="none"/>
              </w:rPr>
            </w:pPr>
          </w:p>
        </w:tc>
        <w:tc>
          <w:tcPr>
            <w:tcW w:w="2124" w:type="dxa"/>
            <w:vAlign w:val="top"/>
          </w:tcPr>
          <w:p w14:paraId="592B8083">
            <w:pPr>
              <w:rPr>
                <w:rFonts w:ascii="Arial"/>
                <w:color w:val="auto"/>
                <w:sz w:val="21"/>
                <w:highlight w:val="none"/>
              </w:rPr>
            </w:pPr>
          </w:p>
        </w:tc>
        <w:tc>
          <w:tcPr>
            <w:tcW w:w="779" w:type="dxa"/>
            <w:vAlign w:val="top"/>
          </w:tcPr>
          <w:p w14:paraId="4AB84C52">
            <w:pPr>
              <w:rPr>
                <w:rFonts w:ascii="Arial"/>
                <w:color w:val="auto"/>
                <w:sz w:val="21"/>
                <w:highlight w:val="none"/>
              </w:rPr>
            </w:pPr>
          </w:p>
        </w:tc>
        <w:tc>
          <w:tcPr>
            <w:tcW w:w="825" w:type="dxa"/>
            <w:vAlign w:val="top"/>
          </w:tcPr>
          <w:p w14:paraId="06C91E13">
            <w:pPr>
              <w:rPr>
                <w:rFonts w:ascii="Arial"/>
                <w:color w:val="auto"/>
                <w:sz w:val="21"/>
                <w:highlight w:val="none"/>
              </w:rPr>
            </w:pPr>
          </w:p>
        </w:tc>
        <w:tc>
          <w:tcPr>
            <w:tcW w:w="1014" w:type="dxa"/>
            <w:vAlign w:val="top"/>
          </w:tcPr>
          <w:p w14:paraId="2DB9F308">
            <w:pPr>
              <w:rPr>
                <w:rFonts w:ascii="Arial"/>
                <w:color w:val="auto"/>
                <w:sz w:val="21"/>
                <w:highlight w:val="none"/>
              </w:rPr>
            </w:pPr>
          </w:p>
        </w:tc>
        <w:tc>
          <w:tcPr>
            <w:tcW w:w="1014" w:type="dxa"/>
            <w:vAlign w:val="top"/>
          </w:tcPr>
          <w:p w14:paraId="26380EAF">
            <w:pPr>
              <w:rPr>
                <w:rFonts w:ascii="Arial"/>
                <w:color w:val="auto"/>
                <w:sz w:val="21"/>
                <w:highlight w:val="none"/>
              </w:rPr>
            </w:pPr>
          </w:p>
        </w:tc>
        <w:tc>
          <w:tcPr>
            <w:tcW w:w="1016" w:type="dxa"/>
            <w:vAlign w:val="top"/>
          </w:tcPr>
          <w:p w14:paraId="2588E37A">
            <w:pPr>
              <w:rPr>
                <w:rFonts w:ascii="Arial"/>
                <w:color w:val="auto"/>
                <w:sz w:val="21"/>
                <w:highlight w:val="none"/>
              </w:rPr>
            </w:pPr>
          </w:p>
        </w:tc>
        <w:tc>
          <w:tcPr>
            <w:tcW w:w="1017" w:type="dxa"/>
            <w:vAlign w:val="top"/>
          </w:tcPr>
          <w:p w14:paraId="1743AEDB">
            <w:pPr>
              <w:rPr>
                <w:rFonts w:ascii="Arial"/>
                <w:color w:val="auto"/>
                <w:sz w:val="21"/>
                <w:highlight w:val="none"/>
              </w:rPr>
            </w:pPr>
          </w:p>
        </w:tc>
        <w:tc>
          <w:tcPr>
            <w:tcW w:w="1273" w:type="dxa"/>
            <w:vAlign w:val="top"/>
          </w:tcPr>
          <w:p w14:paraId="507D8938">
            <w:pPr>
              <w:rPr>
                <w:rFonts w:ascii="Arial"/>
                <w:color w:val="auto"/>
                <w:sz w:val="21"/>
                <w:highlight w:val="none"/>
              </w:rPr>
            </w:pPr>
          </w:p>
        </w:tc>
        <w:tc>
          <w:tcPr>
            <w:tcW w:w="937" w:type="dxa"/>
            <w:tcBorders>
              <w:right w:val="single" w:color="000000" w:sz="6" w:space="0"/>
            </w:tcBorders>
            <w:vAlign w:val="top"/>
          </w:tcPr>
          <w:p w14:paraId="2A979C05">
            <w:pPr>
              <w:rPr>
                <w:rFonts w:ascii="Arial"/>
                <w:color w:val="auto"/>
                <w:sz w:val="21"/>
                <w:highlight w:val="none"/>
              </w:rPr>
            </w:pPr>
          </w:p>
        </w:tc>
      </w:tr>
      <w:tr w14:paraId="719D2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38270626">
            <w:pPr>
              <w:rPr>
                <w:rFonts w:ascii="Arial"/>
                <w:color w:val="auto"/>
                <w:sz w:val="21"/>
                <w:highlight w:val="none"/>
              </w:rPr>
            </w:pPr>
          </w:p>
        </w:tc>
        <w:tc>
          <w:tcPr>
            <w:tcW w:w="1261" w:type="dxa"/>
            <w:vAlign w:val="top"/>
          </w:tcPr>
          <w:p w14:paraId="74B0A40B">
            <w:pPr>
              <w:rPr>
                <w:rFonts w:ascii="Arial"/>
                <w:color w:val="auto"/>
                <w:sz w:val="21"/>
                <w:highlight w:val="none"/>
              </w:rPr>
            </w:pPr>
          </w:p>
        </w:tc>
        <w:tc>
          <w:tcPr>
            <w:tcW w:w="1841" w:type="dxa"/>
            <w:vAlign w:val="top"/>
          </w:tcPr>
          <w:p w14:paraId="1486EF6C">
            <w:pPr>
              <w:rPr>
                <w:rFonts w:ascii="Arial"/>
                <w:color w:val="auto"/>
                <w:sz w:val="21"/>
                <w:highlight w:val="none"/>
              </w:rPr>
            </w:pPr>
          </w:p>
        </w:tc>
        <w:tc>
          <w:tcPr>
            <w:tcW w:w="2124" w:type="dxa"/>
            <w:vAlign w:val="top"/>
          </w:tcPr>
          <w:p w14:paraId="53CBF67A">
            <w:pPr>
              <w:rPr>
                <w:rFonts w:ascii="Arial"/>
                <w:color w:val="auto"/>
                <w:sz w:val="21"/>
                <w:highlight w:val="none"/>
              </w:rPr>
            </w:pPr>
          </w:p>
        </w:tc>
        <w:tc>
          <w:tcPr>
            <w:tcW w:w="779" w:type="dxa"/>
            <w:vAlign w:val="top"/>
          </w:tcPr>
          <w:p w14:paraId="470645F0">
            <w:pPr>
              <w:rPr>
                <w:rFonts w:ascii="Arial"/>
                <w:color w:val="auto"/>
                <w:sz w:val="21"/>
                <w:highlight w:val="none"/>
              </w:rPr>
            </w:pPr>
          </w:p>
        </w:tc>
        <w:tc>
          <w:tcPr>
            <w:tcW w:w="825" w:type="dxa"/>
            <w:vAlign w:val="top"/>
          </w:tcPr>
          <w:p w14:paraId="177A9D02">
            <w:pPr>
              <w:rPr>
                <w:rFonts w:ascii="Arial"/>
                <w:color w:val="auto"/>
                <w:sz w:val="21"/>
                <w:highlight w:val="none"/>
              </w:rPr>
            </w:pPr>
          </w:p>
        </w:tc>
        <w:tc>
          <w:tcPr>
            <w:tcW w:w="1014" w:type="dxa"/>
            <w:vAlign w:val="top"/>
          </w:tcPr>
          <w:p w14:paraId="3A7644C0">
            <w:pPr>
              <w:rPr>
                <w:rFonts w:ascii="Arial"/>
                <w:color w:val="auto"/>
                <w:sz w:val="21"/>
                <w:highlight w:val="none"/>
              </w:rPr>
            </w:pPr>
          </w:p>
        </w:tc>
        <w:tc>
          <w:tcPr>
            <w:tcW w:w="1014" w:type="dxa"/>
            <w:vAlign w:val="top"/>
          </w:tcPr>
          <w:p w14:paraId="2C0F57D1">
            <w:pPr>
              <w:rPr>
                <w:rFonts w:ascii="Arial"/>
                <w:color w:val="auto"/>
                <w:sz w:val="21"/>
                <w:highlight w:val="none"/>
              </w:rPr>
            </w:pPr>
          </w:p>
        </w:tc>
        <w:tc>
          <w:tcPr>
            <w:tcW w:w="1016" w:type="dxa"/>
            <w:vAlign w:val="top"/>
          </w:tcPr>
          <w:p w14:paraId="65D66FAD">
            <w:pPr>
              <w:rPr>
                <w:rFonts w:ascii="Arial"/>
                <w:color w:val="auto"/>
                <w:sz w:val="21"/>
                <w:highlight w:val="none"/>
              </w:rPr>
            </w:pPr>
          </w:p>
        </w:tc>
        <w:tc>
          <w:tcPr>
            <w:tcW w:w="1017" w:type="dxa"/>
            <w:vAlign w:val="top"/>
          </w:tcPr>
          <w:p w14:paraId="42467C24">
            <w:pPr>
              <w:rPr>
                <w:rFonts w:ascii="Arial"/>
                <w:color w:val="auto"/>
                <w:sz w:val="21"/>
                <w:highlight w:val="none"/>
              </w:rPr>
            </w:pPr>
          </w:p>
        </w:tc>
        <w:tc>
          <w:tcPr>
            <w:tcW w:w="1273" w:type="dxa"/>
            <w:vAlign w:val="top"/>
          </w:tcPr>
          <w:p w14:paraId="081B9391">
            <w:pPr>
              <w:rPr>
                <w:rFonts w:ascii="Arial"/>
                <w:color w:val="auto"/>
                <w:sz w:val="21"/>
                <w:highlight w:val="none"/>
              </w:rPr>
            </w:pPr>
          </w:p>
        </w:tc>
        <w:tc>
          <w:tcPr>
            <w:tcW w:w="937" w:type="dxa"/>
            <w:tcBorders>
              <w:right w:val="single" w:color="000000" w:sz="6" w:space="0"/>
            </w:tcBorders>
            <w:vAlign w:val="top"/>
          </w:tcPr>
          <w:p w14:paraId="0DE47E00">
            <w:pPr>
              <w:rPr>
                <w:rFonts w:ascii="Arial"/>
                <w:color w:val="auto"/>
                <w:sz w:val="21"/>
                <w:highlight w:val="none"/>
              </w:rPr>
            </w:pPr>
          </w:p>
        </w:tc>
      </w:tr>
      <w:tr w14:paraId="30669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34DACDD6">
            <w:pPr>
              <w:rPr>
                <w:rFonts w:ascii="Arial"/>
                <w:color w:val="auto"/>
                <w:sz w:val="21"/>
                <w:highlight w:val="none"/>
              </w:rPr>
            </w:pPr>
          </w:p>
        </w:tc>
        <w:tc>
          <w:tcPr>
            <w:tcW w:w="1261" w:type="dxa"/>
            <w:vAlign w:val="top"/>
          </w:tcPr>
          <w:p w14:paraId="07B1EBDC">
            <w:pPr>
              <w:rPr>
                <w:rFonts w:ascii="Arial"/>
                <w:color w:val="auto"/>
                <w:sz w:val="21"/>
                <w:highlight w:val="none"/>
              </w:rPr>
            </w:pPr>
          </w:p>
        </w:tc>
        <w:tc>
          <w:tcPr>
            <w:tcW w:w="1841" w:type="dxa"/>
            <w:vAlign w:val="top"/>
          </w:tcPr>
          <w:p w14:paraId="23560678">
            <w:pPr>
              <w:rPr>
                <w:rFonts w:ascii="Arial"/>
                <w:color w:val="auto"/>
                <w:sz w:val="21"/>
                <w:highlight w:val="none"/>
              </w:rPr>
            </w:pPr>
          </w:p>
        </w:tc>
        <w:tc>
          <w:tcPr>
            <w:tcW w:w="2124" w:type="dxa"/>
            <w:vAlign w:val="top"/>
          </w:tcPr>
          <w:p w14:paraId="7E12E50E">
            <w:pPr>
              <w:rPr>
                <w:rFonts w:ascii="Arial"/>
                <w:color w:val="auto"/>
                <w:sz w:val="21"/>
                <w:highlight w:val="none"/>
              </w:rPr>
            </w:pPr>
          </w:p>
        </w:tc>
        <w:tc>
          <w:tcPr>
            <w:tcW w:w="779" w:type="dxa"/>
            <w:vAlign w:val="top"/>
          </w:tcPr>
          <w:p w14:paraId="05A574DF">
            <w:pPr>
              <w:rPr>
                <w:rFonts w:ascii="Arial"/>
                <w:color w:val="auto"/>
                <w:sz w:val="21"/>
                <w:highlight w:val="none"/>
              </w:rPr>
            </w:pPr>
          </w:p>
        </w:tc>
        <w:tc>
          <w:tcPr>
            <w:tcW w:w="825" w:type="dxa"/>
            <w:vAlign w:val="top"/>
          </w:tcPr>
          <w:p w14:paraId="588D1771">
            <w:pPr>
              <w:rPr>
                <w:rFonts w:ascii="Arial"/>
                <w:color w:val="auto"/>
                <w:sz w:val="21"/>
                <w:highlight w:val="none"/>
              </w:rPr>
            </w:pPr>
          </w:p>
        </w:tc>
        <w:tc>
          <w:tcPr>
            <w:tcW w:w="1014" w:type="dxa"/>
            <w:vAlign w:val="top"/>
          </w:tcPr>
          <w:p w14:paraId="0AEF7649">
            <w:pPr>
              <w:rPr>
                <w:rFonts w:ascii="Arial"/>
                <w:color w:val="auto"/>
                <w:sz w:val="21"/>
                <w:highlight w:val="none"/>
              </w:rPr>
            </w:pPr>
          </w:p>
        </w:tc>
        <w:tc>
          <w:tcPr>
            <w:tcW w:w="1014" w:type="dxa"/>
            <w:vAlign w:val="top"/>
          </w:tcPr>
          <w:p w14:paraId="31FEED0C">
            <w:pPr>
              <w:rPr>
                <w:rFonts w:ascii="Arial"/>
                <w:color w:val="auto"/>
                <w:sz w:val="21"/>
                <w:highlight w:val="none"/>
              </w:rPr>
            </w:pPr>
          </w:p>
        </w:tc>
        <w:tc>
          <w:tcPr>
            <w:tcW w:w="1016" w:type="dxa"/>
            <w:vAlign w:val="top"/>
          </w:tcPr>
          <w:p w14:paraId="46C19366">
            <w:pPr>
              <w:rPr>
                <w:rFonts w:ascii="Arial"/>
                <w:color w:val="auto"/>
                <w:sz w:val="21"/>
                <w:highlight w:val="none"/>
              </w:rPr>
            </w:pPr>
          </w:p>
        </w:tc>
        <w:tc>
          <w:tcPr>
            <w:tcW w:w="1017" w:type="dxa"/>
            <w:vAlign w:val="top"/>
          </w:tcPr>
          <w:p w14:paraId="187FCBC2">
            <w:pPr>
              <w:rPr>
                <w:rFonts w:ascii="Arial"/>
                <w:color w:val="auto"/>
                <w:sz w:val="21"/>
                <w:highlight w:val="none"/>
              </w:rPr>
            </w:pPr>
          </w:p>
        </w:tc>
        <w:tc>
          <w:tcPr>
            <w:tcW w:w="1273" w:type="dxa"/>
            <w:vAlign w:val="top"/>
          </w:tcPr>
          <w:p w14:paraId="41E9887A">
            <w:pPr>
              <w:rPr>
                <w:rFonts w:ascii="Arial"/>
                <w:color w:val="auto"/>
                <w:sz w:val="21"/>
                <w:highlight w:val="none"/>
              </w:rPr>
            </w:pPr>
          </w:p>
        </w:tc>
        <w:tc>
          <w:tcPr>
            <w:tcW w:w="937" w:type="dxa"/>
            <w:tcBorders>
              <w:right w:val="single" w:color="000000" w:sz="6" w:space="0"/>
            </w:tcBorders>
            <w:vAlign w:val="top"/>
          </w:tcPr>
          <w:p w14:paraId="70874FB1">
            <w:pPr>
              <w:rPr>
                <w:rFonts w:ascii="Arial"/>
                <w:color w:val="auto"/>
                <w:sz w:val="21"/>
                <w:highlight w:val="none"/>
              </w:rPr>
            </w:pPr>
          </w:p>
        </w:tc>
      </w:tr>
      <w:tr w14:paraId="31718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6FC381A8">
            <w:pPr>
              <w:rPr>
                <w:rFonts w:ascii="Arial"/>
                <w:color w:val="auto"/>
                <w:sz w:val="21"/>
                <w:highlight w:val="none"/>
              </w:rPr>
            </w:pPr>
          </w:p>
        </w:tc>
        <w:tc>
          <w:tcPr>
            <w:tcW w:w="1261" w:type="dxa"/>
            <w:vAlign w:val="top"/>
          </w:tcPr>
          <w:p w14:paraId="322AD2DD">
            <w:pPr>
              <w:rPr>
                <w:rFonts w:ascii="Arial"/>
                <w:color w:val="auto"/>
                <w:sz w:val="21"/>
                <w:highlight w:val="none"/>
              </w:rPr>
            </w:pPr>
          </w:p>
        </w:tc>
        <w:tc>
          <w:tcPr>
            <w:tcW w:w="1841" w:type="dxa"/>
            <w:vAlign w:val="top"/>
          </w:tcPr>
          <w:p w14:paraId="6FAE4DFF">
            <w:pPr>
              <w:rPr>
                <w:rFonts w:ascii="Arial"/>
                <w:color w:val="auto"/>
                <w:sz w:val="21"/>
                <w:highlight w:val="none"/>
              </w:rPr>
            </w:pPr>
          </w:p>
        </w:tc>
        <w:tc>
          <w:tcPr>
            <w:tcW w:w="2124" w:type="dxa"/>
            <w:vAlign w:val="top"/>
          </w:tcPr>
          <w:p w14:paraId="0066521E">
            <w:pPr>
              <w:rPr>
                <w:rFonts w:ascii="Arial"/>
                <w:color w:val="auto"/>
                <w:sz w:val="21"/>
                <w:highlight w:val="none"/>
              </w:rPr>
            </w:pPr>
          </w:p>
        </w:tc>
        <w:tc>
          <w:tcPr>
            <w:tcW w:w="779" w:type="dxa"/>
            <w:vAlign w:val="top"/>
          </w:tcPr>
          <w:p w14:paraId="65EAA373">
            <w:pPr>
              <w:rPr>
                <w:rFonts w:ascii="Arial"/>
                <w:color w:val="auto"/>
                <w:sz w:val="21"/>
                <w:highlight w:val="none"/>
              </w:rPr>
            </w:pPr>
          </w:p>
        </w:tc>
        <w:tc>
          <w:tcPr>
            <w:tcW w:w="825" w:type="dxa"/>
            <w:vAlign w:val="top"/>
          </w:tcPr>
          <w:p w14:paraId="601C8A99">
            <w:pPr>
              <w:rPr>
                <w:rFonts w:ascii="Arial"/>
                <w:color w:val="auto"/>
                <w:sz w:val="21"/>
                <w:highlight w:val="none"/>
              </w:rPr>
            </w:pPr>
          </w:p>
        </w:tc>
        <w:tc>
          <w:tcPr>
            <w:tcW w:w="1014" w:type="dxa"/>
            <w:vAlign w:val="top"/>
          </w:tcPr>
          <w:p w14:paraId="3D33AB64">
            <w:pPr>
              <w:rPr>
                <w:rFonts w:ascii="Arial"/>
                <w:color w:val="auto"/>
                <w:sz w:val="21"/>
                <w:highlight w:val="none"/>
              </w:rPr>
            </w:pPr>
          </w:p>
        </w:tc>
        <w:tc>
          <w:tcPr>
            <w:tcW w:w="1014" w:type="dxa"/>
            <w:vAlign w:val="top"/>
          </w:tcPr>
          <w:p w14:paraId="712432EC">
            <w:pPr>
              <w:rPr>
                <w:rFonts w:ascii="Arial"/>
                <w:color w:val="auto"/>
                <w:sz w:val="21"/>
                <w:highlight w:val="none"/>
              </w:rPr>
            </w:pPr>
          </w:p>
        </w:tc>
        <w:tc>
          <w:tcPr>
            <w:tcW w:w="1016" w:type="dxa"/>
            <w:vAlign w:val="top"/>
          </w:tcPr>
          <w:p w14:paraId="72D576E7">
            <w:pPr>
              <w:rPr>
                <w:rFonts w:ascii="Arial"/>
                <w:color w:val="auto"/>
                <w:sz w:val="21"/>
                <w:highlight w:val="none"/>
              </w:rPr>
            </w:pPr>
          </w:p>
        </w:tc>
        <w:tc>
          <w:tcPr>
            <w:tcW w:w="1017" w:type="dxa"/>
            <w:vAlign w:val="top"/>
          </w:tcPr>
          <w:p w14:paraId="0D88EDFC">
            <w:pPr>
              <w:rPr>
                <w:rFonts w:ascii="Arial"/>
                <w:color w:val="auto"/>
                <w:sz w:val="21"/>
                <w:highlight w:val="none"/>
              </w:rPr>
            </w:pPr>
          </w:p>
        </w:tc>
        <w:tc>
          <w:tcPr>
            <w:tcW w:w="1273" w:type="dxa"/>
            <w:vAlign w:val="top"/>
          </w:tcPr>
          <w:p w14:paraId="37F09A81">
            <w:pPr>
              <w:rPr>
                <w:rFonts w:ascii="Arial"/>
                <w:color w:val="auto"/>
                <w:sz w:val="21"/>
                <w:highlight w:val="none"/>
              </w:rPr>
            </w:pPr>
          </w:p>
        </w:tc>
        <w:tc>
          <w:tcPr>
            <w:tcW w:w="937" w:type="dxa"/>
            <w:tcBorders>
              <w:right w:val="single" w:color="000000" w:sz="6" w:space="0"/>
            </w:tcBorders>
            <w:vAlign w:val="top"/>
          </w:tcPr>
          <w:p w14:paraId="2A8914F0">
            <w:pPr>
              <w:rPr>
                <w:rFonts w:ascii="Arial"/>
                <w:color w:val="auto"/>
                <w:sz w:val="21"/>
                <w:highlight w:val="none"/>
              </w:rPr>
            </w:pPr>
          </w:p>
        </w:tc>
      </w:tr>
      <w:tr w14:paraId="41D5F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39" w:type="dxa"/>
            <w:tcBorders>
              <w:left w:val="single" w:color="000000" w:sz="6" w:space="0"/>
            </w:tcBorders>
            <w:vAlign w:val="top"/>
          </w:tcPr>
          <w:p w14:paraId="2B51D746">
            <w:pPr>
              <w:rPr>
                <w:rFonts w:ascii="Arial"/>
                <w:color w:val="auto"/>
                <w:sz w:val="21"/>
                <w:highlight w:val="none"/>
              </w:rPr>
            </w:pPr>
          </w:p>
        </w:tc>
        <w:tc>
          <w:tcPr>
            <w:tcW w:w="1261" w:type="dxa"/>
            <w:vAlign w:val="top"/>
          </w:tcPr>
          <w:p w14:paraId="36C7DBF3">
            <w:pPr>
              <w:rPr>
                <w:rFonts w:ascii="Arial"/>
                <w:color w:val="auto"/>
                <w:sz w:val="21"/>
                <w:highlight w:val="none"/>
              </w:rPr>
            </w:pPr>
          </w:p>
        </w:tc>
        <w:tc>
          <w:tcPr>
            <w:tcW w:w="1841" w:type="dxa"/>
            <w:vAlign w:val="top"/>
          </w:tcPr>
          <w:p w14:paraId="049086C6">
            <w:pPr>
              <w:rPr>
                <w:rFonts w:ascii="Arial"/>
                <w:color w:val="auto"/>
                <w:sz w:val="21"/>
                <w:highlight w:val="none"/>
              </w:rPr>
            </w:pPr>
          </w:p>
        </w:tc>
        <w:tc>
          <w:tcPr>
            <w:tcW w:w="2124" w:type="dxa"/>
            <w:vAlign w:val="top"/>
          </w:tcPr>
          <w:p w14:paraId="6B1189A1">
            <w:pPr>
              <w:rPr>
                <w:rFonts w:ascii="Arial"/>
                <w:color w:val="auto"/>
                <w:sz w:val="21"/>
                <w:highlight w:val="none"/>
              </w:rPr>
            </w:pPr>
          </w:p>
        </w:tc>
        <w:tc>
          <w:tcPr>
            <w:tcW w:w="779" w:type="dxa"/>
            <w:vAlign w:val="top"/>
          </w:tcPr>
          <w:p w14:paraId="1C27836C">
            <w:pPr>
              <w:rPr>
                <w:rFonts w:ascii="Arial"/>
                <w:color w:val="auto"/>
                <w:sz w:val="21"/>
                <w:highlight w:val="none"/>
              </w:rPr>
            </w:pPr>
          </w:p>
        </w:tc>
        <w:tc>
          <w:tcPr>
            <w:tcW w:w="825" w:type="dxa"/>
            <w:vAlign w:val="top"/>
          </w:tcPr>
          <w:p w14:paraId="30EC6052">
            <w:pPr>
              <w:rPr>
                <w:rFonts w:ascii="Arial"/>
                <w:color w:val="auto"/>
                <w:sz w:val="21"/>
                <w:highlight w:val="none"/>
              </w:rPr>
            </w:pPr>
          </w:p>
        </w:tc>
        <w:tc>
          <w:tcPr>
            <w:tcW w:w="1014" w:type="dxa"/>
            <w:vAlign w:val="top"/>
          </w:tcPr>
          <w:p w14:paraId="062059C9">
            <w:pPr>
              <w:rPr>
                <w:rFonts w:ascii="Arial"/>
                <w:color w:val="auto"/>
                <w:sz w:val="21"/>
                <w:highlight w:val="none"/>
              </w:rPr>
            </w:pPr>
          </w:p>
        </w:tc>
        <w:tc>
          <w:tcPr>
            <w:tcW w:w="1014" w:type="dxa"/>
            <w:vAlign w:val="top"/>
          </w:tcPr>
          <w:p w14:paraId="0D22EE04">
            <w:pPr>
              <w:rPr>
                <w:rFonts w:ascii="Arial"/>
                <w:color w:val="auto"/>
                <w:sz w:val="21"/>
                <w:highlight w:val="none"/>
              </w:rPr>
            </w:pPr>
          </w:p>
        </w:tc>
        <w:tc>
          <w:tcPr>
            <w:tcW w:w="1016" w:type="dxa"/>
            <w:vAlign w:val="top"/>
          </w:tcPr>
          <w:p w14:paraId="46D1785F">
            <w:pPr>
              <w:rPr>
                <w:rFonts w:ascii="Arial"/>
                <w:color w:val="auto"/>
                <w:sz w:val="21"/>
                <w:highlight w:val="none"/>
              </w:rPr>
            </w:pPr>
          </w:p>
        </w:tc>
        <w:tc>
          <w:tcPr>
            <w:tcW w:w="1017" w:type="dxa"/>
            <w:vAlign w:val="top"/>
          </w:tcPr>
          <w:p w14:paraId="3062E31E">
            <w:pPr>
              <w:rPr>
                <w:rFonts w:ascii="Arial"/>
                <w:color w:val="auto"/>
                <w:sz w:val="21"/>
                <w:highlight w:val="none"/>
              </w:rPr>
            </w:pPr>
          </w:p>
        </w:tc>
        <w:tc>
          <w:tcPr>
            <w:tcW w:w="1273" w:type="dxa"/>
            <w:vAlign w:val="top"/>
          </w:tcPr>
          <w:p w14:paraId="5BC8D482">
            <w:pPr>
              <w:rPr>
                <w:rFonts w:ascii="Arial"/>
                <w:color w:val="auto"/>
                <w:sz w:val="21"/>
                <w:highlight w:val="none"/>
              </w:rPr>
            </w:pPr>
          </w:p>
        </w:tc>
        <w:tc>
          <w:tcPr>
            <w:tcW w:w="937" w:type="dxa"/>
            <w:tcBorders>
              <w:right w:val="single" w:color="000000" w:sz="6" w:space="0"/>
            </w:tcBorders>
            <w:vAlign w:val="top"/>
          </w:tcPr>
          <w:p w14:paraId="7F6A7C7A">
            <w:pPr>
              <w:rPr>
                <w:rFonts w:ascii="Arial"/>
                <w:color w:val="auto"/>
                <w:sz w:val="21"/>
                <w:highlight w:val="none"/>
              </w:rPr>
            </w:pPr>
          </w:p>
        </w:tc>
      </w:tr>
      <w:tr w14:paraId="1066E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839" w:type="dxa"/>
            <w:tcBorders>
              <w:left w:val="single" w:color="000000" w:sz="6" w:space="0"/>
              <w:bottom w:val="single" w:color="000000" w:sz="6" w:space="0"/>
            </w:tcBorders>
            <w:vAlign w:val="top"/>
          </w:tcPr>
          <w:p w14:paraId="18BF639A">
            <w:pPr>
              <w:rPr>
                <w:rFonts w:ascii="Arial"/>
                <w:color w:val="auto"/>
                <w:sz w:val="21"/>
                <w:highlight w:val="none"/>
              </w:rPr>
            </w:pPr>
          </w:p>
        </w:tc>
        <w:tc>
          <w:tcPr>
            <w:tcW w:w="1261" w:type="dxa"/>
            <w:tcBorders>
              <w:bottom w:val="single" w:color="000000" w:sz="6" w:space="0"/>
            </w:tcBorders>
            <w:vAlign w:val="top"/>
          </w:tcPr>
          <w:p w14:paraId="5A4933B5">
            <w:pPr>
              <w:rPr>
                <w:rFonts w:ascii="Arial"/>
                <w:color w:val="auto"/>
                <w:sz w:val="21"/>
                <w:highlight w:val="none"/>
              </w:rPr>
            </w:pPr>
          </w:p>
        </w:tc>
        <w:tc>
          <w:tcPr>
            <w:tcW w:w="1841" w:type="dxa"/>
            <w:tcBorders>
              <w:bottom w:val="single" w:color="000000" w:sz="6" w:space="0"/>
            </w:tcBorders>
            <w:vAlign w:val="top"/>
          </w:tcPr>
          <w:p w14:paraId="3FE590EF">
            <w:pPr>
              <w:pStyle w:val="17"/>
              <w:spacing w:before="237" w:line="222" w:lineRule="auto"/>
              <w:ind w:left="606"/>
              <w:rPr>
                <w:color w:val="auto"/>
                <w:sz w:val="21"/>
                <w:szCs w:val="21"/>
                <w:highlight w:val="none"/>
              </w:rPr>
            </w:pPr>
            <w:r>
              <w:rPr>
                <w:b/>
                <w:bCs/>
                <w:color w:val="auto"/>
                <w:spacing w:val="-7"/>
                <w:sz w:val="21"/>
                <w:szCs w:val="21"/>
                <w:highlight w:val="none"/>
              </w:rPr>
              <w:t>合</w:t>
            </w:r>
            <w:r>
              <w:rPr>
                <w:color w:val="auto"/>
                <w:spacing w:val="5"/>
                <w:sz w:val="21"/>
                <w:szCs w:val="21"/>
                <w:highlight w:val="none"/>
              </w:rPr>
              <w:t xml:space="preserve">  </w:t>
            </w:r>
            <w:r>
              <w:rPr>
                <w:b/>
                <w:bCs/>
                <w:color w:val="auto"/>
                <w:spacing w:val="-7"/>
                <w:sz w:val="21"/>
                <w:szCs w:val="21"/>
                <w:highlight w:val="none"/>
              </w:rPr>
              <w:t>计</w:t>
            </w:r>
          </w:p>
        </w:tc>
        <w:tc>
          <w:tcPr>
            <w:tcW w:w="2124" w:type="dxa"/>
            <w:tcBorders>
              <w:bottom w:val="single" w:color="000000" w:sz="6" w:space="0"/>
            </w:tcBorders>
            <w:vAlign w:val="top"/>
          </w:tcPr>
          <w:p w14:paraId="51FC7F54">
            <w:pPr>
              <w:rPr>
                <w:rFonts w:ascii="Arial"/>
                <w:color w:val="auto"/>
                <w:sz w:val="21"/>
                <w:highlight w:val="none"/>
              </w:rPr>
            </w:pPr>
          </w:p>
        </w:tc>
        <w:tc>
          <w:tcPr>
            <w:tcW w:w="779" w:type="dxa"/>
            <w:tcBorders>
              <w:bottom w:val="single" w:color="000000" w:sz="6" w:space="0"/>
            </w:tcBorders>
            <w:vAlign w:val="top"/>
          </w:tcPr>
          <w:p w14:paraId="7625FF09">
            <w:pPr>
              <w:rPr>
                <w:rFonts w:ascii="Arial"/>
                <w:color w:val="auto"/>
                <w:sz w:val="21"/>
                <w:highlight w:val="none"/>
              </w:rPr>
            </w:pPr>
          </w:p>
        </w:tc>
        <w:tc>
          <w:tcPr>
            <w:tcW w:w="825" w:type="dxa"/>
            <w:tcBorders>
              <w:bottom w:val="single" w:color="000000" w:sz="6" w:space="0"/>
            </w:tcBorders>
            <w:vAlign w:val="top"/>
          </w:tcPr>
          <w:p w14:paraId="6A3C21D4">
            <w:pPr>
              <w:rPr>
                <w:rFonts w:ascii="Arial"/>
                <w:color w:val="auto"/>
                <w:sz w:val="21"/>
                <w:highlight w:val="none"/>
              </w:rPr>
            </w:pPr>
          </w:p>
        </w:tc>
        <w:tc>
          <w:tcPr>
            <w:tcW w:w="1014" w:type="dxa"/>
            <w:tcBorders>
              <w:bottom w:val="single" w:color="000000" w:sz="6" w:space="0"/>
            </w:tcBorders>
            <w:vAlign w:val="top"/>
          </w:tcPr>
          <w:p w14:paraId="1B7209A4">
            <w:pPr>
              <w:rPr>
                <w:rFonts w:ascii="Arial"/>
                <w:color w:val="auto"/>
                <w:sz w:val="21"/>
                <w:highlight w:val="none"/>
              </w:rPr>
            </w:pPr>
          </w:p>
        </w:tc>
        <w:tc>
          <w:tcPr>
            <w:tcW w:w="1014" w:type="dxa"/>
            <w:tcBorders>
              <w:bottom w:val="single" w:color="000000" w:sz="6" w:space="0"/>
            </w:tcBorders>
            <w:vAlign w:val="top"/>
          </w:tcPr>
          <w:p w14:paraId="2C292836">
            <w:pPr>
              <w:rPr>
                <w:rFonts w:ascii="Arial"/>
                <w:color w:val="auto"/>
                <w:sz w:val="21"/>
                <w:highlight w:val="none"/>
              </w:rPr>
            </w:pPr>
          </w:p>
        </w:tc>
        <w:tc>
          <w:tcPr>
            <w:tcW w:w="1016" w:type="dxa"/>
            <w:tcBorders>
              <w:bottom w:val="single" w:color="000000" w:sz="6" w:space="0"/>
            </w:tcBorders>
            <w:vAlign w:val="top"/>
          </w:tcPr>
          <w:p w14:paraId="3803ED3F">
            <w:pPr>
              <w:rPr>
                <w:rFonts w:ascii="Arial"/>
                <w:color w:val="auto"/>
                <w:sz w:val="21"/>
                <w:highlight w:val="none"/>
              </w:rPr>
            </w:pPr>
          </w:p>
        </w:tc>
        <w:tc>
          <w:tcPr>
            <w:tcW w:w="1017" w:type="dxa"/>
            <w:tcBorders>
              <w:bottom w:val="single" w:color="000000" w:sz="6" w:space="0"/>
            </w:tcBorders>
            <w:vAlign w:val="top"/>
          </w:tcPr>
          <w:p w14:paraId="0B0C8E20">
            <w:pPr>
              <w:rPr>
                <w:rFonts w:ascii="Arial"/>
                <w:color w:val="auto"/>
                <w:sz w:val="21"/>
                <w:highlight w:val="none"/>
              </w:rPr>
            </w:pPr>
          </w:p>
        </w:tc>
        <w:tc>
          <w:tcPr>
            <w:tcW w:w="1273" w:type="dxa"/>
            <w:tcBorders>
              <w:bottom w:val="single" w:color="000000" w:sz="6" w:space="0"/>
            </w:tcBorders>
            <w:vAlign w:val="top"/>
          </w:tcPr>
          <w:p w14:paraId="2D213307">
            <w:pPr>
              <w:rPr>
                <w:rFonts w:ascii="Arial"/>
                <w:color w:val="auto"/>
                <w:sz w:val="21"/>
                <w:highlight w:val="none"/>
              </w:rPr>
            </w:pPr>
          </w:p>
        </w:tc>
        <w:tc>
          <w:tcPr>
            <w:tcW w:w="937" w:type="dxa"/>
            <w:tcBorders>
              <w:bottom w:val="single" w:color="000000" w:sz="6" w:space="0"/>
              <w:right w:val="single" w:color="000000" w:sz="6" w:space="0"/>
            </w:tcBorders>
            <w:vAlign w:val="top"/>
          </w:tcPr>
          <w:p w14:paraId="0A82C709">
            <w:pPr>
              <w:rPr>
                <w:rFonts w:ascii="Arial"/>
                <w:color w:val="auto"/>
                <w:sz w:val="21"/>
                <w:highlight w:val="none"/>
              </w:rPr>
            </w:pPr>
          </w:p>
        </w:tc>
      </w:tr>
    </w:tbl>
    <w:p w14:paraId="7F1E22EB">
      <w:pPr>
        <w:pStyle w:val="3"/>
        <w:rPr>
          <w:color w:val="auto"/>
          <w:highlight w:val="none"/>
        </w:rPr>
      </w:pPr>
    </w:p>
    <w:p w14:paraId="6CA3FCA3">
      <w:pPr>
        <w:rPr>
          <w:color w:val="auto"/>
          <w:highlight w:val="none"/>
        </w:rPr>
        <w:sectPr>
          <w:pgSz w:w="16841" w:h="11907"/>
          <w:pgMar w:top="1012" w:right="1438" w:bottom="1252" w:left="1440" w:header="0" w:footer="1091" w:gutter="0"/>
          <w:pgNumType w:fmt="decimal"/>
          <w:cols w:space="720" w:num="1"/>
        </w:sectPr>
      </w:pPr>
    </w:p>
    <w:p w14:paraId="2C6C80A2">
      <w:pPr>
        <w:pStyle w:val="3"/>
        <w:spacing w:line="265" w:lineRule="auto"/>
        <w:rPr>
          <w:color w:val="auto"/>
          <w:highlight w:val="none"/>
        </w:rPr>
      </w:pPr>
    </w:p>
    <w:p w14:paraId="01F2B20F">
      <w:pPr>
        <w:pStyle w:val="3"/>
        <w:spacing w:line="266" w:lineRule="auto"/>
        <w:rPr>
          <w:color w:val="auto"/>
          <w:highlight w:val="none"/>
        </w:rPr>
      </w:pPr>
    </w:p>
    <w:p w14:paraId="04E00DAF">
      <w:pPr>
        <w:spacing w:before="78" w:line="220" w:lineRule="auto"/>
        <w:ind w:left="518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施工临时工程分类分项工程量清单</w:t>
      </w:r>
    </w:p>
    <w:p w14:paraId="112C3A81">
      <w:pPr>
        <w:spacing w:before="173" w:line="221" w:lineRule="auto"/>
        <w:ind w:left="11"/>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项目及标段名称：</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第   页共   页</w:t>
      </w:r>
    </w:p>
    <w:p w14:paraId="1D385B2C">
      <w:pPr>
        <w:spacing w:line="127" w:lineRule="exact"/>
        <w:rPr>
          <w:color w:val="auto"/>
          <w:highlight w:val="none"/>
        </w:rPr>
      </w:pPr>
    </w:p>
    <w:tbl>
      <w:tblPr>
        <w:tblStyle w:val="16"/>
        <w:tblW w:w="1414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987"/>
        <w:gridCol w:w="2831"/>
        <w:gridCol w:w="2266"/>
        <w:gridCol w:w="990"/>
        <w:gridCol w:w="993"/>
        <w:gridCol w:w="990"/>
        <w:gridCol w:w="993"/>
        <w:gridCol w:w="1273"/>
        <w:gridCol w:w="1002"/>
      </w:tblGrid>
      <w:tr w14:paraId="0A330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822" w:type="dxa"/>
            <w:tcBorders>
              <w:top w:val="single" w:color="000000" w:sz="6" w:space="0"/>
              <w:left w:val="single" w:color="000000" w:sz="6" w:space="0"/>
            </w:tcBorders>
            <w:vAlign w:val="top"/>
          </w:tcPr>
          <w:p w14:paraId="406C4A76">
            <w:pPr>
              <w:pStyle w:val="17"/>
              <w:spacing w:before="211" w:line="222" w:lineRule="auto"/>
              <w:ind w:left="196"/>
              <w:rPr>
                <w:color w:val="auto"/>
                <w:sz w:val="21"/>
                <w:szCs w:val="21"/>
                <w:highlight w:val="none"/>
              </w:rPr>
            </w:pPr>
            <w:r>
              <w:rPr>
                <w:color w:val="auto"/>
                <w:spacing w:val="-2"/>
                <w:sz w:val="21"/>
                <w:szCs w:val="21"/>
                <w:highlight w:val="none"/>
              </w:rPr>
              <w:t>序号</w:t>
            </w:r>
          </w:p>
        </w:tc>
        <w:tc>
          <w:tcPr>
            <w:tcW w:w="1987" w:type="dxa"/>
            <w:tcBorders>
              <w:top w:val="single" w:color="000000" w:sz="6" w:space="0"/>
            </w:tcBorders>
            <w:vAlign w:val="top"/>
          </w:tcPr>
          <w:p w14:paraId="05A15E9F">
            <w:pPr>
              <w:pStyle w:val="17"/>
              <w:spacing w:before="211" w:line="221" w:lineRule="auto"/>
              <w:ind w:left="576"/>
              <w:rPr>
                <w:color w:val="auto"/>
                <w:sz w:val="21"/>
                <w:szCs w:val="21"/>
                <w:highlight w:val="none"/>
              </w:rPr>
            </w:pPr>
            <w:r>
              <w:rPr>
                <w:color w:val="auto"/>
                <w:spacing w:val="-3"/>
                <w:sz w:val="21"/>
                <w:szCs w:val="21"/>
                <w:highlight w:val="none"/>
              </w:rPr>
              <w:t>项目编码</w:t>
            </w:r>
          </w:p>
        </w:tc>
        <w:tc>
          <w:tcPr>
            <w:tcW w:w="2831" w:type="dxa"/>
            <w:tcBorders>
              <w:top w:val="single" w:color="000000" w:sz="6" w:space="0"/>
            </w:tcBorders>
            <w:vAlign w:val="top"/>
          </w:tcPr>
          <w:p w14:paraId="43805559">
            <w:pPr>
              <w:pStyle w:val="17"/>
              <w:spacing w:before="211" w:line="221" w:lineRule="auto"/>
              <w:ind w:left="1001"/>
              <w:rPr>
                <w:color w:val="auto"/>
                <w:sz w:val="21"/>
                <w:szCs w:val="21"/>
                <w:highlight w:val="none"/>
              </w:rPr>
            </w:pPr>
            <w:r>
              <w:rPr>
                <w:color w:val="auto"/>
                <w:spacing w:val="-3"/>
                <w:sz w:val="21"/>
                <w:szCs w:val="21"/>
                <w:highlight w:val="none"/>
              </w:rPr>
              <w:t>项目名称</w:t>
            </w:r>
          </w:p>
        </w:tc>
        <w:tc>
          <w:tcPr>
            <w:tcW w:w="2266" w:type="dxa"/>
            <w:tcBorders>
              <w:top w:val="single" w:color="000000" w:sz="6" w:space="0"/>
            </w:tcBorders>
            <w:vAlign w:val="top"/>
          </w:tcPr>
          <w:p w14:paraId="66F50980">
            <w:pPr>
              <w:pStyle w:val="17"/>
              <w:spacing w:before="211" w:line="221" w:lineRule="auto"/>
              <w:ind w:left="512"/>
              <w:rPr>
                <w:color w:val="auto"/>
                <w:sz w:val="21"/>
                <w:szCs w:val="21"/>
                <w:highlight w:val="none"/>
              </w:rPr>
            </w:pPr>
            <w:r>
              <w:rPr>
                <w:color w:val="auto"/>
                <w:spacing w:val="-2"/>
                <w:sz w:val="21"/>
                <w:szCs w:val="21"/>
                <w:highlight w:val="none"/>
              </w:rPr>
              <w:t>项目主要特征</w:t>
            </w:r>
          </w:p>
        </w:tc>
        <w:tc>
          <w:tcPr>
            <w:tcW w:w="990" w:type="dxa"/>
            <w:tcBorders>
              <w:top w:val="single" w:color="000000" w:sz="6" w:space="0"/>
            </w:tcBorders>
            <w:vAlign w:val="top"/>
          </w:tcPr>
          <w:p w14:paraId="331766C8">
            <w:pPr>
              <w:pStyle w:val="17"/>
              <w:spacing w:before="77" w:line="222" w:lineRule="auto"/>
              <w:ind w:left="293"/>
              <w:rPr>
                <w:color w:val="auto"/>
                <w:sz w:val="21"/>
                <w:szCs w:val="21"/>
                <w:highlight w:val="none"/>
              </w:rPr>
            </w:pPr>
            <w:r>
              <w:rPr>
                <w:color w:val="auto"/>
                <w:spacing w:val="-2"/>
                <w:sz w:val="21"/>
                <w:szCs w:val="21"/>
                <w:highlight w:val="none"/>
              </w:rPr>
              <w:t>计量</w:t>
            </w:r>
          </w:p>
          <w:p w14:paraId="5A1BF1AE">
            <w:pPr>
              <w:pStyle w:val="17"/>
              <w:spacing w:before="18" w:line="221" w:lineRule="auto"/>
              <w:ind w:left="294"/>
              <w:rPr>
                <w:color w:val="auto"/>
                <w:sz w:val="21"/>
                <w:szCs w:val="21"/>
                <w:highlight w:val="none"/>
              </w:rPr>
            </w:pPr>
            <w:r>
              <w:rPr>
                <w:color w:val="auto"/>
                <w:spacing w:val="-2"/>
                <w:sz w:val="21"/>
                <w:szCs w:val="21"/>
                <w:highlight w:val="none"/>
              </w:rPr>
              <w:t>单位</w:t>
            </w:r>
          </w:p>
        </w:tc>
        <w:tc>
          <w:tcPr>
            <w:tcW w:w="993" w:type="dxa"/>
            <w:tcBorders>
              <w:top w:val="single" w:color="000000" w:sz="6" w:space="0"/>
            </w:tcBorders>
            <w:vAlign w:val="top"/>
          </w:tcPr>
          <w:p w14:paraId="4E74DEDF">
            <w:pPr>
              <w:pStyle w:val="17"/>
              <w:spacing w:before="77" w:line="221" w:lineRule="auto"/>
              <w:ind w:left="297"/>
              <w:rPr>
                <w:color w:val="auto"/>
                <w:sz w:val="21"/>
                <w:szCs w:val="21"/>
                <w:highlight w:val="none"/>
              </w:rPr>
            </w:pPr>
            <w:r>
              <w:rPr>
                <w:color w:val="auto"/>
                <w:spacing w:val="-3"/>
                <w:sz w:val="21"/>
                <w:szCs w:val="21"/>
                <w:highlight w:val="none"/>
              </w:rPr>
              <w:t>工程</w:t>
            </w:r>
          </w:p>
          <w:p w14:paraId="3EA520AF">
            <w:pPr>
              <w:pStyle w:val="17"/>
              <w:spacing w:before="18" w:line="221" w:lineRule="auto"/>
              <w:ind w:left="296"/>
              <w:rPr>
                <w:color w:val="auto"/>
                <w:sz w:val="21"/>
                <w:szCs w:val="21"/>
                <w:highlight w:val="none"/>
              </w:rPr>
            </w:pPr>
            <w:r>
              <w:rPr>
                <w:color w:val="auto"/>
                <w:spacing w:val="-2"/>
                <w:sz w:val="21"/>
                <w:szCs w:val="21"/>
                <w:highlight w:val="none"/>
              </w:rPr>
              <w:t>数量</w:t>
            </w:r>
          </w:p>
        </w:tc>
        <w:tc>
          <w:tcPr>
            <w:tcW w:w="990" w:type="dxa"/>
            <w:tcBorders>
              <w:top w:val="single" w:color="000000" w:sz="6" w:space="0"/>
            </w:tcBorders>
            <w:vAlign w:val="top"/>
          </w:tcPr>
          <w:p w14:paraId="12A27B2C">
            <w:pPr>
              <w:pStyle w:val="17"/>
              <w:spacing w:before="76" w:line="241" w:lineRule="auto"/>
              <w:ind w:left="195" w:right="184" w:firstLine="100"/>
              <w:rPr>
                <w:color w:val="auto"/>
                <w:sz w:val="21"/>
                <w:szCs w:val="21"/>
                <w:highlight w:val="none"/>
              </w:rPr>
            </w:pPr>
            <w:r>
              <w:rPr>
                <w:color w:val="auto"/>
                <w:spacing w:val="-4"/>
                <w:sz w:val="21"/>
                <w:szCs w:val="21"/>
                <w:highlight w:val="none"/>
              </w:rPr>
              <w:t>单价</w:t>
            </w:r>
            <w:r>
              <w:rPr>
                <w:color w:val="auto"/>
                <w:spacing w:val="-9"/>
                <w:sz w:val="21"/>
                <w:szCs w:val="21"/>
                <w:highlight w:val="none"/>
              </w:rPr>
              <w:t>（元）</w:t>
            </w:r>
          </w:p>
        </w:tc>
        <w:tc>
          <w:tcPr>
            <w:tcW w:w="993" w:type="dxa"/>
            <w:tcBorders>
              <w:top w:val="single" w:color="000000" w:sz="6" w:space="0"/>
            </w:tcBorders>
            <w:vAlign w:val="top"/>
          </w:tcPr>
          <w:p w14:paraId="106C7AAC">
            <w:pPr>
              <w:pStyle w:val="17"/>
              <w:spacing w:before="76" w:line="241" w:lineRule="auto"/>
              <w:ind w:left="197" w:right="186" w:firstLine="100"/>
              <w:rPr>
                <w:color w:val="auto"/>
                <w:sz w:val="21"/>
                <w:szCs w:val="21"/>
                <w:highlight w:val="none"/>
              </w:rPr>
            </w:pPr>
            <w:r>
              <w:rPr>
                <w:color w:val="auto"/>
                <w:spacing w:val="-4"/>
                <w:sz w:val="21"/>
                <w:szCs w:val="21"/>
                <w:highlight w:val="none"/>
              </w:rPr>
              <w:t>合价</w:t>
            </w:r>
            <w:r>
              <w:rPr>
                <w:color w:val="auto"/>
                <w:spacing w:val="-9"/>
                <w:sz w:val="21"/>
                <w:szCs w:val="21"/>
                <w:highlight w:val="none"/>
              </w:rPr>
              <w:t>（元）</w:t>
            </w:r>
          </w:p>
        </w:tc>
        <w:tc>
          <w:tcPr>
            <w:tcW w:w="1273" w:type="dxa"/>
            <w:tcBorders>
              <w:top w:val="single" w:color="000000" w:sz="6" w:space="0"/>
            </w:tcBorders>
            <w:vAlign w:val="top"/>
          </w:tcPr>
          <w:p w14:paraId="1736429E">
            <w:pPr>
              <w:pStyle w:val="17"/>
              <w:spacing w:before="76" w:line="221" w:lineRule="auto"/>
              <w:ind w:left="229"/>
              <w:rPr>
                <w:color w:val="auto"/>
                <w:sz w:val="21"/>
                <w:szCs w:val="21"/>
                <w:highlight w:val="none"/>
              </w:rPr>
            </w:pPr>
            <w:r>
              <w:rPr>
                <w:color w:val="auto"/>
                <w:spacing w:val="-2"/>
                <w:sz w:val="21"/>
                <w:szCs w:val="21"/>
                <w:highlight w:val="none"/>
              </w:rPr>
              <w:t>主要技术</w:t>
            </w:r>
          </w:p>
          <w:p w14:paraId="3AC54231">
            <w:pPr>
              <w:pStyle w:val="17"/>
              <w:spacing w:before="19" w:line="221" w:lineRule="auto"/>
              <w:ind w:left="229"/>
              <w:rPr>
                <w:color w:val="auto"/>
                <w:sz w:val="21"/>
                <w:szCs w:val="21"/>
                <w:highlight w:val="none"/>
              </w:rPr>
            </w:pPr>
            <w:r>
              <w:rPr>
                <w:color w:val="auto"/>
                <w:spacing w:val="-2"/>
                <w:sz w:val="21"/>
                <w:szCs w:val="21"/>
                <w:highlight w:val="none"/>
              </w:rPr>
              <w:t>条款编码</w:t>
            </w:r>
          </w:p>
        </w:tc>
        <w:tc>
          <w:tcPr>
            <w:tcW w:w="1002" w:type="dxa"/>
            <w:tcBorders>
              <w:top w:val="single" w:color="000000" w:sz="6" w:space="0"/>
              <w:right w:val="single" w:color="000000" w:sz="6" w:space="0"/>
            </w:tcBorders>
            <w:vAlign w:val="top"/>
          </w:tcPr>
          <w:p w14:paraId="26542B12">
            <w:pPr>
              <w:pStyle w:val="17"/>
              <w:spacing w:before="211" w:line="222" w:lineRule="auto"/>
              <w:ind w:left="300"/>
              <w:rPr>
                <w:color w:val="auto"/>
                <w:sz w:val="21"/>
                <w:szCs w:val="21"/>
                <w:highlight w:val="none"/>
              </w:rPr>
            </w:pPr>
            <w:r>
              <w:rPr>
                <w:color w:val="auto"/>
                <w:spacing w:val="-3"/>
                <w:sz w:val="21"/>
                <w:szCs w:val="21"/>
                <w:highlight w:val="none"/>
              </w:rPr>
              <w:t>备注</w:t>
            </w:r>
          </w:p>
        </w:tc>
      </w:tr>
      <w:tr w14:paraId="536B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66BAA8B8">
            <w:pPr>
              <w:rPr>
                <w:rFonts w:ascii="Arial"/>
                <w:color w:val="auto"/>
                <w:sz w:val="21"/>
                <w:highlight w:val="none"/>
              </w:rPr>
            </w:pPr>
          </w:p>
        </w:tc>
        <w:tc>
          <w:tcPr>
            <w:tcW w:w="1987" w:type="dxa"/>
            <w:vAlign w:val="top"/>
          </w:tcPr>
          <w:p w14:paraId="2FEE4DF0">
            <w:pPr>
              <w:rPr>
                <w:rFonts w:ascii="Arial"/>
                <w:color w:val="auto"/>
                <w:sz w:val="21"/>
                <w:highlight w:val="none"/>
              </w:rPr>
            </w:pPr>
          </w:p>
        </w:tc>
        <w:tc>
          <w:tcPr>
            <w:tcW w:w="2831" w:type="dxa"/>
            <w:vAlign w:val="top"/>
          </w:tcPr>
          <w:p w14:paraId="5515F1F0">
            <w:pPr>
              <w:rPr>
                <w:rFonts w:ascii="Arial"/>
                <w:color w:val="auto"/>
                <w:sz w:val="21"/>
                <w:highlight w:val="none"/>
              </w:rPr>
            </w:pPr>
          </w:p>
        </w:tc>
        <w:tc>
          <w:tcPr>
            <w:tcW w:w="2266" w:type="dxa"/>
            <w:vAlign w:val="top"/>
          </w:tcPr>
          <w:p w14:paraId="1EBFD2F1">
            <w:pPr>
              <w:rPr>
                <w:rFonts w:ascii="Arial"/>
                <w:color w:val="auto"/>
                <w:sz w:val="21"/>
                <w:highlight w:val="none"/>
              </w:rPr>
            </w:pPr>
          </w:p>
        </w:tc>
        <w:tc>
          <w:tcPr>
            <w:tcW w:w="990" w:type="dxa"/>
            <w:vAlign w:val="top"/>
          </w:tcPr>
          <w:p w14:paraId="39905318">
            <w:pPr>
              <w:rPr>
                <w:rFonts w:ascii="Arial"/>
                <w:color w:val="auto"/>
                <w:sz w:val="21"/>
                <w:highlight w:val="none"/>
              </w:rPr>
            </w:pPr>
          </w:p>
        </w:tc>
        <w:tc>
          <w:tcPr>
            <w:tcW w:w="993" w:type="dxa"/>
            <w:vAlign w:val="top"/>
          </w:tcPr>
          <w:p w14:paraId="59A79CA8">
            <w:pPr>
              <w:rPr>
                <w:rFonts w:ascii="Arial"/>
                <w:color w:val="auto"/>
                <w:sz w:val="21"/>
                <w:highlight w:val="none"/>
              </w:rPr>
            </w:pPr>
          </w:p>
        </w:tc>
        <w:tc>
          <w:tcPr>
            <w:tcW w:w="990" w:type="dxa"/>
            <w:vAlign w:val="top"/>
          </w:tcPr>
          <w:p w14:paraId="74533E61">
            <w:pPr>
              <w:rPr>
                <w:rFonts w:ascii="Arial"/>
                <w:color w:val="auto"/>
                <w:sz w:val="21"/>
                <w:highlight w:val="none"/>
              </w:rPr>
            </w:pPr>
          </w:p>
        </w:tc>
        <w:tc>
          <w:tcPr>
            <w:tcW w:w="993" w:type="dxa"/>
            <w:vAlign w:val="top"/>
          </w:tcPr>
          <w:p w14:paraId="218A37E6">
            <w:pPr>
              <w:rPr>
                <w:rFonts w:ascii="Arial"/>
                <w:color w:val="auto"/>
                <w:sz w:val="21"/>
                <w:highlight w:val="none"/>
              </w:rPr>
            </w:pPr>
          </w:p>
        </w:tc>
        <w:tc>
          <w:tcPr>
            <w:tcW w:w="1273" w:type="dxa"/>
            <w:vAlign w:val="top"/>
          </w:tcPr>
          <w:p w14:paraId="636281AA">
            <w:pPr>
              <w:rPr>
                <w:rFonts w:ascii="Arial"/>
                <w:color w:val="auto"/>
                <w:sz w:val="21"/>
                <w:highlight w:val="none"/>
              </w:rPr>
            </w:pPr>
          </w:p>
        </w:tc>
        <w:tc>
          <w:tcPr>
            <w:tcW w:w="1002" w:type="dxa"/>
            <w:tcBorders>
              <w:right w:val="single" w:color="000000" w:sz="6" w:space="0"/>
            </w:tcBorders>
            <w:vAlign w:val="top"/>
          </w:tcPr>
          <w:p w14:paraId="45FD7439">
            <w:pPr>
              <w:rPr>
                <w:rFonts w:ascii="Arial"/>
                <w:color w:val="auto"/>
                <w:sz w:val="21"/>
                <w:highlight w:val="none"/>
              </w:rPr>
            </w:pPr>
          </w:p>
        </w:tc>
      </w:tr>
      <w:tr w14:paraId="084AF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822" w:type="dxa"/>
            <w:tcBorders>
              <w:left w:val="single" w:color="000000" w:sz="6" w:space="0"/>
            </w:tcBorders>
            <w:vAlign w:val="top"/>
          </w:tcPr>
          <w:p w14:paraId="6B98F5C5">
            <w:pPr>
              <w:rPr>
                <w:rFonts w:ascii="Arial"/>
                <w:color w:val="auto"/>
                <w:sz w:val="21"/>
                <w:highlight w:val="none"/>
              </w:rPr>
            </w:pPr>
          </w:p>
        </w:tc>
        <w:tc>
          <w:tcPr>
            <w:tcW w:w="1987" w:type="dxa"/>
            <w:vAlign w:val="top"/>
          </w:tcPr>
          <w:p w14:paraId="1AFB644D">
            <w:pPr>
              <w:rPr>
                <w:rFonts w:ascii="Arial"/>
                <w:color w:val="auto"/>
                <w:sz w:val="21"/>
                <w:highlight w:val="none"/>
              </w:rPr>
            </w:pPr>
          </w:p>
        </w:tc>
        <w:tc>
          <w:tcPr>
            <w:tcW w:w="2831" w:type="dxa"/>
            <w:vAlign w:val="top"/>
          </w:tcPr>
          <w:p w14:paraId="6D2E455A">
            <w:pPr>
              <w:rPr>
                <w:rFonts w:ascii="Arial"/>
                <w:color w:val="auto"/>
                <w:sz w:val="21"/>
                <w:highlight w:val="none"/>
              </w:rPr>
            </w:pPr>
          </w:p>
        </w:tc>
        <w:tc>
          <w:tcPr>
            <w:tcW w:w="2266" w:type="dxa"/>
            <w:vAlign w:val="top"/>
          </w:tcPr>
          <w:p w14:paraId="3F8FAF0D">
            <w:pPr>
              <w:rPr>
                <w:rFonts w:ascii="Arial"/>
                <w:color w:val="auto"/>
                <w:sz w:val="21"/>
                <w:highlight w:val="none"/>
              </w:rPr>
            </w:pPr>
          </w:p>
        </w:tc>
        <w:tc>
          <w:tcPr>
            <w:tcW w:w="990" w:type="dxa"/>
            <w:vAlign w:val="top"/>
          </w:tcPr>
          <w:p w14:paraId="2F58A0E1">
            <w:pPr>
              <w:rPr>
                <w:rFonts w:ascii="Arial"/>
                <w:color w:val="auto"/>
                <w:sz w:val="21"/>
                <w:highlight w:val="none"/>
              </w:rPr>
            </w:pPr>
          </w:p>
        </w:tc>
        <w:tc>
          <w:tcPr>
            <w:tcW w:w="993" w:type="dxa"/>
            <w:vAlign w:val="top"/>
          </w:tcPr>
          <w:p w14:paraId="6184A272">
            <w:pPr>
              <w:rPr>
                <w:rFonts w:ascii="Arial"/>
                <w:color w:val="auto"/>
                <w:sz w:val="21"/>
                <w:highlight w:val="none"/>
              </w:rPr>
            </w:pPr>
          </w:p>
        </w:tc>
        <w:tc>
          <w:tcPr>
            <w:tcW w:w="990" w:type="dxa"/>
            <w:vAlign w:val="top"/>
          </w:tcPr>
          <w:p w14:paraId="454BFAD8">
            <w:pPr>
              <w:rPr>
                <w:rFonts w:ascii="Arial"/>
                <w:color w:val="auto"/>
                <w:sz w:val="21"/>
                <w:highlight w:val="none"/>
              </w:rPr>
            </w:pPr>
          </w:p>
        </w:tc>
        <w:tc>
          <w:tcPr>
            <w:tcW w:w="993" w:type="dxa"/>
            <w:vAlign w:val="top"/>
          </w:tcPr>
          <w:p w14:paraId="059BA6C4">
            <w:pPr>
              <w:rPr>
                <w:rFonts w:ascii="Arial"/>
                <w:color w:val="auto"/>
                <w:sz w:val="21"/>
                <w:highlight w:val="none"/>
              </w:rPr>
            </w:pPr>
          </w:p>
        </w:tc>
        <w:tc>
          <w:tcPr>
            <w:tcW w:w="1273" w:type="dxa"/>
            <w:vAlign w:val="top"/>
          </w:tcPr>
          <w:p w14:paraId="5B9C2F96">
            <w:pPr>
              <w:rPr>
                <w:rFonts w:ascii="Arial"/>
                <w:color w:val="auto"/>
                <w:sz w:val="21"/>
                <w:highlight w:val="none"/>
              </w:rPr>
            </w:pPr>
          </w:p>
        </w:tc>
        <w:tc>
          <w:tcPr>
            <w:tcW w:w="1002" w:type="dxa"/>
            <w:tcBorders>
              <w:right w:val="single" w:color="000000" w:sz="6" w:space="0"/>
            </w:tcBorders>
            <w:vAlign w:val="top"/>
          </w:tcPr>
          <w:p w14:paraId="691C5DA7">
            <w:pPr>
              <w:rPr>
                <w:rFonts w:ascii="Arial"/>
                <w:color w:val="auto"/>
                <w:sz w:val="21"/>
                <w:highlight w:val="none"/>
              </w:rPr>
            </w:pPr>
          </w:p>
        </w:tc>
      </w:tr>
      <w:tr w14:paraId="3B55A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tcBorders>
            <w:vAlign w:val="top"/>
          </w:tcPr>
          <w:p w14:paraId="076E7FA7">
            <w:pPr>
              <w:rPr>
                <w:rFonts w:ascii="Arial"/>
                <w:color w:val="auto"/>
                <w:sz w:val="21"/>
                <w:highlight w:val="none"/>
              </w:rPr>
            </w:pPr>
          </w:p>
        </w:tc>
        <w:tc>
          <w:tcPr>
            <w:tcW w:w="1987" w:type="dxa"/>
            <w:vAlign w:val="top"/>
          </w:tcPr>
          <w:p w14:paraId="4CE27F17">
            <w:pPr>
              <w:rPr>
                <w:rFonts w:ascii="Arial"/>
                <w:color w:val="auto"/>
                <w:sz w:val="21"/>
                <w:highlight w:val="none"/>
              </w:rPr>
            </w:pPr>
          </w:p>
        </w:tc>
        <w:tc>
          <w:tcPr>
            <w:tcW w:w="2831" w:type="dxa"/>
            <w:vAlign w:val="top"/>
          </w:tcPr>
          <w:p w14:paraId="586E0B8B">
            <w:pPr>
              <w:rPr>
                <w:rFonts w:ascii="Arial"/>
                <w:color w:val="auto"/>
                <w:sz w:val="21"/>
                <w:highlight w:val="none"/>
              </w:rPr>
            </w:pPr>
          </w:p>
        </w:tc>
        <w:tc>
          <w:tcPr>
            <w:tcW w:w="2266" w:type="dxa"/>
            <w:vAlign w:val="top"/>
          </w:tcPr>
          <w:p w14:paraId="0DEEB313">
            <w:pPr>
              <w:rPr>
                <w:rFonts w:ascii="Arial"/>
                <w:color w:val="auto"/>
                <w:sz w:val="21"/>
                <w:highlight w:val="none"/>
              </w:rPr>
            </w:pPr>
          </w:p>
        </w:tc>
        <w:tc>
          <w:tcPr>
            <w:tcW w:w="990" w:type="dxa"/>
            <w:vAlign w:val="top"/>
          </w:tcPr>
          <w:p w14:paraId="79459E76">
            <w:pPr>
              <w:rPr>
                <w:rFonts w:ascii="Arial"/>
                <w:color w:val="auto"/>
                <w:sz w:val="21"/>
                <w:highlight w:val="none"/>
              </w:rPr>
            </w:pPr>
          </w:p>
        </w:tc>
        <w:tc>
          <w:tcPr>
            <w:tcW w:w="993" w:type="dxa"/>
            <w:vAlign w:val="top"/>
          </w:tcPr>
          <w:p w14:paraId="050A494C">
            <w:pPr>
              <w:rPr>
                <w:rFonts w:ascii="Arial"/>
                <w:color w:val="auto"/>
                <w:sz w:val="21"/>
                <w:highlight w:val="none"/>
              </w:rPr>
            </w:pPr>
          </w:p>
        </w:tc>
        <w:tc>
          <w:tcPr>
            <w:tcW w:w="990" w:type="dxa"/>
            <w:vAlign w:val="top"/>
          </w:tcPr>
          <w:p w14:paraId="6CCC6A7D">
            <w:pPr>
              <w:rPr>
                <w:rFonts w:ascii="Arial"/>
                <w:color w:val="auto"/>
                <w:sz w:val="21"/>
                <w:highlight w:val="none"/>
              </w:rPr>
            </w:pPr>
          </w:p>
        </w:tc>
        <w:tc>
          <w:tcPr>
            <w:tcW w:w="993" w:type="dxa"/>
            <w:vAlign w:val="top"/>
          </w:tcPr>
          <w:p w14:paraId="45653D0B">
            <w:pPr>
              <w:rPr>
                <w:rFonts w:ascii="Arial"/>
                <w:color w:val="auto"/>
                <w:sz w:val="21"/>
                <w:highlight w:val="none"/>
              </w:rPr>
            </w:pPr>
          </w:p>
        </w:tc>
        <w:tc>
          <w:tcPr>
            <w:tcW w:w="1273" w:type="dxa"/>
            <w:vAlign w:val="top"/>
          </w:tcPr>
          <w:p w14:paraId="35FB5711">
            <w:pPr>
              <w:rPr>
                <w:rFonts w:ascii="Arial"/>
                <w:color w:val="auto"/>
                <w:sz w:val="21"/>
                <w:highlight w:val="none"/>
              </w:rPr>
            </w:pPr>
          </w:p>
        </w:tc>
        <w:tc>
          <w:tcPr>
            <w:tcW w:w="1002" w:type="dxa"/>
            <w:tcBorders>
              <w:right w:val="single" w:color="000000" w:sz="6" w:space="0"/>
            </w:tcBorders>
            <w:vAlign w:val="top"/>
          </w:tcPr>
          <w:p w14:paraId="5384F860">
            <w:pPr>
              <w:rPr>
                <w:rFonts w:ascii="Arial"/>
                <w:color w:val="auto"/>
                <w:sz w:val="21"/>
                <w:highlight w:val="none"/>
              </w:rPr>
            </w:pPr>
          </w:p>
        </w:tc>
      </w:tr>
      <w:tr w14:paraId="53670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822" w:type="dxa"/>
            <w:tcBorders>
              <w:left w:val="single" w:color="000000" w:sz="6" w:space="0"/>
            </w:tcBorders>
            <w:vAlign w:val="top"/>
          </w:tcPr>
          <w:p w14:paraId="2DE50450">
            <w:pPr>
              <w:rPr>
                <w:rFonts w:ascii="Arial"/>
                <w:color w:val="auto"/>
                <w:sz w:val="21"/>
                <w:highlight w:val="none"/>
              </w:rPr>
            </w:pPr>
          </w:p>
        </w:tc>
        <w:tc>
          <w:tcPr>
            <w:tcW w:w="1987" w:type="dxa"/>
            <w:vAlign w:val="top"/>
          </w:tcPr>
          <w:p w14:paraId="294BAC84">
            <w:pPr>
              <w:rPr>
                <w:rFonts w:ascii="Arial"/>
                <w:color w:val="auto"/>
                <w:sz w:val="21"/>
                <w:highlight w:val="none"/>
              </w:rPr>
            </w:pPr>
          </w:p>
        </w:tc>
        <w:tc>
          <w:tcPr>
            <w:tcW w:w="2831" w:type="dxa"/>
            <w:vAlign w:val="top"/>
          </w:tcPr>
          <w:p w14:paraId="66BA81D2">
            <w:pPr>
              <w:rPr>
                <w:rFonts w:ascii="Arial"/>
                <w:color w:val="auto"/>
                <w:sz w:val="21"/>
                <w:highlight w:val="none"/>
              </w:rPr>
            </w:pPr>
          </w:p>
        </w:tc>
        <w:tc>
          <w:tcPr>
            <w:tcW w:w="2266" w:type="dxa"/>
            <w:vAlign w:val="top"/>
          </w:tcPr>
          <w:p w14:paraId="5150A862">
            <w:pPr>
              <w:rPr>
                <w:rFonts w:ascii="Arial"/>
                <w:color w:val="auto"/>
                <w:sz w:val="21"/>
                <w:highlight w:val="none"/>
              </w:rPr>
            </w:pPr>
          </w:p>
        </w:tc>
        <w:tc>
          <w:tcPr>
            <w:tcW w:w="990" w:type="dxa"/>
            <w:vAlign w:val="top"/>
          </w:tcPr>
          <w:p w14:paraId="536FBBD6">
            <w:pPr>
              <w:rPr>
                <w:rFonts w:ascii="Arial"/>
                <w:color w:val="auto"/>
                <w:sz w:val="21"/>
                <w:highlight w:val="none"/>
              </w:rPr>
            </w:pPr>
          </w:p>
        </w:tc>
        <w:tc>
          <w:tcPr>
            <w:tcW w:w="993" w:type="dxa"/>
            <w:vAlign w:val="top"/>
          </w:tcPr>
          <w:p w14:paraId="6A234FA5">
            <w:pPr>
              <w:rPr>
                <w:rFonts w:ascii="Arial"/>
                <w:color w:val="auto"/>
                <w:sz w:val="21"/>
                <w:highlight w:val="none"/>
              </w:rPr>
            </w:pPr>
          </w:p>
        </w:tc>
        <w:tc>
          <w:tcPr>
            <w:tcW w:w="990" w:type="dxa"/>
            <w:vAlign w:val="top"/>
          </w:tcPr>
          <w:p w14:paraId="27263236">
            <w:pPr>
              <w:rPr>
                <w:rFonts w:ascii="Arial"/>
                <w:color w:val="auto"/>
                <w:sz w:val="21"/>
                <w:highlight w:val="none"/>
              </w:rPr>
            </w:pPr>
          </w:p>
        </w:tc>
        <w:tc>
          <w:tcPr>
            <w:tcW w:w="993" w:type="dxa"/>
            <w:vAlign w:val="top"/>
          </w:tcPr>
          <w:p w14:paraId="7AADC270">
            <w:pPr>
              <w:rPr>
                <w:rFonts w:ascii="Arial"/>
                <w:color w:val="auto"/>
                <w:sz w:val="21"/>
                <w:highlight w:val="none"/>
              </w:rPr>
            </w:pPr>
          </w:p>
        </w:tc>
        <w:tc>
          <w:tcPr>
            <w:tcW w:w="1273" w:type="dxa"/>
            <w:vAlign w:val="top"/>
          </w:tcPr>
          <w:p w14:paraId="18D7BD3E">
            <w:pPr>
              <w:rPr>
                <w:rFonts w:ascii="Arial"/>
                <w:color w:val="auto"/>
                <w:sz w:val="21"/>
                <w:highlight w:val="none"/>
              </w:rPr>
            </w:pPr>
          </w:p>
        </w:tc>
        <w:tc>
          <w:tcPr>
            <w:tcW w:w="1002" w:type="dxa"/>
            <w:tcBorders>
              <w:right w:val="single" w:color="000000" w:sz="6" w:space="0"/>
            </w:tcBorders>
            <w:vAlign w:val="top"/>
          </w:tcPr>
          <w:p w14:paraId="31AC2552">
            <w:pPr>
              <w:rPr>
                <w:rFonts w:ascii="Arial"/>
                <w:color w:val="auto"/>
                <w:sz w:val="21"/>
                <w:highlight w:val="none"/>
              </w:rPr>
            </w:pPr>
          </w:p>
        </w:tc>
      </w:tr>
      <w:tr w14:paraId="41A07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tcBorders>
            <w:vAlign w:val="top"/>
          </w:tcPr>
          <w:p w14:paraId="11B8DCF8">
            <w:pPr>
              <w:rPr>
                <w:rFonts w:ascii="Arial"/>
                <w:color w:val="auto"/>
                <w:sz w:val="21"/>
                <w:highlight w:val="none"/>
              </w:rPr>
            </w:pPr>
          </w:p>
        </w:tc>
        <w:tc>
          <w:tcPr>
            <w:tcW w:w="1987" w:type="dxa"/>
            <w:vAlign w:val="top"/>
          </w:tcPr>
          <w:p w14:paraId="2C31C810">
            <w:pPr>
              <w:rPr>
                <w:rFonts w:ascii="Arial"/>
                <w:color w:val="auto"/>
                <w:sz w:val="21"/>
                <w:highlight w:val="none"/>
              </w:rPr>
            </w:pPr>
          </w:p>
        </w:tc>
        <w:tc>
          <w:tcPr>
            <w:tcW w:w="2831" w:type="dxa"/>
            <w:vAlign w:val="top"/>
          </w:tcPr>
          <w:p w14:paraId="29DE1B61">
            <w:pPr>
              <w:rPr>
                <w:rFonts w:ascii="Arial"/>
                <w:color w:val="auto"/>
                <w:sz w:val="21"/>
                <w:highlight w:val="none"/>
              </w:rPr>
            </w:pPr>
          </w:p>
        </w:tc>
        <w:tc>
          <w:tcPr>
            <w:tcW w:w="2266" w:type="dxa"/>
            <w:vAlign w:val="top"/>
          </w:tcPr>
          <w:p w14:paraId="411CF322">
            <w:pPr>
              <w:rPr>
                <w:rFonts w:ascii="Arial"/>
                <w:color w:val="auto"/>
                <w:sz w:val="21"/>
                <w:highlight w:val="none"/>
              </w:rPr>
            </w:pPr>
          </w:p>
        </w:tc>
        <w:tc>
          <w:tcPr>
            <w:tcW w:w="990" w:type="dxa"/>
            <w:vAlign w:val="top"/>
          </w:tcPr>
          <w:p w14:paraId="5FBAED27">
            <w:pPr>
              <w:rPr>
                <w:rFonts w:ascii="Arial"/>
                <w:color w:val="auto"/>
                <w:sz w:val="21"/>
                <w:highlight w:val="none"/>
              </w:rPr>
            </w:pPr>
          </w:p>
        </w:tc>
        <w:tc>
          <w:tcPr>
            <w:tcW w:w="993" w:type="dxa"/>
            <w:vAlign w:val="top"/>
          </w:tcPr>
          <w:p w14:paraId="1450570B">
            <w:pPr>
              <w:rPr>
                <w:rFonts w:ascii="Arial"/>
                <w:color w:val="auto"/>
                <w:sz w:val="21"/>
                <w:highlight w:val="none"/>
              </w:rPr>
            </w:pPr>
          </w:p>
        </w:tc>
        <w:tc>
          <w:tcPr>
            <w:tcW w:w="990" w:type="dxa"/>
            <w:vAlign w:val="top"/>
          </w:tcPr>
          <w:p w14:paraId="0882A50A">
            <w:pPr>
              <w:rPr>
                <w:rFonts w:ascii="Arial"/>
                <w:color w:val="auto"/>
                <w:sz w:val="21"/>
                <w:highlight w:val="none"/>
              </w:rPr>
            </w:pPr>
          </w:p>
        </w:tc>
        <w:tc>
          <w:tcPr>
            <w:tcW w:w="993" w:type="dxa"/>
            <w:vAlign w:val="top"/>
          </w:tcPr>
          <w:p w14:paraId="1AD940F4">
            <w:pPr>
              <w:rPr>
                <w:rFonts w:ascii="Arial"/>
                <w:color w:val="auto"/>
                <w:sz w:val="21"/>
                <w:highlight w:val="none"/>
              </w:rPr>
            </w:pPr>
          </w:p>
        </w:tc>
        <w:tc>
          <w:tcPr>
            <w:tcW w:w="1273" w:type="dxa"/>
            <w:vAlign w:val="top"/>
          </w:tcPr>
          <w:p w14:paraId="67DE0150">
            <w:pPr>
              <w:rPr>
                <w:rFonts w:ascii="Arial"/>
                <w:color w:val="auto"/>
                <w:sz w:val="21"/>
                <w:highlight w:val="none"/>
              </w:rPr>
            </w:pPr>
          </w:p>
        </w:tc>
        <w:tc>
          <w:tcPr>
            <w:tcW w:w="1002" w:type="dxa"/>
            <w:tcBorders>
              <w:right w:val="single" w:color="000000" w:sz="6" w:space="0"/>
            </w:tcBorders>
            <w:vAlign w:val="top"/>
          </w:tcPr>
          <w:p w14:paraId="39C21169">
            <w:pPr>
              <w:rPr>
                <w:rFonts w:ascii="Arial"/>
                <w:color w:val="auto"/>
                <w:sz w:val="21"/>
                <w:highlight w:val="none"/>
              </w:rPr>
            </w:pPr>
          </w:p>
        </w:tc>
      </w:tr>
      <w:tr w14:paraId="1FCC7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3CCB17AF">
            <w:pPr>
              <w:rPr>
                <w:rFonts w:ascii="Arial"/>
                <w:color w:val="auto"/>
                <w:sz w:val="21"/>
                <w:highlight w:val="none"/>
              </w:rPr>
            </w:pPr>
          </w:p>
        </w:tc>
        <w:tc>
          <w:tcPr>
            <w:tcW w:w="1987" w:type="dxa"/>
            <w:vAlign w:val="top"/>
          </w:tcPr>
          <w:p w14:paraId="3DD187DA">
            <w:pPr>
              <w:rPr>
                <w:rFonts w:ascii="Arial"/>
                <w:color w:val="auto"/>
                <w:sz w:val="21"/>
                <w:highlight w:val="none"/>
              </w:rPr>
            </w:pPr>
          </w:p>
        </w:tc>
        <w:tc>
          <w:tcPr>
            <w:tcW w:w="2831" w:type="dxa"/>
            <w:vAlign w:val="top"/>
          </w:tcPr>
          <w:p w14:paraId="19ADC377">
            <w:pPr>
              <w:rPr>
                <w:rFonts w:ascii="Arial"/>
                <w:color w:val="auto"/>
                <w:sz w:val="21"/>
                <w:highlight w:val="none"/>
              </w:rPr>
            </w:pPr>
          </w:p>
        </w:tc>
        <w:tc>
          <w:tcPr>
            <w:tcW w:w="2266" w:type="dxa"/>
            <w:vAlign w:val="top"/>
          </w:tcPr>
          <w:p w14:paraId="5FE7EE1C">
            <w:pPr>
              <w:rPr>
                <w:rFonts w:ascii="Arial"/>
                <w:color w:val="auto"/>
                <w:sz w:val="21"/>
                <w:highlight w:val="none"/>
              </w:rPr>
            </w:pPr>
          </w:p>
        </w:tc>
        <w:tc>
          <w:tcPr>
            <w:tcW w:w="990" w:type="dxa"/>
            <w:vAlign w:val="top"/>
          </w:tcPr>
          <w:p w14:paraId="0BA11831">
            <w:pPr>
              <w:rPr>
                <w:rFonts w:ascii="Arial"/>
                <w:color w:val="auto"/>
                <w:sz w:val="21"/>
                <w:highlight w:val="none"/>
              </w:rPr>
            </w:pPr>
          </w:p>
        </w:tc>
        <w:tc>
          <w:tcPr>
            <w:tcW w:w="993" w:type="dxa"/>
            <w:vAlign w:val="top"/>
          </w:tcPr>
          <w:p w14:paraId="2B1F030D">
            <w:pPr>
              <w:rPr>
                <w:rFonts w:ascii="Arial"/>
                <w:color w:val="auto"/>
                <w:sz w:val="21"/>
                <w:highlight w:val="none"/>
              </w:rPr>
            </w:pPr>
          </w:p>
        </w:tc>
        <w:tc>
          <w:tcPr>
            <w:tcW w:w="990" w:type="dxa"/>
            <w:vAlign w:val="top"/>
          </w:tcPr>
          <w:p w14:paraId="71E48A02">
            <w:pPr>
              <w:rPr>
                <w:rFonts w:ascii="Arial"/>
                <w:color w:val="auto"/>
                <w:sz w:val="21"/>
                <w:highlight w:val="none"/>
              </w:rPr>
            </w:pPr>
          </w:p>
        </w:tc>
        <w:tc>
          <w:tcPr>
            <w:tcW w:w="993" w:type="dxa"/>
            <w:vAlign w:val="top"/>
          </w:tcPr>
          <w:p w14:paraId="171AAB24">
            <w:pPr>
              <w:rPr>
                <w:rFonts w:ascii="Arial"/>
                <w:color w:val="auto"/>
                <w:sz w:val="21"/>
                <w:highlight w:val="none"/>
              </w:rPr>
            </w:pPr>
          </w:p>
        </w:tc>
        <w:tc>
          <w:tcPr>
            <w:tcW w:w="1273" w:type="dxa"/>
            <w:vAlign w:val="top"/>
          </w:tcPr>
          <w:p w14:paraId="03DB659D">
            <w:pPr>
              <w:rPr>
                <w:rFonts w:ascii="Arial"/>
                <w:color w:val="auto"/>
                <w:sz w:val="21"/>
                <w:highlight w:val="none"/>
              </w:rPr>
            </w:pPr>
          </w:p>
        </w:tc>
        <w:tc>
          <w:tcPr>
            <w:tcW w:w="1002" w:type="dxa"/>
            <w:tcBorders>
              <w:right w:val="single" w:color="000000" w:sz="6" w:space="0"/>
            </w:tcBorders>
            <w:vAlign w:val="top"/>
          </w:tcPr>
          <w:p w14:paraId="1A4588C8">
            <w:pPr>
              <w:rPr>
                <w:rFonts w:ascii="Arial"/>
                <w:color w:val="auto"/>
                <w:sz w:val="21"/>
                <w:highlight w:val="none"/>
              </w:rPr>
            </w:pPr>
          </w:p>
        </w:tc>
      </w:tr>
      <w:tr w14:paraId="3594D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5DFECF8A">
            <w:pPr>
              <w:rPr>
                <w:rFonts w:ascii="Arial"/>
                <w:color w:val="auto"/>
                <w:sz w:val="21"/>
                <w:highlight w:val="none"/>
              </w:rPr>
            </w:pPr>
          </w:p>
        </w:tc>
        <w:tc>
          <w:tcPr>
            <w:tcW w:w="1987" w:type="dxa"/>
            <w:vAlign w:val="top"/>
          </w:tcPr>
          <w:p w14:paraId="60FC403F">
            <w:pPr>
              <w:rPr>
                <w:rFonts w:ascii="Arial"/>
                <w:color w:val="auto"/>
                <w:sz w:val="21"/>
                <w:highlight w:val="none"/>
              </w:rPr>
            </w:pPr>
          </w:p>
        </w:tc>
        <w:tc>
          <w:tcPr>
            <w:tcW w:w="2831" w:type="dxa"/>
            <w:vAlign w:val="top"/>
          </w:tcPr>
          <w:p w14:paraId="3E25F566">
            <w:pPr>
              <w:rPr>
                <w:rFonts w:ascii="Arial"/>
                <w:color w:val="auto"/>
                <w:sz w:val="21"/>
                <w:highlight w:val="none"/>
              </w:rPr>
            </w:pPr>
          </w:p>
        </w:tc>
        <w:tc>
          <w:tcPr>
            <w:tcW w:w="2266" w:type="dxa"/>
            <w:vAlign w:val="top"/>
          </w:tcPr>
          <w:p w14:paraId="09DCF79F">
            <w:pPr>
              <w:rPr>
                <w:rFonts w:ascii="Arial"/>
                <w:color w:val="auto"/>
                <w:sz w:val="21"/>
                <w:highlight w:val="none"/>
              </w:rPr>
            </w:pPr>
          </w:p>
        </w:tc>
        <w:tc>
          <w:tcPr>
            <w:tcW w:w="990" w:type="dxa"/>
            <w:vAlign w:val="top"/>
          </w:tcPr>
          <w:p w14:paraId="6453710D">
            <w:pPr>
              <w:rPr>
                <w:rFonts w:ascii="Arial"/>
                <w:color w:val="auto"/>
                <w:sz w:val="21"/>
                <w:highlight w:val="none"/>
              </w:rPr>
            </w:pPr>
          </w:p>
        </w:tc>
        <w:tc>
          <w:tcPr>
            <w:tcW w:w="993" w:type="dxa"/>
            <w:vAlign w:val="top"/>
          </w:tcPr>
          <w:p w14:paraId="3D667B87">
            <w:pPr>
              <w:rPr>
                <w:rFonts w:ascii="Arial"/>
                <w:color w:val="auto"/>
                <w:sz w:val="21"/>
                <w:highlight w:val="none"/>
              </w:rPr>
            </w:pPr>
          </w:p>
        </w:tc>
        <w:tc>
          <w:tcPr>
            <w:tcW w:w="990" w:type="dxa"/>
            <w:vAlign w:val="top"/>
          </w:tcPr>
          <w:p w14:paraId="2D56DD8E">
            <w:pPr>
              <w:rPr>
                <w:rFonts w:ascii="Arial"/>
                <w:color w:val="auto"/>
                <w:sz w:val="21"/>
                <w:highlight w:val="none"/>
              </w:rPr>
            </w:pPr>
          </w:p>
        </w:tc>
        <w:tc>
          <w:tcPr>
            <w:tcW w:w="993" w:type="dxa"/>
            <w:vAlign w:val="top"/>
          </w:tcPr>
          <w:p w14:paraId="35B0EC3E">
            <w:pPr>
              <w:rPr>
                <w:rFonts w:ascii="Arial"/>
                <w:color w:val="auto"/>
                <w:sz w:val="21"/>
                <w:highlight w:val="none"/>
              </w:rPr>
            </w:pPr>
          </w:p>
        </w:tc>
        <w:tc>
          <w:tcPr>
            <w:tcW w:w="1273" w:type="dxa"/>
            <w:vAlign w:val="top"/>
          </w:tcPr>
          <w:p w14:paraId="11075EDB">
            <w:pPr>
              <w:rPr>
                <w:rFonts w:ascii="Arial"/>
                <w:color w:val="auto"/>
                <w:sz w:val="21"/>
                <w:highlight w:val="none"/>
              </w:rPr>
            </w:pPr>
          </w:p>
        </w:tc>
        <w:tc>
          <w:tcPr>
            <w:tcW w:w="1002" w:type="dxa"/>
            <w:tcBorders>
              <w:right w:val="single" w:color="000000" w:sz="6" w:space="0"/>
            </w:tcBorders>
            <w:vAlign w:val="top"/>
          </w:tcPr>
          <w:p w14:paraId="2F023626">
            <w:pPr>
              <w:rPr>
                <w:rFonts w:ascii="Arial"/>
                <w:color w:val="auto"/>
                <w:sz w:val="21"/>
                <w:highlight w:val="none"/>
              </w:rPr>
            </w:pPr>
          </w:p>
        </w:tc>
      </w:tr>
      <w:tr w14:paraId="21D2E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 w:type="dxa"/>
            <w:tcBorders>
              <w:left w:val="single" w:color="000000" w:sz="6" w:space="0"/>
            </w:tcBorders>
            <w:vAlign w:val="top"/>
          </w:tcPr>
          <w:p w14:paraId="26EA2E7F">
            <w:pPr>
              <w:rPr>
                <w:rFonts w:ascii="Arial"/>
                <w:color w:val="auto"/>
                <w:sz w:val="21"/>
                <w:highlight w:val="none"/>
              </w:rPr>
            </w:pPr>
          </w:p>
        </w:tc>
        <w:tc>
          <w:tcPr>
            <w:tcW w:w="1987" w:type="dxa"/>
            <w:vAlign w:val="top"/>
          </w:tcPr>
          <w:p w14:paraId="5B651290">
            <w:pPr>
              <w:rPr>
                <w:rFonts w:ascii="Arial"/>
                <w:color w:val="auto"/>
                <w:sz w:val="21"/>
                <w:highlight w:val="none"/>
              </w:rPr>
            </w:pPr>
          </w:p>
        </w:tc>
        <w:tc>
          <w:tcPr>
            <w:tcW w:w="2831" w:type="dxa"/>
            <w:vAlign w:val="top"/>
          </w:tcPr>
          <w:p w14:paraId="04AAA76F">
            <w:pPr>
              <w:rPr>
                <w:rFonts w:ascii="Arial"/>
                <w:color w:val="auto"/>
                <w:sz w:val="21"/>
                <w:highlight w:val="none"/>
              </w:rPr>
            </w:pPr>
          </w:p>
        </w:tc>
        <w:tc>
          <w:tcPr>
            <w:tcW w:w="2266" w:type="dxa"/>
            <w:vAlign w:val="top"/>
          </w:tcPr>
          <w:p w14:paraId="78B4D0B7">
            <w:pPr>
              <w:rPr>
                <w:rFonts w:ascii="Arial"/>
                <w:color w:val="auto"/>
                <w:sz w:val="21"/>
                <w:highlight w:val="none"/>
              </w:rPr>
            </w:pPr>
          </w:p>
        </w:tc>
        <w:tc>
          <w:tcPr>
            <w:tcW w:w="990" w:type="dxa"/>
            <w:vAlign w:val="top"/>
          </w:tcPr>
          <w:p w14:paraId="4B60F013">
            <w:pPr>
              <w:rPr>
                <w:rFonts w:ascii="Arial"/>
                <w:color w:val="auto"/>
                <w:sz w:val="21"/>
                <w:highlight w:val="none"/>
              </w:rPr>
            </w:pPr>
          </w:p>
        </w:tc>
        <w:tc>
          <w:tcPr>
            <w:tcW w:w="993" w:type="dxa"/>
            <w:vAlign w:val="top"/>
          </w:tcPr>
          <w:p w14:paraId="0FF10932">
            <w:pPr>
              <w:rPr>
                <w:rFonts w:ascii="Arial"/>
                <w:color w:val="auto"/>
                <w:sz w:val="21"/>
                <w:highlight w:val="none"/>
              </w:rPr>
            </w:pPr>
          </w:p>
        </w:tc>
        <w:tc>
          <w:tcPr>
            <w:tcW w:w="990" w:type="dxa"/>
            <w:vAlign w:val="top"/>
          </w:tcPr>
          <w:p w14:paraId="418C3F0B">
            <w:pPr>
              <w:rPr>
                <w:rFonts w:ascii="Arial"/>
                <w:color w:val="auto"/>
                <w:sz w:val="21"/>
                <w:highlight w:val="none"/>
              </w:rPr>
            </w:pPr>
          </w:p>
        </w:tc>
        <w:tc>
          <w:tcPr>
            <w:tcW w:w="993" w:type="dxa"/>
            <w:vAlign w:val="top"/>
          </w:tcPr>
          <w:p w14:paraId="0D1D44D1">
            <w:pPr>
              <w:rPr>
                <w:rFonts w:ascii="Arial"/>
                <w:color w:val="auto"/>
                <w:sz w:val="21"/>
                <w:highlight w:val="none"/>
              </w:rPr>
            </w:pPr>
          </w:p>
        </w:tc>
        <w:tc>
          <w:tcPr>
            <w:tcW w:w="1273" w:type="dxa"/>
            <w:vAlign w:val="top"/>
          </w:tcPr>
          <w:p w14:paraId="5FAA1547">
            <w:pPr>
              <w:rPr>
                <w:rFonts w:ascii="Arial"/>
                <w:color w:val="auto"/>
                <w:sz w:val="21"/>
                <w:highlight w:val="none"/>
              </w:rPr>
            </w:pPr>
          </w:p>
        </w:tc>
        <w:tc>
          <w:tcPr>
            <w:tcW w:w="1002" w:type="dxa"/>
            <w:tcBorders>
              <w:right w:val="single" w:color="000000" w:sz="6" w:space="0"/>
            </w:tcBorders>
            <w:vAlign w:val="top"/>
          </w:tcPr>
          <w:p w14:paraId="75934F56">
            <w:pPr>
              <w:rPr>
                <w:rFonts w:ascii="Arial"/>
                <w:color w:val="auto"/>
                <w:sz w:val="21"/>
                <w:highlight w:val="none"/>
              </w:rPr>
            </w:pPr>
          </w:p>
        </w:tc>
      </w:tr>
      <w:tr w14:paraId="62958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2" w:type="dxa"/>
            <w:tcBorders>
              <w:left w:val="single" w:color="000000" w:sz="6" w:space="0"/>
            </w:tcBorders>
            <w:vAlign w:val="top"/>
          </w:tcPr>
          <w:p w14:paraId="16AC87E0">
            <w:pPr>
              <w:rPr>
                <w:rFonts w:ascii="Arial"/>
                <w:color w:val="auto"/>
                <w:sz w:val="21"/>
                <w:highlight w:val="none"/>
              </w:rPr>
            </w:pPr>
          </w:p>
        </w:tc>
        <w:tc>
          <w:tcPr>
            <w:tcW w:w="1987" w:type="dxa"/>
            <w:vAlign w:val="top"/>
          </w:tcPr>
          <w:p w14:paraId="001DA2E0">
            <w:pPr>
              <w:rPr>
                <w:rFonts w:ascii="Arial"/>
                <w:color w:val="auto"/>
                <w:sz w:val="21"/>
                <w:highlight w:val="none"/>
              </w:rPr>
            </w:pPr>
          </w:p>
        </w:tc>
        <w:tc>
          <w:tcPr>
            <w:tcW w:w="2831" w:type="dxa"/>
            <w:vAlign w:val="top"/>
          </w:tcPr>
          <w:p w14:paraId="242C04A3">
            <w:pPr>
              <w:rPr>
                <w:rFonts w:ascii="Arial"/>
                <w:color w:val="auto"/>
                <w:sz w:val="21"/>
                <w:highlight w:val="none"/>
              </w:rPr>
            </w:pPr>
          </w:p>
        </w:tc>
        <w:tc>
          <w:tcPr>
            <w:tcW w:w="2266" w:type="dxa"/>
            <w:vAlign w:val="top"/>
          </w:tcPr>
          <w:p w14:paraId="7705D0CA">
            <w:pPr>
              <w:rPr>
                <w:rFonts w:ascii="Arial"/>
                <w:color w:val="auto"/>
                <w:sz w:val="21"/>
                <w:highlight w:val="none"/>
              </w:rPr>
            </w:pPr>
          </w:p>
        </w:tc>
        <w:tc>
          <w:tcPr>
            <w:tcW w:w="990" w:type="dxa"/>
            <w:vAlign w:val="top"/>
          </w:tcPr>
          <w:p w14:paraId="01159D95">
            <w:pPr>
              <w:rPr>
                <w:rFonts w:ascii="Arial"/>
                <w:color w:val="auto"/>
                <w:sz w:val="21"/>
                <w:highlight w:val="none"/>
              </w:rPr>
            </w:pPr>
          </w:p>
        </w:tc>
        <w:tc>
          <w:tcPr>
            <w:tcW w:w="993" w:type="dxa"/>
            <w:vAlign w:val="top"/>
          </w:tcPr>
          <w:p w14:paraId="4601C869">
            <w:pPr>
              <w:rPr>
                <w:rFonts w:ascii="Arial"/>
                <w:color w:val="auto"/>
                <w:sz w:val="21"/>
                <w:highlight w:val="none"/>
              </w:rPr>
            </w:pPr>
          </w:p>
        </w:tc>
        <w:tc>
          <w:tcPr>
            <w:tcW w:w="990" w:type="dxa"/>
            <w:vAlign w:val="top"/>
          </w:tcPr>
          <w:p w14:paraId="005081DA">
            <w:pPr>
              <w:rPr>
                <w:rFonts w:ascii="Arial"/>
                <w:color w:val="auto"/>
                <w:sz w:val="21"/>
                <w:highlight w:val="none"/>
              </w:rPr>
            </w:pPr>
          </w:p>
        </w:tc>
        <w:tc>
          <w:tcPr>
            <w:tcW w:w="993" w:type="dxa"/>
            <w:vAlign w:val="top"/>
          </w:tcPr>
          <w:p w14:paraId="58249F26">
            <w:pPr>
              <w:rPr>
                <w:rFonts w:ascii="Arial"/>
                <w:color w:val="auto"/>
                <w:sz w:val="21"/>
                <w:highlight w:val="none"/>
              </w:rPr>
            </w:pPr>
          </w:p>
        </w:tc>
        <w:tc>
          <w:tcPr>
            <w:tcW w:w="1273" w:type="dxa"/>
            <w:vAlign w:val="top"/>
          </w:tcPr>
          <w:p w14:paraId="1175AD9C">
            <w:pPr>
              <w:rPr>
                <w:rFonts w:ascii="Arial"/>
                <w:color w:val="auto"/>
                <w:sz w:val="21"/>
                <w:highlight w:val="none"/>
              </w:rPr>
            </w:pPr>
          </w:p>
        </w:tc>
        <w:tc>
          <w:tcPr>
            <w:tcW w:w="1002" w:type="dxa"/>
            <w:tcBorders>
              <w:right w:val="single" w:color="000000" w:sz="6" w:space="0"/>
            </w:tcBorders>
            <w:vAlign w:val="top"/>
          </w:tcPr>
          <w:p w14:paraId="03C6E842">
            <w:pPr>
              <w:rPr>
                <w:rFonts w:ascii="Arial"/>
                <w:color w:val="auto"/>
                <w:sz w:val="21"/>
                <w:highlight w:val="none"/>
              </w:rPr>
            </w:pPr>
          </w:p>
        </w:tc>
      </w:tr>
      <w:tr w14:paraId="6DC32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822" w:type="dxa"/>
            <w:tcBorders>
              <w:left w:val="single" w:color="000000" w:sz="6" w:space="0"/>
              <w:bottom w:val="single" w:color="000000" w:sz="6" w:space="0"/>
            </w:tcBorders>
            <w:vAlign w:val="top"/>
          </w:tcPr>
          <w:p w14:paraId="7365F23C">
            <w:pPr>
              <w:rPr>
                <w:rFonts w:ascii="Arial"/>
                <w:color w:val="auto"/>
                <w:sz w:val="21"/>
                <w:highlight w:val="none"/>
              </w:rPr>
            </w:pPr>
          </w:p>
        </w:tc>
        <w:tc>
          <w:tcPr>
            <w:tcW w:w="1987" w:type="dxa"/>
            <w:tcBorders>
              <w:bottom w:val="single" w:color="000000" w:sz="6" w:space="0"/>
            </w:tcBorders>
            <w:vAlign w:val="top"/>
          </w:tcPr>
          <w:p w14:paraId="3AF347BA">
            <w:pPr>
              <w:rPr>
                <w:rFonts w:ascii="Arial"/>
                <w:color w:val="auto"/>
                <w:sz w:val="21"/>
                <w:highlight w:val="none"/>
              </w:rPr>
            </w:pPr>
          </w:p>
        </w:tc>
        <w:tc>
          <w:tcPr>
            <w:tcW w:w="2831" w:type="dxa"/>
            <w:tcBorders>
              <w:bottom w:val="single" w:color="000000" w:sz="6" w:space="0"/>
            </w:tcBorders>
            <w:vAlign w:val="top"/>
          </w:tcPr>
          <w:p w14:paraId="3A4A5C94">
            <w:pPr>
              <w:pStyle w:val="17"/>
              <w:spacing w:before="228" w:line="222" w:lineRule="auto"/>
              <w:ind w:left="1102"/>
              <w:rPr>
                <w:color w:val="auto"/>
                <w:sz w:val="21"/>
                <w:szCs w:val="21"/>
                <w:highlight w:val="none"/>
              </w:rPr>
            </w:pPr>
            <w:r>
              <w:rPr>
                <w:b/>
                <w:bCs/>
                <w:color w:val="auto"/>
                <w:spacing w:val="-7"/>
                <w:sz w:val="21"/>
                <w:szCs w:val="21"/>
                <w:highlight w:val="none"/>
              </w:rPr>
              <w:t>合</w:t>
            </w:r>
            <w:r>
              <w:rPr>
                <w:color w:val="auto"/>
                <w:spacing w:val="5"/>
                <w:sz w:val="21"/>
                <w:szCs w:val="21"/>
                <w:highlight w:val="none"/>
              </w:rPr>
              <w:t xml:space="preserve">  </w:t>
            </w:r>
            <w:r>
              <w:rPr>
                <w:b/>
                <w:bCs/>
                <w:color w:val="auto"/>
                <w:spacing w:val="-7"/>
                <w:sz w:val="21"/>
                <w:szCs w:val="21"/>
                <w:highlight w:val="none"/>
              </w:rPr>
              <w:t>计</w:t>
            </w:r>
          </w:p>
        </w:tc>
        <w:tc>
          <w:tcPr>
            <w:tcW w:w="2266" w:type="dxa"/>
            <w:tcBorders>
              <w:bottom w:val="single" w:color="000000" w:sz="6" w:space="0"/>
            </w:tcBorders>
            <w:vAlign w:val="top"/>
          </w:tcPr>
          <w:p w14:paraId="129ABDC0">
            <w:pPr>
              <w:rPr>
                <w:rFonts w:ascii="Arial"/>
                <w:color w:val="auto"/>
                <w:sz w:val="21"/>
                <w:highlight w:val="none"/>
              </w:rPr>
            </w:pPr>
          </w:p>
        </w:tc>
        <w:tc>
          <w:tcPr>
            <w:tcW w:w="990" w:type="dxa"/>
            <w:tcBorders>
              <w:bottom w:val="single" w:color="000000" w:sz="6" w:space="0"/>
            </w:tcBorders>
            <w:vAlign w:val="top"/>
          </w:tcPr>
          <w:p w14:paraId="32D79428">
            <w:pPr>
              <w:rPr>
                <w:rFonts w:ascii="Arial"/>
                <w:color w:val="auto"/>
                <w:sz w:val="21"/>
                <w:highlight w:val="none"/>
              </w:rPr>
            </w:pPr>
          </w:p>
        </w:tc>
        <w:tc>
          <w:tcPr>
            <w:tcW w:w="993" w:type="dxa"/>
            <w:tcBorders>
              <w:bottom w:val="single" w:color="000000" w:sz="6" w:space="0"/>
            </w:tcBorders>
            <w:vAlign w:val="top"/>
          </w:tcPr>
          <w:p w14:paraId="24AEEBAF">
            <w:pPr>
              <w:rPr>
                <w:rFonts w:ascii="Arial"/>
                <w:color w:val="auto"/>
                <w:sz w:val="21"/>
                <w:highlight w:val="none"/>
              </w:rPr>
            </w:pPr>
          </w:p>
        </w:tc>
        <w:tc>
          <w:tcPr>
            <w:tcW w:w="990" w:type="dxa"/>
            <w:tcBorders>
              <w:bottom w:val="single" w:color="000000" w:sz="6" w:space="0"/>
            </w:tcBorders>
            <w:vAlign w:val="top"/>
          </w:tcPr>
          <w:p w14:paraId="626FD13A">
            <w:pPr>
              <w:rPr>
                <w:rFonts w:ascii="Arial"/>
                <w:color w:val="auto"/>
                <w:sz w:val="21"/>
                <w:highlight w:val="none"/>
              </w:rPr>
            </w:pPr>
          </w:p>
        </w:tc>
        <w:tc>
          <w:tcPr>
            <w:tcW w:w="993" w:type="dxa"/>
            <w:tcBorders>
              <w:bottom w:val="single" w:color="000000" w:sz="6" w:space="0"/>
            </w:tcBorders>
            <w:vAlign w:val="top"/>
          </w:tcPr>
          <w:p w14:paraId="26737B46">
            <w:pPr>
              <w:rPr>
                <w:rFonts w:ascii="Arial"/>
                <w:color w:val="auto"/>
                <w:sz w:val="21"/>
                <w:highlight w:val="none"/>
              </w:rPr>
            </w:pPr>
          </w:p>
        </w:tc>
        <w:tc>
          <w:tcPr>
            <w:tcW w:w="1273" w:type="dxa"/>
            <w:tcBorders>
              <w:bottom w:val="single" w:color="000000" w:sz="6" w:space="0"/>
            </w:tcBorders>
            <w:vAlign w:val="top"/>
          </w:tcPr>
          <w:p w14:paraId="59E404D5">
            <w:pPr>
              <w:rPr>
                <w:rFonts w:ascii="Arial"/>
                <w:color w:val="auto"/>
                <w:sz w:val="21"/>
                <w:highlight w:val="none"/>
              </w:rPr>
            </w:pPr>
          </w:p>
        </w:tc>
        <w:tc>
          <w:tcPr>
            <w:tcW w:w="1002" w:type="dxa"/>
            <w:tcBorders>
              <w:bottom w:val="single" w:color="000000" w:sz="6" w:space="0"/>
              <w:right w:val="single" w:color="000000" w:sz="6" w:space="0"/>
            </w:tcBorders>
            <w:vAlign w:val="top"/>
          </w:tcPr>
          <w:p w14:paraId="03204058">
            <w:pPr>
              <w:rPr>
                <w:rFonts w:ascii="Arial"/>
                <w:color w:val="auto"/>
                <w:sz w:val="21"/>
                <w:highlight w:val="none"/>
              </w:rPr>
            </w:pPr>
          </w:p>
        </w:tc>
      </w:tr>
    </w:tbl>
    <w:p w14:paraId="01E860B1">
      <w:pPr>
        <w:pStyle w:val="3"/>
        <w:rPr>
          <w:color w:val="auto"/>
          <w:highlight w:val="none"/>
        </w:rPr>
      </w:pPr>
    </w:p>
    <w:p w14:paraId="71001120">
      <w:pPr>
        <w:rPr>
          <w:color w:val="auto"/>
          <w:highlight w:val="none"/>
        </w:rPr>
        <w:sectPr>
          <w:footerReference r:id="rId96" w:type="default"/>
          <w:pgSz w:w="16841" w:h="11907"/>
          <w:pgMar w:top="1012" w:right="1238" w:bottom="1252" w:left="1440" w:header="0" w:footer="1091" w:gutter="0"/>
          <w:pgNumType w:fmt="decimal"/>
          <w:cols w:space="720" w:num="1"/>
        </w:sectPr>
      </w:pPr>
    </w:p>
    <w:p w14:paraId="12B53901">
      <w:pPr>
        <w:spacing w:before="48" w:line="220" w:lineRule="auto"/>
        <w:ind w:left="3682"/>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其他项目清单</w:t>
      </w:r>
    </w:p>
    <w:p w14:paraId="3AEE6A61">
      <w:pPr>
        <w:spacing w:before="174" w:line="221" w:lineRule="auto"/>
        <w:ind w:left="11"/>
        <w:rPr>
          <w:rFonts w:ascii="宋体" w:hAnsi="宋体" w:eastAsia="宋体" w:cs="宋体"/>
          <w:color w:val="auto"/>
          <w:sz w:val="21"/>
          <w:szCs w:val="21"/>
          <w:highlight w:val="none"/>
        </w:rPr>
      </w:pPr>
      <w:r>
        <w:rPr>
          <w:rFonts w:ascii="宋体" w:hAnsi="宋体" w:eastAsia="宋体" w:cs="宋体"/>
          <w:color w:val="auto"/>
          <w:sz w:val="21"/>
          <w:szCs w:val="21"/>
          <w:highlight w:val="none"/>
        </w:rPr>
        <w:t>项目及标段名称：</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第</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页共</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w:t>
      </w:r>
    </w:p>
    <w:p w14:paraId="58D28C07">
      <w:pPr>
        <w:spacing w:line="127" w:lineRule="exact"/>
        <w:rPr>
          <w:color w:val="auto"/>
          <w:highlight w:val="none"/>
        </w:rPr>
      </w:pPr>
    </w:p>
    <w:tbl>
      <w:tblPr>
        <w:tblStyle w:val="16"/>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2784"/>
        <w:gridCol w:w="1215"/>
        <w:gridCol w:w="1696"/>
        <w:gridCol w:w="1950"/>
      </w:tblGrid>
      <w:tr w14:paraId="088C4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363" w:type="dxa"/>
            <w:tcBorders>
              <w:top w:val="single" w:color="000000" w:sz="6" w:space="0"/>
              <w:left w:val="single" w:color="000000" w:sz="6" w:space="0"/>
            </w:tcBorders>
            <w:vAlign w:val="top"/>
          </w:tcPr>
          <w:p w14:paraId="6689D45D">
            <w:pPr>
              <w:pStyle w:val="17"/>
              <w:spacing w:before="221" w:line="222" w:lineRule="auto"/>
              <w:ind w:left="469"/>
              <w:rPr>
                <w:color w:val="auto"/>
                <w:sz w:val="21"/>
                <w:szCs w:val="21"/>
                <w:highlight w:val="none"/>
              </w:rPr>
            </w:pPr>
            <w:r>
              <w:rPr>
                <w:color w:val="auto"/>
                <w:spacing w:val="-2"/>
                <w:sz w:val="21"/>
                <w:szCs w:val="21"/>
                <w:highlight w:val="none"/>
              </w:rPr>
              <w:t>序号</w:t>
            </w:r>
          </w:p>
        </w:tc>
        <w:tc>
          <w:tcPr>
            <w:tcW w:w="2784" w:type="dxa"/>
            <w:tcBorders>
              <w:top w:val="single" w:color="000000" w:sz="6" w:space="0"/>
            </w:tcBorders>
            <w:vAlign w:val="top"/>
          </w:tcPr>
          <w:p w14:paraId="5D13BA37">
            <w:pPr>
              <w:pStyle w:val="17"/>
              <w:spacing w:before="221" w:line="221" w:lineRule="auto"/>
              <w:ind w:left="978"/>
              <w:rPr>
                <w:color w:val="auto"/>
                <w:sz w:val="21"/>
                <w:szCs w:val="21"/>
                <w:highlight w:val="none"/>
              </w:rPr>
            </w:pPr>
            <w:r>
              <w:rPr>
                <w:color w:val="auto"/>
                <w:spacing w:val="-3"/>
                <w:sz w:val="21"/>
                <w:szCs w:val="21"/>
                <w:highlight w:val="none"/>
              </w:rPr>
              <w:t>项目名称</w:t>
            </w:r>
          </w:p>
        </w:tc>
        <w:tc>
          <w:tcPr>
            <w:tcW w:w="1215" w:type="dxa"/>
            <w:tcBorders>
              <w:top w:val="single" w:color="000000" w:sz="6" w:space="0"/>
            </w:tcBorders>
            <w:vAlign w:val="top"/>
          </w:tcPr>
          <w:p w14:paraId="53932B1D">
            <w:pPr>
              <w:pStyle w:val="17"/>
              <w:spacing w:before="221" w:line="221" w:lineRule="auto"/>
              <w:ind w:left="192"/>
              <w:rPr>
                <w:color w:val="auto"/>
                <w:sz w:val="21"/>
                <w:szCs w:val="21"/>
                <w:highlight w:val="none"/>
              </w:rPr>
            </w:pPr>
            <w:r>
              <w:rPr>
                <w:color w:val="auto"/>
                <w:spacing w:val="-2"/>
                <w:sz w:val="21"/>
                <w:szCs w:val="21"/>
                <w:highlight w:val="none"/>
              </w:rPr>
              <w:t>计量单位</w:t>
            </w:r>
          </w:p>
        </w:tc>
        <w:tc>
          <w:tcPr>
            <w:tcW w:w="1696" w:type="dxa"/>
            <w:tcBorders>
              <w:top w:val="single" w:color="000000" w:sz="6" w:space="0"/>
            </w:tcBorders>
            <w:vAlign w:val="top"/>
          </w:tcPr>
          <w:p w14:paraId="3549431C">
            <w:pPr>
              <w:pStyle w:val="17"/>
              <w:spacing w:before="220" w:line="221" w:lineRule="auto"/>
              <w:ind w:left="333"/>
              <w:rPr>
                <w:color w:val="auto"/>
                <w:sz w:val="21"/>
                <w:szCs w:val="21"/>
                <w:highlight w:val="none"/>
              </w:rPr>
            </w:pPr>
            <w:r>
              <w:rPr>
                <w:color w:val="auto"/>
                <w:spacing w:val="-5"/>
                <w:sz w:val="21"/>
                <w:szCs w:val="21"/>
                <w:highlight w:val="none"/>
              </w:rPr>
              <w:t>金额（元）</w:t>
            </w:r>
          </w:p>
        </w:tc>
        <w:tc>
          <w:tcPr>
            <w:tcW w:w="1950" w:type="dxa"/>
            <w:tcBorders>
              <w:top w:val="single" w:color="000000" w:sz="6" w:space="0"/>
              <w:right w:val="single" w:color="000000" w:sz="6" w:space="0"/>
            </w:tcBorders>
            <w:vAlign w:val="top"/>
          </w:tcPr>
          <w:p w14:paraId="65F97F6F">
            <w:pPr>
              <w:pStyle w:val="17"/>
              <w:spacing w:before="221" w:line="222" w:lineRule="auto"/>
              <w:ind w:left="773"/>
              <w:rPr>
                <w:color w:val="auto"/>
                <w:sz w:val="21"/>
                <w:szCs w:val="21"/>
                <w:highlight w:val="none"/>
              </w:rPr>
            </w:pPr>
            <w:r>
              <w:rPr>
                <w:color w:val="auto"/>
                <w:spacing w:val="-3"/>
                <w:sz w:val="21"/>
                <w:szCs w:val="21"/>
                <w:highlight w:val="none"/>
              </w:rPr>
              <w:t>备注</w:t>
            </w:r>
          </w:p>
        </w:tc>
      </w:tr>
      <w:tr w14:paraId="0CB44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66EC7094">
            <w:pPr>
              <w:rPr>
                <w:rFonts w:ascii="Arial"/>
                <w:color w:val="auto"/>
                <w:sz w:val="21"/>
                <w:highlight w:val="none"/>
              </w:rPr>
            </w:pPr>
          </w:p>
        </w:tc>
        <w:tc>
          <w:tcPr>
            <w:tcW w:w="2784" w:type="dxa"/>
            <w:vAlign w:val="top"/>
          </w:tcPr>
          <w:p w14:paraId="248FD1B0">
            <w:pPr>
              <w:rPr>
                <w:rFonts w:ascii="Arial"/>
                <w:color w:val="auto"/>
                <w:sz w:val="21"/>
                <w:highlight w:val="none"/>
              </w:rPr>
            </w:pPr>
          </w:p>
        </w:tc>
        <w:tc>
          <w:tcPr>
            <w:tcW w:w="1215" w:type="dxa"/>
            <w:vAlign w:val="top"/>
          </w:tcPr>
          <w:p w14:paraId="122B64EC">
            <w:pPr>
              <w:rPr>
                <w:rFonts w:ascii="Arial"/>
                <w:color w:val="auto"/>
                <w:sz w:val="21"/>
                <w:highlight w:val="none"/>
              </w:rPr>
            </w:pPr>
          </w:p>
        </w:tc>
        <w:tc>
          <w:tcPr>
            <w:tcW w:w="1696" w:type="dxa"/>
            <w:vAlign w:val="top"/>
          </w:tcPr>
          <w:p w14:paraId="4C52A11A">
            <w:pPr>
              <w:rPr>
                <w:rFonts w:ascii="Arial"/>
                <w:color w:val="auto"/>
                <w:sz w:val="21"/>
                <w:highlight w:val="none"/>
              </w:rPr>
            </w:pPr>
          </w:p>
        </w:tc>
        <w:tc>
          <w:tcPr>
            <w:tcW w:w="1950" w:type="dxa"/>
            <w:tcBorders>
              <w:right w:val="single" w:color="000000" w:sz="6" w:space="0"/>
            </w:tcBorders>
            <w:vAlign w:val="top"/>
          </w:tcPr>
          <w:p w14:paraId="4223F3B0">
            <w:pPr>
              <w:rPr>
                <w:rFonts w:ascii="Arial"/>
                <w:color w:val="auto"/>
                <w:sz w:val="21"/>
                <w:highlight w:val="none"/>
              </w:rPr>
            </w:pPr>
          </w:p>
        </w:tc>
      </w:tr>
      <w:tr w14:paraId="6AD96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64F58C58">
            <w:pPr>
              <w:rPr>
                <w:rFonts w:ascii="Arial"/>
                <w:color w:val="auto"/>
                <w:sz w:val="21"/>
                <w:highlight w:val="none"/>
              </w:rPr>
            </w:pPr>
          </w:p>
        </w:tc>
        <w:tc>
          <w:tcPr>
            <w:tcW w:w="2784" w:type="dxa"/>
            <w:vAlign w:val="top"/>
          </w:tcPr>
          <w:p w14:paraId="110126DF">
            <w:pPr>
              <w:rPr>
                <w:rFonts w:ascii="Arial"/>
                <w:color w:val="auto"/>
                <w:sz w:val="21"/>
                <w:highlight w:val="none"/>
              </w:rPr>
            </w:pPr>
          </w:p>
        </w:tc>
        <w:tc>
          <w:tcPr>
            <w:tcW w:w="1215" w:type="dxa"/>
            <w:vAlign w:val="top"/>
          </w:tcPr>
          <w:p w14:paraId="61B2E700">
            <w:pPr>
              <w:rPr>
                <w:rFonts w:ascii="Arial"/>
                <w:color w:val="auto"/>
                <w:sz w:val="21"/>
                <w:highlight w:val="none"/>
              </w:rPr>
            </w:pPr>
          </w:p>
        </w:tc>
        <w:tc>
          <w:tcPr>
            <w:tcW w:w="1696" w:type="dxa"/>
            <w:vAlign w:val="top"/>
          </w:tcPr>
          <w:p w14:paraId="53010465">
            <w:pPr>
              <w:rPr>
                <w:rFonts w:ascii="Arial"/>
                <w:color w:val="auto"/>
                <w:sz w:val="21"/>
                <w:highlight w:val="none"/>
              </w:rPr>
            </w:pPr>
          </w:p>
        </w:tc>
        <w:tc>
          <w:tcPr>
            <w:tcW w:w="1950" w:type="dxa"/>
            <w:tcBorders>
              <w:right w:val="single" w:color="000000" w:sz="6" w:space="0"/>
            </w:tcBorders>
            <w:vAlign w:val="top"/>
          </w:tcPr>
          <w:p w14:paraId="1F6B3386">
            <w:pPr>
              <w:rPr>
                <w:rFonts w:ascii="Arial"/>
                <w:color w:val="auto"/>
                <w:sz w:val="21"/>
                <w:highlight w:val="none"/>
              </w:rPr>
            </w:pPr>
          </w:p>
        </w:tc>
      </w:tr>
      <w:tr w14:paraId="63C21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5246E76F">
            <w:pPr>
              <w:rPr>
                <w:rFonts w:ascii="Arial"/>
                <w:color w:val="auto"/>
                <w:sz w:val="21"/>
                <w:highlight w:val="none"/>
              </w:rPr>
            </w:pPr>
          </w:p>
        </w:tc>
        <w:tc>
          <w:tcPr>
            <w:tcW w:w="2784" w:type="dxa"/>
            <w:vAlign w:val="top"/>
          </w:tcPr>
          <w:p w14:paraId="1386FE69">
            <w:pPr>
              <w:rPr>
                <w:rFonts w:ascii="Arial"/>
                <w:color w:val="auto"/>
                <w:sz w:val="21"/>
                <w:highlight w:val="none"/>
              </w:rPr>
            </w:pPr>
          </w:p>
        </w:tc>
        <w:tc>
          <w:tcPr>
            <w:tcW w:w="1215" w:type="dxa"/>
            <w:vAlign w:val="top"/>
          </w:tcPr>
          <w:p w14:paraId="701D965E">
            <w:pPr>
              <w:rPr>
                <w:rFonts w:ascii="Arial"/>
                <w:color w:val="auto"/>
                <w:sz w:val="21"/>
                <w:highlight w:val="none"/>
              </w:rPr>
            </w:pPr>
          </w:p>
        </w:tc>
        <w:tc>
          <w:tcPr>
            <w:tcW w:w="1696" w:type="dxa"/>
            <w:vAlign w:val="top"/>
          </w:tcPr>
          <w:p w14:paraId="2150223A">
            <w:pPr>
              <w:rPr>
                <w:rFonts w:ascii="Arial"/>
                <w:color w:val="auto"/>
                <w:sz w:val="21"/>
                <w:highlight w:val="none"/>
              </w:rPr>
            </w:pPr>
          </w:p>
        </w:tc>
        <w:tc>
          <w:tcPr>
            <w:tcW w:w="1950" w:type="dxa"/>
            <w:tcBorders>
              <w:right w:val="single" w:color="000000" w:sz="6" w:space="0"/>
            </w:tcBorders>
            <w:vAlign w:val="top"/>
          </w:tcPr>
          <w:p w14:paraId="136FC4D0">
            <w:pPr>
              <w:rPr>
                <w:rFonts w:ascii="Arial"/>
                <w:color w:val="auto"/>
                <w:sz w:val="21"/>
                <w:highlight w:val="none"/>
              </w:rPr>
            </w:pPr>
          </w:p>
        </w:tc>
      </w:tr>
      <w:tr w14:paraId="48979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39544EFA">
            <w:pPr>
              <w:rPr>
                <w:rFonts w:ascii="Arial"/>
                <w:color w:val="auto"/>
                <w:sz w:val="21"/>
                <w:highlight w:val="none"/>
              </w:rPr>
            </w:pPr>
          </w:p>
        </w:tc>
        <w:tc>
          <w:tcPr>
            <w:tcW w:w="2784" w:type="dxa"/>
            <w:vAlign w:val="top"/>
          </w:tcPr>
          <w:p w14:paraId="2D1892C9">
            <w:pPr>
              <w:rPr>
                <w:rFonts w:ascii="Arial"/>
                <w:color w:val="auto"/>
                <w:sz w:val="21"/>
                <w:highlight w:val="none"/>
              </w:rPr>
            </w:pPr>
          </w:p>
        </w:tc>
        <w:tc>
          <w:tcPr>
            <w:tcW w:w="1215" w:type="dxa"/>
            <w:vAlign w:val="top"/>
          </w:tcPr>
          <w:p w14:paraId="2F0ABC8A">
            <w:pPr>
              <w:rPr>
                <w:rFonts w:ascii="Arial"/>
                <w:color w:val="auto"/>
                <w:sz w:val="21"/>
                <w:highlight w:val="none"/>
              </w:rPr>
            </w:pPr>
          </w:p>
        </w:tc>
        <w:tc>
          <w:tcPr>
            <w:tcW w:w="1696" w:type="dxa"/>
            <w:vAlign w:val="top"/>
          </w:tcPr>
          <w:p w14:paraId="0D1729F0">
            <w:pPr>
              <w:rPr>
                <w:rFonts w:ascii="Arial"/>
                <w:color w:val="auto"/>
                <w:sz w:val="21"/>
                <w:highlight w:val="none"/>
              </w:rPr>
            </w:pPr>
          </w:p>
        </w:tc>
        <w:tc>
          <w:tcPr>
            <w:tcW w:w="1950" w:type="dxa"/>
            <w:tcBorders>
              <w:right w:val="single" w:color="000000" w:sz="6" w:space="0"/>
            </w:tcBorders>
            <w:vAlign w:val="top"/>
          </w:tcPr>
          <w:p w14:paraId="0ADCA972">
            <w:pPr>
              <w:rPr>
                <w:rFonts w:ascii="Arial"/>
                <w:color w:val="auto"/>
                <w:sz w:val="21"/>
                <w:highlight w:val="none"/>
              </w:rPr>
            </w:pPr>
          </w:p>
        </w:tc>
      </w:tr>
      <w:tr w14:paraId="327FC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5A0EE552">
            <w:pPr>
              <w:rPr>
                <w:rFonts w:ascii="Arial"/>
                <w:color w:val="auto"/>
                <w:sz w:val="21"/>
                <w:highlight w:val="none"/>
              </w:rPr>
            </w:pPr>
          </w:p>
        </w:tc>
        <w:tc>
          <w:tcPr>
            <w:tcW w:w="2784" w:type="dxa"/>
            <w:vAlign w:val="top"/>
          </w:tcPr>
          <w:p w14:paraId="0153D1A7">
            <w:pPr>
              <w:rPr>
                <w:rFonts w:ascii="Arial"/>
                <w:color w:val="auto"/>
                <w:sz w:val="21"/>
                <w:highlight w:val="none"/>
              </w:rPr>
            </w:pPr>
          </w:p>
        </w:tc>
        <w:tc>
          <w:tcPr>
            <w:tcW w:w="1215" w:type="dxa"/>
            <w:vAlign w:val="top"/>
          </w:tcPr>
          <w:p w14:paraId="2D1606A4">
            <w:pPr>
              <w:rPr>
                <w:rFonts w:ascii="Arial"/>
                <w:color w:val="auto"/>
                <w:sz w:val="21"/>
                <w:highlight w:val="none"/>
              </w:rPr>
            </w:pPr>
          </w:p>
        </w:tc>
        <w:tc>
          <w:tcPr>
            <w:tcW w:w="1696" w:type="dxa"/>
            <w:vAlign w:val="top"/>
          </w:tcPr>
          <w:p w14:paraId="2A573E6D">
            <w:pPr>
              <w:rPr>
                <w:rFonts w:ascii="Arial"/>
                <w:color w:val="auto"/>
                <w:sz w:val="21"/>
                <w:highlight w:val="none"/>
              </w:rPr>
            </w:pPr>
          </w:p>
        </w:tc>
        <w:tc>
          <w:tcPr>
            <w:tcW w:w="1950" w:type="dxa"/>
            <w:tcBorders>
              <w:right w:val="single" w:color="000000" w:sz="6" w:space="0"/>
            </w:tcBorders>
            <w:vAlign w:val="top"/>
          </w:tcPr>
          <w:p w14:paraId="611943BF">
            <w:pPr>
              <w:rPr>
                <w:rFonts w:ascii="Arial"/>
                <w:color w:val="auto"/>
                <w:sz w:val="21"/>
                <w:highlight w:val="none"/>
              </w:rPr>
            </w:pPr>
          </w:p>
        </w:tc>
      </w:tr>
      <w:tr w14:paraId="79466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065F2C09">
            <w:pPr>
              <w:rPr>
                <w:rFonts w:ascii="Arial"/>
                <w:color w:val="auto"/>
                <w:sz w:val="21"/>
                <w:highlight w:val="none"/>
              </w:rPr>
            </w:pPr>
          </w:p>
        </w:tc>
        <w:tc>
          <w:tcPr>
            <w:tcW w:w="2784" w:type="dxa"/>
            <w:vAlign w:val="top"/>
          </w:tcPr>
          <w:p w14:paraId="6960F77D">
            <w:pPr>
              <w:rPr>
                <w:rFonts w:ascii="Arial"/>
                <w:color w:val="auto"/>
                <w:sz w:val="21"/>
                <w:highlight w:val="none"/>
              </w:rPr>
            </w:pPr>
          </w:p>
        </w:tc>
        <w:tc>
          <w:tcPr>
            <w:tcW w:w="1215" w:type="dxa"/>
            <w:vAlign w:val="top"/>
          </w:tcPr>
          <w:p w14:paraId="4E13B294">
            <w:pPr>
              <w:rPr>
                <w:rFonts w:ascii="Arial"/>
                <w:color w:val="auto"/>
                <w:sz w:val="21"/>
                <w:highlight w:val="none"/>
              </w:rPr>
            </w:pPr>
          </w:p>
        </w:tc>
        <w:tc>
          <w:tcPr>
            <w:tcW w:w="1696" w:type="dxa"/>
            <w:vAlign w:val="top"/>
          </w:tcPr>
          <w:p w14:paraId="5A82DA03">
            <w:pPr>
              <w:rPr>
                <w:rFonts w:ascii="Arial"/>
                <w:color w:val="auto"/>
                <w:sz w:val="21"/>
                <w:highlight w:val="none"/>
              </w:rPr>
            </w:pPr>
          </w:p>
        </w:tc>
        <w:tc>
          <w:tcPr>
            <w:tcW w:w="1950" w:type="dxa"/>
            <w:tcBorders>
              <w:right w:val="single" w:color="000000" w:sz="6" w:space="0"/>
            </w:tcBorders>
            <w:vAlign w:val="top"/>
          </w:tcPr>
          <w:p w14:paraId="0D323977">
            <w:pPr>
              <w:rPr>
                <w:rFonts w:ascii="Arial"/>
                <w:color w:val="auto"/>
                <w:sz w:val="21"/>
                <w:highlight w:val="none"/>
              </w:rPr>
            </w:pPr>
          </w:p>
        </w:tc>
      </w:tr>
      <w:tr w14:paraId="20CF7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710FFBA5">
            <w:pPr>
              <w:rPr>
                <w:rFonts w:ascii="Arial"/>
                <w:color w:val="auto"/>
                <w:sz w:val="21"/>
                <w:highlight w:val="none"/>
              </w:rPr>
            </w:pPr>
          </w:p>
        </w:tc>
        <w:tc>
          <w:tcPr>
            <w:tcW w:w="2784" w:type="dxa"/>
            <w:vAlign w:val="top"/>
          </w:tcPr>
          <w:p w14:paraId="787766BF">
            <w:pPr>
              <w:rPr>
                <w:rFonts w:ascii="Arial"/>
                <w:color w:val="auto"/>
                <w:sz w:val="21"/>
                <w:highlight w:val="none"/>
              </w:rPr>
            </w:pPr>
          </w:p>
        </w:tc>
        <w:tc>
          <w:tcPr>
            <w:tcW w:w="1215" w:type="dxa"/>
            <w:vAlign w:val="top"/>
          </w:tcPr>
          <w:p w14:paraId="563054AD">
            <w:pPr>
              <w:rPr>
                <w:rFonts w:ascii="Arial"/>
                <w:color w:val="auto"/>
                <w:sz w:val="21"/>
                <w:highlight w:val="none"/>
              </w:rPr>
            </w:pPr>
          </w:p>
        </w:tc>
        <w:tc>
          <w:tcPr>
            <w:tcW w:w="1696" w:type="dxa"/>
            <w:vAlign w:val="top"/>
          </w:tcPr>
          <w:p w14:paraId="626C9EDE">
            <w:pPr>
              <w:rPr>
                <w:rFonts w:ascii="Arial"/>
                <w:color w:val="auto"/>
                <w:sz w:val="21"/>
                <w:highlight w:val="none"/>
              </w:rPr>
            </w:pPr>
          </w:p>
        </w:tc>
        <w:tc>
          <w:tcPr>
            <w:tcW w:w="1950" w:type="dxa"/>
            <w:tcBorders>
              <w:right w:val="single" w:color="000000" w:sz="6" w:space="0"/>
            </w:tcBorders>
            <w:vAlign w:val="top"/>
          </w:tcPr>
          <w:p w14:paraId="4A10D8EF">
            <w:pPr>
              <w:rPr>
                <w:rFonts w:ascii="Arial"/>
                <w:color w:val="auto"/>
                <w:sz w:val="21"/>
                <w:highlight w:val="none"/>
              </w:rPr>
            </w:pPr>
          </w:p>
        </w:tc>
      </w:tr>
      <w:tr w14:paraId="7461F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73F187F0">
            <w:pPr>
              <w:rPr>
                <w:rFonts w:ascii="Arial"/>
                <w:color w:val="auto"/>
                <w:sz w:val="21"/>
                <w:highlight w:val="none"/>
              </w:rPr>
            </w:pPr>
          </w:p>
        </w:tc>
        <w:tc>
          <w:tcPr>
            <w:tcW w:w="2784" w:type="dxa"/>
            <w:vAlign w:val="top"/>
          </w:tcPr>
          <w:p w14:paraId="31B93C53">
            <w:pPr>
              <w:rPr>
                <w:rFonts w:ascii="Arial"/>
                <w:color w:val="auto"/>
                <w:sz w:val="21"/>
                <w:highlight w:val="none"/>
              </w:rPr>
            </w:pPr>
          </w:p>
        </w:tc>
        <w:tc>
          <w:tcPr>
            <w:tcW w:w="1215" w:type="dxa"/>
            <w:vAlign w:val="top"/>
          </w:tcPr>
          <w:p w14:paraId="735CA36E">
            <w:pPr>
              <w:rPr>
                <w:rFonts w:ascii="Arial"/>
                <w:color w:val="auto"/>
                <w:sz w:val="21"/>
                <w:highlight w:val="none"/>
              </w:rPr>
            </w:pPr>
          </w:p>
        </w:tc>
        <w:tc>
          <w:tcPr>
            <w:tcW w:w="1696" w:type="dxa"/>
            <w:vAlign w:val="top"/>
          </w:tcPr>
          <w:p w14:paraId="78222298">
            <w:pPr>
              <w:rPr>
                <w:rFonts w:ascii="Arial"/>
                <w:color w:val="auto"/>
                <w:sz w:val="21"/>
                <w:highlight w:val="none"/>
              </w:rPr>
            </w:pPr>
          </w:p>
        </w:tc>
        <w:tc>
          <w:tcPr>
            <w:tcW w:w="1950" w:type="dxa"/>
            <w:tcBorders>
              <w:right w:val="single" w:color="000000" w:sz="6" w:space="0"/>
            </w:tcBorders>
            <w:vAlign w:val="top"/>
          </w:tcPr>
          <w:p w14:paraId="348594C3">
            <w:pPr>
              <w:rPr>
                <w:rFonts w:ascii="Arial"/>
                <w:color w:val="auto"/>
                <w:sz w:val="21"/>
                <w:highlight w:val="none"/>
              </w:rPr>
            </w:pPr>
          </w:p>
        </w:tc>
      </w:tr>
      <w:tr w14:paraId="54135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35FFCB66">
            <w:pPr>
              <w:rPr>
                <w:rFonts w:ascii="Arial"/>
                <w:color w:val="auto"/>
                <w:sz w:val="21"/>
                <w:highlight w:val="none"/>
              </w:rPr>
            </w:pPr>
          </w:p>
        </w:tc>
        <w:tc>
          <w:tcPr>
            <w:tcW w:w="2784" w:type="dxa"/>
            <w:vAlign w:val="top"/>
          </w:tcPr>
          <w:p w14:paraId="512152EC">
            <w:pPr>
              <w:rPr>
                <w:rFonts w:ascii="Arial"/>
                <w:color w:val="auto"/>
                <w:sz w:val="21"/>
                <w:highlight w:val="none"/>
              </w:rPr>
            </w:pPr>
          </w:p>
        </w:tc>
        <w:tc>
          <w:tcPr>
            <w:tcW w:w="1215" w:type="dxa"/>
            <w:vAlign w:val="top"/>
          </w:tcPr>
          <w:p w14:paraId="3BD0046F">
            <w:pPr>
              <w:rPr>
                <w:rFonts w:ascii="Arial"/>
                <w:color w:val="auto"/>
                <w:sz w:val="21"/>
                <w:highlight w:val="none"/>
              </w:rPr>
            </w:pPr>
          </w:p>
        </w:tc>
        <w:tc>
          <w:tcPr>
            <w:tcW w:w="1696" w:type="dxa"/>
            <w:vAlign w:val="top"/>
          </w:tcPr>
          <w:p w14:paraId="544B265F">
            <w:pPr>
              <w:rPr>
                <w:rFonts w:ascii="Arial"/>
                <w:color w:val="auto"/>
                <w:sz w:val="21"/>
                <w:highlight w:val="none"/>
              </w:rPr>
            </w:pPr>
          </w:p>
        </w:tc>
        <w:tc>
          <w:tcPr>
            <w:tcW w:w="1950" w:type="dxa"/>
            <w:tcBorders>
              <w:right w:val="single" w:color="000000" w:sz="6" w:space="0"/>
            </w:tcBorders>
            <w:vAlign w:val="top"/>
          </w:tcPr>
          <w:p w14:paraId="44AA2D44">
            <w:pPr>
              <w:rPr>
                <w:rFonts w:ascii="Arial"/>
                <w:color w:val="auto"/>
                <w:sz w:val="21"/>
                <w:highlight w:val="none"/>
              </w:rPr>
            </w:pPr>
          </w:p>
        </w:tc>
      </w:tr>
      <w:tr w14:paraId="7CF91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109D856F">
            <w:pPr>
              <w:rPr>
                <w:rFonts w:ascii="Arial"/>
                <w:color w:val="auto"/>
                <w:sz w:val="21"/>
                <w:highlight w:val="none"/>
              </w:rPr>
            </w:pPr>
          </w:p>
        </w:tc>
        <w:tc>
          <w:tcPr>
            <w:tcW w:w="2784" w:type="dxa"/>
            <w:vAlign w:val="top"/>
          </w:tcPr>
          <w:p w14:paraId="480C33AD">
            <w:pPr>
              <w:rPr>
                <w:rFonts w:ascii="Arial"/>
                <w:color w:val="auto"/>
                <w:sz w:val="21"/>
                <w:highlight w:val="none"/>
              </w:rPr>
            </w:pPr>
          </w:p>
        </w:tc>
        <w:tc>
          <w:tcPr>
            <w:tcW w:w="1215" w:type="dxa"/>
            <w:vAlign w:val="top"/>
          </w:tcPr>
          <w:p w14:paraId="416BC88F">
            <w:pPr>
              <w:rPr>
                <w:rFonts w:ascii="Arial"/>
                <w:color w:val="auto"/>
                <w:sz w:val="21"/>
                <w:highlight w:val="none"/>
              </w:rPr>
            </w:pPr>
          </w:p>
        </w:tc>
        <w:tc>
          <w:tcPr>
            <w:tcW w:w="1696" w:type="dxa"/>
            <w:vAlign w:val="top"/>
          </w:tcPr>
          <w:p w14:paraId="17972F30">
            <w:pPr>
              <w:rPr>
                <w:rFonts w:ascii="Arial"/>
                <w:color w:val="auto"/>
                <w:sz w:val="21"/>
                <w:highlight w:val="none"/>
              </w:rPr>
            </w:pPr>
          </w:p>
        </w:tc>
        <w:tc>
          <w:tcPr>
            <w:tcW w:w="1950" w:type="dxa"/>
            <w:tcBorders>
              <w:right w:val="single" w:color="000000" w:sz="6" w:space="0"/>
            </w:tcBorders>
            <w:vAlign w:val="top"/>
          </w:tcPr>
          <w:p w14:paraId="0BE99CF3">
            <w:pPr>
              <w:rPr>
                <w:rFonts w:ascii="Arial"/>
                <w:color w:val="auto"/>
                <w:sz w:val="21"/>
                <w:highlight w:val="none"/>
              </w:rPr>
            </w:pPr>
          </w:p>
        </w:tc>
      </w:tr>
      <w:tr w14:paraId="2CD08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6053D751">
            <w:pPr>
              <w:rPr>
                <w:rFonts w:ascii="Arial"/>
                <w:color w:val="auto"/>
                <w:sz w:val="21"/>
                <w:highlight w:val="none"/>
              </w:rPr>
            </w:pPr>
          </w:p>
        </w:tc>
        <w:tc>
          <w:tcPr>
            <w:tcW w:w="2784" w:type="dxa"/>
            <w:vAlign w:val="top"/>
          </w:tcPr>
          <w:p w14:paraId="762EB57A">
            <w:pPr>
              <w:rPr>
                <w:rFonts w:ascii="Arial"/>
                <w:color w:val="auto"/>
                <w:sz w:val="21"/>
                <w:highlight w:val="none"/>
              </w:rPr>
            </w:pPr>
          </w:p>
        </w:tc>
        <w:tc>
          <w:tcPr>
            <w:tcW w:w="1215" w:type="dxa"/>
            <w:vAlign w:val="top"/>
          </w:tcPr>
          <w:p w14:paraId="4F657DD3">
            <w:pPr>
              <w:rPr>
                <w:rFonts w:ascii="Arial"/>
                <w:color w:val="auto"/>
                <w:sz w:val="21"/>
                <w:highlight w:val="none"/>
              </w:rPr>
            </w:pPr>
          </w:p>
        </w:tc>
        <w:tc>
          <w:tcPr>
            <w:tcW w:w="1696" w:type="dxa"/>
            <w:vAlign w:val="top"/>
          </w:tcPr>
          <w:p w14:paraId="30D8F9B8">
            <w:pPr>
              <w:rPr>
                <w:rFonts w:ascii="Arial"/>
                <w:color w:val="auto"/>
                <w:sz w:val="21"/>
                <w:highlight w:val="none"/>
              </w:rPr>
            </w:pPr>
          </w:p>
        </w:tc>
        <w:tc>
          <w:tcPr>
            <w:tcW w:w="1950" w:type="dxa"/>
            <w:tcBorders>
              <w:right w:val="single" w:color="000000" w:sz="6" w:space="0"/>
            </w:tcBorders>
            <w:vAlign w:val="top"/>
          </w:tcPr>
          <w:p w14:paraId="6D6E75CA">
            <w:pPr>
              <w:rPr>
                <w:rFonts w:ascii="Arial"/>
                <w:color w:val="auto"/>
                <w:sz w:val="21"/>
                <w:highlight w:val="none"/>
              </w:rPr>
            </w:pPr>
          </w:p>
        </w:tc>
      </w:tr>
      <w:tr w14:paraId="75F11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3CD56931">
            <w:pPr>
              <w:rPr>
                <w:rFonts w:ascii="Arial"/>
                <w:color w:val="auto"/>
                <w:sz w:val="21"/>
                <w:highlight w:val="none"/>
              </w:rPr>
            </w:pPr>
          </w:p>
        </w:tc>
        <w:tc>
          <w:tcPr>
            <w:tcW w:w="2784" w:type="dxa"/>
            <w:vAlign w:val="top"/>
          </w:tcPr>
          <w:p w14:paraId="0511D09E">
            <w:pPr>
              <w:rPr>
                <w:rFonts w:ascii="Arial"/>
                <w:color w:val="auto"/>
                <w:sz w:val="21"/>
                <w:highlight w:val="none"/>
              </w:rPr>
            </w:pPr>
          </w:p>
        </w:tc>
        <w:tc>
          <w:tcPr>
            <w:tcW w:w="1215" w:type="dxa"/>
            <w:vAlign w:val="top"/>
          </w:tcPr>
          <w:p w14:paraId="3437111D">
            <w:pPr>
              <w:rPr>
                <w:rFonts w:ascii="Arial"/>
                <w:color w:val="auto"/>
                <w:sz w:val="21"/>
                <w:highlight w:val="none"/>
              </w:rPr>
            </w:pPr>
          </w:p>
        </w:tc>
        <w:tc>
          <w:tcPr>
            <w:tcW w:w="1696" w:type="dxa"/>
            <w:vAlign w:val="top"/>
          </w:tcPr>
          <w:p w14:paraId="755B70EB">
            <w:pPr>
              <w:rPr>
                <w:rFonts w:ascii="Arial"/>
                <w:color w:val="auto"/>
                <w:sz w:val="21"/>
                <w:highlight w:val="none"/>
              </w:rPr>
            </w:pPr>
          </w:p>
        </w:tc>
        <w:tc>
          <w:tcPr>
            <w:tcW w:w="1950" w:type="dxa"/>
            <w:tcBorders>
              <w:right w:val="single" w:color="000000" w:sz="6" w:space="0"/>
            </w:tcBorders>
            <w:vAlign w:val="top"/>
          </w:tcPr>
          <w:p w14:paraId="546521BB">
            <w:pPr>
              <w:rPr>
                <w:rFonts w:ascii="Arial"/>
                <w:color w:val="auto"/>
                <w:sz w:val="21"/>
                <w:highlight w:val="none"/>
              </w:rPr>
            </w:pPr>
          </w:p>
        </w:tc>
      </w:tr>
      <w:tr w14:paraId="72519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25F93A5B">
            <w:pPr>
              <w:rPr>
                <w:rFonts w:ascii="Arial"/>
                <w:color w:val="auto"/>
                <w:sz w:val="21"/>
                <w:highlight w:val="none"/>
              </w:rPr>
            </w:pPr>
          </w:p>
        </w:tc>
        <w:tc>
          <w:tcPr>
            <w:tcW w:w="2784" w:type="dxa"/>
            <w:vAlign w:val="top"/>
          </w:tcPr>
          <w:p w14:paraId="1CA6F8A6">
            <w:pPr>
              <w:rPr>
                <w:rFonts w:ascii="Arial"/>
                <w:color w:val="auto"/>
                <w:sz w:val="21"/>
                <w:highlight w:val="none"/>
              </w:rPr>
            </w:pPr>
          </w:p>
        </w:tc>
        <w:tc>
          <w:tcPr>
            <w:tcW w:w="1215" w:type="dxa"/>
            <w:vAlign w:val="top"/>
          </w:tcPr>
          <w:p w14:paraId="4AD57305">
            <w:pPr>
              <w:rPr>
                <w:rFonts w:ascii="Arial"/>
                <w:color w:val="auto"/>
                <w:sz w:val="21"/>
                <w:highlight w:val="none"/>
              </w:rPr>
            </w:pPr>
          </w:p>
        </w:tc>
        <w:tc>
          <w:tcPr>
            <w:tcW w:w="1696" w:type="dxa"/>
            <w:vAlign w:val="top"/>
          </w:tcPr>
          <w:p w14:paraId="173DCF12">
            <w:pPr>
              <w:rPr>
                <w:rFonts w:ascii="Arial"/>
                <w:color w:val="auto"/>
                <w:sz w:val="21"/>
                <w:highlight w:val="none"/>
              </w:rPr>
            </w:pPr>
          </w:p>
        </w:tc>
        <w:tc>
          <w:tcPr>
            <w:tcW w:w="1950" w:type="dxa"/>
            <w:tcBorders>
              <w:right w:val="single" w:color="000000" w:sz="6" w:space="0"/>
            </w:tcBorders>
            <w:vAlign w:val="top"/>
          </w:tcPr>
          <w:p w14:paraId="1D0E90B9">
            <w:pPr>
              <w:rPr>
                <w:rFonts w:ascii="Arial"/>
                <w:color w:val="auto"/>
                <w:sz w:val="21"/>
                <w:highlight w:val="none"/>
              </w:rPr>
            </w:pPr>
          </w:p>
        </w:tc>
      </w:tr>
      <w:tr w14:paraId="108C2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7FDD544B">
            <w:pPr>
              <w:rPr>
                <w:rFonts w:ascii="Arial"/>
                <w:color w:val="auto"/>
                <w:sz w:val="21"/>
                <w:highlight w:val="none"/>
              </w:rPr>
            </w:pPr>
          </w:p>
        </w:tc>
        <w:tc>
          <w:tcPr>
            <w:tcW w:w="2784" w:type="dxa"/>
            <w:vAlign w:val="top"/>
          </w:tcPr>
          <w:p w14:paraId="0CB95E31">
            <w:pPr>
              <w:rPr>
                <w:rFonts w:ascii="Arial"/>
                <w:color w:val="auto"/>
                <w:sz w:val="21"/>
                <w:highlight w:val="none"/>
              </w:rPr>
            </w:pPr>
          </w:p>
        </w:tc>
        <w:tc>
          <w:tcPr>
            <w:tcW w:w="1215" w:type="dxa"/>
            <w:vAlign w:val="top"/>
          </w:tcPr>
          <w:p w14:paraId="775BB561">
            <w:pPr>
              <w:rPr>
                <w:rFonts w:ascii="Arial"/>
                <w:color w:val="auto"/>
                <w:sz w:val="21"/>
                <w:highlight w:val="none"/>
              </w:rPr>
            </w:pPr>
          </w:p>
        </w:tc>
        <w:tc>
          <w:tcPr>
            <w:tcW w:w="1696" w:type="dxa"/>
            <w:vAlign w:val="top"/>
          </w:tcPr>
          <w:p w14:paraId="25AF27AB">
            <w:pPr>
              <w:rPr>
                <w:rFonts w:ascii="Arial"/>
                <w:color w:val="auto"/>
                <w:sz w:val="21"/>
                <w:highlight w:val="none"/>
              </w:rPr>
            </w:pPr>
          </w:p>
        </w:tc>
        <w:tc>
          <w:tcPr>
            <w:tcW w:w="1950" w:type="dxa"/>
            <w:tcBorders>
              <w:right w:val="single" w:color="000000" w:sz="6" w:space="0"/>
            </w:tcBorders>
            <w:vAlign w:val="top"/>
          </w:tcPr>
          <w:p w14:paraId="1C0FC07E">
            <w:pPr>
              <w:rPr>
                <w:rFonts w:ascii="Arial"/>
                <w:color w:val="auto"/>
                <w:sz w:val="21"/>
                <w:highlight w:val="none"/>
              </w:rPr>
            </w:pPr>
          </w:p>
        </w:tc>
      </w:tr>
      <w:tr w14:paraId="1F294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2E2E3411">
            <w:pPr>
              <w:rPr>
                <w:rFonts w:ascii="Arial"/>
                <w:color w:val="auto"/>
                <w:sz w:val="21"/>
                <w:highlight w:val="none"/>
              </w:rPr>
            </w:pPr>
          </w:p>
        </w:tc>
        <w:tc>
          <w:tcPr>
            <w:tcW w:w="2784" w:type="dxa"/>
            <w:vAlign w:val="top"/>
          </w:tcPr>
          <w:p w14:paraId="2AF1E192">
            <w:pPr>
              <w:rPr>
                <w:rFonts w:ascii="Arial"/>
                <w:color w:val="auto"/>
                <w:sz w:val="21"/>
                <w:highlight w:val="none"/>
              </w:rPr>
            </w:pPr>
          </w:p>
        </w:tc>
        <w:tc>
          <w:tcPr>
            <w:tcW w:w="1215" w:type="dxa"/>
            <w:vAlign w:val="top"/>
          </w:tcPr>
          <w:p w14:paraId="754122A7">
            <w:pPr>
              <w:rPr>
                <w:rFonts w:ascii="Arial"/>
                <w:color w:val="auto"/>
                <w:sz w:val="21"/>
                <w:highlight w:val="none"/>
              </w:rPr>
            </w:pPr>
          </w:p>
        </w:tc>
        <w:tc>
          <w:tcPr>
            <w:tcW w:w="1696" w:type="dxa"/>
            <w:vAlign w:val="top"/>
          </w:tcPr>
          <w:p w14:paraId="0CFFE61B">
            <w:pPr>
              <w:rPr>
                <w:rFonts w:ascii="Arial"/>
                <w:color w:val="auto"/>
                <w:sz w:val="21"/>
                <w:highlight w:val="none"/>
              </w:rPr>
            </w:pPr>
          </w:p>
        </w:tc>
        <w:tc>
          <w:tcPr>
            <w:tcW w:w="1950" w:type="dxa"/>
            <w:tcBorders>
              <w:right w:val="single" w:color="000000" w:sz="6" w:space="0"/>
            </w:tcBorders>
            <w:vAlign w:val="top"/>
          </w:tcPr>
          <w:p w14:paraId="7398C5E1">
            <w:pPr>
              <w:rPr>
                <w:rFonts w:ascii="Arial"/>
                <w:color w:val="auto"/>
                <w:sz w:val="21"/>
                <w:highlight w:val="none"/>
              </w:rPr>
            </w:pPr>
          </w:p>
        </w:tc>
      </w:tr>
      <w:tr w14:paraId="3B0DE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72F33D22">
            <w:pPr>
              <w:rPr>
                <w:rFonts w:ascii="Arial"/>
                <w:color w:val="auto"/>
                <w:sz w:val="21"/>
                <w:highlight w:val="none"/>
              </w:rPr>
            </w:pPr>
          </w:p>
        </w:tc>
        <w:tc>
          <w:tcPr>
            <w:tcW w:w="2784" w:type="dxa"/>
            <w:vAlign w:val="top"/>
          </w:tcPr>
          <w:p w14:paraId="2767CCD9">
            <w:pPr>
              <w:rPr>
                <w:rFonts w:ascii="Arial"/>
                <w:color w:val="auto"/>
                <w:sz w:val="21"/>
                <w:highlight w:val="none"/>
              </w:rPr>
            </w:pPr>
          </w:p>
        </w:tc>
        <w:tc>
          <w:tcPr>
            <w:tcW w:w="1215" w:type="dxa"/>
            <w:vAlign w:val="top"/>
          </w:tcPr>
          <w:p w14:paraId="0C67B97C">
            <w:pPr>
              <w:rPr>
                <w:rFonts w:ascii="Arial"/>
                <w:color w:val="auto"/>
                <w:sz w:val="21"/>
                <w:highlight w:val="none"/>
              </w:rPr>
            </w:pPr>
          </w:p>
        </w:tc>
        <w:tc>
          <w:tcPr>
            <w:tcW w:w="1696" w:type="dxa"/>
            <w:vAlign w:val="top"/>
          </w:tcPr>
          <w:p w14:paraId="38C5945A">
            <w:pPr>
              <w:rPr>
                <w:rFonts w:ascii="Arial"/>
                <w:color w:val="auto"/>
                <w:sz w:val="21"/>
                <w:highlight w:val="none"/>
              </w:rPr>
            </w:pPr>
          </w:p>
        </w:tc>
        <w:tc>
          <w:tcPr>
            <w:tcW w:w="1950" w:type="dxa"/>
            <w:tcBorders>
              <w:right w:val="single" w:color="000000" w:sz="6" w:space="0"/>
            </w:tcBorders>
            <w:vAlign w:val="top"/>
          </w:tcPr>
          <w:p w14:paraId="7F4E403E">
            <w:pPr>
              <w:rPr>
                <w:rFonts w:ascii="Arial"/>
                <w:color w:val="auto"/>
                <w:sz w:val="21"/>
                <w:highlight w:val="none"/>
              </w:rPr>
            </w:pPr>
          </w:p>
        </w:tc>
      </w:tr>
      <w:tr w14:paraId="4E23A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14C34DE0">
            <w:pPr>
              <w:rPr>
                <w:rFonts w:ascii="Arial"/>
                <w:color w:val="auto"/>
                <w:sz w:val="21"/>
                <w:highlight w:val="none"/>
              </w:rPr>
            </w:pPr>
          </w:p>
        </w:tc>
        <w:tc>
          <w:tcPr>
            <w:tcW w:w="2784" w:type="dxa"/>
            <w:vAlign w:val="top"/>
          </w:tcPr>
          <w:p w14:paraId="1CC64A80">
            <w:pPr>
              <w:rPr>
                <w:rFonts w:ascii="Arial"/>
                <w:color w:val="auto"/>
                <w:sz w:val="21"/>
                <w:highlight w:val="none"/>
              </w:rPr>
            </w:pPr>
          </w:p>
        </w:tc>
        <w:tc>
          <w:tcPr>
            <w:tcW w:w="1215" w:type="dxa"/>
            <w:vAlign w:val="top"/>
          </w:tcPr>
          <w:p w14:paraId="5C3BFEE0">
            <w:pPr>
              <w:rPr>
                <w:rFonts w:ascii="Arial"/>
                <w:color w:val="auto"/>
                <w:sz w:val="21"/>
                <w:highlight w:val="none"/>
              </w:rPr>
            </w:pPr>
          </w:p>
        </w:tc>
        <w:tc>
          <w:tcPr>
            <w:tcW w:w="1696" w:type="dxa"/>
            <w:vAlign w:val="top"/>
          </w:tcPr>
          <w:p w14:paraId="55339A2A">
            <w:pPr>
              <w:rPr>
                <w:rFonts w:ascii="Arial"/>
                <w:color w:val="auto"/>
                <w:sz w:val="21"/>
                <w:highlight w:val="none"/>
              </w:rPr>
            </w:pPr>
          </w:p>
        </w:tc>
        <w:tc>
          <w:tcPr>
            <w:tcW w:w="1950" w:type="dxa"/>
            <w:tcBorders>
              <w:right w:val="single" w:color="000000" w:sz="6" w:space="0"/>
            </w:tcBorders>
            <w:vAlign w:val="top"/>
          </w:tcPr>
          <w:p w14:paraId="1D047F3C">
            <w:pPr>
              <w:rPr>
                <w:rFonts w:ascii="Arial"/>
                <w:color w:val="auto"/>
                <w:sz w:val="21"/>
                <w:highlight w:val="none"/>
              </w:rPr>
            </w:pPr>
          </w:p>
        </w:tc>
      </w:tr>
      <w:tr w14:paraId="1C0F0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63" w:type="dxa"/>
            <w:tcBorders>
              <w:left w:val="single" w:color="000000" w:sz="6" w:space="0"/>
              <w:bottom w:val="single" w:color="000000" w:sz="6" w:space="0"/>
            </w:tcBorders>
            <w:vAlign w:val="top"/>
          </w:tcPr>
          <w:p w14:paraId="48CE0C90">
            <w:pPr>
              <w:rPr>
                <w:rFonts w:ascii="Arial"/>
                <w:color w:val="auto"/>
                <w:sz w:val="21"/>
                <w:highlight w:val="none"/>
              </w:rPr>
            </w:pPr>
          </w:p>
        </w:tc>
        <w:tc>
          <w:tcPr>
            <w:tcW w:w="2784" w:type="dxa"/>
            <w:tcBorders>
              <w:bottom w:val="single" w:color="000000" w:sz="6" w:space="0"/>
            </w:tcBorders>
            <w:vAlign w:val="top"/>
          </w:tcPr>
          <w:p w14:paraId="493FD99F">
            <w:pPr>
              <w:pStyle w:val="17"/>
              <w:spacing w:before="230" w:line="222" w:lineRule="auto"/>
              <w:ind w:left="1079"/>
              <w:rPr>
                <w:color w:val="auto"/>
                <w:sz w:val="21"/>
                <w:szCs w:val="21"/>
                <w:highlight w:val="none"/>
              </w:rPr>
            </w:pPr>
            <w:r>
              <w:rPr>
                <w:b/>
                <w:bCs/>
                <w:color w:val="auto"/>
                <w:spacing w:val="-7"/>
                <w:sz w:val="21"/>
                <w:szCs w:val="21"/>
                <w:highlight w:val="none"/>
              </w:rPr>
              <w:t>合</w:t>
            </w:r>
            <w:r>
              <w:rPr>
                <w:color w:val="auto"/>
                <w:spacing w:val="5"/>
                <w:sz w:val="21"/>
                <w:szCs w:val="21"/>
                <w:highlight w:val="none"/>
              </w:rPr>
              <w:t xml:space="preserve">  </w:t>
            </w:r>
            <w:r>
              <w:rPr>
                <w:b/>
                <w:bCs/>
                <w:color w:val="auto"/>
                <w:spacing w:val="-7"/>
                <w:sz w:val="21"/>
                <w:szCs w:val="21"/>
                <w:highlight w:val="none"/>
              </w:rPr>
              <w:t>计</w:t>
            </w:r>
          </w:p>
        </w:tc>
        <w:tc>
          <w:tcPr>
            <w:tcW w:w="1215" w:type="dxa"/>
            <w:tcBorders>
              <w:bottom w:val="single" w:color="000000" w:sz="6" w:space="0"/>
            </w:tcBorders>
            <w:vAlign w:val="top"/>
          </w:tcPr>
          <w:p w14:paraId="691CE007">
            <w:pPr>
              <w:rPr>
                <w:rFonts w:ascii="Arial"/>
                <w:color w:val="auto"/>
                <w:sz w:val="21"/>
                <w:highlight w:val="none"/>
              </w:rPr>
            </w:pPr>
          </w:p>
        </w:tc>
        <w:tc>
          <w:tcPr>
            <w:tcW w:w="1696" w:type="dxa"/>
            <w:tcBorders>
              <w:bottom w:val="single" w:color="000000" w:sz="6" w:space="0"/>
            </w:tcBorders>
            <w:vAlign w:val="top"/>
          </w:tcPr>
          <w:p w14:paraId="076361D9">
            <w:pPr>
              <w:rPr>
                <w:rFonts w:ascii="Arial"/>
                <w:color w:val="auto"/>
                <w:sz w:val="21"/>
                <w:highlight w:val="none"/>
              </w:rPr>
            </w:pPr>
          </w:p>
        </w:tc>
        <w:tc>
          <w:tcPr>
            <w:tcW w:w="1950" w:type="dxa"/>
            <w:tcBorders>
              <w:bottom w:val="single" w:color="000000" w:sz="6" w:space="0"/>
              <w:right w:val="single" w:color="000000" w:sz="6" w:space="0"/>
            </w:tcBorders>
            <w:vAlign w:val="top"/>
          </w:tcPr>
          <w:p w14:paraId="0C904D4E">
            <w:pPr>
              <w:rPr>
                <w:rFonts w:ascii="Arial"/>
                <w:color w:val="auto"/>
                <w:sz w:val="21"/>
                <w:highlight w:val="none"/>
              </w:rPr>
            </w:pPr>
          </w:p>
        </w:tc>
      </w:tr>
    </w:tbl>
    <w:p w14:paraId="7BD0369F">
      <w:pPr>
        <w:pStyle w:val="3"/>
        <w:rPr>
          <w:color w:val="auto"/>
          <w:highlight w:val="none"/>
        </w:rPr>
      </w:pPr>
    </w:p>
    <w:p w14:paraId="590DDE68">
      <w:pPr>
        <w:rPr>
          <w:color w:val="auto"/>
          <w:highlight w:val="none"/>
        </w:rPr>
        <w:sectPr>
          <w:footerReference r:id="rId97" w:type="default"/>
          <w:pgSz w:w="11907" w:h="16841"/>
          <w:pgMar w:top="1428" w:right="1293" w:bottom="1254" w:left="1588" w:header="0" w:footer="1093" w:gutter="0"/>
          <w:pgNumType w:fmt="decimal"/>
          <w:cols w:space="720" w:num="1"/>
        </w:sectPr>
      </w:pPr>
    </w:p>
    <w:p w14:paraId="7211302A">
      <w:pPr>
        <w:spacing w:before="47" w:line="220" w:lineRule="auto"/>
        <w:ind w:left="3439"/>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零星工作项目清单</w:t>
      </w:r>
    </w:p>
    <w:p w14:paraId="7CDF7FF3">
      <w:pPr>
        <w:spacing w:before="175" w:line="221" w:lineRule="auto"/>
        <w:ind w:left="11"/>
        <w:rPr>
          <w:rFonts w:ascii="宋体" w:hAnsi="宋体" w:eastAsia="宋体" w:cs="宋体"/>
          <w:color w:val="auto"/>
          <w:sz w:val="21"/>
          <w:szCs w:val="21"/>
          <w:highlight w:val="none"/>
        </w:rPr>
      </w:pPr>
      <w:r>
        <w:rPr>
          <w:rFonts w:ascii="宋体" w:hAnsi="宋体" w:eastAsia="宋体" w:cs="宋体"/>
          <w:color w:val="auto"/>
          <w:sz w:val="21"/>
          <w:szCs w:val="21"/>
          <w:highlight w:val="none"/>
        </w:rPr>
        <w:t>项目及标段名称：</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第</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页共</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w:t>
      </w:r>
    </w:p>
    <w:p w14:paraId="49ADF7E6">
      <w:pPr>
        <w:spacing w:line="127" w:lineRule="exact"/>
        <w:rPr>
          <w:color w:val="auto"/>
          <w:highlight w:val="none"/>
        </w:rPr>
      </w:pPr>
    </w:p>
    <w:tbl>
      <w:tblPr>
        <w:tblStyle w:val="16"/>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4"/>
        <w:gridCol w:w="2125"/>
        <w:gridCol w:w="2128"/>
        <w:gridCol w:w="1327"/>
        <w:gridCol w:w="1596"/>
        <w:gridCol w:w="1009"/>
      </w:tblGrid>
      <w:tr w14:paraId="0CB9F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824" w:type="dxa"/>
            <w:tcBorders>
              <w:top w:val="single" w:color="000000" w:sz="6" w:space="0"/>
              <w:left w:val="single" w:color="000000" w:sz="6" w:space="0"/>
            </w:tcBorders>
            <w:vAlign w:val="top"/>
          </w:tcPr>
          <w:p w14:paraId="76C333BE">
            <w:pPr>
              <w:pStyle w:val="17"/>
              <w:spacing w:before="221" w:line="222" w:lineRule="auto"/>
              <w:ind w:left="198"/>
              <w:rPr>
                <w:color w:val="auto"/>
                <w:sz w:val="21"/>
                <w:szCs w:val="21"/>
                <w:highlight w:val="none"/>
              </w:rPr>
            </w:pPr>
            <w:r>
              <w:rPr>
                <w:color w:val="auto"/>
                <w:spacing w:val="-2"/>
                <w:sz w:val="21"/>
                <w:szCs w:val="21"/>
                <w:highlight w:val="none"/>
              </w:rPr>
              <w:t>序号</w:t>
            </w:r>
          </w:p>
        </w:tc>
        <w:tc>
          <w:tcPr>
            <w:tcW w:w="2125" w:type="dxa"/>
            <w:tcBorders>
              <w:top w:val="single" w:color="000000" w:sz="6" w:space="0"/>
            </w:tcBorders>
            <w:vAlign w:val="top"/>
          </w:tcPr>
          <w:p w14:paraId="4857E714">
            <w:pPr>
              <w:pStyle w:val="17"/>
              <w:spacing w:before="220" w:line="223" w:lineRule="auto"/>
              <w:ind w:left="854"/>
              <w:rPr>
                <w:color w:val="auto"/>
                <w:sz w:val="21"/>
                <w:szCs w:val="21"/>
                <w:highlight w:val="none"/>
              </w:rPr>
            </w:pPr>
            <w:r>
              <w:rPr>
                <w:color w:val="auto"/>
                <w:spacing w:val="-3"/>
                <w:sz w:val="21"/>
                <w:szCs w:val="21"/>
                <w:highlight w:val="none"/>
              </w:rPr>
              <w:t>名称</w:t>
            </w:r>
          </w:p>
        </w:tc>
        <w:tc>
          <w:tcPr>
            <w:tcW w:w="2128" w:type="dxa"/>
            <w:tcBorders>
              <w:top w:val="single" w:color="000000" w:sz="6" w:space="0"/>
            </w:tcBorders>
            <w:vAlign w:val="top"/>
          </w:tcPr>
          <w:p w14:paraId="34F98DDB">
            <w:pPr>
              <w:pStyle w:val="17"/>
              <w:spacing w:before="220" w:line="221" w:lineRule="auto"/>
              <w:ind w:left="653"/>
              <w:rPr>
                <w:color w:val="auto"/>
                <w:sz w:val="21"/>
                <w:szCs w:val="21"/>
                <w:highlight w:val="none"/>
              </w:rPr>
            </w:pPr>
            <w:r>
              <w:rPr>
                <w:color w:val="auto"/>
                <w:spacing w:val="-3"/>
                <w:sz w:val="21"/>
                <w:szCs w:val="21"/>
                <w:highlight w:val="none"/>
              </w:rPr>
              <w:t>型号规格</w:t>
            </w:r>
          </w:p>
        </w:tc>
        <w:tc>
          <w:tcPr>
            <w:tcW w:w="1327" w:type="dxa"/>
            <w:tcBorders>
              <w:top w:val="single" w:color="000000" w:sz="6" w:space="0"/>
            </w:tcBorders>
            <w:vAlign w:val="top"/>
          </w:tcPr>
          <w:p w14:paraId="7C40D4E3">
            <w:pPr>
              <w:pStyle w:val="17"/>
              <w:spacing w:before="221" w:line="221" w:lineRule="auto"/>
              <w:ind w:left="249"/>
              <w:rPr>
                <w:color w:val="auto"/>
                <w:sz w:val="21"/>
                <w:szCs w:val="21"/>
                <w:highlight w:val="none"/>
              </w:rPr>
            </w:pPr>
            <w:r>
              <w:rPr>
                <w:color w:val="auto"/>
                <w:spacing w:val="-2"/>
                <w:sz w:val="21"/>
                <w:szCs w:val="21"/>
                <w:highlight w:val="none"/>
              </w:rPr>
              <w:t>计量单位</w:t>
            </w:r>
          </w:p>
        </w:tc>
        <w:tc>
          <w:tcPr>
            <w:tcW w:w="1596" w:type="dxa"/>
            <w:tcBorders>
              <w:top w:val="single" w:color="000000" w:sz="6" w:space="0"/>
            </w:tcBorders>
            <w:vAlign w:val="top"/>
          </w:tcPr>
          <w:p w14:paraId="18765746">
            <w:pPr>
              <w:pStyle w:val="17"/>
              <w:spacing w:before="221" w:line="219" w:lineRule="auto"/>
              <w:ind w:left="282"/>
              <w:rPr>
                <w:color w:val="auto"/>
                <w:sz w:val="21"/>
                <w:szCs w:val="21"/>
                <w:highlight w:val="none"/>
              </w:rPr>
            </w:pPr>
            <w:r>
              <w:rPr>
                <w:color w:val="auto"/>
                <w:spacing w:val="-5"/>
                <w:sz w:val="21"/>
                <w:szCs w:val="21"/>
                <w:highlight w:val="none"/>
              </w:rPr>
              <w:t>单价（元）</w:t>
            </w:r>
          </w:p>
        </w:tc>
        <w:tc>
          <w:tcPr>
            <w:tcW w:w="1009" w:type="dxa"/>
            <w:tcBorders>
              <w:top w:val="single" w:color="000000" w:sz="6" w:space="0"/>
              <w:right w:val="single" w:color="000000" w:sz="6" w:space="0"/>
            </w:tcBorders>
            <w:vAlign w:val="top"/>
          </w:tcPr>
          <w:p w14:paraId="0F84B31A">
            <w:pPr>
              <w:pStyle w:val="17"/>
              <w:spacing w:before="221" w:line="222" w:lineRule="auto"/>
              <w:ind w:left="302"/>
              <w:rPr>
                <w:color w:val="auto"/>
                <w:sz w:val="21"/>
                <w:szCs w:val="21"/>
                <w:highlight w:val="none"/>
              </w:rPr>
            </w:pPr>
            <w:r>
              <w:rPr>
                <w:color w:val="auto"/>
                <w:spacing w:val="-3"/>
                <w:sz w:val="21"/>
                <w:szCs w:val="21"/>
                <w:highlight w:val="none"/>
              </w:rPr>
              <w:t>备注</w:t>
            </w:r>
          </w:p>
        </w:tc>
      </w:tr>
      <w:tr w14:paraId="04BAD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70878D7A">
            <w:pPr>
              <w:spacing w:before="256" w:line="187" w:lineRule="auto"/>
              <w:ind w:left="37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1</w:t>
            </w:r>
          </w:p>
        </w:tc>
        <w:tc>
          <w:tcPr>
            <w:tcW w:w="2125" w:type="dxa"/>
            <w:vAlign w:val="top"/>
          </w:tcPr>
          <w:p w14:paraId="0A3BF09F">
            <w:pPr>
              <w:pStyle w:val="17"/>
              <w:spacing w:before="217" w:line="223" w:lineRule="auto"/>
              <w:ind w:left="107"/>
              <w:rPr>
                <w:color w:val="auto"/>
                <w:sz w:val="21"/>
                <w:szCs w:val="21"/>
                <w:highlight w:val="none"/>
              </w:rPr>
            </w:pPr>
            <w:r>
              <w:rPr>
                <w:color w:val="auto"/>
                <w:spacing w:val="-2"/>
                <w:sz w:val="21"/>
                <w:szCs w:val="21"/>
                <w:highlight w:val="none"/>
              </w:rPr>
              <w:t>人工</w:t>
            </w:r>
          </w:p>
        </w:tc>
        <w:tc>
          <w:tcPr>
            <w:tcW w:w="2128" w:type="dxa"/>
            <w:vAlign w:val="top"/>
          </w:tcPr>
          <w:p w14:paraId="1F65DCFA">
            <w:pPr>
              <w:rPr>
                <w:rFonts w:ascii="Arial"/>
                <w:color w:val="auto"/>
                <w:sz w:val="21"/>
                <w:highlight w:val="none"/>
              </w:rPr>
            </w:pPr>
          </w:p>
        </w:tc>
        <w:tc>
          <w:tcPr>
            <w:tcW w:w="1327" w:type="dxa"/>
            <w:vAlign w:val="top"/>
          </w:tcPr>
          <w:p w14:paraId="7D88A25A">
            <w:pPr>
              <w:rPr>
                <w:rFonts w:ascii="Arial"/>
                <w:color w:val="auto"/>
                <w:sz w:val="21"/>
                <w:highlight w:val="none"/>
              </w:rPr>
            </w:pPr>
          </w:p>
        </w:tc>
        <w:tc>
          <w:tcPr>
            <w:tcW w:w="1596" w:type="dxa"/>
            <w:vAlign w:val="top"/>
          </w:tcPr>
          <w:p w14:paraId="5E24FC46">
            <w:pPr>
              <w:rPr>
                <w:rFonts w:ascii="Arial"/>
                <w:color w:val="auto"/>
                <w:sz w:val="21"/>
                <w:highlight w:val="none"/>
              </w:rPr>
            </w:pPr>
          </w:p>
        </w:tc>
        <w:tc>
          <w:tcPr>
            <w:tcW w:w="1009" w:type="dxa"/>
            <w:tcBorders>
              <w:right w:val="single" w:color="000000" w:sz="6" w:space="0"/>
            </w:tcBorders>
            <w:vAlign w:val="top"/>
          </w:tcPr>
          <w:p w14:paraId="0E6118DF">
            <w:pPr>
              <w:rPr>
                <w:rFonts w:ascii="Arial"/>
                <w:color w:val="auto"/>
                <w:sz w:val="21"/>
                <w:highlight w:val="none"/>
              </w:rPr>
            </w:pPr>
          </w:p>
        </w:tc>
      </w:tr>
      <w:tr w14:paraId="052C7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64269652">
            <w:pPr>
              <w:rPr>
                <w:rFonts w:ascii="Arial"/>
                <w:color w:val="auto"/>
                <w:sz w:val="21"/>
                <w:highlight w:val="none"/>
              </w:rPr>
            </w:pPr>
          </w:p>
        </w:tc>
        <w:tc>
          <w:tcPr>
            <w:tcW w:w="2125" w:type="dxa"/>
            <w:vAlign w:val="top"/>
          </w:tcPr>
          <w:p w14:paraId="1E6133BE">
            <w:pPr>
              <w:rPr>
                <w:rFonts w:ascii="Arial"/>
                <w:color w:val="auto"/>
                <w:sz w:val="21"/>
                <w:highlight w:val="none"/>
              </w:rPr>
            </w:pPr>
          </w:p>
        </w:tc>
        <w:tc>
          <w:tcPr>
            <w:tcW w:w="2128" w:type="dxa"/>
            <w:vAlign w:val="top"/>
          </w:tcPr>
          <w:p w14:paraId="2E7B3D6A">
            <w:pPr>
              <w:rPr>
                <w:rFonts w:ascii="Arial"/>
                <w:color w:val="auto"/>
                <w:sz w:val="21"/>
                <w:highlight w:val="none"/>
              </w:rPr>
            </w:pPr>
          </w:p>
        </w:tc>
        <w:tc>
          <w:tcPr>
            <w:tcW w:w="1327" w:type="dxa"/>
            <w:vAlign w:val="top"/>
          </w:tcPr>
          <w:p w14:paraId="6D15B85D">
            <w:pPr>
              <w:rPr>
                <w:rFonts w:ascii="Arial"/>
                <w:color w:val="auto"/>
                <w:sz w:val="21"/>
                <w:highlight w:val="none"/>
              </w:rPr>
            </w:pPr>
          </w:p>
        </w:tc>
        <w:tc>
          <w:tcPr>
            <w:tcW w:w="1596" w:type="dxa"/>
            <w:vAlign w:val="top"/>
          </w:tcPr>
          <w:p w14:paraId="5BC81A86">
            <w:pPr>
              <w:rPr>
                <w:rFonts w:ascii="Arial"/>
                <w:color w:val="auto"/>
                <w:sz w:val="21"/>
                <w:highlight w:val="none"/>
              </w:rPr>
            </w:pPr>
          </w:p>
        </w:tc>
        <w:tc>
          <w:tcPr>
            <w:tcW w:w="1009" w:type="dxa"/>
            <w:tcBorders>
              <w:right w:val="single" w:color="000000" w:sz="6" w:space="0"/>
            </w:tcBorders>
            <w:vAlign w:val="top"/>
          </w:tcPr>
          <w:p w14:paraId="0060501F">
            <w:pPr>
              <w:rPr>
                <w:rFonts w:ascii="Arial"/>
                <w:color w:val="auto"/>
                <w:sz w:val="21"/>
                <w:highlight w:val="none"/>
              </w:rPr>
            </w:pPr>
          </w:p>
        </w:tc>
      </w:tr>
      <w:tr w14:paraId="1B176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033156F4">
            <w:pPr>
              <w:rPr>
                <w:rFonts w:ascii="Arial"/>
                <w:color w:val="auto"/>
                <w:sz w:val="21"/>
                <w:highlight w:val="none"/>
              </w:rPr>
            </w:pPr>
          </w:p>
        </w:tc>
        <w:tc>
          <w:tcPr>
            <w:tcW w:w="2125" w:type="dxa"/>
            <w:vAlign w:val="top"/>
          </w:tcPr>
          <w:p w14:paraId="2CD6DED0">
            <w:pPr>
              <w:rPr>
                <w:rFonts w:ascii="Arial"/>
                <w:color w:val="auto"/>
                <w:sz w:val="21"/>
                <w:highlight w:val="none"/>
              </w:rPr>
            </w:pPr>
          </w:p>
        </w:tc>
        <w:tc>
          <w:tcPr>
            <w:tcW w:w="2128" w:type="dxa"/>
            <w:vAlign w:val="top"/>
          </w:tcPr>
          <w:p w14:paraId="4DF2BDB2">
            <w:pPr>
              <w:rPr>
                <w:rFonts w:ascii="Arial"/>
                <w:color w:val="auto"/>
                <w:sz w:val="21"/>
                <w:highlight w:val="none"/>
              </w:rPr>
            </w:pPr>
          </w:p>
        </w:tc>
        <w:tc>
          <w:tcPr>
            <w:tcW w:w="1327" w:type="dxa"/>
            <w:vAlign w:val="top"/>
          </w:tcPr>
          <w:p w14:paraId="111D5D52">
            <w:pPr>
              <w:rPr>
                <w:rFonts w:ascii="Arial"/>
                <w:color w:val="auto"/>
                <w:sz w:val="21"/>
                <w:highlight w:val="none"/>
              </w:rPr>
            </w:pPr>
          </w:p>
        </w:tc>
        <w:tc>
          <w:tcPr>
            <w:tcW w:w="1596" w:type="dxa"/>
            <w:vAlign w:val="top"/>
          </w:tcPr>
          <w:p w14:paraId="441148C0">
            <w:pPr>
              <w:rPr>
                <w:rFonts w:ascii="Arial"/>
                <w:color w:val="auto"/>
                <w:sz w:val="21"/>
                <w:highlight w:val="none"/>
              </w:rPr>
            </w:pPr>
          </w:p>
        </w:tc>
        <w:tc>
          <w:tcPr>
            <w:tcW w:w="1009" w:type="dxa"/>
            <w:tcBorders>
              <w:right w:val="single" w:color="000000" w:sz="6" w:space="0"/>
            </w:tcBorders>
            <w:vAlign w:val="top"/>
          </w:tcPr>
          <w:p w14:paraId="6BF3767A">
            <w:pPr>
              <w:rPr>
                <w:rFonts w:ascii="Arial"/>
                <w:color w:val="auto"/>
                <w:sz w:val="21"/>
                <w:highlight w:val="none"/>
              </w:rPr>
            </w:pPr>
          </w:p>
        </w:tc>
      </w:tr>
      <w:tr w14:paraId="0B0B3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4" w:type="dxa"/>
            <w:tcBorders>
              <w:left w:val="single" w:color="000000" w:sz="6" w:space="0"/>
            </w:tcBorders>
            <w:vAlign w:val="top"/>
          </w:tcPr>
          <w:p w14:paraId="5FE599E4">
            <w:pPr>
              <w:rPr>
                <w:rFonts w:ascii="Arial"/>
                <w:color w:val="auto"/>
                <w:sz w:val="21"/>
                <w:highlight w:val="none"/>
              </w:rPr>
            </w:pPr>
          </w:p>
        </w:tc>
        <w:tc>
          <w:tcPr>
            <w:tcW w:w="2125" w:type="dxa"/>
            <w:vAlign w:val="top"/>
          </w:tcPr>
          <w:p w14:paraId="1595A21D">
            <w:pPr>
              <w:rPr>
                <w:rFonts w:ascii="Arial"/>
                <w:color w:val="auto"/>
                <w:sz w:val="21"/>
                <w:highlight w:val="none"/>
              </w:rPr>
            </w:pPr>
          </w:p>
        </w:tc>
        <w:tc>
          <w:tcPr>
            <w:tcW w:w="2128" w:type="dxa"/>
            <w:vAlign w:val="top"/>
          </w:tcPr>
          <w:p w14:paraId="18E4CBAC">
            <w:pPr>
              <w:rPr>
                <w:rFonts w:ascii="Arial"/>
                <w:color w:val="auto"/>
                <w:sz w:val="21"/>
                <w:highlight w:val="none"/>
              </w:rPr>
            </w:pPr>
          </w:p>
        </w:tc>
        <w:tc>
          <w:tcPr>
            <w:tcW w:w="1327" w:type="dxa"/>
            <w:vAlign w:val="top"/>
          </w:tcPr>
          <w:p w14:paraId="7E7E8509">
            <w:pPr>
              <w:rPr>
                <w:rFonts w:ascii="Arial"/>
                <w:color w:val="auto"/>
                <w:sz w:val="21"/>
                <w:highlight w:val="none"/>
              </w:rPr>
            </w:pPr>
          </w:p>
        </w:tc>
        <w:tc>
          <w:tcPr>
            <w:tcW w:w="1596" w:type="dxa"/>
            <w:vAlign w:val="top"/>
          </w:tcPr>
          <w:p w14:paraId="1799AC86">
            <w:pPr>
              <w:rPr>
                <w:rFonts w:ascii="Arial"/>
                <w:color w:val="auto"/>
                <w:sz w:val="21"/>
                <w:highlight w:val="none"/>
              </w:rPr>
            </w:pPr>
          </w:p>
        </w:tc>
        <w:tc>
          <w:tcPr>
            <w:tcW w:w="1009" w:type="dxa"/>
            <w:tcBorders>
              <w:right w:val="single" w:color="000000" w:sz="6" w:space="0"/>
            </w:tcBorders>
            <w:vAlign w:val="top"/>
          </w:tcPr>
          <w:p w14:paraId="02B7A785">
            <w:pPr>
              <w:rPr>
                <w:rFonts w:ascii="Arial"/>
                <w:color w:val="auto"/>
                <w:sz w:val="21"/>
                <w:highlight w:val="none"/>
              </w:rPr>
            </w:pPr>
          </w:p>
        </w:tc>
      </w:tr>
      <w:tr w14:paraId="34C67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34D07F20">
            <w:pPr>
              <w:rPr>
                <w:rFonts w:ascii="Arial"/>
                <w:color w:val="auto"/>
                <w:sz w:val="21"/>
                <w:highlight w:val="none"/>
              </w:rPr>
            </w:pPr>
          </w:p>
        </w:tc>
        <w:tc>
          <w:tcPr>
            <w:tcW w:w="2125" w:type="dxa"/>
            <w:vAlign w:val="top"/>
          </w:tcPr>
          <w:p w14:paraId="4247F212">
            <w:pPr>
              <w:rPr>
                <w:rFonts w:ascii="Arial"/>
                <w:color w:val="auto"/>
                <w:sz w:val="21"/>
                <w:highlight w:val="none"/>
              </w:rPr>
            </w:pPr>
          </w:p>
        </w:tc>
        <w:tc>
          <w:tcPr>
            <w:tcW w:w="2128" w:type="dxa"/>
            <w:vAlign w:val="top"/>
          </w:tcPr>
          <w:p w14:paraId="4A8B8EB6">
            <w:pPr>
              <w:rPr>
                <w:rFonts w:ascii="Arial"/>
                <w:color w:val="auto"/>
                <w:sz w:val="21"/>
                <w:highlight w:val="none"/>
              </w:rPr>
            </w:pPr>
          </w:p>
        </w:tc>
        <w:tc>
          <w:tcPr>
            <w:tcW w:w="1327" w:type="dxa"/>
            <w:vAlign w:val="top"/>
          </w:tcPr>
          <w:p w14:paraId="0EBC4FDE">
            <w:pPr>
              <w:rPr>
                <w:rFonts w:ascii="Arial"/>
                <w:color w:val="auto"/>
                <w:sz w:val="21"/>
                <w:highlight w:val="none"/>
              </w:rPr>
            </w:pPr>
          </w:p>
        </w:tc>
        <w:tc>
          <w:tcPr>
            <w:tcW w:w="1596" w:type="dxa"/>
            <w:vAlign w:val="top"/>
          </w:tcPr>
          <w:p w14:paraId="79FB5B7F">
            <w:pPr>
              <w:rPr>
                <w:rFonts w:ascii="Arial"/>
                <w:color w:val="auto"/>
                <w:sz w:val="21"/>
                <w:highlight w:val="none"/>
              </w:rPr>
            </w:pPr>
          </w:p>
        </w:tc>
        <w:tc>
          <w:tcPr>
            <w:tcW w:w="1009" w:type="dxa"/>
            <w:tcBorders>
              <w:right w:val="single" w:color="000000" w:sz="6" w:space="0"/>
            </w:tcBorders>
            <w:vAlign w:val="top"/>
          </w:tcPr>
          <w:p w14:paraId="37FA32BE">
            <w:pPr>
              <w:rPr>
                <w:rFonts w:ascii="Arial"/>
                <w:color w:val="auto"/>
                <w:sz w:val="21"/>
                <w:highlight w:val="none"/>
              </w:rPr>
            </w:pPr>
          </w:p>
        </w:tc>
      </w:tr>
      <w:tr w14:paraId="2FD6C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646053B1">
            <w:pPr>
              <w:spacing w:before="261" w:line="187" w:lineRule="auto"/>
              <w:ind w:left="354"/>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2</w:t>
            </w:r>
          </w:p>
        </w:tc>
        <w:tc>
          <w:tcPr>
            <w:tcW w:w="2125" w:type="dxa"/>
            <w:vAlign w:val="top"/>
          </w:tcPr>
          <w:p w14:paraId="2612D834">
            <w:pPr>
              <w:pStyle w:val="17"/>
              <w:spacing w:before="222" w:line="220" w:lineRule="auto"/>
              <w:ind w:left="105"/>
              <w:rPr>
                <w:color w:val="auto"/>
                <w:sz w:val="21"/>
                <w:szCs w:val="21"/>
                <w:highlight w:val="none"/>
              </w:rPr>
            </w:pPr>
            <w:r>
              <w:rPr>
                <w:color w:val="auto"/>
                <w:spacing w:val="-2"/>
                <w:sz w:val="21"/>
                <w:szCs w:val="21"/>
                <w:highlight w:val="none"/>
              </w:rPr>
              <w:t>材料</w:t>
            </w:r>
          </w:p>
        </w:tc>
        <w:tc>
          <w:tcPr>
            <w:tcW w:w="2128" w:type="dxa"/>
            <w:vAlign w:val="top"/>
          </w:tcPr>
          <w:p w14:paraId="242F941D">
            <w:pPr>
              <w:rPr>
                <w:rFonts w:ascii="Arial"/>
                <w:color w:val="auto"/>
                <w:sz w:val="21"/>
                <w:highlight w:val="none"/>
              </w:rPr>
            </w:pPr>
          </w:p>
        </w:tc>
        <w:tc>
          <w:tcPr>
            <w:tcW w:w="1327" w:type="dxa"/>
            <w:vAlign w:val="top"/>
          </w:tcPr>
          <w:p w14:paraId="641351BB">
            <w:pPr>
              <w:rPr>
                <w:rFonts w:ascii="Arial"/>
                <w:color w:val="auto"/>
                <w:sz w:val="21"/>
                <w:highlight w:val="none"/>
              </w:rPr>
            </w:pPr>
          </w:p>
        </w:tc>
        <w:tc>
          <w:tcPr>
            <w:tcW w:w="1596" w:type="dxa"/>
            <w:vAlign w:val="top"/>
          </w:tcPr>
          <w:p w14:paraId="29160159">
            <w:pPr>
              <w:rPr>
                <w:rFonts w:ascii="Arial"/>
                <w:color w:val="auto"/>
                <w:sz w:val="21"/>
                <w:highlight w:val="none"/>
              </w:rPr>
            </w:pPr>
          </w:p>
        </w:tc>
        <w:tc>
          <w:tcPr>
            <w:tcW w:w="1009" w:type="dxa"/>
            <w:tcBorders>
              <w:right w:val="single" w:color="000000" w:sz="6" w:space="0"/>
            </w:tcBorders>
            <w:vAlign w:val="top"/>
          </w:tcPr>
          <w:p w14:paraId="210D290D">
            <w:pPr>
              <w:rPr>
                <w:rFonts w:ascii="Arial"/>
                <w:color w:val="auto"/>
                <w:sz w:val="21"/>
                <w:highlight w:val="none"/>
              </w:rPr>
            </w:pPr>
          </w:p>
        </w:tc>
      </w:tr>
      <w:tr w14:paraId="012F4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3D25BB43">
            <w:pPr>
              <w:rPr>
                <w:rFonts w:ascii="Arial"/>
                <w:color w:val="auto"/>
                <w:sz w:val="21"/>
                <w:highlight w:val="none"/>
              </w:rPr>
            </w:pPr>
          </w:p>
        </w:tc>
        <w:tc>
          <w:tcPr>
            <w:tcW w:w="2125" w:type="dxa"/>
            <w:vAlign w:val="top"/>
          </w:tcPr>
          <w:p w14:paraId="14CDF846">
            <w:pPr>
              <w:rPr>
                <w:rFonts w:ascii="Arial"/>
                <w:color w:val="auto"/>
                <w:sz w:val="21"/>
                <w:highlight w:val="none"/>
              </w:rPr>
            </w:pPr>
          </w:p>
        </w:tc>
        <w:tc>
          <w:tcPr>
            <w:tcW w:w="2128" w:type="dxa"/>
            <w:vAlign w:val="top"/>
          </w:tcPr>
          <w:p w14:paraId="3FF6ED53">
            <w:pPr>
              <w:rPr>
                <w:rFonts w:ascii="Arial"/>
                <w:color w:val="auto"/>
                <w:sz w:val="21"/>
                <w:highlight w:val="none"/>
              </w:rPr>
            </w:pPr>
          </w:p>
        </w:tc>
        <w:tc>
          <w:tcPr>
            <w:tcW w:w="1327" w:type="dxa"/>
            <w:vAlign w:val="top"/>
          </w:tcPr>
          <w:p w14:paraId="05735BFC">
            <w:pPr>
              <w:rPr>
                <w:rFonts w:ascii="Arial"/>
                <w:color w:val="auto"/>
                <w:sz w:val="21"/>
                <w:highlight w:val="none"/>
              </w:rPr>
            </w:pPr>
          </w:p>
        </w:tc>
        <w:tc>
          <w:tcPr>
            <w:tcW w:w="1596" w:type="dxa"/>
            <w:vAlign w:val="top"/>
          </w:tcPr>
          <w:p w14:paraId="54870714">
            <w:pPr>
              <w:rPr>
                <w:rFonts w:ascii="Arial"/>
                <w:color w:val="auto"/>
                <w:sz w:val="21"/>
                <w:highlight w:val="none"/>
              </w:rPr>
            </w:pPr>
          </w:p>
        </w:tc>
        <w:tc>
          <w:tcPr>
            <w:tcW w:w="1009" w:type="dxa"/>
            <w:tcBorders>
              <w:right w:val="single" w:color="000000" w:sz="6" w:space="0"/>
            </w:tcBorders>
            <w:vAlign w:val="top"/>
          </w:tcPr>
          <w:p w14:paraId="29D8E867">
            <w:pPr>
              <w:rPr>
                <w:rFonts w:ascii="Arial"/>
                <w:color w:val="auto"/>
                <w:sz w:val="21"/>
                <w:highlight w:val="none"/>
              </w:rPr>
            </w:pPr>
          </w:p>
        </w:tc>
      </w:tr>
      <w:tr w14:paraId="16617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2301C9E0">
            <w:pPr>
              <w:rPr>
                <w:rFonts w:ascii="Arial"/>
                <w:color w:val="auto"/>
                <w:sz w:val="21"/>
                <w:highlight w:val="none"/>
              </w:rPr>
            </w:pPr>
          </w:p>
        </w:tc>
        <w:tc>
          <w:tcPr>
            <w:tcW w:w="2125" w:type="dxa"/>
            <w:vAlign w:val="top"/>
          </w:tcPr>
          <w:p w14:paraId="510F2CE0">
            <w:pPr>
              <w:rPr>
                <w:rFonts w:ascii="Arial"/>
                <w:color w:val="auto"/>
                <w:sz w:val="21"/>
                <w:highlight w:val="none"/>
              </w:rPr>
            </w:pPr>
          </w:p>
        </w:tc>
        <w:tc>
          <w:tcPr>
            <w:tcW w:w="2128" w:type="dxa"/>
            <w:vAlign w:val="top"/>
          </w:tcPr>
          <w:p w14:paraId="1BBF8161">
            <w:pPr>
              <w:rPr>
                <w:rFonts w:ascii="Arial"/>
                <w:color w:val="auto"/>
                <w:sz w:val="21"/>
                <w:highlight w:val="none"/>
              </w:rPr>
            </w:pPr>
          </w:p>
        </w:tc>
        <w:tc>
          <w:tcPr>
            <w:tcW w:w="1327" w:type="dxa"/>
            <w:vAlign w:val="top"/>
          </w:tcPr>
          <w:p w14:paraId="563FA539">
            <w:pPr>
              <w:rPr>
                <w:rFonts w:ascii="Arial"/>
                <w:color w:val="auto"/>
                <w:sz w:val="21"/>
                <w:highlight w:val="none"/>
              </w:rPr>
            </w:pPr>
          </w:p>
        </w:tc>
        <w:tc>
          <w:tcPr>
            <w:tcW w:w="1596" w:type="dxa"/>
            <w:vAlign w:val="top"/>
          </w:tcPr>
          <w:p w14:paraId="1C89CAF7">
            <w:pPr>
              <w:rPr>
                <w:rFonts w:ascii="Arial"/>
                <w:color w:val="auto"/>
                <w:sz w:val="21"/>
                <w:highlight w:val="none"/>
              </w:rPr>
            </w:pPr>
          </w:p>
        </w:tc>
        <w:tc>
          <w:tcPr>
            <w:tcW w:w="1009" w:type="dxa"/>
            <w:tcBorders>
              <w:right w:val="single" w:color="000000" w:sz="6" w:space="0"/>
            </w:tcBorders>
            <w:vAlign w:val="top"/>
          </w:tcPr>
          <w:p w14:paraId="0C1AE935">
            <w:pPr>
              <w:rPr>
                <w:rFonts w:ascii="Arial"/>
                <w:color w:val="auto"/>
                <w:sz w:val="21"/>
                <w:highlight w:val="none"/>
              </w:rPr>
            </w:pPr>
          </w:p>
        </w:tc>
      </w:tr>
      <w:tr w14:paraId="5B46D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45D0B77E">
            <w:pPr>
              <w:rPr>
                <w:rFonts w:ascii="Arial"/>
                <w:color w:val="auto"/>
                <w:sz w:val="21"/>
                <w:highlight w:val="none"/>
              </w:rPr>
            </w:pPr>
          </w:p>
        </w:tc>
        <w:tc>
          <w:tcPr>
            <w:tcW w:w="2125" w:type="dxa"/>
            <w:vAlign w:val="top"/>
          </w:tcPr>
          <w:p w14:paraId="45DCFEC6">
            <w:pPr>
              <w:rPr>
                <w:rFonts w:ascii="Arial"/>
                <w:color w:val="auto"/>
                <w:sz w:val="21"/>
                <w:highlight w:val="none"/>
              </w:rPr>
            </w:pPr>
          </w:p>
        </w:tc>
        <w:tc>
          <w:tcPr>
            <w:tcW w:w="2128" w:type="dxa"/>
            <w:vAlign w:val="top"/>
          </w:tcPr>
          <w:p w14:paraId="16097291">
            <w:pPr>
              <w:rPr>
                <w:rFonts w:ascii="Arial"/>
                <w:color w:val="auto"/>
                <w:sz w:val="21"/>
                <w:highlight w:val="none"/>
              </w:rPr>
            </w:pPr>
          </w:p>
        </w:tc>
        <w:tc>
          <w:tcPr>
            <w:tcW w:w="1327" w:type="dxa"/>
            <w:vAlign w:val="top"/>
          </w:tcPr>
          <w:p w14:paraId="61EAFE5B">
            <w:pPr>
              <w:rPr>
                <w:rFonts w:ascii="Arial"/>
                <w:color w:val="auto"/>
                <w:sz w:val="21"/>
                <w:highlight w:val="none"/>
              </w:rPr>
            </w:pPr>
          </w:p>
        </w:tc>
        <w:tc>
          <w:tcPr>
            <w:tcW w:w="1596" w:type="dxa"/>
            <w:vAlign w:val="top"/>
          </w:tcPr>
          <w:p w14:paraId="3866C716">
            <w:pPr>
              <w:rPr>
                <w:rFonts w:ascii="Arial"/>
                <w:color w:val="auto"/>
                <w:sz w:val="21"/>
                <w:highlight w:val="none"/>
              </w:rPr>
            </w:pPr>
          </w:p>
        </w:tc>
        <w:tc>
          <w:tcPr>
            <w:tcW w:w="1009" w:type="dxa"/>
            <w:tcBorders>
              <w:right w:val="single" w:color="000000" w:sz="6" w:space="0"/>
            </w:tcBorders>
            <w:vAlign w:val="top"/>
          </w:tcPr>
          <w:p w14:paraId="3252990D">
            <w:pPr>
              <w:rPr>
                <w:rFonts w:ascii="Arial"/>
                <w:color w:val="auto"/>
                <w:sz w:val="21"/>
                <w:highlight w:val="none"/>
              </w:rPr>
            </w:pPr>
          </w:p>
        </w:tc>
      </w:tr>
      <w:tr w14:paraId="018F2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4" w:type="dxa"/>
            <w:tcBorders>
              <w:left w:val="single" w:color="000000" w:sz="6" w:space="0"/>
            </w:tcBorders>
            <w:vAlign w:val="top"/>
          </w:tcPr>
          <w:p w14:paraId="5FFF19D0">
            <w:pPr>
              <w:rPr>
                <w:rFonts w:ascii="Arial"/>
                <w:color w:val="auto"/>
                <w:sz w:val="21"/>
                <w:highlight w:val="none"/>
              </w:rPr>
            </w:pPr>
          </w:p>
        </w:tc>
        <w:tc>
          <w:tcPr>
            <w:tcW w:w="2125" w:type="dxa"/>
            <w:vAlign w:val="top"/>
          </w:tcPr>
          <w:p w14:paraId="0257BE5A">
            <w:pPr>
              <w:rPr>
                <w:rFonts w:ascii="Arial"/>
                <w:color w:val="auto"/>
                <w:sz w:val="21"/>
                <w:highlight w:val="none"/>
              </w:rPr>
            </w:pPr>
          </w:p>
        </w:tc>
        <w:tc>
          <w:tcPr>
            <w:tcW w:w="2128" w:type="dxa"/>
            <w:vAlign w:val="top"/>
          </w:tcPr>
          <w:p w14:paraId="559EBEA4">
            <w:pPr>
              <w:rPr>
                <w:rFonts w:ascii="Arial"/>
                <w:color w:val="auto"/>
                <w:sz w:val="21"/>
                <w:highlight w:val="none"/>
              </w:rPr>
            </w:pPr>
          </w:p>
        </w:tc>
        <w:tc>
          <w:tcPr>
            <w:tcW w:w="1327" w:type="dxa"/>
            <w:vAlign w:val="top"/>
          </w:tcPr>
          <w:p w14:paraId="50DBC2B1">
            <w:pPr>
              <w:rPr>
                <w:rFonts w:ascii="Arial"/>
                <w:color w:val="auto"/>
                <w:sz w:val="21"/>
                <w:highlight w:val="none"/>
              </w:rPr>
            </w:pPr>
          </w:p>
        </w:tc>
        <w:tc>
          <w:tcPr>
            <w:tcW w:w="1596" w:type="dxa"/>
            <w:vAlign w:val="top"/>
          </w:tcPr>
          <w:p w14:paraId="540A58AD">
            <w:pPr>
              <w:rPr>
                <w:rFonts w:ascii="Arial"/>
                <w:color w:val="auto"/>
                <w:sz w:val="21"/>
                <w:highlight w:val="none"/>
              </w:rPr>
            </w:pPr>
          </w:p>
        </w:tc>
        <w:tc>
          <w:tcPr>
            <w:tcW w:w="1009" w:type="dxa"/>
            <w:tcBorders>
              <w:right w:val="single" w:color="000000" w:sz="6" w:space="0"/>
            </w:tcBorders>
            <w:vAlign w:val="top"/>
          </w:tcPr>
          <w:p w14:paraId="156340F5">
            <w:pPr>
              <w:rPr>
                <w:rFonts w:ascii="Arial"/>
                <w:color w:val="auto"/>
                <w:sz w:val="21"/>
                <w:highlight w:val="none"/>
              </w:rPr>
            </w:pPr>
          </w:p>
        </w:tc>
      </w:tr>
      <w:tr w14:paraId="20241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63624442">
            <w:pPr>
              <w:rPr>
                <w:rFonts w:ascii="Arial"/>
                <w:color w:val="auto"/>
                <w:sz w:val="21"/>
                <w:highlight w:val="none"/>
              </w:rPr>
            </w:pPr>
          </w:p>
        </w:tc>
        <w:tc>
          <w:tcPr>
            <w:tcW w:w="2125" w:type="dxa"/>
            <w:vAlign w:val="top"/>
          </w:tcPr>
          <w:p w14:paraId="348E54CD">
            <w:pPr>
              <w:rPr>
                <w:rFonts w:ascii="Arial"/>
                <w:color w:val="auto"/>
                <w:sz w:val="21"/>
                <w:highlight w:val="none"/>
              </w:rPr>
            </w:pPr>
          </w:p>
        </w:tc>
        <w:tc>
          <w:tcPr>
            <w:tcW w:w="2128" w:type="dxa"/>
            <w:vAlign w:val="top"/>
          </w:tcPr>
          <w:p w14:paraId="68E39B11">
            <w:pPr>
              <w:rPr>
                <w:rFonts w:ascii="Arial"/>
                <w:color w:val="auto"/>
                <w:sz w:val="21"/>
                <w:highlight w:val="none"/>
              </w:rPr>
            </w:pPr>
          </w:p>
        </w:tc>
        <w:tc>
          <w:tcPr>
            <w:tcW w:w="1327" w:type="dxa"/>
            <w:vAlign w:val="top"/>
          </w:tcPr>
          <w:p w14:paraId="305C406A">
            <w:pPr>
              <w:rPr>
                <w:rFonts w:ascii="Arial"/>
                <w:color w:val="auto"/>
                <w:sz w:val="21"/>
                <w:highlight w:val="none"/>
              </w:rPr>
            </w:pPr>
          </w:p>
        </w:tc>
        <w:tc>
          <w:tcPr>
            <w:tcW w:w="1596" w:type="dxa"/>
            <w:vAlign w:val="top"/>
          </w:tcPr>
          <w:p w14:paraId="60E0DCC9">
            <w:pPr>
              <w:rPr>
                <w:rFonts w:ascii="Arial"/>
                <w:color w:val="auto"/>
                <w:sz w:val="21"/>
                <w:highlight w:val="none"/>
              </w:rPr>
            </w:pPr>
          </w:p>
        </w:tc>
        <w:tc>
          <w:tcPr>
            <w:tcW w:w="1009" w:type="dxa"/>
            <w:tcBorders>
              <w:right w:val="single" w:color="000000" w:sz="6" w:space="0"/>
            </w:tcBorders>
            <w:vAlign w:val="top"/>
          </w:tcPr>
          <w:p w14:paraId="313860A7">
            <w:pPr>
              <w:rPr>
                <w:rFonts w:ascii="Arial"/>
                <w:color w:val="auto"/>
                <w:sz w:val="21"/>
                <w:highlight w:val="none"/>
              </w:rPr>
            </w:pPr>
          </w:p>
        </w:tc>
      </w:tr>
      <w:tr w14:paraId="23620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13A4E1A0">
            <w:pPr>
              <w:spacing w:before="267" w:line="187" w:lineRule="auto"/>
              <w:ind w:left="358"/>
              <w:rPr>
                <w:rFonts w:ascii="Times New Roman" w:hAnsi="Times New Roman" w:eastAsia="Times New Roman" w:cs="Times New Roman"/>
                <w:color w:val="auto"/>
                <w:sz w:val="21"/>
                <w:szCs w:val="21"/>
                <w:highlight w:val="none"/>
              </w:rPr>
            </w:pPr>
            <w:r>
              <w:rPr>
                <w:rFonts w:ascii="Times New Roman" w:hAnsi="Times New Roman" w:eastAsia="Times New Roman" w:cs="Times New Roman"/>
                <w:color w:val="auto"/>
                <w:sz w:val="21"/>
                <w:szCs w:val="21"/>
                <w:highlight w:val="none"/>
              </w:rPr>
              <w:t>3</w:t>
            </w:r>
          </w:p>
        </w:tc>
        <w:tc>
          <w:tcPr>
            <w:tcW w:w="2125" w:type="dxa"/>
            <w:vAlign w:val="top"/>
          </w:tcPr>
          <w:p w14:paraId="68EA4C1A">
            <w:pPr>
              <w:pStyle w:val="17"/>
              <w:spacing w:before="228" w:line="220" w:lineRule="auto"/>
              <w:ind w:left="104"/>
              <w:rPr>
                <w:color w:val="auto"/>
                <w:sz w:val="21"/>
                <w:szCs w:val="21"/>
                <w:highlight w:val="none"/>
              </w:rPr>
            </w:pPr>
            <w:r>
              <w:rPr>
                <w:color w:val="auto"/>
                <w:spacing w:val="-2"/>
                <w:sz w:val="21"/>
                <w:szCs w:val="21"/>
                <w:highlight w:val="none"/>
              </w:rPr>
              <w:t>机械</w:t>
            </w:r>
          </w:p>
        </w:tc>
        <w:tc>
          <w:tcPr>
            <w:tcW w:w="2128" w:type="dxa"/>
            <w:vAlign w:val="top"/>
          </w:tcPr>
          <w:p w14:paraId="56A1621E">
            <w:pPr>
              <w:rPr>
                <w:rFonts w:ascii="Arial"/>
                <w:color w:val="auto"/>
                <w:sz w:val="21"/>
                <w:highlight w:val="none"/>
              </w:rPr>
            </w:pPr>
          </w:p>
        </w:tc>
        <w:tc>
          <w:tcPr>
            <w:tcW w:w="1327" w:type="dxa"/>
            <w:vAlign w:val="top"/>
          </w:tcPr>
          <w:p w14:paraId="41400A98">
            <w:pPr>
              <w:rPr>
                <w:rFonts w:ascii="Arial"/>
                <w:color w:val="auto"/>
                <w:sz w:val="21"/>
                <w:highlight w:val="none"/>
              </w:rPr>
            </w:pPr>
          </w:p>
        </w:tc>
        <w:tc>
          <w:tcPr>
            <w:tcW w:w="1596" w:type="dxa"/>
            <w:vAlign w:val="top"/>
          </w:tcPr>
          <w:p w14:paraId="3ABB0247">
            <w:pPr>
              <w:rPr>
                <w:rFonts w:ascii="Arial"/>
                <w:color w:val="auto"/>
                <w:sz w:val="21"/>
                <w:highlight w:val="none"/>
              </w:rPr>
            </w:pPr>
          </w:p>
        </w:tc>
        <w:tc>
          <w:tcPr>
            <w:tcW w:w="1009" w:type="dxa"/>
            <w:tcBorders>
              <w:right w:val="single" w:color="000000" w:sz="6" w:space="0"/>
            </w:tcBorders>
            <w:vAlign w:val="top"/>
          </w:tcPr>
          <w:p w14:paraId="6EF7F8FD">
            <w:pPr>
              <w:rPr>
                <w:rFonts w:ascii="Arial"/>
                <w:color w:val="auto"/>
                <w:sz w:val="21"/>
                <w:highlight w:val="none"/>
              </w:rPr>
            </w:pPr>
          </w:p>
        </w:tc>
      </w:tr>
      <w:tr w14:paraId="4E152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46925213">
            <w:pPr>
              <w:rPr>
                <w:rFonts w:ascii="Arial"/>
                <w:color w:val="auto"/>
                <w:sz w:val="21"/>
                <w:highlight w:val="none"/>
              </w:rPr>
            </w:pPr>
          </w:p>
        </w:tc>
        <w:tc>
          <w:tcPr>
            <w:tcW w:w="2125" w:type="dxa"/>
            <w:vAlign w:val="top"/>
          </w:tcPr>
          <w:p w14:paraId="7FA61024">
            <w:pPr>
              <w:rPr>
                <w:rFonts w:ascii="Arial"/>
                <w:color w:val="auto"/>
                <w:sz w:val="21"/>
                <w:highlight w:val="none"/>
              </w:rPr>
            </w:pPr>
          </w:p>
        </w:tc>
        <w:tc>
          <w:tcPr>
            <w:tcW w:w="2128" w:type="dxa"/>
            <w:vAlign w:val="top"/>
          </w:tcPr>
          <w:p w14:paraId="4F099580">
            <w:pPr>
              <w:rPr>
                <w:rFonts w:ascii="Arial"/>
                <w:color w:val="auto"/>
                <w:sz w:val="21"/>
                <w:highlight w:val="none"/>
              </w:rPr>
            </w:pPr>
          </w:p>
        </w:tc>
        <w:tc>
          <w:tcPr>
            <w:tcW w:w="1327" w:type="dxa"/>
            <w:vAlign w:val="top"/>
          </w:tcPr>
          <w:p w14:paraId="7AE7F78D">
            <w:pPr>
              <w:rPr>
                <w:rFonts w:ascii="Arial"/>
                <w:color w:val="auto"/>
                <w:sz w:val="21"/>
                <w:highlight w:val="none"/>
              </w:rPr>
            </w:pPr>
          </w:p>
        </w:tc>
        <w:tc>
          <w:tcPr>
            <w:tcW w:w="1596" w:type="dxa"/>
            <w:vAlign w:val="top"/>
          </w:tcPr>
          <w:p w14:paraId="4270A1E6">
            <w:pPr>
              <w:rPr>
                <w:rFonts w:ascii="Arial"/>
                <w:color w:val="auto"/>
                <w:sz w:val="21"/>
                <w:highlight w:val="none"/>
              </w:rPr>
            </w:pPr>
          </w:p>
        </w:tc>
        <w:tc>
          <w:tcPr>
            <w:tcW w:w="1009" w:type="dxa"/>
            <w:tcBorders>
              <w:right w:val="single" w:color="000000" w:sz="6" w:space="0"/>
            </w:tcBorders>
            <w:vAlign w:val="top"/>
          </w:tcPr>
          <w:p w14:paraId="7CD74720">
            <w:pPr>
              <w:rPr>
                <w:rFonts w:ascii="Arial"/>
                <w:color w:val="auto"/>
                <w:sz w:val="21"/>
                <w:highlight w:val="none"/>
              </w:rPr>
            </w:pPr>
          </w:p>
        </w:tc>
      </w:tr>
      <w:tr w14:paraId="3DF62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0EA59060">
            <w:pPr>
              <w:rPr>
                <w:rFonts w:ascii="Arial"/>
                <w:color w:val="auto"/>
                <w:sz w:val="21"/>
                <w:highlight w:val="none"/>
              </w:rPr>
            </w:pPr>
          </w:p>
        </w:tc>
        <w:tc>
          <w:tcPr>
            <w:tcW w:w="2125" w:type="dxa"/>
            <w:vAlign w:val="top"/>
          </w:tcPr>
          <w:p w14:paraId="1366D8EF">
            <w:pPr>
              <w:rPr>
                <w:rFonts w:ascii="Arial"/>
                <w:color w:val="auto"/>
                <w:sz w:val="21"/>
                <w:highlight w:val="none"/>
              </w:rPr>
            </w:pPr>
          </w:p>
        </w:tc>
        <w:tc>
          <w:tcPr>
            <w:tcW w:w="2128" w:type="dxa"/>
            <w:vAlign w:val="top"/>
          </w:tcPr>
          <w:p w14:paraId="2FBF4D5C">
            <w:pPr>
              <w:rPr>
                <w:rFonts w:ascii="Arial"/>
                <w:color w:val="auto"/>
                <w:sz w:val="21"/>
                <w:highlight w:val="none"/>
              </w:rPr>
            </w:pPr>
          </w:p>
        </w:tc>
        <w:tc>
          <w:tcPr>
            <w:tcW w:w="1327" w:type="dxa"/>
            <w:vAlign w:val="top"/>
          </w:tcPr>
          <w:p w14:paraId="33D4FF8E">
            <w:pPr>
              <w:rPr>
                <w:rFonts w:ascii="Arial"/>
                <w:color w:val="auto"/>
                <w:sz w:val="21"/>
                <w:highlight w:val="none"/>
              </w:rPr>
            </w:pPr>
          </w:p>
        </w:tc>
        <w:tc>
          <w:tcPr>
            <w:tcW w:w="1596" w:type="dxa"/>
            <w:vAlign w:val="top"/>
          </w:tcPr>
          <w:p w14:paraId="66A48438">
            <w:pPr>
              <w:rPr>
                <w:rFonts w:ascii="Arial"/>
                <w:color w:val="auto"/>
                <w:sz w:val="21"/>
                <w:highlight w:val="none"/>
              </w:rPr>
            </w:pPr>
          </w:p>
        </w:tc>
        <w:tc>
          <w:tcPr>
            <w:tcW w:w="1009" w:type="dxa"/>
            <w:tcBorders>
              <w:right w:val="single" w:color="000000" w:sz="6" w:space="0"/>
            </w:tcBorders>
            <w:vAlign w:val="top"/>
          </w:tcPr>
          <w:p w14:paraId="459C445F">
            <w:pPr>
              <w:rPr>
                <w:rFonts w:ascii="Arial"/>
                <w:color w:val="auto"/>
                <w:sz w:val="21"/>
                <w:highlight w:val="none"/>
              </w:rPr>
            </w:pPr>
          </w:p>
        </w:tc>
      </w:tr>
      <w:tr w14:paraId="3CEAD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6CAE8C01">
            <w:pPr>
              <w:rPr>
                <w:rFonts w:ascii="Arial"/>
                <w:color w:val="auto"/>
                <w:sz w:val="21"/>
                <w:highlight w:val="none"/>
              </w:rPr>
            </w:pPr>
          </w:p>
        </w:tc>
        <w:tc>
          <w:tcPr>
            <w:tcW w:w="2125" w:type="dxa"/>
            <w:vAlign w:val="top"/>
          </w:tcPr>
          <w:p w14:paraId="0F31CDB5">
            <w:pPr>
              <w:rPr>
                <w:rFonts w:ascii="Arial"/>
                <w:color w:val="auto"/>
                <w:sz w:val="21"/>
                <w:highlight w:val="none"/>
              </w:rPr>
            </w:pPr>
          </w:p>
        </w:tc>
        <w:tc>
          <w:tcPr>
            <w:tcW w:w="2128" w:type="dxa"/>
            <w:vAlign w:val="top"/>
          </w:tcPr>
          <w:p w14:paraId="4B93E7B6">
            <w:pPr>
              <w:rPr>
                <w:rFonts w:ascii="Arial"/>
                <w:color w:val="auto"/>
                <w:sz w:val="21"/>
                <w:highlight w:val="none"/>
              </w:rPr>
            </w:pPr>
          </w:p>
        </w:tc>
        <w:tc>
          <w:tcPr>
            <w:tcW w:w="1327" w:type="dxa"/>
            <w:vAlign w:val="top"/>
          </w:tcPr>
          <w:p w14:paraId="009B6095">
            <w:pPr>
              <w:rPr>
                <w:rFonts w:ascii="Arial"/>
                <w:color w:val="auto"/>
                <w:sz w:val="21"/>
                <w:highlight w:val="none"/>
              </w:rPr>
            </w:pPr>
          </w:p>
        </w:tc>
        <w:tc>
          <w:tcPr>
            <w:tcW w:w="1596" w:type="dxa"/>
            <w:vAlign w:val="top"/>
          </w:tcPr>
          <w:p w14:paraId="1BA87302">
            <w:pPr>
              <w:rPr>
                <w:rFonts w:ascii="Arial"/>
                <w:color w:val="auto"/>
                <w:sz w:val="21"/>
                <w:highlight w:val="none"/>
              </w:rPr>
            </w:pPr>
          </w:p>
        </w:tc>
        <w:tc>
          <w:tcPr>
            <w:tcW w:w="1009" w:type="dxa"/>
            <w:tcBorders>
              <w:right w:val="single" w:color="000000" w:sz="6" w:space="0"/>
            </w:tcBorders>
            <w:vAlign w:val="top"/>
          </w:tcPr>
          <w:p w14:paraId="786C7AA3">
            <w:pPr>
              <w:rPr>
                <w:rFonts w:ascii="Arial"/>
                <w:color w:val="auto"/>
                <w:sz w:val="21"/>
                <w:highlight w:val="none"/>
              </w:rPr>
            </w:pPr>
          </w:p>
        </w:tc>
      </w:tr>
      <w:tr w14:paraId="5B4E7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4" w:type="dxa"/>
            <w:tcBorders>
              <w:left w:val="single" w:color="000000" w:sz="6" w:space="0"/>
            </w:tcBorders>
            <w:vAlign w:val="top"/>
          </w:tcPr>
          <w:p w14:paraId="703BF3BD">
            <w:pPr>
              <w:rPr>
                <w:rFonts w:ascii="Arial"/>
                <w:color w:val="auto"/>
                <w:sz w:val="21"/>
                <w:highlight w:val="none"/>
              </w:rPr>
            </w:pPr>
          </w:p>
        </w:tc>
        <w:tc>
          <w:tcPr>
            <w:tcW w:w="2125" w:type="dxa"/>
            <w:vAlign w:val="top"/>
          </w:tcPr>
          <w:p w14:paraId="591A9D70">
            <w:pPr>
              <w:rPr>
                <w:rFonts w:ascii="Arial"/>
                <w:color w:val="auto"/>
                <w:sz w:val="21"/>
                <w:highlight w:val="none"/>
              </w:rPr>
            </w:pPr>
          </w:p>
        </w:tc>
        <w:tc>
          <w:tcPr>
            <w:tcW w:w="2128" w:type="dxa"/>
            <w:vAlign w:val="top"/>
          </w:tcPr>
          <w:p w14:paraId="6C296B39">
            <w:pPr>
              <w:rPr>
                <w:rFonts w:ascii="Arial"/>
                <w:color w:val="auto"/>
                <w:sz w:val="21"/>
                <w:highlight w:val="none"/>
              </w:rPr>
            </w:pPr>
          </w:p>
        </w:tc>
        <w:tc>
          <w:tcPr>
            <w:tcW w:w="1327" w:type="dxa"/>
            <w:vAlign w:val="top"/>
          </w:tcPr>
          <w:p w14:paraId="6EB354BD">
            <w:pPr>
              <w:rPr>
                <w:rFonts w:ascii="Arial"/>
                <w:color w:val="auto"/>
                <w:sz w:val="21"/>
                <w:highlight w:val="none"/>
              </w:rPr>
            </w:pPr>
          </w:p>
        </w:tc>
        <w:tc>
          <w:tcPr>
            <w:tcW w:w="1596" w:type="dxa"/>
            <w:vAlign w:val="top"/>
          </w:tcPr>
          <w:p w14:paraId="054E0196">
            <w:pPr>
              <w:rPr>
                <w:rFonts w:ascii="Arial"/>
                <w:color w:val="auto"/>
                <w:sz w:val="21"/>
                <w:highlight w:val="none"/>
              </w:rPr>
            </w:pPr>
          </w:p>
        </w:tc>
        <w:tc>
          <w:tcPr>
            <w:tcW w:w="1009" w:type="dxa"/>
            <w:tcBorders>
              <w:right w:val="single" w:color="000000" w:sz="6" w:space="0"/>
            </w:tcBorders>
            <w:vAlign w:val="top"/>
          </w:tcPr>
          <w:p w14:paraId="5A842C7B">
            <w:pPr>
              <w:rPr>
                <w:rFonts w:ascii="Arial"/>
                <w:color w:val="auto"/>
                <w:sz w:val="21"/>
                <w:highlight w:val="none"/>
              </w:rPr>
            </w:pPr>
          </w:p>
        </w:tc>
      </w:tr>
      <w:tr w14:paraId="09817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4" w:type="dxa"/>
            <w:tcBorders>
              <w:left w:val="single" w:color="000000" w:sz="6" w:space="0"/>
            </w:tcBorders>
            <w:vAlign w:val="top"/>
          </w:tcPr>
          <w:p w14:paraId="7B15556C">
            <w:pPr>
              <w:rPr>
                <w:rFonts w:ascii="Arial"/>
                <w:color w:val="auto"/>
                <w:sz w:val="21"/>
                <w:highlight w:val="none"/>
              </w:rPr>
            </w:pPr>
          </w:p>
        </w:tc>
        <w:tc>
          <w:tcPr>
            <w:tcW w:w="2125" w:type="dxa"/>
            <w:vAlign w:val="top"/>
          </w:tcPr>
          <w:p w14:paraId="217F7B45">
            <w:pPr>
              <w:rPr>
                <w:rFonts w:ascii="Arial"/>
                <w:color w:val="auto"/>
                <w:sz w:val="21"/>
                <w:highlight w:val="none"/>
              </w:rPr>
            </w:pPr>
          </w:p>
        </w:tc>
        <w:tc>
          <w:tcPr>
            <w:tcW w:w="2128" w:type="dxa"/>
            <w:vAlign w:val="top"/>
          </w:tcPr>
          <w:p w14:paraId="784F85BD">
            <w:pPr>
              <w:rPr>
                <w:rFonts w:ascii="Arial"/>
                <w:color w:val="auto"/>
                <w:sz w:val="21"/>
                <w:highlight w:val="none"/>
              </w:rPr>
            </w:pPr>
          </w:p>
        </w:tc>
        <w:tc>
          <w:tcPr>
            <w:tcW w:w="1327" w:type="dxa"/>
            <w:vAlign w:val="top"/>
          </w:tcPr>
          <w:p w14:paraId="6F2B8DBE">
            <w:pPr>
              <w:rPr>
                <w:rFonts w:ascii="Arial"/>
                <w:color w:val="auto"/>
                <w:sz w:val="21"/>
                <w:highlight w:val="none"/>
              </w:rPr>
            </w:pPr>
          </w:p>
        </w:tc>
        <w:tc>
          <w:tcPr>
            <w:tcW w:w="1596" w:type="dxa"/>
            <w:vAlign w:val="top"/>
          </w:tcPr>
          <w:p w14:paraId="441CE5D7">
            <w:pPr>
              <w:rPr>
                <w:rFonts w:ascii="Arial"/>
                <w:color w:val="auto"/>
                <w:sz w:val="21"/>
                <w:highlight w:val="none"/>
              </w:rPr>
            </w:pPr>
          </w:p>
        </w:tc>
        <w:tc>
          <w:tcPr>
            <w:tcW w:w="1009" w:type="dxa"/>
            <w:tcBorders>
              <w:right w:val="single" w:color="000000" w:sz="6" w:space="0"/>
            </w:tcBorders>
            <w:vAlign w:val="top"/>
          </w:tcPr>
          <w:p w14:paraId="313FB609">
            <w:pPr>
              <w:rPr>
                <w:rFonts w:ascii="Arial"/>
                <w:color w:val="auto"/>
                <w:sz w:val="21"/>
                <w:highlight w:val="none"/>
              </w:rPr>
            </w:pPr>
          </w:p>
        </w:tc>
      </w:tr>
      <w:tr w14:paraId="55B7B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24" w:type="dxa"/>
            <w:tcBorders>
              <w:left w:val="single" w:color="000000" w:sz="6" w:space="0"/>
              <w:bottom w:val="single" w:color="000000" w:sz="6" w:space="0"/>
            </w:tcBorders>
            <w:vAlign w:val="top"/>
          </w:tcPr>
          <w:p w14:paraId="20B4949A">
            <w:pPr>
              <w:rPr>
                <w:rFonts w:ascii="Arial"/>
                <w:color w:val="auto"/>
                <w:sz w:val="21"/>
                <w:highlight w:val="none"/>
              </w:rPr>
            </w:pPr>
          </w:p>
        </w:tc>
        <w:tc>
          <w:tcPr>
            <w:tcW w:w="2125" w:type="dxa"/>
            <w:tcBorders>
              <w:bottom w:val="single" w:color="000000" w:sz="6" w:space="0"/>
            </w:tcBorders>
            <w:vAlign w:val="top"/>
          </w:tcPr>
          <w:p w14:paraId="334C9A91">
            <w:pPr>
              <w:rPr>
                <w:rFonts w:ascii="Arial"/>
                <w:color w:val="auto"/>
                <w:sz w:val="21"/>
                <w:highlight w:val="none"/>
              </w:rPr>
            </w:pPr>
          </w:p>
        </w:tc>
        <w:tc>
          <w:tcPr>
            <w:tcW w:w="2128" w:type="dxa"/>
            <w:tcBorders>
              <w:bottom w:val="single" w:color="000000" w:sz="6" w:space="0"/>
            </w:tcBorders>
            <w:vAlign w:val="top"/>
          </w:tcPr>
          <w:p w14:paraId="77548E92">
            <w:pPr>
              <w:rPr>
                <w:rFonts w:ascii="Arial"/>
                <w:color w:val="auto"/>
                <w:sz w:val="21"/>
                <w:highlight w:val="none"/>
              </w:rPr>
            </w:pPr>
          </w:p>
        </w:tc>
        <w:tc>
          <w:tcPr>
            <w:tcW w:w="1327" w:type="dxa"/>
            <w:tcBorders>
              <w:bottom w:val="single" w:color="000000" w:sz="6" w:space="0"/>
            </w:tcBorders>
            <w:vAlign w:val="top"/>
          </w:tcPr>
          <w:p w14:paraId="6F5EDD65">
            <w:pPr>
              <w:rPr>
                <w:rFonts w:ascii="Arial"/>
                <w:color w:val="auto"/>
                <w:sz w:val="21"/>
                <w:highlight w:val="none"/>
              </w:rPr>
            </w:pPr>
          </w:p>
        </w:tc>
        <w:tc>
          <w:tcPr>
            <w:tcW w:w="1596" w:type="dxa"/>
            <w:tcBorders>
              <w:bottom w:val="single" w:color="000000" w:sz="6" w:space="0"/>
            </w:tcBorders>
            <w:vAlign w:val="top"/>
          </w:tcPr>
          <w:p w14:paraId="20794029">
            <w:pPr>
              <w:rPr>
                <w:rFonts w:ascii="Arial"/>
                <w:color w:val="auto"/>
                <w:sz w:val="21"/>
                <w:highlight w:val="none"/>
              </w:rPr>
            </w:pPr>
          </w:p>
        </w:tc>
        <w:tc>
          <w:tcPr>
            <w:tcW w:w="1009" w:type="dxa"/>
            <w:tcBorders>
              <w:bottom w:val="single" w:color="000000" w:sz="6" w:space="0"/>
              <w:right w:val="single" w:color="000000" w:sz="6" w:space="0"/>
            </w:tcBorders>
            <w:vAlign w:val="top"/>
          </w:tcPr>
          <w:p w14:paraId="7C437C2B">
            <w:pPr>
              <w:rPr>
                <w:rFonts w:ascii="Arial"/>
                <w:color w:val="auto"/>
                <w:sz w:val="21"/>
                <w:highlight w:val="none"/>
              </w:rPr>
            </w:pPr>
          </w:p>
        </w:tc>
      </w:tr>
    </w:tbl>
    <w:p w14:paraId="254CD673">
      <w:pPr>
        <w:spacing w:before="30" w:line="211" w:lineRule="auto"/>
        <w:ind w:left="81"/>
        <w:rPr>
          <w:rFonts w:ascii="宋体" w:hAnsi="宋体" w:eastAsia="宋体" w:cs="宋体"/>
          <w:color w:val="auto"/>
          <w:sz w:val="22"/>
          <w:szCs w:val="22"/>
          <w:highlight w:val="none"/>
        </w:rPr>
      </w:pPr>
      <w:r>
        <w:rPr>
          <w:rFonts w:ascii="宋体" w:hAnsi="宋体" w:eastAsia="宋体" w:cs="宋体"/>
          <w:i/>
          <w:iCs/>
          <w:color w:val="auto"/>
          <w:spacing w:val="-14"/>
          <w:sz w:val="22"/>
          <w:szCs w:val="22"/>
          <w:highlight w:val="none"/>
        </w:rPr>
        <w:t>注：无零星工作项目的，本表删除。</w:t>
      </w:r>
    </w:p>
    <w:p w14:paraId="20E6CBC5">
      <w:pPr>
        <w:spacing w:line="211" w:lineRule="auto"/>
        <w:rPr>
          <w:rFonts w:ascii="宋体" w:hAnsi="宋体" w:eastAsia="宋体" w:cs="宋体"/>
          <w:color w:val="auto"/>
          <w:sz w:val="22"/>
          <w:szCs w:val="22"/>
          <w:highlight w:val="none"/>
        </w:rPr>
        <w:sectPr>
          <w:footerReference r:id="rId98" w:type="default"/>
          <w:pgSz w:w="11907" w:h="16841"/>
          <w:pgMar w:top="1428" w:right="1293" w:bottom="1254" w:left="1588" w:header="0" w:footer="1093" w:gutter="0"/>
          <w:pgNumType w:fmt="decimal"/>
          <w:cols w:space="720" w:num="1"/>
        </w:sectPr>
      </w:pPr>
    </w:p>
    <w:p w14:paraId="410E18CE">
      <w:pPr>
        <w:spacing w:before="48" w:line="218" w:lineRule="auto"/>
        <w:ind w:left="3199"/>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招标人供应材料价格表</w:t>
      </w:r>
    </w:p>
    <w:p w14:paraId="78129783">
      <w:pPr>
        <w:spacing w:before="177" w:line="221" w:lineRule="auto"/>
        <w:ind w:left="11"/>
        <w:rPr>
          <w:rFonts w:ascii="宋体" w:hAnsi="宋体" w:eastAsia="宋体" w:cs="宋体"/>
          <w:color w:val="auto"/>
          <w:sz w:val="21"/>
          <w:szCs w:val="21"/>
          <w:highlight w:val="none"/>
        </w:rPr>
      </w:pPr>
      <w:r>
        <w:rPr>
          <w:rFonts w:ascii="宋体" w:hAnsi="宋体" w:eastAsia="宋体" w:cs="宋体"/>
          <w:color w:val="auto"/>
          <w:sz w:val="21"/>
          <w:szCs w:val="21"/>
          <w:highlight w:val="none"/>
        </w:rPr>
        <w:t>项目及标段名称：</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第</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页共</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w:t>
      </w:r>
    </w:p>
    <w:p w14:paraId="5E81212A">
      <w:pPr>
        <w:spacing w:line="127" w:lineRule="exact"/>
        <w:rPr>
          <w:color w:val="auto"/>
          <w:highlight w:val="none"/>
        </w:rPr>
      </w:pPr>
    </w:p>
    <w:tbl>
      <w:tblPr>
        <w:tblStyle w:val="16"/>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94"/>
        <w:gridCol w:w="1577"/>
        <w:gridCol w:w="1193"/>
        <w:gridCol w:w="1473"/>
        <w:gridCol w:w="1557"/>
        <w:gridCol w:w="987"/>
      </w:tblGrid>
      <w:tr w14:paraId="0269B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827" w:type="dxa"/>
            <w:tcBorders>
              <w:top w:val="single" w:color="000000" w:sz="6" w:space="0"/>
              <w:left w:val="single" w:color="000000" w:sz="6" w:space="0"/>
            </w:tcBorders>
            <w:vAlign w:val="top"/>
          </w:tcPr>
          <w:p w14:paraId="114227E2">
            <w:pPr>
              <w:pStyle w:val="17"/>
              <w:spacing w:before="221" w:line="222" w:lineRule="auto"/>
              <w:ind w:left="198"/>
              <w:rPr>
                <w:color w:val="auto"/>
                <w:sz w:val="21"/>
                <w:szCs w:val="21"/>
                <w:highlight w:val="none"/>
              </w:rPr>
            </w:pPr>
            <w:r>
              <w:rPr>
                <w:color w:val="auto"/>
                <w:spacing w:val="-2"/>
                <w:sz w:val="21"/>
                <w:szCs w:val="21"/>
                <w:highlight w:val="none"/>
              </w:rPr>
              <w:t>序号</w:t>
            </w:r>
          </w:p>
        </w:tc>
        <w:tc>
          <w:tcPr>
            <w:tcW w:w="1394" w:type="dxa"/>
            <w:tcBorders>
              <w:top w:val="single" w:color="000000" w:sz="6" w:space="0"/>
            </w:tcBorders>
            <w:vAlign w:val="top"/>
          </w:tcPr>
          <w:p w14:paraId="6DE31710">
            <w:pPr>
              <w:pStyle w:val="17"/>
              <w:spacing w:before="220" w:line="220" w:lineRule="auto"/>
              <w:ind w:left="275"/>
              <w:rPr>
                <w:color w:val="auto"/>
                <w:sz w:val="21"/>
                <w:szCs w:val="21"/>
                <w:highlight w:val="none"/>
              </w:rPr>
            </w:pPr>
            <w:r>
              <w:rPr>
                <w:color w:val="auto"/>
                <w:spacing w:val="-2"/>
                <w:sz w:val="21"/>
                <w:szCs w:val="21"/>
                <w:highlight w:val="none"/>
              </w:rPr>
              <w:t>材料名称</w:t>
            </w:r>
          </w:p>
        </w:tc>
        <w:tc>
          <w:tcPr>
            <w:tcW w:w="1577" w:type="dxa"/>
            <w:tcBorders>
              <w:top w:val="single" w:color="000000" w:sz="6" w:space="0"/>
            </w:tcBorders>
            <w:vAlign w:val="top"/>
          </w:tcPr>
          <w:p w14:paraId="0EF384F4">
            <w:pPr>
              <w:pStyle w:val="17"/>
              <w:spacing w:before="220" w:line="221" w:lineRule="auto"/>
              <w:ind w:left="372"/>
              <w:rPr>
                <w:color w:val="auto"/>
                <w:sz w:val="21"/>
                <w:szCs w:val="21"/>
                <w:highlight w:val="none"/>
              </w:rPr>
            </w:pPr>
            <w:r>
              <w:rPr>
                <w:color w:val="auto"/>
                <w:spacing w:val="-2"/>
                <w:sz w:val="21"/>
                <w:szCs w:val="21"/>
                <w:highlight w:val="none"/>
              </w:rPr>
              <w:t>规格型号</w:t>
            </w:r>
          </w:p>
        </w:tc>
        <w:tc>
          <w:tcPr>
            <w:tcW w:w="1193" w:type="dxa"/>
            <w:tcBorders>
              <w:top w:val="single" w:color="000000" w:sz="6" w:space="0"/>
            </w:tcBorders>
            <w:vAlign w:val="top"/>
          </w:tcPr>
          <w:p w14:paraId="6C616DAA">
            <w:pPr>
              <w:pStyle w:val="17"/>
              <w:spacing w:before="221" w:line="221" w:lineRule="auto"/>
              <w:ind w:left="181"/>
              <w:rPr>
                <w:color w:val="auto"/>
                <w:sz w:val="21"/>
                <w:szCs w:val="21"/>
                <w:highlight w:val="none"/>
              </w:rPr>
            </w:pPr>
            <w:r>
              <w:rPr>
                <w:color w:val="auto"/>
                <w:spacing w:val="-2"/>
                <w:sz w:val="21"/>
                <w:szCs w:val="21"/>
                <w:highlight w:val="none"/>
              </w:rPr>
              <w:t>计量单位</w:t>
            </w:r>
          </w:p>
        </w:tc>
        <w:tc>
          <w:tcPr>
            <w:tcW w:w="1473" w:type="dxa"/>
            <w:tcBorders>
              <w:top w:val="single" w:color="000000" w:sz="6" w:space="0"/>
            </w:tcBorders>
            <w:vAlign w:val="top"/>
          </w:tcPr>
          <w:p w14:paraId="6B7F95D2">
            <w:pPr>
              <w:pStyle w:val="17"/>
              <w:spacing w:before="221" w:line="219" w:lineRule="auto"/>
              <w:ind w:left="114"/>
              <w:rPr>
                <w:color w:val="auto"/>
                <w:sz w:val="21"/>
                <w:szCs w:val="21"/>
                <w:highlight w:val="none"/>
              </w:rPr>
            </w:pPr>
            <w:r>
              <w:rPr>
                <w:color w:val="auto"/>
                <w:spacing w:val="-3"/>
                <w:sz w:val="21"/>
                <w:szCs w:val="21"/>
                <w:highlight w:val="none"/>
              </w:rPr>
              <w:t>供应价（元）</w:t>
            </w:r>
          </w:p>
        </w:tc>
        <w:tc>
          <w:tcPr>
            <w:tcW w:w="1557" w:type="dxa"/>
            <w:tcBorders>
              <w:top w:val="single" w:color="000000" w:sz="6" w:space="0"/>
            </w:tcBorders>
            <w:vAlign w:val="top"/>
          </w:tcPr>
          <w:p w14:paraId="61343B86">
            <w:pPr>
              <w:pStyle w:val="17"/>
              <w:spacing w:before="220" w:line="220" w:lineRule="auto"/>
              <w:ind w:left="367"/>
              <w:rPr>
                <w:color w:val="auto"/>
                <w:sz w:val="21"/>
                <w:szCs w:val="21"/>
                <w:highlight w:val="none"/>
              </w:rPr>
            </w:pPr>
            <w:r>
              <w:rPr>
                <w:color w:val="auto"/>
                <w:spacing w:val="-2"/>
                <w:sz w:val="21"/>
                <w:szCs w:val="21"/>
                <w:highlight w:val="none"/>
              </w:rPr>
              <w:t>供应条件</w:t>
            </w:r>
          </w:p>
        </w:tc>
        <w:tc>
          <w:tcPr>
            <w:tcW w:w="987" w:type="dxa"/>
            <w:tcBorders>
              <w:top w:val="single" w:color="000000" w:sz="6" w:space="0"/>
              <w:right w:val="single" w:color="000000" w:sz="6" w:space="0"/>
            </w:tcBorders>
            <w:vAlign w:val="top"/>
          </w:tcPr>
          <w:p w14:paraId="52618B2F">
            <w:pPr>
              <w:pStyle w:val="17"/>
              <w:spacing w:before="221" w:line="222" w:lineRule="auto"/>
              <w:ind w:left="290"/>
              <w:rPr>
                <w:color w:val="auto"/>
                <w:sz w:val="21"/>
                <w:szCs w:val="21"/>
                <w:highlight w:val="none"/>
              </w:rPr>
            </w:pPr>
            <w:r>
              <w:rPr>
                <w:color w:val="auto"/>
                <w:spacing w:val="-3"/>
                <w:sz w:val="21"/>
                <w:szCs w:val="21"/>
                <w:highlight w:val="none"/>
              </w:rPr>
              <w:t>备注</w:t>
            </w:r>
          </w:p>
        </w:tc>
      </w:tr>
      <w:tr w14:paraId="5906A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28D02547">
            <w:pPr>
              <w:rPr>
                <w:rFonts w:ascii="Arial"/>
                <w:color w:val="auto"/>
                <w:sz w:val="21"/>
                <w:highlight w:val="none"/>
              </w:rPr>
            </w:pPr>
          </w:p>
        </w:tc>
        <w:tc>
          <w:tcPr>
            <w:tcW w:w="1394" w:type="dxa"/>
            <w:vAlign w:val="top"/>
          </w:tcPr>
          <w:p w14:paraId="46FE87BD">
            <w:pPr>
              <w:rPr>
                <w:rFonts w:ascii="Arial"/>
                <w:color w:val="auto"/>
                <w:sz w:val="21"/>
                <w:highlight w:val="none"/>
              </w:rPr>
            </w:pPr>
          </w:p>
        </w:tc>
        <w:tc>
          <w:tcPr>
            <w:tcW w:w="1577" w:type="dxa"/>
            <w:vAlign w:val="top"/>
          </w:tcPr>
          <w:p w14:paraId="508215C0">
            <w:pPr>
              <w:rPr>
                <w:rFonts w:ascii="Arial"/>
                <w:color w:val="auto"/>
                <w:sz w:val="21"/>
                <w:highlight w:val="none"/>
              </w:rPr>
            </w:pPr>
          </w:p>
        </w:tc>
        <w:tc>
          <w:tcPr>
            <w:tcW w:w="1193" w:type="dxa"/>
            <w:vAlign w:val="top"/>
          </w:tcPr>
          <w:p w14:paraId="33FCB8D1">
            <w:pPr>
              <w:rPr>
                <w:rFonts w:ascii="Arial"/>
                <w:color w:val="auto"/>
                <w:sz w:val="21"/>
                <w:highlight w:val="none"/>
              </w:rPr>
            </w:pPr>
          </w:p>
        </w:tc>
        <w:tc>
          <w:tcPr>
            <w:tcW w:w="1473" w:type="dxa"/>
            <w:vAlign w:val="top"/>
          </w:tcPr>
          <w:p w14:paraId="743BB598">
            <w:pPr>
              <w:rPr>
                <w:rFonts w:ascii="Arial"/>
                <w:color w:val="auto"/>
                <w:sz w:val="21"/>
                <w:highlight w:val="none"/>
              </w:rPr>
            </w:pPr>
          </w:p>
        </w:tc>
        <w:tc>
          <w:tcPr>
            <w:tcW w:w="1557" w:type="dxa"/>
            <w:vAlign w:val="top"/>
          </w:tcPr>
          <w:p w14:paraId="18AB007F">
            <w:pPr>
              <w:rPr>
                <w:rFonts w:ascii="Arial"/>
                <w:color w:val="auto"/>
                <w:sz w:val="21"/>
                <w:highlight w:val="none"/>
              </w:rPr>
            </w:pPr>
          </w:p>
        </w:tc>
        <w:tc>
          <w:tcPr>
            <w:tcW w:w="987" w:type="dxa"/>
            <w:tcBorders>
              <w:right w:val="single" w:color="000000" w:sz="6" w:space="0"/>
            </w:tcBorders>
            <w:vAlign w:val="top"/>
          </w:tcPr>
          <w:p w14:paraId="5EAAB91E">
            <w:pPr>
              <w:rPr>
                <w:rFonts w:ascii="Arial"/>
                <w:color w:val="auto"/>
                <w:sz w:val="21"/>
                <w:highlight w:val="none"/>
              </w:rPr>
            </w:pPr>
          </w:p>
        </w:tc>
      </w:tr>
      <w:tr w14:paraId="65A15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782F5E25">
            <w:pPr>
              <w:rPr>
                <w:rFonts w:ascii="Arial"/>
                <w:color w:val="auto"/>
                <w:sz w:val="21"/>
                <w:highlight w:val="none"/>
              </w:rPr>
            </w:pPr>
          </w:p>
        </w:tc>
        <w:tc>
          <w:tcPr>
            <w:tcW w:w="1394" w:type="dxa"/>
            <w:vAlign w:val="top"/>
          </w:tcPr>
          <w:p w14:paraId="2EFA2DFA">
            <w:pPr>
              <w:rPr>
                <w:rFonts w:ascii="Arial"/>
                <w:color w:val="auto"/>
                <w:sz w:val="21"/>
                <w:highlight w:val="none"/>
              </w:rPr>
            </w:pPr>
          </w:p>
        </w:tc>
        <w:tc>
          <w:tcPr>
            <w:tcW w:w="1577" w:type="dxa"/>
            <w:vAlign w:val="top"/>
          </w:tcPr>
          <w:p w14:paraId="140318F1">
            <w:pPr>
              <w:rPr>
                <w:rFonts w:ascii="Arial"/>
                <w:color w:val="auto"/>
                <w:sz w:val="21"/>
                <w:highlight w:val="none"/>
              </w:rPr>
            </w:pPr>
          </w:p>
        </w:tc>
        <w:tc>
          <w:tcPr>
            <w:tcW w:w="1193" w:type="dxa"/>
            <w:vAlign w:val="top"/>
          </w:tcPr>
          <w:p w14:paraId="3E5BB497">
            <w:pPr>
              <w:rPr>
                <w:rFonts w:ascii="Arial"/>
                <w:color w:val="auto"/>
                <w:sz w:val="21"/>
                <w:highlight w:val="none"/>
              </w:rPr>
            </w:pPr>
          </w:p>
        </w:tc>
        <w:tc>
          <w:tcPr>
            <w:tcW w:w="1473" w:type="dxa"/>
            <w:vAlign w:val="top"/>
          </w:tcPr>
          <w:p w14:paraId="63720B96">
            <w:pPr>
              <w:rPr>
                <w:rFonts w:ascii="Arial"/>
                <w:color w:val="auto"/>
                <w:sz w:val="21"/>
                <w:highlight w:val="none"/>
              </w:rPr>
            </w:pPr>
          </w:p>
        </w:tc>
        <w:tc>
          <w:tcPr>
            <w:tcW w:w="1557" w:type="dxa"/>
            <w:vAlign w:val="top"/>
          </w:tcPr>
          <w:p w14:paraId="485F2B49">
            <w:pPr>
              <w:rPr>
                <w:rFonts w:ascii="Arial"/>
                <w:color w:val="auto"/>
                <w:sz w:val="21"/>
                <w:highlight w:val="none"/>
              </w:rPr>
            </w:pPr>
          </w:p>
        </w:tc>
        <w:tc>
          <w:tcPr>
            <w:tcW w:w="987" w:type="dxa"/>
            <w:tcBorders>
              <w:right w:val="single" w:color="000000" w:sz="6" w:space="0"/>
            </w:tcBorders>
            <w:vAlign w:val="top"/>
          </w:tcPr>
          <w:p w14:paraId="3F7A7D84">
            <w:pPr>
              <w:rPr>
                <w:rFonts w:ascii="Arial"/>
                <w:color w:val="auto"/>
                <w:sz w:val="21"/>
                <w:highlight w:val="none"/>
              </w:rPr>
            </w:pPr>
          </w:p>
        </w:tc>
      </w:tr>
      <w:tr w14:paraId="2CA89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63039254">
            <w:pPr>
              <w:rPr>
                <w:rFonts w:ascii="Arial"/>
                <w:color w:val="auto"/>
                <w:sz w:val="21"/>
                <w:highlight w:val="none"/>
              </w:rPr>
            </w:pPr>
          </w:p>
        </w:tc>
        <w:tc>
          <w:tcPr>
            <w:tcW w:w="1394" w:type="dxa"/>
            <w:vAlign w:val="top"/>
          </w:tcPr>
          <w:p w14:paraId="7C7032D5">
            <w:pPr>
              <w:rPr>
                <w:rFonts w:ascii="Arial"/>
                <w:color w:val="auto"/>
                <w:sz w:val="21"/>
                <w:highlight w:val="none"/>
              </w:rPr>
            </w:pPr>
          </w:p>
        </w:tc>
        <w:tc>
          <w:tcPr>
            <w:tcW w:w="1577" w:type="dxa"/>
            <w:vAlign w:val="top"/>
          </w:tcPr>
          <w:p w14:paraId="7F3C6CA5">
            <w:pPr>
              <w:rPr>
                <w:rFonts w:ascii="Arial"/>
                <w:color w:val="auto"/>
                <w:sz w:val="21"/>
                <w:highlight w:val="none"/>
              </w:rPr>
            </w:pPr>
          </w:p>
        </w:tc>
        <w:tc>
          <w:tcPr>
            <w:tcW w:w="1193" w:type="dxa"/>
            <w:vAlign w:val="top"/>
          </w:tcPr>
          <w:p w14:paraId="496AA5F7">
            <w:pPr>
              <w:rPr>
                <w:rFonts w:ascii="Arial"/>
                <w:color w:val="auto"/>
                <w:sz w:val="21"/>
                <w:highlight w:val="none"/>
              </w:rPr>
            </w:pPr>
          </w:p>
        </w:tc>
        <w:tc>
          <w:tcPr>
            <w:tcW w:w="1473" w:type="dxa"/>
            <w:vAlign w:val="top"/>
          </w:tcPr>
          <w:p w14:paraId="2508ABC9">
            <w:pPr>
              <w:rPr>
                <w:rFonts w:ascii="Arial"/>
                <w:color w:val="auto"/>
                <w:sz w:val="21"/>
                <w:highlight w:val="none"/>
              </w:rPr>
            </w:pPr>
          </w:p>
        </w:tc>
        <w:tc>
          <w:tcPr>
            <w:tcW w:w="1557" w:type="dxa"/>
            <w:vAlign w:val="top"/>
          </w:tcPr>
          <w:p w14:paraId="653A4ED7">
            <w:pPr>
              <w:rPr>
                <w:rFonts w:ascii="Arial"/>
                <w:color w:val="auto"/>
                <w:sz w:val="21"/>
                <w:highlight w:val="none"/>
              </w:rPr>
            </w:pPr>
          </w:p>
        </w:tc>
        <w:tc>
          <w:tcPr>
            <w:tcW w:w="987" w:type="dxa"/>
            <w:tcBorders>
              <w:right w:val="single" w:color="000000" w:sz="6" w:space="0"/>
            </w:tcBorders>
            <w:vAlign w:val="top"/>
          </w:tcPr>
          <w:p w14:paraId="03BA71F0">
            <w:pPr>
              <w:rPr>
                <w:rFonts w:ascii="Arial"/>
                <w:color w:val="auto"/>
                <w:sz w:val="21"/>
                <w:highlight w:val="none"/>
              </w:rPr>
            </w:pPr>
          </w:p>
        </w:tc>
      </w:tr>
      <w:tr w14:paraId="50CC1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7" w:type="dxa"/>
            <w:tcBorders>
              <w:left w:val="single" w:color="000000" w:sz="6" w:space="0"/>
            </w:tcBorders>
            <w:vAlign w:val="top"/>
          </w:tcPr>
          <w:p w14:paraId="3C4DD01E">
            <w:pPr>
              <w:rPr>
                <w:rFonts w:ascii="Arial"/>
                <w:color w:val="auto"/>
                <w:sz w:val="21"/>
                <w:highlight w:val="none"/>
              </w:rPr>
            </w:pPr>
          </w:p>
        </w:tc>
        <w:tc>
          <w:tcPr>
            <w:tcW w:w="1394" w:type="dxa"/>
            <w:vAlign w:val="top"/>
          </w:tcPr>
          <w:p w14:paraId="1775EB1F">
            <w:pPr>
              <w:rPr>
                <w:rFonts w:ascii="Arial"/>
                <w:color w:val="auto"/>
                <w:sz w:val="21"/>
                <w:highlight w:val="none"/>
              </w:rPr>
            </w:pPr>
          </w:p>
        </w:tc>
        <w:tc>
          <w:tcPr>
            <w:tcW w:w="1577" w:type="dxa"/>
            <w:vAlign w:val="top"/>
          </w:tcPr>
          <w:p w14:paraId="2452DDC5">
            <w:pPr>
              <w:rPr>
                <w:rFonts w:ascii="Arial"/>
                <w:color w:val="auto"/>
                <w:sz w:val="21"/>
                <w:highlight w:val="none"/>
              </w:rPr>
            </w:pPr>
          </w:p>
        </w:tc>
        <w:tc>
          <w:tcPr>
            <w:tcW w:w="1193" w:type="dxa"/>
            <w:vAlign w:val="top"/>
          </w:tcPr>
          <w:p w14:paraId="68558984">
            <w:pPr>
              <w:rPr>
                <w:rFonts w:ascii="Arial"/>
                <w:color w:val="auto"/>
                <w:sz w:val="21"/>
                <w:highlight w:val="none"/>
              </w:rPr>
            </w:pPr>
          </w:p>
        </w:tc>
        <w:tc>
          <w:tcPr>
            <w:tcW w:w="1473" w:type="dxa"/>
            <w:vAlign w:val="top"/>
          </w:tcPr>
          <w:p w14:paraId="43FA3565">
            <w:pPr>
              <w:rPr>
                <w:rFonts w:ascii="Arial"/>
                <w:color w:val="auto"/>
                <w:sz w:val="21"/>
                <w:highlight w:val="none"/>
              </w:rPr>
            </w:pPr>
          </w:p>
        </w:tc>
        <w:tc>
          <w:tcPr>
            <w:tcW w:w="1557" w:type="dxa"/>
            <w:vAlign w:val="top"/>
          </w:tcPr>
          <w:p w14:paraId="15C725D0">
            <w:pPr>
              <w:rPr>
                <w:rFonts w:ascii="Arial"/>
                <w:color w:val="auto"/>
                <w:sz w:val="21"/>
                <w:highlight w:val="none"/>
              </w:rPr>
            </w:pPr>
          </w:p>
        </w:tc>
        <w:tc>
          <w:tcPr>
            <w:tcW w:w="987" w:type="dxa"/>
            <w:tcBorders>
              <w:right w:val="single" w:color="000000" w:sz="6" w:space="0"/>
            </w:tcBorders>
            <w:vAlign w:val="top"/>
          </w:tcPr>
          <w:p w14:paraId="40D327C8">
            <w:pPr>
              <w:rPr>
                <w:rFonts w:ascii="Arial"/>
                <w:color w:val="auto"/>
                <w:sz w:val="21"/>
                <w:highlight w:val="none"/>
              </w:rPr>
            </w:pPr>
          </w:p>
        </w:tc>
      </w:tr>
      <w:tr w14:paraId="10879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72644A29">
            <w:pPr>
              <w:rPr>
                <w:rFonts w:ascii="Arial"/>
                <w:color w:val="auto"/>
                <w:sz w:val="21"/>
                <w:highlight w:val="none"/>
              </w:rPr>
            </w:pPr>
          </w:p>
        </w:tc>
        <w:tc>
          <w:tcPr>
            <w:tcW w:w="1394" w:type="dxa"/>
            <w:vAlign w:val="top"/>
          </w:tcPr>
          <w:p w14:paraId="326F360D">
            <w:pPr>
              <w:rPr>
                <w:rFonts w:ascii="Arial"/>
                <w:color w:val="auto"/>
                <w:sz w:val="21"/>
                <w:highlight w:val="none"/>
              </w:rPr>
            </w:pPr>
          </w:p>
        </w:tc>
        <w:tc>
          <w:tcPr>
            <w:tcW w:w="1577" w:type="dxa"/>
            <w:vAlign w:val="top"/>
          </w:tcPr>
          <w:p w14:paraId="449AFC4A">
            <w:pPr>
              <w:rPr>
                <w:rFonts w:ascii="Arial"/>
                <w:color w:val="auto"/>
                <w:sz w:val="21"/>
                <w:highlight w:val="none"/>
              </w:rPr>
            </w:pPr>
          </w:p>
        </w:tc>
        <w:tc>
          <w:tcPr>
            <w:tcW w:w="1193" w:type="dxa"/>
            <w:vAlign w:val="top"/>
          </w:tcPr>
          <w:p w14:paraId="2AF46463">
            <w:pPr>
              <w:rPr>
                <w:rFonts w:ascii="Arial"/>
                <w:color w:val="auto"/>
                <w:sz w:val="21"/>
                <w:highlight w:val="none"/>
              </w:rPr>
            </w:pPr>
          </w:p>
        </w:tc>
        <w:tc>
          <w:tcPr>
            <w:tcW w:w="1473" w:type="dxa"/>
            <w:vAlign w:val="top"/>
          </w:tcPr>
          <w:p w14:paraId="6E6B8298">
            <w:pPr>
              <w:rPr>
                <w:rFonts w:ascii="Arial"/>
                <w:color w:val="auto"/>
                <w:sz w:val="21"/>
                <w:highlight w:val="none"/>
              </w:rPr>
            </w:pPr>
          </w:p>
        </w:tc>
        <w:tc>
          <w:tcPr>
            <w:tcW w:w="1557" w:type="dxa"/>
            <w:vAlign w:val="top"/>
          </w:tcPr>
          <w:p w14:paraId="7DC90E26">
            <w:pPr>
              <w:rPr>
                <w:rFonts w:ascii="Arial"/>
                <w:color w:val="auto"/>
                <w:sz w:val="21"/>
                <w:highlight w:val="none"/>
              </w:rPr>
            </w:pPr>
          </w:p>
        </w:tc>
        <w:tc>
          <w:tcPr>
            <w:tcW w:w="987" w:type="dxa"/>
            <w:tcBorders>
              <w:right w:val="single" w:color="000000" w:sz="6" w:space="0"/>
            </w:tcBorders>
            <w:vAlign w:val="top"/>
          </w:tcPr>
          <w:p w14:paraId="4E69EA9A">
            <w:pPr>
              <w:rPr>
                <w:rFonts w:ascii="Arial"/>
                <w:color w:val="auto"/>
                <w:sz w:val="21"/>
                <w:highlight w:val="none"/>
              </w:rPr>
            </w:pPr>
          </w:p>
        </w:tc>
      </w:tr>
      <w:tr w14:paraId="03FBD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7CBE44BC">
            <w:pPr>
              <w:rPr>
                <w:rFonts w:ascii="Arial"/>
                <w:color w:val="auto"/>
                <w:sz w:val="21"/>
                <w:highlight w:val="none"/>
              </w:rPr>
            </w:pPr>
          </w:p>
        </w:tc>
        <w:tc>
          <w:tcPr>
            <w:tcW w:w="1394" w:type="dxa"/>
            <w:vAlign w:val="top"/>
          </w:tcPr>
          <w:p w14:paraId="43BF4883">
            <w:pPr>
              <w:rPr>
                <w:rFonts w:ascii="Arial"/>
                <w:color w:val="auto"/>
                <w:sz w:val="21"/>
                <w:highlight w:val="none"/>
              </w:rPr>
            </w:pPr>
          </w:p>
        </w:tc>
        <w:tc>
          <w:tcPr>
            <w:tcW w:w="1577" w:type="dxa"/>
            <w:vAlign w:val="top"/>
          </w:tcPr>
          <w:p w14:paraId="4E37EA9B">
            <w:pPr>
              <w:rPr>
                <w:rFonts w:ascii="Arial"/>
                <w:color w:val="auto"/>
                <w:sz w:val="21"/>
                <w:highlight w:val="none"/>
              </w:rPr>
            </w:pPr>
          </w:p>
        </w:tc>
        <w:tc>
          <w:tcPr>
            <w:tcW w:w="1193" w:type="dxa"/>
            <w:vAlign w:val="top"/>
          </w:tcPr>
          <w:p w14:paraId="1675AB2C">
            <w:pPr>
              <w:rPr>
                <w:rFonts w:ascii="Arial"/>
                <w:color w:val="auto"/>
                <w:sz w:val="21"/>
                <w:highlight w:val="none"/>
              </w:rPr>
            </w:pPr>
          </w:p>
        </w:tc>
        <w:tc>
          <w:tcPr>
            <w:tcW w:w="1473" w:type="dxa"/>
            <w:vAlign w:val="top"/>
          </w:tcPr>
          <w:p w14:paraId="31CC3C88">
            <w:pPr>
              <w:rPr>
                <w:rFonts w:ascii="Arial"/>
                <w:color w:val="auto"/>
                <w:sz w:val="21"/>
                <w:highlight w:val="none"/>
              </w:rPr>
            </w:pPr>
          </w:p>
        </w:tc>
        <w:tc>
          <w:tcPr>
            <w:tcW w:w="1557" w:type="dxa"/>
            <w:vAlign w:val="top"/>
          </w:tcPr>
          <w:p w14:paraId="5B8EFFA1">
            <w:pPr>
              <w:rPr>
                <w:rFonts w:ascii="Arial"/>
                <w:color w:val="auto"/>
                <w:sz w:val="21"/>
                <w:highlight w:val="none"/>
              </w:rPr>
            </w:pPr>
          </w:p>
        </w:tc>
        <w:tc>
          <w:tcPr>
            <w:tcW w:w="987" w:type="dxa"/>
            <w:tcBorders>
              <w:right w:val="single" w:color="000000" w:sz="6" w:space="0"/>
            </w:tcBorders>
            <w:vAlign w:val="top"/>
          </w:tcPr>
          <w:p w14:paraId="54F4D177">
            <w:pPr>
              <w:rPr>
                <w:rFonts w:ascii="Arial"/>
                <w:color w:val="auto"/>
                <w:sz w:val="21"/>
                <w:highlight w:val="none"/>
              </w:rPr>
            </w:pPr>
          </w:p>
        </w:tc>
      </w:tr>
      <w:tr w14:paraId="1225D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747EE2F4">
            <w:pPr>
              <w:rPr>
                <w:rFonts w:ascii="Arial"/>
                <w:color w:val="auto"/>
                <w:sz w:val="21"/>
                <w:highlight w:val="none"/>
              </w:rPr>
            </w:pPr>
          </w:p>
        </w:tc>
        <w:tc>
          <w:tcPr>
            <w:tcW w:w="1394" w:type="dxa"/>
            <w:vAlign w:val="top"/>
          </w:tcPr>
          <w:p w14:paraId="59CC725F">
            <w:pPr>
              <w:rPr>
                <w:rFonts w:ascii="Arial"/>
                <w:color w:val="auto"/>
                <w:sz w:val="21"/>
                <w:highlight w:val="none"/>
              </w:rPr>
            </w:pPr>
          </w:p>
        </w:tc>
        <w:tc>
          <w:tcPr>
            <w:tcW w:w="1577" w:type="dxa"/>
            <w:vAlign w:val="top"/>
          </w:tcPr>
          <w:p w14:paraId="36234CA1">
            <w:pPr>
              <w:rPr>
                <w:rFonts w:ascii="Arial"/>
                <w:color w:val="auto"/>
                <w:sz w:val="21"/>
                <w:highlight w:val="none"/>
              </w:rPr>
            </w:pPr>
          </w:p>
        </w:tc>
        <w:tc>
          <w:tcPr>
            <w:tcW w:w="1193" w:type="dxa"/>
            <w:vAlign w:val="top"/>
          </w:tcPr>
          <w:p w14:paraId="5EC025AA">
            <w:pPr>
              <w:rPr>
                <w:rFonts w:ascii="Arial"/>
                <w:color w:val="auto"/>
                <w:sz w:val="21"/>
                <w:highlight w:val="none"/>
              </w:rPr>
            </w:pPr>
          </w:p>
        </w:tc>
        <w:tc>
          <w:tcPr>
            <w:tcW w:w="1473" w:type="dxa"/>
            <w:vAlign w:val="top"/>
          </w:tcPr>
          <w:p w14:paraId="613FEA03">
            <w:pPr>
              <w:rPr>
                <w:rFonts w:ascii="Arial"/>
                <w:color w:val="auto"/>
                <w:sz w:val="21"/>
                <w:highlight w:val="none"/>
              </w:rPr>
            </w:pPr>
          </w:p>
        </w:tc>
        <w:tc>
          <w:tcPr>
            <w:tcW w:w="1557" w:type="dxa"/>
            <w:vAlign w:val="top"/>
          </w:tcPr>
          <w:p w14:paraId="77253689">
            <w:pPr>
              <w:rPr>
                <w:rFonts w:ascii="Arial"/>
                <w:color w:val="auto"/>
                <w:sz w:val="21"/>
                <w:highlight w:val="none"/>
              </w:rPr>
            </w:pPr>
          </w:p>
        </w:tc>
        <w:tc>
          <w:tcPr>
            <w:tcW w:w="987" w:type="dxa"/>
            <w:tcBorders>
              <w:right w:val="single" w:color="000000" w:sz="6" w:space="0"/>
            </w:tcBorders>
            <w:vAlign w:val="top"/>
          </w:tcPr>
          <w:p w14:paraId="7B05D157">
            <w:pPr>
              <w:rPr>
                <w:rFonts w:ascii="Arial"/>
                <w:color w:val="auto"/>
                <w:sz w:val="21"/>
                <w:highlight w:val="none"/>
              </w:rPr>
            </w:pPr>
          </w:p>
        </w:tc>
      </w:tr>
      <w:tr w14:paraId="2243F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316F50CE">
            <w:pPr>
              <w:rPr>
                <w:rFonts w:ascii="Arial"/>
                <w:color w:val="auto"/>
                <w:sz w:val="21"/>
                <w:highlight w:val="none"/>
              </w:rPr>
            </w:pPr>
          </w:p>
        </w:tc>
        <w:tc>
          <w:tcPr>
            <w:tcW w:w="1394" w:type="dxa"/>
            <w:vAlign w:val="top"/>
          </w:tcPr>
          <w:p w14:paraId="18D5A747">
            <w:pPr>
              <w:rPr>
                <w:rFonts w:ascii="Arial"/>
                <w:color w:val="auto"/>
                <w:sz w:val="21"/>
                <w:highlight w:val="none"/>
              </w:rPr>
            </w:pPr>
          </w:p>
        </w:tc>
        <w:tc>
          <w:tcPr>
            <w:tcW w:w="1577" w:type="dxa"/>
            <w:vAlign w:val="top"/>
          </w:tcPr>
          <w:p w14:paraId="4E4151B1">
            <w:pPr>
              <w:rPr>
                <w:rFonts w:ascii="Arial"/>
                <w:color w:val="auto"/>
                <w:sz w:val="21"/>
                <w:highlight w:val="none"/>
              </w:rPr>
            </w:pPr>
          </w:p>
        </w:tc>
        <w:tc>
          <w:tcPr>
            <w:tcW w:w="1193" w:type="dxa"/>
            <w:vAlign w:val="top"/>
          </w:tcPr>
          <w:p w14:paraId="49ABA6EC">
            <w:pPr>
              <w:rPr>
                <w:rFonts w:ascii="Arial"/>
                <w:color w:val="auto"/>
                <w:sz w:val="21"/>
                <w:highlight w:val="none"/>
              </w:rPr>
            </w:pPr>
          </w:p>
        </w:tc>
        <w:tc>
          <w:tcPr>
            <w:tcW w:w="1473" w:type="dxa"/>
            <w:vAlign w:val="top"/>
          </w:tcPr>
          <w:p w14:paraId="492F9C99">
            <w:pPr>
              <w:rPr>
                <w:rFonts w:ascii="Arial"/>
                <w:color w:val="auto"/>
                <w:sz w:val="21"/>
                <w:highlight w:val="none"/>
              </w:rPr>
            </w:pPr>
          </w:p>
        </w:tc>
        <w:tc>
          <w:tcPr>
            <w:tcW w:w="1557" w:type="dxa"/>
            <w:vAlign w:val="top"/>
          </w:tcPr>
          <w:p w14:paraId="416CBC58">
            <w:pPr>
              <w:rPr>
                <w:rFonts w:ascii="Arial"/>
                <w:color w:val="auto"/>
                <w:sz w:val="21"/>
                <w:highlight w:val="none"/>
              </w:rPr>
            </w:pPr>
          </w:p>
        </w:tc>
        <w:tc>
          <w:tcPr>
            <w:tcW w:w="987" w:type="dxa"/>
            <w:tcBorders>
              <w:right w:val="single" w:color="000000" w:sz="6" w:space="0"/>
            </w:tcBorders>
            <w:vAlign w:val="top"/>
          </w:tcPr>
          <w:p w14:paraId="46C50F28">
            <w:pPr>
              <w:rPr>
                <w:rFonts w:ascii="Arial"/>
                <w:color w:val="auto"/>
                <w:sz w:val="21"/>
                <w:highlight w:val="none"/>
              </w:rPr>
            </w:pPr>
          </w:p>
        </w:tc>
      </w:tr>
      <w:tr w14:paraId="5DAB5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46696536">
            <w:pPr>
              <w:rPr>
                <w:rFonts w:ascii="Arial"/>
                <w:color w:val="auto"/>
                <w:sz w:val="21"/>
                <w:highlight w:val="none"/>
              </w:rPr>
            </w:pPr>
          </w:p>
        </w:tc>
        <w:tc>
          <w:tcPr>
            <w:tcW w:w="1394" w:type="dxa"/>
            <w:vAlign w:val="top"/>
          </w:tcPr>
          <w:p w14:paraId="0D51101C">
            <w:pPr>
              <w:rPr>
                <w:rFonts w:ascii="Arial"/>
                <w:color w:val="auto"/>
                <w:sz w:val="21"/>
                <w:highlight w:val="none"/>
              </w:rPr>
            </w:pPr>
          </w:p>
        </w:tc>
        <w:tc>
          <w:tcPr>
            <w:tcW w:w="1577" w:type="dxa"/>
            <w:vAlign w:val="top"/>
          </w:tcPr>
          <w:p w14:paraId="36E34C4C">
            <w:pPr>
              <w:rPr>
                <w:rFonts w:ascii="Arial"/>
                <w:color w:val="auto"/>
                <w:sz w:val="21"/>
                <w:highlight w:val="none"/>
              </w:rPr>
            </w:pPr>
          </w:p>
        </w:tc>
        <w:tc>
          <w:tcPr>
            <w:tcW w:w="1193" w:type="dxa"/>
            <w:vAlign w:val="top"/>
          </w:tcPr>
          <w:p w14:paraId="69167038">
            <w:pPr>
              <w:rPr>
                <w:rFonts w:ascii="Arial"/>
                <w:color w:val="auto"/>
                <w:sz w:val="21"/>
                <w:highlight w:val="none"/>
              </w:rPr>
            </w:pPr>
          </w:p>
        </w:tc>
        <w:tc>
          <w:tcPr>
            <w:tcW w:w="1473" w:type="dxa"/>
            <w:vAlign w:val="top"/>
          </w:tcPr>
          <w:p w14:paraId="4D62084C">
            <w:pPr>
              <w:rPr>
                <w:rFonts w:ascii="Arial"/>
                <w:color w:val="auto"/>
                <w:sz w:val="21"/>
                <w:highlight w:val="none"/>
              </w:rPr>
            </w:pPr>
          </w:p>
        </w:tc>
        <w:tc>
          <w:tcPr>
            <w:tcW w:w="1557" w:type="dxa"/>
            <w:vAlign w:val="top"/>
          </w:tcPr>
          <w:p w14:paraId="1C7D70A3">
            <w:pPr>
              <w:rPr>
                <w:rFonts w:ascii="Arial"/>
                <w:color w:val="auto"/>
                <w:sz w:val="21"/>
                <w:highlight w:val="none"/>
              </w:rPr>
            </w:pPr>
          </w:p>
        </w:tc>
        <w:tc>
          <w:tcPr>
            <w:tcW w:w="987" w:type="dxa"/>
            <w:tcBorders>
              <w:right w:val="single" w:color="000000" w:sz="6" w:space="0"/>
            </w:tcBorders>
            <w:vAlign w:val="top"/>
          </w:tcPr>
          <w:p w14:paraId="41ADC6FA">
            <w:pPr>
              <w:rPr>
                <w:rFonts w:ascii="Arial"/>
                <w:color w:val="auto"/>
                <w:sz w:val="21"/>
                <w:highlight w:val="none"/>
              </w:rPr>
            </w:pPr>
          </w:p>
        </w:tc>
      </w:tr>
      <w:tr w14:paraId="72E4B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27" w:type="dxa"/>
            <w:tcBorders>
              <w:left w:val="single" w:color="000000" w:sz="6" w:space="0"/>
            </w:tcBorders>
            <w:vAlign w:val="top"/>
          </w:tcPr>
          <w:p w14:paraId="0ACCCD0C">
            <w:pPr>
              <w:rPr>
                <w:rFonts w:ascii="Arial"/>
                <w:color w:val="auto"/>
                <w:sz w:val="21"/>
                <w:highlight w:val="none"/>
              </w:rPr>
            </w:pPr>
          </w:p>
        </w:tc>
        <w:tc>
          <w:tcPr>
            <w:tcW w:w="1394" w:type="dxa"/>
            <w:vAlign w:val="top"/>
          </w:tcPr>
          <w:p w14:paraId="3660F06D">
            <w:pPr>
              <w:rPr>
                <w:rFonts w:ascii="Arial"/>
                <w:color w:val="auto"/>
                <w:sz w:val="21"/>
                <w:highlight w:val="none"/>
              </w:rPr>
            </w:pPr>
          </w:p>
        </w:tc>
        <w:tc>
          <w:tcPr>
            <w:tcW w:w="1577" w:type="dxa"/>
            <w:vAlign w:val="top"/>
          </w:tcPr>
          <w:p w14:paraId="260CE8DB">
            <w:pPr>
              <w:rPr>
                <w:rFonts w:ascii="Arial"/>
                <w:color w:val="auto"/>
                <w:sz w:val="21"/>
                <w:highlight w:val="none"/>
              </w:rPr>
            </w:pPr>
          </w:p>
        </w:tc>
        <w:tc>
          <w:tcPr>
            <w:tcW w:w="1193" w:type="dxa"/>
            <w:vAlign w:val="top"/>
          </w:tcPr>
          <w:p w14:paraId="30206635">
            <w:pPr>
              <w:rPr>
                <w:rFonts w:ascii="Arial"/>
                <w:color w:val="auto"/>
                <w:sz w:val="21"/>
                <w:highlight w:val="none"/>
              </w:rPr>
            </w:pPr>
          </w:p>
        </w:tc>
        <w:tc>
          <w:tcPr>
            <w:tcW w:w="1473" w:type="dxa"/>
            <w:vAlign w:val="top"/>
          </w:tcPr>
          <w:p w14:paraId="3AE92DE6">
            <w:pPr>
              <w:rPr>
                <w:rFonts w:ascii="Arial"/>
                <w:color w:val="auto"/>
                <w:sz w:val="21"/>
                <w:highlight w:val="none"/>
              </w:rPr>
            </w:pPr>
          </w:p>
        </w:tc>
        <w:tc>
          <w:tcPr>
            <w:tcW w:w="1557" w:type="dxa"/>
            <w:vAlign w:val="top"/>
          </w:tcPr>
          <w:p w14:paraId="47B3131E">
            <w:pPr>
              <w:rPr>
                <w:rFonts w:ascii="Arial"/>
                <w:color w:val="auto"/>
                <w:sz w:val="21"/>
                <w:highlight w:val="none"/>
              </w:rPr>
            </w:pPr>
          </w:p>
        </w:tc>
        <w:tc>
          <w:tcPr>
            <w:tcW w:w="987" w:type="dxa"/>
            <w:tcBorders>
              <w:right w:val="single" w:color="000000" w:sz="6" w:space="0"/>
            </w:tcBorders>
            <w:vAlign w:val="top"/>
          </w:tcPr>
          <w:p w14:paraId="55655E7F">
            <w:pPr>
              <w:rPr>
                <w:rFonts w:ascii="Arial"/>
                <w:color w:val="auto"/>
                <w:sz w:val="21"/>
                <w:highlight w:val="none"/>
              </w:rPr>
            </w:pPr>
          </w:p>
        </w:tc>
      </w:tr>
      <w:tr w14:paraId="4562B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68310DEA">
            <w:pPr>
              <w:rPr>
                <w:rFonts w:ascii="Arial"/>
                <w:color w:val="auto"/>
                <w:sz w:val="21"/>
                <w:highlight w:val="none"/>
              </w:rPr>
            </w:pPr>
          </w:p>
        </w:tc>
        <w:tc>
          <w:tcPr>
            <w:tcW w:w="1394" w:type="dxa"/>
            <w:vAlign w:val="top"/>
          </w:tcPr>
          <w:p w14:paraId="20706744">
            <w:pPr>
              <w:rPr>
                <w:rFonts w:ascii="Arial"/>
                <w:color w:val="auto"/>
                <w:sz w:val="21"/>
                <w:highlight w:val="none"/>
              </w:rPr>
            </w:pPr>
          </w:p>
        </w:tc>
        <w:tc>
          <w:tcPr>
            <w:tcW w:w="1577" w:type="dxa"/>
            <w:vAlign w:val="top"/>
          </w:tcPr>
          <w:p w14:paraId="74FB3CED">
            <w:pPr>
              <w:rPr>
                <w:rFonts w:ascii="Arial"/>
                <w:color w:val="auto"/>
                <w:sz w:val="21"/>
                <w:highlight w:val="none"/>
              </w:rPr>
            </w:pPr>
          </w:p>
        </w:tc>
        <w:tc>
          <w:tcPr>
            <w:tcW w:w="1193" w:type="dxa"/>
            <w:vAlign w:val="top"/>
          </w:tcPr>
          <w:p w14:paraId="33D0DF86">
            <w:pPr>
              <w:rPr>
                <w:rFonts w:ascii="Arial"/>
                <w:color w:val="auto"/>
                <w:sz w:val="21"/>
                <w:highlight w:val="none"/>
              </w:rPr>
            </w:pPr>
          </w:p>
        </w:tc>
        <w:tc>
          <w:tcPr>
            <w:tcW w:w="1473" w:type="dxa"/>
            <w:vAlign w:val="top"/>
          </w:tcPr>
          <w:p w14:paraId="58A92C2D">
            <w:pPr>
              <w:rPr>
                <w:rFonts w:ascii="Arial"/>
                <w:color w:val="auto"/>
                <w:sz w:val="21"/>
                <w:highlight w:val="none"/>
              </w:rPr>
            </w:pPr>
          </w:p>
        </w:tc>
        <w:tc>
          <w:tcPr>
            <w:tcW w:w="1557" w:type="dxa"/>
            <w:vAlign w:val="top"/>
          </w:tcPr>
          <w:p w14:paraId="3731B450">
            <w:pPr>
              <w:rPr>
                <w:rFonts w:ascii="Arial"/>
                <w:color w:val="auto"/>
                <w:sz w:val="21"/>
                <w:highlight w:val="none"/>
              </w:rPr>
            </w:pPr>
          </w:p>
        </w:tc>
        <w:tc>
          <w:tcPr>
            <w:tcW w:w="987" w:type="dxa"/>
            <w:tcBorders>
              <w:right w:val="single" w:color="000000" w:sz="6" w:space="0"/>
            </w:tcBorders>
            <w:vAlign w:val="top"/>
          </w:tcPr>
          <w:p w14:paraId="4F5DE7C5">
            <w:pPr>
              <w:rPr>
                <w:rFonts w:ascii="Arial"/>
                <w:color w:val="auto"/>
                <w:sz w:val="21"/>
                <w:highlight w:val="none"/>
              </w:rPr>
            </w:pPr>
          </w:p>
        </w:tc>
      </w:tr>
      <w:tr w14:paraId="10D37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5A44E98C">
            <w:pPr>
              <w:rPr>
                <w:rFonts w:ascii="Arial"/>
                <w:color w:val="auto"/>
                <w:sz w:val="21"/>
                <w:highlight w:val="none"/>
              </w:rPr>
            </w:pPr>
          </w:p>
        </w:tc>
        <w:tc>
          <w:tcPr>
            <w:tcW w:w="1394" w:type="dxa"/>
            <w:vAlign w:val="top"/>
          </w:tcPr>
          <w:p w14:paraId="2261BEFD">
            <w:pPr>
              <w:rPr>
                <w:rFonts w:ascii="Arial"/>
                <w:color w:val="auto"/>
                <w:sz w:val="21"/>
                <w:highlight w:val="none"/>
              </w:rPr>
            </w:pPr>
          </w:p>
        </w:tc>
        <w:tc>
          <w:tcPr>
            <w:tcW w:w="1577" w:type="dxa"/>
            <w:vAlign w:val="top"/>
          </w:tcPr>
          <w:p w14:paraId="45BD3576">
            <w:pPr>
              <w:rPr>
                <w:rFonts w:ascii="Arial"/>
                <w:color w:val="auto"/>
                <w:sz w:val="21"/>
                <w:highlight w:val="none"/>
              </w:rPr>
            </w:pPr>
          </w:p>
        </w:tc>
        <w:tc>
          <w:tcPr>
            <w:tcW w:w="1193" w:type="dxa"/>
            <w:vAlign w:val="top"/>
          </w:tcPr>
          <w:p w14:paraId="7AB535A2">
            <w:pPr>
              <w:rPr>
                <w:rFonts w:ascii="Arial"/>
                <w:color w:val="auto"/>
                <w:sz w:val="21"/>
                <w:highlight w:val="none"/>
              </w:rPr>
            </w:pPr>
          </w:p>
        </w:tc>
        <w:tc>
          <w:tcPr>
            <w:tcW w:w="1473" w:type="dxa"/>
            <w:vAlign w:val="top"/>
          </w:tcPr>
          <w:p w14:paraId="66FE992A">
            <w:pPr>
              <w:rPr>
                <w:rFonts w:ascii="Arial"/>
                <w:color w:val="auto"/>
                <w:sz w:val="21"/>
                <w:highlight w:val="none"/>
              </w:rPr>
            </w:pPr>
          </w:p>
        </w:tc>
        <w:tc>
          <w:tcPr>
            <w:tcW w:w="1557" w:type="dxa"/>
            <w:vAlign w:val="top"/>
          </w:tcPr>
          <w:p w14:paraId="38533385">
            <w:pPr>
              <w:rPr>
                <w:rFonts w:ascii="Arial"/>
                <w:color w:val="auto"/>
                <w:sz w:val="21"/>
                <w:highlight w:val="none"/>
              </w:rPr>
            </w:pPr>
          </w:p>
        </w:tc>
        <w:tc>
          <w:tcPr>
            <w:tcW w:w="987" w:type="dxa"/>
            <w:tcBorders>
              <w:right w:val="single" w:color="000000" w:sz="6" w:space="0"/>
            </w:tcBorders>
            <w:vAlign w:val="top"/>
          </w:tcPr>
          <w:p w14:paraId="70C58F7C">
            <w:pPr>
              <w:rPr>
                <w:rFonts w:ascii="Arial"/>
                <w:color w:val="auto"/>
                <w:sz w:val="21"/>
                <w:highlight w:val="none"/>
              </w:rPr>
            </w:pPr>
          </w:p>
        </w:tc>
      </w:tr>
      <w:tr w14:paraId="1C554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160B7E6D">
            <w:pPr>
              <w:rPr>
                <w:rFonts w:ascii="Arial"/>
                <w:color w:val="auto"/>
                <w:sz w:val="21"/>
                <w:highlight w:val="none"/>
              </w:rPr>
            </w:pPr>
          </w:p>
        </w:tc>
        <w:tc>
          <w:tcPr>
            <w:tcW w:w="1394" w:type="dxa"/>
            <w:vAlign w:val="top"/>
          </w:tcPr>
          <w:p w14:paraId="74C7C217">
            <w:pPr>
              <w:rPr>
                <w:rFonts w:ascii="Arial"/>
                <w:color w:val="auto"/>
                <w:sz w:val="21"/>
                <w:highlight w:val="none"/>
              </w:rPr>
            </w:pPr>
          </w:p>
        </w:tc>
        <w:tc>
          <w:tcPr>
            <w:tcW w:w="1577" w:type="dxa"/>
            <w:vAlign w:val="top"/>
          </w:tcPr>
          <w:p w14:paraId="52BDC831">
            <w:pPr>
              <w:rPr>
                <w:rFonts w:ascii="Arial"/>
                <w:color w:val="auto"/>
                <w:sz w:val="21"/>
                <w:highlight w:val="none"/>
              </w:rPr>
            </w:pPr>
          </w:p>
        </w:tc>
        <w:tc>
          <w:tcPr>
            <w:tcW w:w="1193" w:type="dxa"/>
            <w:vAlign w:val="top"/>
          </w:tcPr>
          <w:p w14:paraId="3E34D03D">
            <w:pPr>
              <w:rPr>
                <w:rFonts w:ascii="Arial"/>
                <w:color w:val="auto"/>
                <w:sz w:val="21"/>
                <w:highlight w:val="none"/>
              </w:rPr>
            </w:pPr>
          </w:p>
        </w:tc>
        <w:tc>
          <w:tcPr>
            <w:tcW w:w="1473" w:type="dxa"/>
            <w:vAlign w:val="top"/>
          </w:tcPr>
          <w:p w14:paraId="4F54AC0F">
            <w:pPr>
              <w:rPr>
                <w:rFonts w:ascii="Arial"/>
                <w:color w:val="auto"/>
                <w:sz w:val="21"/>
                <w:highlight w:val="none"/>
              </w:rPr>
            </w:pPr>
          </w:p>
        </w:tc>
        <w:tc>
          <w:tcPr>
            <w:tcW w:w="1557" w:type="dxa"/>
            <w:vAlign w:val="top"/>
          </w:tcPr>
          <w:p w14:paraId="797DB8E9">
            <w:pPr>
              <w:rPr>
                <w:rFonts w:ascii="Arial"/>
                <w:color w:val="auto"/>
                <w:sz w:val="21"/>
                <w:highlight w:val="none"/>
              </w:rPr>
            </w:pPr>
          </w:p>
        </w:tc>
        <w:tc>
          <w:tcPr>
            <w:tcW w:w="987" w:type="dxa"/>
            <w:tcBorders>
              <w:right w:val="single" w:color="000000" w:sz="6" w:space="0"/>
            </w:tcBorders>
            <w:vAlign w:val="top"/>
          </w:tcPr>
          <w:p w14:paraId="17E379FC">
            <w:pPr>
              <w:rPr>
                <w:rFonts w:ascii="Arial"/>
                <w:color w:val="auto"/>
                <w:sz w:val="21"/>
                <w:highlight w:val="none"/>
              </w:rPr>
            </w:pPr>
          </w:p>
        </w:tc>
      </w:tr>
      <w:tr w14:paraId="189C9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273A9756">
            <w:pPr>
              <w:rPr>
                <w:rFonts w:ascii="Arial"/>
                <w:color w:val="auto"/>
                <w:sz w:val="21"/>
                <w:highlight w:val="none"/>
              </w:rPr>
            </w:pPr>
          </w:p>
        </w:tc>
        <w:tc>
          <w:tcPr>
            <w:tcW w:w="1394" w:type="dxa"/>
            <w:vAlign w:val="top"/>
          </w:tcPr>
          <w:p w14:paraId="71E055A5">
            <w:pPr>
              <w:rPr>
                <w:rFonts w:ascii="Arial"/>
                <w:color w:val="auto"/>
                <w:sz w:val="21"/>
                <w:highlight w:val="none"/>
              </w:rPr>
            </w:pPr>
          </w:p>
        </w:tc>
        <w:tc>
          <w:tcPr>
            <w:tcW w:w="1577" w:type="dxa"/>
            <w:vAlign w:val="top"/>
          </w:tcPr>
          <w:p w14:paraId="44F2BBA3">
            <w:pPr>
              <w:rPr>
                <w:rFonts w:ascii="Arial"/>
                <w:color w:val="auto"/>
                <w:sz w:val="21"/>
                <w:highlight w:val="none"/>
              </w:rPr>
            </w:pPr>
          </w:p>
        </w:tc>
        <w:tc>
          <w:tcPr>
            <w:tcW w:w="1193" w:type="dxa"/>
            <w:vAlign w:val="top"/>
          </w:tcPr>
          <w:p w14:paraId="11C546ED">
            <w:pPr>
              <w:rPr>
                <w:rFonts w:ascii="Arial"/>
                <w:color w:val="auto"/>
                <w:sz w:val="21"/>
                <w:highlight w:val="none"/>
              </w:rPr>
            </w:pPr>
          </w:p>
        </w:tc>
        <w:tc>
          <w:tcPr>
            <w:tcW w:w="1473" w:type="dxa"/>
            <w:vAlign w:val="top"/>
          </w:tcPr>
          <w:p w14:paraId="79A1DCC5">
            <w:pPr>
              <w:rPr>
                <w:rFonts w:ascii="Arial"/>
                <w:color w:val="auto"/>
                <w:sz w:val="21"/>
                <w:highlight w:val="none"/>
              </w:rPr>
            </w:pPr>
          </w:p>
        </w:tc>
        <w:tc>
          <w:tcPr>
            <w:tcW w:w="1557" w:type="dxa"/>
            <w:vAlign w:val="top"/>
          </w:tcPr>
          <w:p w14:paraId="6EA399B3">
            <w:pPr>
              <w:rPr>
                <w:rFonts w:ascii="Arial"/>
                <w:color w:val="auto"/>
                <w:sz w:val="21"/>
                <w:highlight w:val="none"/>
              </w:rPr>
            </w:pPr>
          </w:p>
        </w:tc>
        <w:tc>
          <w:tcPr>
            <w:tcW w:w="987" w:type="dxa"/>
            <w:tcBorders>
              <w:right w:val="single" w:color="000000" w:sz="6" w:space="0"/>
            </w:tcBorders>
            <w:vAlign w:val="top"/>
          </w:tcPr>
          <w:p w14:paraId="28BBC86A">
            <w:pPr>
              <w:rPr>
                <w:rFonts w:ascii="Arial"/>
                <w:color w:val="auto"/>
                <w:sz w:val="21"/>
                <w:highlight w:val="none"/>
              </w:rPr>
            </w:pPr>
          </w:p>
        </w:tc>
      </w:tr>
      <w:tr w14:paraId="24169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24D08CCF">
            <w:pPr>
              <w:rPr>
                <w:rFonts w:ascii="Arial"/>
                <w:color w:val="auto"/>
                <w:sz w:val="21"/>
                <w:highlight w:val="none"/>
              </w:rPr>
            </w:pPr>
          </w:p>
        </w:tc>
        <w:tc>
          <w:tcPr>
            <w:tcW w:w="1394" w:type="dxa"/>
            <w:vAlign w:val="top"/>
          </w:tcPr>
          <w:p w14:paraId="43765DD8">
            <w:pPr>
              <w:rPr>
                <w:rFonts w:ascii="Arial"/>
                <w:color w:val="auto"/>
                <w:sz w:val="21"/>
                <w:highlight w:val="none"/>
              </w:rPr>
            </w:pPr>
          </w:p>
        </w:tc>
        <w:tc>
          <w:tcPr>
            <w:tcW w:w="1577" w:type="dxa"/>
            <w:vAlign w:val="top"/>
          </w:tcPr>
          <w:p w14:paraId="6AE98F06">
            <w:pPr>
              <w:rPr>
                <w:rFonts w:ascii="Arial"/>
                <w:color w:val="auto"/>
                <w:sz w:val="21"/>
                <w:highlight w:val="none"/>
              </w:rPr>
            </w:pPr>
          </w:p>
        </w:tc>
        <w:tc>
          <w:tcPr>
            <w:tcW w:w="1193" w:type="dxa"/>
            <w:vAlign w:val="top"/>
          </w:tcPr>
          <w:p w14:paraId="286F0474">
            <w:pPr>
              <w:rPr>
                <w:rFonts w:ascii="Arial"/>
                <w:color w:val="auto"/>
                <w:sz w:val="21"/>
                <w:highlight w:val="none"/>
              </w:rPr>
            </w:pPr>
          </w:p>
        </w:tc>
        <w:tc>
          <w:tcPr>
            <w:tcW w:w="1473" w:type="dxa"/>
            <w:vAlign w:val="top"/>
          </w:tcPr>
          <w:p w14:paraId="114BEF4B">
            <w:pPr>
              <w:rPr>
                <w:rFonts w:ascii="Arial"/>
                <w:color w:val="auto"/>
                <w:sz w:val="21"/>
                <w:highlight w:val="none"/>
              </w:rPr>
            </w:pPr>
          </w:p>
        </w:tc>
        <w:tc>
          <w:tcPr>
            <w:tcW w:w="1557" w:type="dxa"/>
            <w:vAlign w:val="top"/>
          </w:tcPr>
          <w:p w14:paraId="316EC1EC">
            <w:pPr>
              <w:rPr>
                <w:rFonts w:ascii="Arial"/>
                <w:color w:val="auto"/>
                <w:sz w:val="21"/>
                <w:highlight w:val="none"/>
              </w:rPr>
            </w:pPr>
          </w:p>
        </w:tc>
        <w:tc>
          <w:tcPr>
            <w:tcW w:w="987" w:type="dxa"/>
            <w:tcBorders>
              <w:right w:val="single" w:color="000000" w:sz="6" w:space="0"/>
            </w:tcBorders>
            <w:vAlign w:val="top"/>
          </w:tcPr>
          <w:p w14:paraId="342BE9A7">
            <w:pPr>
              <w:rPr>
                <w:rFonts w:ascii="Arial"/>
                <w:color w:val="auto"/>
                <w:sz w:val="21"/>
                <w:highlight w:val="none"/>
              </w:rPr>
            </w:pPr>
          </w:p>
        </w:tc>
      </w:tr>
      <w:tr w14:paraId="0781D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27" w:type="dxa"/>
            <w:tcBorders>
              <w:left w:val="single" w:color="000000" w:sz="6" w:space="0"/>
            </w:tcBorders>
            <w:vAlign w:val="top"/>
          </w:tcPr>
          <w:p w14:paraId="59C3D5D4">
            <w:pPr>
              <w:rPr>
                <w:rFonts w:ascii="Arial"/>
                <w:color w:val="auto"/>
                <w:sz w:val="21"/>
                <w:highlight w:val="none"/>
              </w:rPr>
            </w:pPr>
          </w:p>
        </w:tc>
        <w:tc>
          <w:tcPr>
            <w:tcW w:w="1394" w:type="dxa"/>
            <w:vAlign w:val="top"/>
          </w:tcPr>
          <w:p w14:paraId="5C321670">
            <w:pPr>
              <w:rPr>
                <w:rFonts w:ascii="Arial"/>
                <w:color w:val="auto"/>
                <w:sz w:val="21"/>
                <w:highlight w:val="none"/>
              </w:rPr>
            </w:pPr>
          </w:p>
        </w:tc>
        <w:tc>
          <w:tcPr>
            <w:tcW w:w="1577" w:type="dxa"/>
            <w:vAlign w:val="top"/>
          </w:tcPr>
          <w:p w14:paraId="63EA3E80">
            <w:pPr>
              <w:rPr>
                <w:rFonts w:ascii="Arial"/>
                <w:color w:val="auto"/>
                <w:sz w:val="21"/>
                <w:highlight w:val="none"/>
              </w:rPr>
            </w:pPr>
          </w:p>
        </w:tc>
        <w:tc>
          <w:tcPr>
            <w:tcW w:w="1193" w:type="dxa"/>
            <w:vAlign w:val="top"/>
          </w:tcPr>
          <w:p w14:paraId="572CB598">
            <w:pPr>
              <w:rPr>
                <w:rFonts w:ascii="Arial"/>
                <w:color w:val="auto"/>
                <w:sz w:val="21"/>
                <w:highlight w:val="none"/>
              </w:rPr>
            </w:pPr>
          </w:p>
        </w:tc>
        <w:tc>
          <w:tcPr>
            <w:tcW w:w="1473" w:type="dxa"/>
            <w:vAlign w:val="top"/>
          </w:tcPr>
          <w:p w14:paraId="696D8AE6">
            <w:pPr>
              <w:rPr>
                <w:rFonts w:ascii="Arial"/>
                <w:color w:val="auto"/>
                <w:sz w:val="21"/>
                <w:highlight w:val="none"/>
              </w:rPr>
            </w:pPr>
          </w:p>
        </w:tc>
        <w:tc>
          <w:tcPr>
            <w:tcW w:w="1557" w:type="dxa"/>
            <w:vAlign w:val="top"/>
          </w:tcPr>
          <w:p w14:paraId="70EA5D8A">
            <w:pPr>
              <w:rPr>
                <w:rFonts w:ascii="Arial"/>
                <w:color w:val="auto"/>
                <w:sz w:val="21"/>
                <w:highlight w:val="none"/>
              </w:rPr>
            </w:pPr>
          </w:p>
        </w:tc>
        <w:tc>
          <w:tcPr>
            <w:tcW w:w="987" w:type="dxa"/>
            <w:tcBorders>
              <w:right w:val="single" w:color="000000" w:sz="6" w:space="0"/>
            </w:tcBorders>
            <w:vAlign w:val="top"/>
          </w:tcPr>
          <w:p w14:paraId="1C9BF649">
            <w:pPr>
              <w:rPr>
                <w:rFonts w:ascii="Arial"/>
                <w:color w:val="auto"/>
                <w:sz w:val="21"/>
                <w:highlight w:val="none"/>
              </w:rPr>
            </w:pPr>
          </w:p>
        </w:tc>
      </w:tr>
      <w:tr w14:paraId="7BCDF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827" w:type="dxa"/>
            <w:tcBorders>
              <w:left w:val="single" w:color="000000" w:sz="6" w:space="0"/>
            </w:tcBorders>
            <w:vAlign w:val="top"/>
          </w:tcPr>
          <w:p w14:paraId="743F97EE">
            <w:pPr>
              <w:rPr>
                <w:rFonts w:ascii="Arial"/>
                <w:color w:val="auto"/>
                <w:sz w:val="21"/>
                <w:highlight w:val="none"/>
              </w:rPr>
            </w:pPr>
          </w:p>
        </w:tc>
        <w:tc>
          <w:tcPr>
            <w:tcW w:w="1394" w:type="dxa"/>
            <w:vAlign w:val="top"/>
          </w:tcPr>
          <w:p w14:paraId="0C8A082E">
            <w:pPr>
              <w:rPr>
                <w:rFonts w:ascii="Arial"/>
                <w:color w:val="auto"/>
                <w:sz w:val="21"/>
                <w:highlight w:val="none"/>
              </w:rPr>
            </w:pPr>
          </w:p>
        </w:tc>
        <w:tc>
          <w:tcPr>
            <w:tcW w:w="1577" w:type="dxa"/>
            <w:vAlign w:val="top"/>
          </w:tcPr>
          <w:p w14:paraId="25EE9DCE">
            <w:pPr>
              <w:rPr>
                <w:rFonts w:ascii="Arial"/>
                <w:color w:val="auto"/>
                <w:sz w:val="21"/>
                <w:highlight w:val="none"/>
              </w:rPr>
            </w:pPr>
          </w:p>
        </w:tc>
        <w:tc>
          <w:tcPr>
            <w:tcW w:w="1193" w:type="dxa"/>
            <w:vAlign w:val="top"/>
          </w:tcPr>
          <w:p w14:paraId="57A42136">
            <w:pPr>
              <w:rPr>
                <w:rFonts w:ascii="Arial"/>
                <w:color w:val="auto"/>
                <w:sz w:val="21"/>
                <w:highlight w:val="none"/>
              </w:rPr>
            </w:pPr>
          </w:p>
        </w:tc>
        <w:tc>
          <w:tcPr>
            <w:tcW w:w="1473" w:type="dxa"/>
            <w:vAlign w:val="top"/>
          </w:tcPr>
          <w:p w14:paraId="6AA88630">
            <w:pPr>
              <w:rPr>
                <w:rFonts w:ascii="Arial"/>
                <w:color w:val="auto"/>
                <w:sz w:val="21"/>
                <w:highlight w:val="none"/>
              </w:rPr>
            </w:pPr>
          </w:p>
        </w:tc>
        <w:tc>
          <w:tcPr>
            <w:tcW w:w="1557" w:type="dxa"/>
            <w:vAlign w:val="top"/>
          </w:tcPr>
          <w:p w14:paraId="00A740C0">
            <w:pPr>
              <w:rPr>
                <w:rFonts w:ascii="Arial"/>
                <w:color w:val="auto"/>
                <w:sz w:val="21"/>
                <w:highlight w:val="none"/>
              </w:rPr>
            </w:pPr>
          </w:p>
        </w:tc>
        <w:tc>
          <w:tcPr>
            <w:tcW w:w="987" w:type="dxa"/>
            <w:tcBorders>
              <w:right w:val="single" w:color="000000" w:sz="6" w:space="0"/>
            </w:tcBorders>
            <w:vAlign w:val="top"/>
          </w:tcPr>
          <w:p w14:paraId="4BC69304">
            <w:pPr>
              <w:rPr>
                <w:rFonts w:ascii="Arial"/>
                <w:color w:val="auto"/>
                <w:sz w:val="21"/>
                <w:highlight w:val="none"/>
              </w:rPr>
            </w:pPr>
          </w:p>
        </w:tc>
      </w:tr>
      <w:tr w14:paraId="13BA0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27" w:type="dxa"/>
            <w:tcBorders>
              <w:left w:val="single" w:color="000000" w:sz="6" w:space="0"/>
              <w:bottom w:val="single" w:color="000000" w:sz="6" w:space="0"/>
            </w:tcBorders>
            <w:vAlign w:val="top"/>
          </w:tcPr>
          <w:p w14:paraId="57FDB57C">
            <w:pPr>
              <w:rPr>
                <w:rFonts w:ascii="Arial"/>
                <w:color w:val="auto"/>
                <w:sz w:val="21"/>
                <w:highlight w:val="none"/>
              </w:rPr>
            </w:pPr>
          </w:p>
        </w:tc>
        <w:tc>
          <w:tcPr>
            <w:tcW w:w="1394" w:type="dxa"/>
            <w:tcBorders>
              <w:bottom w:val="single" w:color="000000" w:sz="6" w:space="0"/>
            </w:tcBorders>
            <w:vAlign w:val="top"/>
          </w:tcPr>
          <w:p w14:paraId="19AEDB64">
            <w:pPr>
              <w:rPr>
                <w:rFonts w:ascii="Arial"/>
                <w:color w:val="auto"/>
                <w:sz w:val="21"/>
                <w:highlight w:val="none"/>
              </w:rPr>
            </w:pPr>
          </w:p>
        </w:tc>
        <w:tc>
          <w:tcPr>
            <w:tcW w:w="1577" w:type="dxa"/>
            <w:tcBorders>
              <w:bottom w:val="single" w:color="000000" w:sz="6" w:space="0"/>
            </w:tcBorders>
            <w:vAlign w:val="top"/>
          </w:tcPr>
          <w:p w14:paraId="21D14CBC">
            <w:pPr>
              <w:rPr>
                <w:rFonts w:ascii="Arial"/>
                <w:color w:val="auto"/>
                <w:sz w:val="21"/>
                <w:highlight w:val="none"/>
              </w:rPr>
            </w:pPr>
          </w:p>
        </w:tc>
        <w:tc>
          <w:tcPr>
            <w:tcW w:w="1193" w:type="dxa"/>
            <w:tcBorders>
              <w:bottom w:val="single" w:color="000000" w:sz="6" w:space="0"/>
            </w:tcBorders>
            <w:vAlign w:val="top"/>
          </w:tcPr>
          <w:p w14:paraId="6A20E5FE">
            <w:pPr>
              <w:rPr>
                <w:rFonts w:ascii="Arial"/>
                <w:color w:val="auto"/>
                <w:sz w:val="21"/>
                <w:highlight w:val="none"/>
              </w:rPr>
            </w:pPr>
          </w:p>
        </w:tc>
        <w:tc>
          <w:tcPr>
            <w:tcW w:w="1473" w:type="dxa"/>
            <w:tcBorders>
              <w:bottom w:val="single" w:color="000000" w:sz="6" w:space="0"/>
            </w:tcBorders>
            <w:vAlign w:val="top"/>
          </w:tcPr>
          <w:p w14:paraId="496147A0">
            <w:pPr>
              <w:rPr>
                <w:rFonts w:ascii="Arial"/>
                <w:color w:val="auto"/>
                <w:sz w:val="21"/>
                <w:highlight w:val="none"/>
              </w:rPr>
            </w:pPr>
          </w:p>
        </w:tc>
        <w:tc>
          <w:tcPr>
            <w:tcW w:w="1557" w:type="dxa"/>
            <w:tcBorders>
              <w:bottom w:val="single" w:color="000000" w:sz="6" w:space="0"/>
            </w:tcBorders>
            <w:vAlign w:val="top"/>
          </w:tcPr>
          <w:p w14:paraId="0D2BC2BC">
            <w:pPr>
              <w:rPr>
                <w:rFonts w:ascii="Arial"/>
                <w:color w:val="auto"/>
                <w:sz w:val="21"/>
                <w:highlight w:val="none"/>
              </w:rPr>
            </w:pPr>
          </w:p>
        </w:tc>
        <w:tc>
          <w:tcPr>
            <w:tcW w:w="987" w:type="dxa"/>
            <w:tcBorders>
              <w:bottom w:val="single" w:color="000000" w:sz="6" w:space="0"/>
              <w:right w:val="single" w:color="000000" w:sz="6" w:space="0"/>
            </w:tcBorders>
            <w:vAlign w:val="top"/>
          </w:tcPr>
          <w:p w14:paraId="362E2A1C">
            <w:pPr>
              <w:rPr>
                <w:rFonts w:ascii="Arial"/>
                <w:color w:val="auto"/>
                <w:sz w:val="21"/>
                <w:highlight w:val="none"/>
              </w:rPr>
            </w:pPr>
          </w:p>
        </w:tc>
      </w:tr>
    </w:tbl>
    <w:p w14:paraId="3762E4EE">
      <w:pPr>
        <w:spacing w:before="30" w:line="211" w:lineRule="auto"/>
        <w:ind w:left="85"/>
        <w:rPr>
          <w:rFonts w:ascii="宋体" w:hAnsi="宋体" w:eastAsia="宋体" w:cs="宋体"/>
          <w:color w:val="auto"/>
          <w:sz w:val="22"/>
          <w:szCs w:val="22"/>
          <w:highlight w:val="none"/>
        </w:rPr>
      </w:pPr>
      <w:r>
        <w:rPr>
          <w:rFonts w:ascii="宋体" w:hAnsi="宋体" w:eastAsia="宋体" w:cs="宋体"/>
          <w:i/>
          <w:iCs/>
          <w:color w:val="auto"/>
          <w:spacing w:val="-13"/>
          <w:sz w:val="22"/>
          <w:szCs w:val="22"/>
          <w:highlight w:val="none"/>
        </w:rPr>
        <w:t>注：招标人不供应材料的，本表删除。</w:t>
      </w:r>
    </w:p>
    <w:p w14:paraId="22780632">
      <w:pPr>
        <w:spacing w:line="211" w:lineRule="auto"/>
        <w:rPr>
          <w:rFonts w:ascii="宋体" w:hAnsi="宋体" w:eastAsia="宋体" w:cs="宋体"/>
          <w:color w:val="auto"/>
          <w:sz w:val="22"/>
          <w:szCs w:val="22"/>
          <w:highlight w:val="none"/>
        </w:rPr>
        <w:sectPr>
          <w:footerReference r:id="rId99" w:type="default"/>
          <w:pgSz w:w="11907" w:h="16841"/>
          <w:pgMar w:top="1428" w:right="1293" w:bottom="1254" w:left="1588" w:header="0" w:footer="1093" w:gutter="0"/>
          <w:pgNumType w:fmt="decimal"/>
          <w:cols w:space="720" w:num="1"/>
        </w:sectPr>
      </w:pPr>
    </w:p>
    <w:p w14:paraId="28531083">
      <w:pPr>
        <w:spacing w:before="47" w:line="219" w:lineRule="auto"/>
        <w:ind w:left="3199"/>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招标人提供施工设施表</w:t>
      </w:r>
    </w:p>
    <w:p w14:paraId="34DAC412">
      <w:pPr>
        <w:spacing w:before="176" w:line="221" w:lineRule="auto"/>
        <w:ind w:left="11"/>
        <w:rPr>
          <w:rFonts w:ascii="宋体" w:hAnsi="宋体" w:eastAsia="宋体" w:cs="宋体"/>
          <w:color w:val="auto"/>
          <w:sz w:val="21"/>
          <w:szCs w:val="21"/>
          <w:highlight w:val="none"/>
        </w:rPr>
      </w:pPr>
      <w:r>
        <w:rPr>
          <w:rFonts w:ascii="宋体" w:hAnsi="宋体" w:eastAsia="宋体" w:cs="宋体"/>
          <w:color w:val="auto"/>
          <w:sz w:val="21"/>
          <w:szCs w:val="21"/>
          <w:highlight w:val="none"/>
        </w:rPr>
        <w:t>项目及标段名称：</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
          <w:sz w:val="21"/>
          <w:szCs w:val="21"/>
          <w:highlight w:val="none"/>
        </w:rPr>
        <w:t xml:space="preserve">                 第</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页共</w:t>
      </w:r>
      <w:r>
        <w:rPr>
          <w:rFonts w:ascii="宋体" w:hAnsi="宋体" w:eastAsia="宋体" w:cs="宋体"/>
          <w:color w:val="auto"/>
          <w:spacing w:val="4"/>
          <w:sz w:val="21"/>
          <w:szCs w:val="21"/>
          <w:highlight w:val="none"/>
        </w:rPr>
        <w:t xml:space="preserve">   </w:t>
      </w:r>
      <w:r>
        <w:rPr>
          <w:rFonts w:ascii="宋体" w:hAnsi="宋体" w:eastAsia="宋体" w:cs="宋体"/>
          <w:color w:val="auto"/>
          <w:spacing w:val="-1"/>
          <w:sz w:val="21"/>
          <w:szCs w:val="21"/>
          <w:highlight w:val="none"/>
        </w:rPr>
        <w:t>页</w:t>
      </w:r>
    </w:p>
    <w:p w14:paraId="267391B4">
      <w:pPr>
        <w:spacing w:line="127" w:lineRule="exact"/>
        <w:rPr>
          <w:color w:val="auto"/>
          <w:highlight w:val="none"/>
        </w:rPr>
      </w:pPr>
    </w:p>
    <w:tbl>
      <w:tblPr>
        <w:tblStyle w:val="16"/>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2784"/>
        <w:gridCol w:w="1215"/>
        <w:gridCol w:w="1696"/>
        <w:gridCol w:w="1950"/>
      </w:tblGrid>
      <w:tr w14:paraId="5F95F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363" w:type="dxa"/>
            <w:tcBorders>
              <w:top w:val="single" w:color="000000" w:sz="6" w:space="0"/>
              <w:left w:val="single" w:color="000000" w:sz="6" w:space="0"/>
            </w:tcBorders>
            <w:vAlign w:val="top"/>
          </w:tcPr>
          <w:p w14:paraId="605A8A49">
            <w:pPr>
              <w:pStyle w:val="17"/>
              <w:spacing w:before="221" w:line="222" w:lineRule="auto"/>
              <w:ind w:left="469"/>
              <w:rPr>
                <w:color w:val="auto"/>
                <w:sz w:val="21"/>
                <w:szCs w:val="21"/>
                <w:highlight w:val="none"/>
              </w:rPr>
            </w:pPr>
            <w:r>
              <w:rPr>
                <w:color w:val="auto"/>
                <w:spacing w:val="-2"/>
                <w:sz w:val="21"/>
                <w:szCs w:val="21"/>
                <w:highlight w:val="none"/>
              </w:rPr>
              <w:t>序号</w:t>
            </w:r>
          </w:p>
        </w:tc>
        <w:tc>
          <w:tcPr>
            <w:tcW w:w="2784" w:type="dxa"/>
            <w:tcBorders>
              <w:top w:val="single" w:color="000000" w:sz="6" w:space="0"/>
            </w:tcBorders>
            <w:vAlign w:val="top"/>
          </w:tcPr>
          <w:p w14:paraId="058219F0">
            <w:pPr>
              <w:pStyle w:val="17"/>
              <w:spacing w:before="221" w:line="221" w:lineRule="auto"/>
              <w:ind w:left="978"/>
              <w:rPr>
                <w:color w:val="auto"/>
                <w:sz w:val="21"/>
                <w:szCs w:val="21"/>
                <w:highlight w:val="none"/>
              </w:rPr>
            </w:pPr>
            <w:r>
              <w:rPr>
                <w:color w:val="auto"/>
                <w:spacing w:val="-3"/>
                <w:sz w:val="21"/>
                <w:szCs w:val="21"/>
                <w:highlight w:val="none"/>
              </w:rPr>
              <w:t>项目名称</w:t>
            </w:r>
          </w:p>
        </w:tc>
        <w:tc>
          <w:tcPr>
            <w:tcW w:w="1215" w:type="dxa"/>
            <w:tcBorders>
              <w:top w:val="single" w:color="000000" w:sz="6" w:space="0"/>
            </w:tcBorders>
            <w:vAlign w:val="top"/>
          </w:tcPr>
          <w:p w14:paraId="7B07127A">
            <w:pPr>
              <w:pStyle w:val="17"/>
              <w:spacing w:before="221" w:line="221" w:lineRule="auto"/>
              <w:ind w:left="192"/>
              <w:rPr>
                <w:color w:val="auto"/>
                <w:sz w:val="21"/>
                <w:szCs w:val="21"/>
                <w:highlight w:val="none"/>
              </w:rPr>
            </w:pPr>
            <w:r>
              <w:rPr>
                <w:color w:val="auto"/>
                <w:spacing w:val="-2"/>
                <w:sz w:val="21"/>
                <w:szCs w:val="21"/>
                <w:highlight w:val="none"/>
              </w:rPr>
              <w:t>计量单位</w:t>
            </w:r>
          </w:p>
        </w:tc>
        <w:tc>
          <w:tcPr>
            <w:tcW w:w="1696" w:type="dxa"/>
            <w:tcBorders>
              <w:top w:val="single" w:color="000000" w:sz="6" w:space="0"/>
            </w:tcBorders>
            <w:vAlign w:val="top"/>
          </w:tcPr>
          <w:p w14:paraId="63C26E34">
            <w:pPr>
              <w:pStyle w:val="17"/>
              <w:spacing w:before="220" w:line="221" w:lineRule="auto"/>
              <w:ind w:left="647"/>
              <w:rPr>
                <w:color w:val="auto"/>
                <w:sz w:val="21"/>
                <w:szCs w:val="21"/>
                <w:highlight w:val="none"/>
              </w:rPr>
            </w:pPr>
            <w:r>
              <w:rPr>
                <w:color w:val="auto"/>
                <w:spacing w:val="-2"/>
                <w:sz w:val="21"/>
                <w:szCs w:val="21"/>
                <w:highlight w:val="none"/>
              </w:rPr>
              <w:t>数量</w:t>
            </w:r>
          </w:p>
        </w:tc>
        <w:tc>
          <w:tcPr>
            <w:tcW w:w="1950" w:type="dxa"/>
            <w:tcBorders>
              <w:top w:val="single" w:color="000000" w:sz="6" w:space="0"/>
              <w:right w:val="single" w:color="000000" w:sz="6" w:space="0"/>
            </w:tcBorders>
            <w:vAlign w:val="top"/>
          </w:tcPr>
          <w:p w14:paraId="1688F5EA">
            <w:pPr>
              <w:pStyle w:val="17"/>
              <w:spacing w:before="221" w:line="222" w:lineRule="auto"/>
              <w:ind w:left="773"/>
              <w:rPr>
                <w:color w:val="auto"/>
                <w:sz w:val="21"/>
                <w:szCs w:val="21"/>
                <w:highlight w:val="none"/>
              </w:rPr>
            </w:pPr>
            <w:r>
              <w:rPr>
                <w:color w:val="auto"/>
                <w:spacing w:val="-3"/>
                <w:sz w:val="21"/>
                <w:szCs w:val="21"/>
                <w:highlight w:val="none"/>
              </w:rPr>
              <w:t>备注</w:t>
            </w:r>
          </w:p>
        </w:tc>
      </w:tr>
      <w:tr w14:paraId="5AFE2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74491BC2">
            <w:pPr>
              <w:rPr>
                <w:rFonts w:ascii="Arial"/>
                <w:color w:val="auto"/>
                <w:sz w:val="21"/>
                <w:highlight w:val="none"/>
              </w:rPr>
            </w:pPr>
          </w:p>
        </w:tc>
        <w:tc>
          <w:tcPr>
            <w:tcW w:w="2784" w:type="dxa"/>
            <w:vAlign w:val="top"/>
          </w:tcPr>
          <w:p w14:paraId="6462FBD3">
            <w:pPr>
              <w:rPr>
                <w:rFonts w:ascii="Arial"/>
                <w:color w:val="auto"/>
                <w:sz w:val="21"/>
                <w:highlight w:val="none"/>
              </w:rPr>
            </w:pPr>
          </w:p>
        </w:tc>
        <w:tc>
          <w:tcPr>
            <w:tcW w:w="1215" w:type="dxa"/>
            <w:vAlign w:val="top"/>
          </w:tcPr>
          <w:p w14:paraId="40F93F3F">
            <w:pPr>
              <w:rPr>
                <w:rFonts w:ascii="Arial"/>
                <w:color w:val="auto"/>
                <w:sz w:val="21"/>
                <w:highlight w:val="none"/>
              </w:rPr>
            </w:pPr>
          </w:p>
        </w:tc>
        <w:tc>
          <w:tcPr>
            <w:tcW w:w="1696" w:type="dxa"/>
            <w:vAlign w:val="top"/>
          </w:tcPr>
          <w:p w14:paraId="1FA0E38C">
            <w:pPr>
              <w:rPr>
                <w:rFonts w:ascii="Arial"/>
                <w:color w:val="auto"/>
                <w:sz w:val="21"/>
                <w:highlight w:val="none"/>
              </w:rPr>
            </w:pPr>
          </w:p>
        </w:tc>
        <w:tc>
          <w:tcPr>
            <w:tcW w:w="1950" w:type="dxa"/>
            <w:tcBorders>
              <w:right w:val="single" w:color="000000" w:sz="6" w:space="0"/>
            </w:tcBorders>
            <w:vAlign w:val="top"/>
          </w:tcPr>
          <w:p w14:paraId="33E59333">
            <w:pPr>
              <w:rPr>
                <w:rFonts w:ascii="Arial"/>
                <w:color w:val="auto"/>
                <w:sz w:val="21"/>
                <w:highlight w:val="none"/>
              </w:rPr>
            </w:pPr>
          </w:p>
        </w:tc>
      </w:tr>
      <w:tr w14:paraId="0F0FE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0D8C2D8">
            <w:pPr>
              <w:rPr>
                <w:rFonts w:ascii="Arial"/>
                <w:color w:val="auto"/>
                <w:sz w:val="21"/>
                <w:highlight w:val="none"/>
              </w:rPr>
            </w:pPr>
          </w:p>
        </w:tc>
        <w:tc>
          <w:tcPr>
            <w:tcW w:w="2784" w:type="dxa"/>
            <w:vAlign w:val="top"/>
          </w:tcPr>
          <w:p w14:paraId="78AA89DC">
            <w:pPr>
              <w:rPr>
                <w:rFonts w:ascii="Arial"/>
                <w:color w:val="auto"/>
                <w:sz w:val="21"/>
                <w:highlight w:val="none"/>
              </w:rPr>
            </w:pPr>
          </w:p>
        </w:tc>
        <w:tc>
          <w:tcPr>
            <w:tcW w:w="1215" w:type="dxa"/>
            <w:vAlign w:val="top"/>
          </w:tcPr>
          <w:p w14:paraId="46643E55">
            <w:pPr>
              <w:rPr>
                <w:rFonts w:ascii="Arial"/>
                <w:color w:val="auto"/>
                <w:sz w:val="21"/>
                <w:highlight w:val="none"/>
              </w:rPr>
            </w:pPr>
          </w:p>
        </w:tc>
        <w:tc>
          <w:tcPr>
            <w:tcW w:w="1696" w:type="dxa"/>
            <w:vAlign w:val="top"/>
          </w:tcPr>
          <w:p w14:paraId="7FF9D5B0">
            <w:pPr>
              <w:rPr>
                <w:rFonts w:ascii="Arial"/>
                <w:color w:val="auto"/>
                <w:sz w:val="21"/>
                <w:highlight w:val="none"/>
              </w:rPr>
            </w:pPr>
          </w:p>
        </w:tc>
        <w:tc>
          <w:tcPr>
            <w:tcW w:w="1950" w:type="dxa"/>
            <w:tcBorders>
              <w:right w:val="single" w:color="000000" w:sz="6" w:space="0"/>
            </w:tcBorders>
            <w:vAlign w:val="top"/>
          </w:tcPr>
          <w:p w14:paraId="5A56CE2F">
            <w:pPr>
              <w:rPr>
                <w:rFonts w:ascii="Arial"/>
                <w:color w:val="auto"/>
                <w:sz w:val="21"/>
                <w:highlight w:val="none"/>
              </w:rPr>
            </w:pPr>
          </w:p>
        </w:tc>
      </w:tr>
      <w:tr w14:paraId="080C4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1A80F1D3">
            <w:pPr>
              <w:rPr>
                <w:rFonts w:ascii="Arial"/>
                <w:color w:val="auto"/>
                <w:sz w:val="21"/>
                <w:highlight w:val="none"/>
              </w:rPr>
            </w:pPr>
          </w:p>
        </w:tc>
        <w:tc>
          <w:tcPr>
            <w:tcW w:w="2784" w:type="dxa"/>
            <w:vAlign w:val="top"/>
          </w:tcPr>
          <w:p w14:paraId="2A139C06">
            <w:pPr>
              <w:rPr>
                <w:rFonts w:ascii="Arial"/>
                <w:color w:val="auto"/>
                <w:sz w:val="21"/>
                <w:highlight w:val="none"/>
              </w:rPr>
            </w:pPr>
          </w:p>
        </w:tc>
        <w:tc>
          <w:tcPr>
            <w:tcW w:w="1215" w:type="dxa"/>
            <w:vAlign w:val="top"/>
          </w:tcPr>
          <w:p w14:paraId="617C0EF6">
            <w:pPr>
              <w:rPr>
                <w:rFonts w:ascii="Arial"/>
                <w:color w:val="auto"/>
                <w:sz w:val="21"/>
                <w:highlight w:val="none"/>
              </w:rPr>
            </w:pPr>
          </w:p>
        </w:tc>
        <w:tc>
          <w:tcPr>
            <w:tcW w:w="1696" w:type="dxa"/>
            <w:vAlign w:val="top"/>
          </w:tcPr>
          <w:p w14:paraId="7CF1EAC7">
            <w:pPr>
              <w:rPr>
                <w:rFonts w:ascii="Arial"/>
                <w:color w:val="auto"/>
                <w:sz w:val="21"/>
                <w:highlight w:val="none"/>
              </w:rPr>
            </w:pPr>
          </w:p>
        </w:tc>
        <w:tc>
          <w:tcPr>
            <w:tcW w:w="1950" w:type="dxa"/>
            <w:tcBorders>
              <w:right w:val="single" w:color="000000" w:sz="6" w:space="0"/>
            </w:tcBorders>
            <w:vAlign w:val="top"/>
          </w:tcPr>
          <w:p w14:paraId="172FC449">
            <w:pPr>
              <w:rPr>
                <w:rFonts w:ascii="Arial"/>
                <w:color w:val="auto"/>
                <w:sz w:val="21"/>
                <w:highlight w:val="none"/>
              </w:rPr>
            </w:pPr>
          </w:p>
        </w:tc>
      </w:tr>
      <w:tr w14:paraId="1D9B5B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098E14DE">
            <w:pPr>
              <w:rPr>
                <w:rFonts w:ascii="Arial"/>
                <w:color w:val="auto"/>
                <w:sz w:val="21"/>
                <w:highlight w:val="none"/>
              </w:rPr>
            </w:pPr>
          </w:p>
        </w:tc>
        <w:tc>
          <w:tcPr>
            <w:tcW w:w="2784" w:type="dxa"/>
            <w:vAlign w:val="top"/>
          </w:tcPr>
          <w:p w14:paraId="40CE67D2">
            <w:pPr>
              <w:rPr>
                <w:rFonts w:ascii="Arial"/>
                <w:color w:val="auto"/>
                <w:sz w:val="21"/>
                <w:highlight w:val="none"/>
              </w:rPr>
            </w:pPr>
          </w:p>
        </w:tc>
        <w:tc>
          <w:tcPr>
            <w:tcW w:w="1215" w:type="dxa"/>
            <w:vAlign w:val="top"/>
          </w:tcPr>
          <w:p w14:paraId="329A2C1E">
            <w:pPr>
              <w:rPr>
                <w:rFonts w:ascii="Arial"/>
                <w:color w:val="auto"/>
                <w:sz w:val="21"/>
                <w:highlight w:val="none"/>
              </w:rPr>
            </w:pPr>
          </w:p>
        </w:tc>
        <w:tc>
          <w:tcPr>
            <w:tcW w:w="1696" w:type="dxa"/>
            <w:vAlign w:val="top"/>
          </w:tcPr>
          <w:p w14:paraId="7C41EC3F">
            <w:pPr>
              <w:rPr>
                <w:rFonts w:ascii="Arial"/>
                <w:color w:val="auto"/>
                <w:sz w:val="21"/>
                <w:highlight w:val="none"/>
              </w:rPr>
            </w:pPr>
          </w:p>
        </w:tc>
        <w:tc>
          <w:tcPr>
            <w:tcW w:w="1950" w:type="dxa"/>
            <w:tcBorders>
              <w:right w:val="single" w:color="000000" w:sz="6" w:space="0"/>
            </w:tcBorders>
            <w:vAlign w:val="top"/>
          </w:tcPr>
          <w:p w14:paraId="0DBD3C60">
            <w:pPr>
              <w:rPr>
                <w:rFonts w:ascii="Arial"/>
                <w:color w:val="auto"/>
                <w:sz w:val="21"/>
                <w:highlight w:val="none"/>
              </w:rPr>
            </w:pPr>
          </w:p>
        </w:tc>
      </w:tr>
      <w:tr w14:paraId="05017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7D8F3FCF">
            <w:pPr>
              <w:rPr>
                <w:rFonts w:ascii="Arial"/>
                <w:color w:val="auto"/>
                <w:sz w:val="21"/>
                <w:highlight w:val="none"/>
              </w:rPr>
            </w:pPr>
          </w:p>
        </w:tc>
        <w:tc>
          <w:tcPr>
            <w:tcW w:w="2784" w:type="dxa"/>
            <w:vAlign w:val="top"/>
          </w:tcPr>
          <w:p w14:paraId="51069064">
            <w:pPr>
              <w:rPr>
                <w:rFonts w:ascii="Arial"/>
                <w:color w:val="auto"/>
                <w:sz w:val="21"/>
                <w:highlight w:val="none"/>
              </w:rPr>
            </w:pPr>
          </w:p>
        </w:tc>
        <w:tc>
          <w:tcPr>
            <w:tcW w:w="1215" w:type="dxa"/>
            <w:vAlign w:val="top"/>
          </w:tcPr>
          <w:p w14:paraId="68FDB3C0">
            <w:pPr>
              <w:rPr>
                <w:rFonts w:ascii="Arial"/>
                <w:color w:val="auto"/>
                <w:sz w:val="21"/>
                <w:highlight w:val="none"/>
              </w:rPr>
            </w:pPr>
          </w:p>
        </w:tc>
        <w:tc>
          <w:tcPr>
            <w:tcW w:w="1696" w:type="dxa"/>
            <w:vAlign w:val="top"/>
          </w:tcPr>
          <w:p w14:paraId="137FAF26">
            <w:pPr>
              <w:rPr>
                <w:rFonts w:ascii="Arial"/>
                <w:color w:val="auto"/>
                <w:sz w:val="21"/>
                <w:highlight w:val="none"/>
              </w:rPr>
            </w:pPr>
          </w:p>
        </w:tc>
        <w:tc>
          <w:tcPr>
            <w:tcW w:w="1950" w:type="dxa"/>
            <w:tcBorders>
              <w:right w:val="single" w:color="000000" w:sz="6" w:space="0"/>
            </w:tcBorders>
            <w:vAlign w:val="top"/>
          </w:tcPr>
          <w:p w14:paraId="52D8747E">
            <w:pPr>
              <w:rPr>
                <w:rFonts w:ascii="Arial"/>
                <w:color w:val="auto"/>
                <w:sz w:val="21"/>
                <w:highlight w:val="none"/>
              </w:rPr>
            </w:pPr>
          </w:p>
        </w:tc>
      </w:tr>
      <w:tr w14:paraId="71648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15B3378F">
            <w:pPr>
              <w:rPr>
                <w:rFonts w:ascii="Arial"/>
                <w:color w:val="auto"/>
                <w:sz w:val="21"/>
                <w:highlight w:val="none"/>
              </w:rPr>
            </w:pPr>
          </w:p>
        </w:tc>
        <w:tc>
          <w:tcPr>
            <w:tcW w:w="2784" w:type="dxa"/>
            <w:vAlign w:val="top"/>
          </w:tcPr>
          <w:p w14:paraId="0C9010E7">
            <w:pPr>
              <w:rPr>
                <w:rFonts w:ascii="Arial"/>
                <w:color w:val="auto"/>
                <w:sz w:val="21"/>
                <w:highlight w:val="none"/>
              </w:rPr>
            </w:pPr>
          </w:p>
        </w:tc>
        <w:tc>
          <w:tcPr>
            <w:tcW w:w="1215" w:type="dxa"/>
            <w:vAlign w:val="top"/>
          </w:tcPr>
          <w:p w14:paraId="0490A704">
            <w:pPr>
              <w:rPr>
                <w:rFonts w:ascii="Arial"/>
                <w:color w:val="auto"/>
                <w:sz w:val="21"/>
                <w:highlight w:val="none"/>
              </w:rPr>
            </w:pPr>
          </w:p>
        </w:tc>
        <w:tc>
          <w:tcPr>
            <w:tcW w:w="1696" w:type="dxa"/>
            <w:vAlign w:val="top"/>
          </w:tcPr>
          <w:p w14:paraId="04810236">
            <w:pPr>
              <w:rPr>
                <w:rFonts w:ascii="Arial"/>
                <w:color w:val="auto"/>
                <w:sz w:val="21"/>
                <w:highlight w:val="none"/>
              </w:rPr>
            </w:pPr>
          </w:p>
        </w:tc>
        <w:tc>
          <w:tcPr>
            <w:tcW w:w="1950" w:type="dxa"/>
            <w:tcBorders>
              <w:right w:val="single" w:color="000000" w:sz="6" w:space="0"/>
            </w:tcBorders>
            <w:vAlign w:val="top"/>
          </w:tcPr>
          <w:p w14:paraId="5CD1D870">
            <w:pPr>
              <w:rPr>
                <w:rFonts w:ascii="Arial"/>
                <w:color w:val="auto"/>
                <w:sz w:val="21"/>
                <w:highlight w:val="none"/>
              </w:rPr>
            </w:pPr>
          </w:p>
        </w:tc>
      </w:tr>
      <w:tr w14:paraId="7D55F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24BBB552">
            <w:pPr>
              <w:rPr>
                <w:rFonts w:ascii="Arial"/>
                <w:color w:val="auto"/>
                <w:sz w:val="21"/>
                <w:highlight w:val="none"/>
              </w:rPr>
            </w:pPr>
          </w:p>
        </w:tc>
        <w:tc>
          <w:tcPr>
            <w:tcW w:w="2784" w:type="dxa"/>
            <w:vAlign w:val="top"/>
          </w:tcPr>
          <w:p w14:paraId="111D4360">
            <w:pPr>
              <w:rPr>
                <w:rFonts w:ascii="Arial"/>
                <w:color w:val="auto"/>
                <w:sz w:val="21"/>
                <w:highlight w:val="none"/>
              </w:rPr>
            </w:pPr>
          </w:p>
        </w:tc>
        <w:tc>
          <w:tcPr>
            <w:tcW w:w="1215" w:type="dxa"/>
            <w:vAlign w:val="top"/>
          </w:tcPr>
          <w:p w14:paraId="168633EE">
            <w:pPr>
              <w:rPr>
                <w:rFonts w:ascii="Arial"/>
                <w:color w:val="auto"/>
                <w:sz w:val="21"/>
                <w:highlight w:val="none"/>
              </w:rPr>
            </w:pPr>
          </w:p>
        </w:tc>
        <w:tc>
          <w:tcPr>
            <w:tcW w:w="1696" w:type="dxa"/>
            <w:vAlign w:val="top"/>
          </w:tcPr>
          <w:p w14:paraId="5E72E7EB">
            <w:pPr>
              <w:rPr>
                <w:rFonts w:ascii="Arial"/>
                <w:color w:val="auto"/>
                <w:sz w:val="21"/>
                <w:highlight w:val="none"/>
              </w:rPr>
            </w:pPr>
          </w:p>
        </w:tc>
        <w:tc>
          <w:tcPr>
            <w:tcW w:w="1950" w:type="dxa"/>
            <w:tcBorders>
              <w:right w:val="single" w:color="000000" w:sz="6" w:space="0"/>
            </w:tcBorders>
            <w:vAlign w:val="top"/>
          </w:tcPr>
          <w:p w14:paraId="0FF98D25">
            <w:pPr>
              <w:rPr>
                <w:rFonts w:ascii="Arial"/>
                <w:color w:val="auto"/>
                <w:sz w:val="21"/>
                <w:highlight w:val="none"/>
              </w:rPr>
            </w:pPr>
          </w:p>
        </w:tc>
      </w:tr>
      <w:tr w14:paraId="7CA15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4BB79700">
            <w:pPr>
              <w:rPr>
                <w:rFonts w:ascii="Arial"/>
                <w:color w:val="auto"/>
                <w:sz w:val="21"/>
                <w:highlight w:val="none"/>
              </w:rPr>
            </w:pPr>
          </w:p>
        </w:tc>
        <w:tc>
          <w:tcPr>
            <w:tcW w:w="2784" w:type="dxa"/>
            <w:vAlign w:val="top"/>
          </w:tcPr>
          <w:p w14:paraId="64D57E5D">
            <w:pPr>
              <w:rPr>
                <w:rFonts w:ascii="Arial"/>
                <w:color w:val="auto"/>
                <w:sz w:val="21"/>
                <w:highlight w:val="none"/>
              </w:rPr>
            </w:pPr>
          </w:p>
        </w:tc>
        <w:tc>
          <w:tcPr>
            <w:tcW w:w="1215" w:type="dxa"/>
            <w:vAlign w:val="top"/>
          </w:tcPr>
          <w:p w14:paraId="346BC92F">
            <w:pPr>
              <w:rPr>
                <w:rFonts w:ascii="Arial"/>
                <w:color w:val="auto"/>
                <w:sz w:val="21"/>
                <w:highlight w:val="none"/>
              </w:rPr>
            </w:pPr>
          </w:p>
        </w:tc>
        <w:tc>
          <w:tcPr>
            <w:tcW w:w="1696" w:type="dxa"/>
            <w:vAlign w:val="top"/>
          </w:tcPr>
          <w:p w14:paraId="6DAEFBC8">
            <w:pPr>
              <w:rPr>
                <w:rFonts w:ascii="Arial"/>
                <w:color w:val="auto"/>
                <w:sz w:val="21"/>
                <w:highlight w:val="none"/>
              </w:rPr>
            </w:pPr>
          </w:p>
        </w:tc>
        <w:tc>
          <w:tcPr>
            <w:tcW w:w="1950" w:type="dxa"/>
            <w:tcBorders>
              <w:right w:val="single" w:color="000000" w:sz="6" w:space="0"/>
            </w:tcBorders>
            <w:vAlign w:val="top"/>
          </w:tcPr>
          <w:p w14:paraId="79722889">
            <w:pPr>
              <w:rPr>
                <w:rFonts w:ascii="Arial"/>
                <w:color w:val="auto"/>
                <w:sz w:val="21"/>
                <w:highlight w:val="none"/>
              </w:rPr>
            </w:pPr>
          </w:p>
        </w:tc>
      </w:tr>
      <w:tr w14:paraId="30CA5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5852C1BF">
            <w:pPr>
              <w:rPr>
                <w:rFonts w:ascii="Arial"/>
                <w:color w:val="auto"/>
                <w:sz w:val="21"/>
                <w:highlight w:val="none"/>
              </w:rPr>
            </w:pPr>
          </w:p>
        </w:tc>
        <w:tc>
          <w:tcPr>
            <w:tcW w:w="2784" w:type="dxa"/>
            <w:vAlign w:val="top"/>
          </w:tcPr>
          <w:p w14:paraId="53F3C839">
            <w:pPr>
              <w:rPr>
                <w:rFonts w:ascii="Arial"/>
                <w:color w:val="auto"/>
                <w:sz w:val="21"/>
                <w:highlight w:val="none"/>
              </w:rPr>
            </w:pPr>
          </w:p>
        </w:tc>
        <w:tc>
          <w:tcPr>
            <w:tcW w:w="1215" w:type="dxa"/>
            <w:vAlign w:val="top"/>
          </w:tcPr>
          <w:p w14:paraId="630FFC7D">
            <w:pPr>
              <w:rPr>
                <w:rFonts w:ascii="Arial"/>
                <w:color w:val="auto"/>
                <w:sz w:val="21"/>
                <w:highlight w:val="none"/>
              </w:rPr>
            </w:pPr>
          </w:p>
        </w:tc>
        <w:tc>
          <w:tcPr>
            <w:tcW w:w="1696" w:type="dxa"/>
            <w:vAlign w:val="top"/>
          </w:tcPr>
          <w:p w14:paraId="5DDB6935">
            <w:pPr>
              <w:rPr>
                <w:rFonts w:ascii="Arial"/>
                <w:color w:val="auto"/>
                <w:sz w:val="21"/>
                <w:highlight w:val="none"/>
              </w:rPr>
            </w:pPr>
          </w:p>
        </w:tc>
        <w:tc>
          <w:tcPr>
            <w:tcW w:w="1950" w:type="dxa"/>
            <w:tcBorders>
              <w:right w:val="single" w:color="000000" w:sz="6" w:space="0"/>
            </w:tcBorders>
            <w:vAlign w:val="top"/>
          </w:tcPr>
          <w:p w14:paraId="3757B16E">
            <w:pPr>
              <w:rPr>
                <w:rFonts w:ascii="Arial"/>
                <w:color w:val="auto"/>
                <w:sz w:val="21"/>
                <w:highlight w:val="none"/>
              </w:rPr>
            </w:pPr>
          </w:p>
        </w:tc>
      </w:tr>
      <w:tr w14:paraId="76E1D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363" w:type="dxa"/>
            <w:tcBorders>
              <w:left w:val="single" w:color="000000" w:sz="6" w:space="0"/>
            </w:tcBorders>
            <w:vAlign w:val="top"/>
          </w:tcPr>
          <w:p w14:paraId="4C0B2D56">
            <w:pPr>
              <w:rPr>
                <w:rFonts w:ascii="Arial"/>
                <w:color w:val="auto"/>
                <w:sz w:val="21"/>
                <w:highlight w:val="none"/>
              </w:rPr>
            </w:pPr>
          </w:p>
        </w:tc>
        <w:tc>
          <w:tcPr>
            <w:tcW w:w="2784" w:type="dxa"/>
            <w:vAlign w:val="top"/>
          </w:tcPr>
          <w:p w14:paraId="6AE125D4">
            <w:pPr>
              <w:rPr>
                <w:rFonts w:ascii="Arial"/>
                <w:color w:val="auto"/>
                <w:sz w:val="21"/>
                <w:highlight w:val="none"/>
              </w:rPr>
            </w:pPr>
          </w:p>
        </w:tc>
        <w:tc>
          <w:tcPr>
            <w:tcW w:w="1215" w:type="dxa"/>
            <w:vAlign w:val="top"/>
          </w:tcPr>
          <w:p w14:paraId="1161E5E8">
            <w:pPr>
              <w:rPr>
                <w:rFonts w:ascii="Arial"/>
                <w:color w:val="auto"/>
                <w:sz w:val="21"/>
                <w:highlight w:val="none"/>
              </w:rPr>
            </w:pPr>
          </w:p>
        </w:tc>
        <w:tc>
          <w:tcPr>
            <w:tcW w:w="1696" w:type="dxa"/>
            <w:vAlign w:val="top"/>
          </w:tcPr>
          <w:p w14:paraId="530B3E95">
            <w:pPr>
              <w:rPr>
                <w:rFonts w:ascii="Arial"/>
                <w:color w:val="auto"/>
                <w:sz w:val="21"/>
                <w:highlight w:val="none"/>
              </w:rPr>
            </w:pPr>
          </w:p>
        </w:tc>
        <w:tc>
          <w:tcPr>
            <w:tcW w:w="1950" w:type="dxa"/>
            <w:tcBorders>
              <w:right w:val="single" w:color="000000" w:sz="6" w:space="0"/>
            </w:tcBorders>
            <w:vAlign w:val="top"/>
          </w:tcPr>
          <w:p w14:paraId="356DD52D">
            <w:pPr>
              <w:rPr>
                <w:rFonts w:ascii="Arial"/>
                <w:color w:val="auto"/>
                <w:sz w:val="21"/>
                <w:highlight w:val="none"/>
              </w:rPr>
            </w:pPr>
          </w:p>
        </w:tc>
      </w:tr>
      <w:tr w14:paraId="76467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4DA97FED">
            <w:pPr>
              <w:rPr>
                <w:rFonts w:ascii="Arial"/>
                <w:color w:val="auto"/>
                <w:sz w:val="21"/>
                <w:highlight w:val="none"/>
              </w:rPr>
            </w:pPr>
          </w:p>
        </w:tc>
        <w:tc>
          <w:tcPr>
            <w:tcW w:w="2784" w:type="dxa"/>
            <w:vAlign w:val="top"/>
          </w:tcPr>
          <w:p w14:paraId="55AACBC7">
            <w:pPr>
              <w:rPr>
                <w:rFonts w:ascii="Arial"/>
                <w:color w:val="auto"/>
                <w:sz w:val="21"/>
                <w:highlight w:val="none"/>
              </w:rPr>
            </w:pPr>
          </w:p>
        </w:tc>
        <w:tc>
          <w:tcPr>
            <w:tcW w:w="1215" w:type="dxa"/>
            <w:vAlign w:val="top"/>
          </w:tcPr>
          <w:p w14:paraId="317023B3">
            <w:pPr>
              <w:rPr>
                <w:rFonts w:ascii="Arial"/>
                <w:color w:val="auto"/>
                <w:sz w:val="21"/>
                <w:highlight w:val="none"/>
              </w:rPr>
            </w:pPr>
          </w:p>
        </w:tc>
        <w:tc>
          <w:tcPr>
            <w:tcW w:w="1696" w:type="dxa"/>
            <w:vAlign w:val="top"/>
          </w:tcPr>
          <w:p w14:paraId="6711689A">
            <w:pPr>
              <w:rPr>
                <w:rFonts w:ascii="Arial"/>
                <w:color w:val="auto"/>
                <w:sz w:val="21"/>
                <w:highlight w:val="none"/>
              </w:rPr>
            </w:pPr>
          </w:p>
        </w:tc>
        <w:tc>
          <w:tcPr>
            <w:tcW w:w="1950" w:type="dxa"/>
            <w:tcBorders>
              <w:right w:val="single" w:color="000000" w:sz="6" w:space="0"/>
            </w:tcBorders>
            <w:vAlign w:val="top"/>
          </w:tcPr>
          <w:p w14:paraId="2848FCD6">
            <w:pPr>
              <w:rPr>
                <w:rFonts w:ascii="Arial"/>
                <w:color w:val="auto"/>
                <w:sz w:val="21"/>
                <w:highlight w:val="none"/>
              </w:rPr>
            </w:pPr>
          </w:p>
        </w:tc>
      </w:tr>
      <w:tr w14:paraId="3B559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1B6A7DCE">
            <w:pPr>
              <w:rPr>
                <w:rFonts w:ascii="Arial"/>
                <w:color w:val="auto"/>
                <w:sz w:val="21"/>
                <w:highlight w:val="none"/>
              </w:rPr>
            </w:pPr>
          </w:p>
        </w:tc>
        <w:tc>
          <w:tcPr>
            <w:tcW w:w="2784" w:type="dxa"/>
            <w:vAlign w:val="top"/>
          </w:tcPr>
          <w:p w14:paraId="16EF95A9">
            <w:pPr>
              <w:rPr>
                <w:rFonts w:ascii="Arial"/>
                <w:color w:val="auto"/>
                <w:sz w:val="21"/>
                <w:highlight w:val="none"/>
              </w:rPr>
            </w:pPr>
          </w:p>
        </w:tc>
        <w:tc>
          <w:tcPr>
            <w:tcW w:w="1215" w:type="dxa"/>
            <w:vAlign w:val="top"/>
          </w:tcPr>
          <w:p w14:paraId="15D4DDDA">
            <w:pPr>
              <w:rPr>
                <w:rFonts w:ascii="Arial"/>
                <w:color w:val="auto"/>
                <w:sz w:val="21"/>
                <w:highlight w:val="none"/>
              </w:rPr>
            </w:pPr>
          </w:p>
        </w:tc>
        <w:tc>
          <w:tcPr>
            <w:tcW w:w="1696" w:type="dxa"/>
            <w:vAlign w:val="top"/>
          </w:tcPr>
          <w:p w14:paraId="59CF1220">
            <w:pPr>
              <w:rPr>
                <w:rFonts w:ascii="Arial"/>
                <w:color w:val="auto"/>
                <w:sz w:val="21"/>
                <w:highlight w:val="none"/>
              </w:rPr>
            </w:pPr>
          </w:p>
        </w:tc>
        <w:tc>
          <w:tcPr>
            <w:tcW w:w="1950" w:type="dxa"/>
            <w:tcBorders>
              <w:right w:val="single" w:color="000000" w:sz="6" w:space="0"/>
            </w:tcBorders>
            <w:vAlign w:val="top"/>
          </w:tcPr>
          <w:p w14:paraId="38B0D887">
            <w:pPr>
              <w:rPr>
                <w:rFonts w:ascii="Arial"/>
                <w:color w:val="auto"/>
                <w:sz w:val="21"/>
                <w:highlight w:val="none"/>
              </w:rPr>
            </w:pPr>
          </w:p>
        </w:tc>
      </w:tr>
      <w:tr w14:paraId="0836A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0625801F">
            <w:pPr>
              <w:rPr>
                <w:rFonts w:ascii="Arial"/>
                <w:color w:val="auto"/>
                <w:sz w:val="21"/>
                <w:highlight w:val="none"/>
              </w:rPr>
            </w:pPr>
          </w:p>
        </w:tc>
        <w:tc>
          <w:tcPr>
            <w:tcW w:w="2784" w:type="dxa"/>
            <w:vAlign w:val="top"/>
          </w:tcPr>
          <w:p w14:paraId="4E7B5D57">
            <w:pPr>
              <w:rPr>
                <w:rFonts w:ascii="Arial"/>
                <w:color w:val="auto"/>
                <w:sz w:val="21"/>
                <w:highlight w:val="none"/>
              </w:rPr>
            </w:pPr>
          </w:p>
        </w:tc>
        <w:tc>
          <w:tcPr>
            <w:tcW w:w="1215" w:type="dxa"/>
            <w:vAlign w:val="top"/>
          </w:tcPr>
          <w:p w14:paraId="4280BE86">
            <w:pPr>
              <w:rPr>
                <w:rFonts w:ascii="Arial"/>
                <w:color w:val="auto"/>
                <w:sz w:val="21"/>
                <w:highlight w:val="none"/>
              </w:rPr>
            </w:pPr>
          </w:p>
        </w:tc>
        <w:tc>
          <w:tcPr>
            <w:tcW w:w="1696" w:type="dxa"/>
            <w:vAlign w:val="top"/>
          </w:tcPr>
          <w:p w14:paraId="02DB52F4">
            <w:pPr>
              <w:rPr>
                <w:rFonts w:ascii="Arial"/>
                <w:color w:val="auto"/>
                <w:sz w:val="21"/>
                <w:highlight w:val="none"/>
              </w:rPr>
            </w:pPr>
          </w:p>
        </w:tc>
        <w:tc>
          <w:tcPr>
            <w:tcW w:w="1950" w:type="dxa"/>
            <w:tcBorders>
              <w:right w:val="single" w:color="000000" w:sz="6" w:space="0"/>
            </w:tcBorders>
            <w:vAlign w:val="top"/>
          </w:tcPr>
          <w:p w14:paraId="077543BE">
            <w:pPr>
              <w:rPr>
                <w:rFonts w:ascii="Arial"/>
                <w:color w:val="auto"/>
                <w:sz w:val="21"/>
                <w:highlight w:val="none"/>
              </w:rPr>
            </w:pPr>
          </w:p>
        </w:tc>
      </w:tr>
      <w:tr w14:paraId="7F7A5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02FEE156">
            <w:pPr>
              <w:rPr>
                <w:rFonts w:ascii="Arial"/>
                <w:color w:val="auto"/>
                <w:sz w:val="21"/>
                <w:highlight w:val="none"/>
              </w:rPr>
            </w:pPr>
          </w:p>
        </w:tc>
        <w:tc>
          <w:tcPr>
            <w:tcW w:w="2784" w:type="dxa"/>
            <w:vAlign w:val="top"/>
          </w:tcPr>
          <w:p w14:paraId="20261CE8">
            <w:pPr>
              <w:rPr>
                <w:rFonts w:ascii="Arial"/>
                <w:color w:val="auto"/>
                <w:sz w:val="21"/>
                <w:highlight w:val="none"/>
              </w:rPr>
            </w:pPr>
          </w:p>
        </w:tc>
        <w:tc>
          <w:tcPr>
            <w:tcW w:w="1215" w:type="dxa"/>
            <w:vAlign w:val="top"/>
          </w:tcPr>
          <w:p w14:paraId="50FD6CF9">
            <w:pPr>
              <w:rPr>
                <w:rFonts w:ascii="Arial"/>
                <w:color w:val="auto"/>
                <w:sz w:val="21"/>
                <w:highlight w:val="none"/>
              </w:rPr>
            </w:pPr>
          </w:p>
        </w:tc>
        <w:tc>
          <w:tcPr>
            <w:tcW w:w="1696" w:type="dxa"/>
            <w:vAlign w:val="top"/>
          </w:tcPr>
          <w:p w14:paraId="2E53DB91">
            <w:pPr>
              <w:rPr>
                <w:rFonts w:ascii="Arial"/>
                <w:color w:val="auto"/>
                <w:sz w:val="21"/>
                <w:highlight w:val="none"/>
              </w:rPr>
            </w:pPr>
          </w:p>
        </w:tc>
        <w:tc>
          <w:tcPr>
            <w:tcW w:w="1950" w:type="dxa"/>
            <w:tcBorders>
              <w:right w:val="single" w:color="000000" w:sz="6" w:space="0"/>
            </w:tcBorders>
            <w:vAlign w:val="top"/>
          </w:tcPr>
          <w:p w14:paraId="2825801C">
            <w:pPr>
              <w:rPr>
                <w:rFonts w:ascii="Arial"/>
                <w:color w:val="auto"/>
                <w:sz w:val="21"/>
                <w:highlight w:val="none"/>
              </w:rPr>
            </w:pPr>
          </w:p>
        </w:tc>
      </w:tr>
      <w:tr w14:paraId="3D938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4E0E3772">
            <w:pPr>
              <w:rPr>
                <w:rFonts w:ascii="Arial"/>
                <w:color w:val="auto"/>
                <w:sz w:val="21"/>
                <w:highlight w:val="none"/>
              </w:rPr>
            </w:pPr>
          </w:p>
        </w:tc>
        <w:tc>
          <w:tcPr>
            <w:tcW w:w="2784" w:type="dxa"/>
            <w:vAlign w:val="top"/>
          </w:tcPr>
          <w:p w14:paraId="5EBF50F0">
            <w:pPr>
              <w:rPr>
                <w:rFonts w:ascii="Arial"/>
                <w:color w:val="auto"/>
                <w:sz w:val="21"/>
                <w:highlight w:val="none"/>
              </w:rPr>
            </w:pPr>
          </w:p>
        </w:tc>
        <w:tc>
          <w:tcPr>
            <w:tcW w:w="1215" w:type="dxa"/>
            <w:vAlign w:val="top"/>
          </w:tcPr>
          <w:p w14:paraId="1CF6C7CA">
            <w:pPr>
              <w:rPr>
                <w:rFonts w:ascii="Arial"/>
                <w:color w:val="auto"/>
                <w:sz w:val="21"/>
                <w:highlight w:val="none"/>
              </w:rPr>
            </w:pPr>
          </w:p>
        </w:tc>
        <w:tc>
          <w:tcPr>
            <w:tcW w:w="1696" w:type="dxa"/>
            <w:vAlign w:val="top"/>
          </w:tcPr>
          <w:p w14:paraId="41C9FA4D">
            <w:pPr>
              <w:rPr>
                <w:rFonts w:ascii="Arial"/>
                <w:color w:val="auto"/>
                <w:sz w:val="21"/>
                <w:highlight w:val="none"/>
              </w:rPr>
            </w:pPr>
          </w:p>
        </w:tc>
        <w:tc>
          <w:tcPr>
            <w:tcW w:w="1950" w:type="dxa"/>
            <w:tcBorders>
              <w:right w:val="single" w:color="000000" w:sz="6" w:space="0"/>
            </w:tcBorders>
            <w:vAlign w:val="top"/>
          </w:tcPr>
          <w:p w14:paraId="2217172D">
            <w:pPr>
              <w:rPr>
                <w:rFonts w:ascii="Arial"/>
                <w:color w:val="auto"/>
                <w:sz w:val="21"/>
                <w:highlight w:val="none"/>
              </w:rPr>
            </w:pPr>
          </w:p>
        </w:tc>
      </w:tr>
      <w:tr w14:paraId="1D9DB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1363" w:type="dxa"/>
            <w:tcBorders>
              <w:left w:val="single" w:color="000000" w:sz="6" w:space="0"/>
            </w:tcBorders>
            <w:vAlign w:val="top"/>
          </w:tcPr>
          <w:p w14:paraId="3BEC31F9">
            <w:pPr>
              <w:rPr>
                <w:rFonts w:ascii="Arial"/>
                <w:color w:val="auto"/>
                <w:sz w:val="21"/>
                <w:highlight w:val="none"/>
              </w:rPr>
            </w:pPr>
          </w:p>
        </w:tc>
        <w:tc>
          <w:tcPr>
            <w:tcW w:w="2784" w:type="dxa"/>
            <w:vAlign w:val="top"/>
          </w:tcPr>
          <w:p w14:paraId="57808E2F">
            <w:pPr>
              <w:rPr>
                <w:rFonts w:ascii="Arial"/>
                <w:color w:val="auto"/>
                <w:sz w:val="21"/>
                <w:highlight w:val="none"/>
              </w:rPr>
            </w:pPr>
          </w:p>
        </w:tc>
        <w:tc>
          <w:tcPr>
            <w:tcW w:w="1215" w:type="dxa"/>
            <w:vAlign w:val="top"/>
          </w:tcPr>
          <w:p w14:paraId="0FA531B6">
            <w:pPr>
              <w:rPr>
                <w:rFonts w:ascii="Arial"/>
                <w:color w:val="auto"/>
                <w:sz w:val="21"/>
                <w:highlight w:val="none"/>
              </w:rPr>
            </w:pPr>
          </w:p>
        </w:tc>
        <w:tc>
          <w:tcPr>
            <w:tcW w:w="1696" w:type="dxa"/>
            <w:vAlign w:val="top"/>
          </w:tcPr>
          <w:p w14:paraId="39918433">
            <w:pPr>
              <w:rPr>
                <w:rFonts w:ascii="Arial"/>
                <w:color w:val="auto"/>
                <w:sz w:val="21"/>
                <w:highlight w:val="none"/>
              </w:rPr>
            </w:pPr>
          </w:p>
        </w:tc>
        <w:tc>
          <w:tcPr>
            <w:tcW w:w="1950" w:type="dxa"/>
            <w:tcBorders>
              <w:right w:val="single" w:color="000000" w:sz="6" w:space="0"/>
            </w:tcBorders>
            <w:vAlign w:val="top"/>
          </w:tcPr>
          <w:p w14:paraId="16709EC6">
            <w:pPr>
              <w:rPr>
                <w:rFonts w:ascii="Arial"/>
                <w:color w:val="auto"/>
                <w:sz w:val="21"/>
                <w:highlight w:val="none"/>
              </w:rPr>
            </w:pPr>
          </w:p>
        </w:tc>
      </w:tr>
      <w:tr w14:paraId="65465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363" w:type="dxa"/>
            <w:tcBorders>
              <w:left w:val="single" w:color="000000" w:sz="6" w:space="0"/>
            </w:tcBorders>
            <w:vAlign w:val="top"/>
          </w:tcPr>
          <w:p w14:paraId="5D5C989C">
            <w:pPr>
              <w:rPr>
                <w:rFonts w:ascii="Arial"/>
                <w:color w:val="auto"/>
                <w:sz w:val="21"/>
                <w:highlight w:val="none"/>
              </w:rPr>
            </w:pPr>
          </w:p>
        </w:tc>
        <w:tc>
          <w:tcPr>
            <w:tcW w:w="2784" w:type="dxa"/>
            <w:vAlign w:val="top"/>
          </w:tcPr>
          <w:p w14:paraId="24FD91B2">
            <w:pPr>
              <w:rPr>
                <w:rFonts w:ascii="Arial"/>
                <w:color w:val="auto"/>
                <w:sz w:val="21"/>
                <w:highlight w:val="none"/>
              </w:rPr>
            </w:pPr>
          </w:p>
        </w:tc>
        <w:tc>
          <w:tcPr>
            <w:tcW w:w="1215" w:type="dxa"/>
            <w:vAlign w:val="top"/>
          </w:tcPr>
          <w:p w14:paraId="596322C5">
            <w:pPr>
              <w:rPr>
                <w:rFonts w:ascii="Arial"/>
                <w:color w:val="auto"/>
                <w:sz w:val="21"/>
                <w:highlight w:val="none"/>
              </w:rPr>
            </w:pPr>
          </w:p>
        </w:tc>
        <w:tc>
          <w:tcPr>
            <w:tcW w:w="1696" w:type="dxa"/>
            <w:vAlign w:val="top"/>
          </w:tcPr>
          <w:p w14:paraId="298B01F6">
            <w:pPr>
              <w:rPr>
                <w:rFonts w:ascii="Arial"/>
                <w:color w:val="auto"/>
                <w:sz w:val="21"/>
                <w:highlight w:val="none"/>
              </w:rPr>
            </w:pPr>
          </w:p>
        </w:tc>
        <w:tc>
          <w:tcPr>
            <w:tcW w:w="1950" w:type="dxa"/>
            <w:tcBorders>
              <w:right w:val="single" w:color="000000" w:sz="6" w:space="0"/>
            </w:tcBorders>
            <w:vAlign w:val="top"/>
          </w:tcPr>
          <w:p w14:paraId="78492105">
            <w:pPr>
              <w:rPr>
                <w:rFonts w:ascii="Arial"/>
                <w:color w:val="auto"/>
                <w:sz w:val="21"/>
                <w:highlight w:val="none"/>
              </w:rPr>
            </w:pPr>
          </w:p>
        </w:tc>
      </w:tr>
      <w:tr w14:paraId="2D6CF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63" w:type="dxa"/>
            <w:tcBorders>
              <w:left w:val="single" w:color="000000" w:sz="6" w:space="0"/>
              <w:bottom w:val="single" w:color="000000" w:sz="6" w:space="0"/>
            </w:tcBorders>
            <w:vAlign w:val="top"/>
          </w:tcPr>
          <w:p w14:paraId="78210AE6">
            <w:pPr>
              <w:rPr>
                <w:rFonts w:ascii="Arial"/>
                <w:color w:val="auto"/>
                <w:sz w:val="21"/>
                <w:highlight w:val="none"/>
              </w:rPr>
            </w:pPr>
          </w:p>
        </w:tc>
        <w:tc>
          <w:tcPr>
            <w:tcW w:w="2784" w:type="dxa"/>
            <w:tcBorders>
              <w:bottom w:val="single" w:color="000000" w:sz="6" w:space="0"/>
            </w:tcBorders>
            <w:vAlign w:val="top"/>
          </w:tcPr>
          <w:p w14:paraId="49D662AB">
            <w:pPr>
              <w:rPr>
                <w:rFonts w:ascii="Arial"/>
                <w:color w:val="auto"/>
                <w:sz w:val="21"/>
                <w:highlight w:val="none"/>
              </w:rPr>
            </w:pPr>
          </w:p>
        </w:tc>
        <w:tc>
          <w:tcPr>
            <w:tcW w:w="1215" w:type="dxa"/>
            <w:tcBorders>
              <w:bottom w:val="single" w:color="000000" w:sz="6" w:space="0"/>
            </w:tcBorders>
            <w:vAlign w:val="top"/>
          </w:tcPr>
          <w:p w14:paraId="753F3445">
            <w:pPr>
              <w:rPr>
                <w:rFonts w:ascii="Arial"/>
                <w:color w:val="auto"/>
                <w:sz w:val="21"/>
                <w:highlight w:val="none"/>
              </w:rPr>
            </w:pPr>
          </w:p>
        </w:tc>
        <w:tc>
          <w:tcPr>
            <w:tcW w:w="1696" w:type="dxa"/>
            <w:tcBorders>
              <w:bottom w:val="single" w:color="000000" w:sz="6" w:space="0"/>
            </w:tcBorders>
            <w:vAlign w:val="top"/>
          </w:tcPr>
          <w:p w14:paraId="4E49DABF">
            <w:pPr>
              <w:rPr>
                <w:rFonts w:ascii="Arial"/>
                <w:color w:val="auto"/>
                <w:sz w:val="21"/>
                <w:highlight w:val="none"/>
              </w:rPr>
            </w:pPr>
          </w:p>
        </w:tc>
        <w:tc>
          <w:tcPr>
            <w:tcW w:w="1950" w:type="dxa"/>
            <w:tcBorders>
              <w:bottom w:val="single" w:color="000000" w:sz="6" w:space="0"/>
              <w:right w:val="single" w:color="000000" w:sz="6" w:space="0"/>
            </w:tcBorders>
            <w:vAlign w:val="top"/>
          </w:tcPr>
          <w:p w14:paraId="7535E89C">
            <w:pPr>
              <w:rPr>
                <w:rFonts w:ascii="Arial"/>
                <w:color w:val="auto"/>
                <w:sz w:val="21"/>
                <w:highlight w:val="none"/>
              </w:rPr>
            </w:pPr>
          </w:p>
        </w:tc>
      </w:tr>
    </w:tbl>
    <w:p w14:paraId="4505F923">
      <w:pPr>
        <w:spacing w:before="30" w:line="211" w:lineRule="auto"/>
        <w:ind w:left="92"/>
        <w:rPr>
          <w:rFonts w:ascii="宋体" w:hAnsi="宋体" w:eastAsia="宋体" w:cs="宋体"/>
          <w:color w:val="auto"/>
          <w:sz w:val="22"/>
          <w:szCs w:val="22"/>
          <w:highlight w:val="none"/>
        </w:rPr>
      </w:pPr>
      <w:r>
        <w:rPr>
          <w:rFonts w:ascii="宋体" w:hAnsi="宋体" w:eastAsia="宋体" w:cs="宋体"/>
          <w:i/>
          <w:iCs/>
          <w:color w:val="auto"/>
          <w:spacing w:val="-13"/>
          <w:sz w:val="22"/>
          <w:szCs w:val="22"/>
          <w:highlight w:val="none"/>
        </w:rPr>
        <w:t>注：招标人不提供施工设施的，本表删除。</w:t>
      </w:r>
    </w:p>
    <w:p w14:paraId="40EE2F88">
      <w:pPr>
        <w:spacing w:line="211" w:lineRule="auto"/>
        <w:rPr>
          <w:rFonts w:ascii="宋体" w:hAnsi="宋体" w:eastAsia="宋体" w:cs="宋体"/>
          <w:color w:val="auto"/>
          <w:sz w:val="22"/>
          <w:szCs w:val="22"/>
          <w:highlight w:val="none"/>
        </w:rPr>
        <w:sectPr>
          <w:footerReference r:id="rId100" w:type="default"/>
          <w:pgSz w:w="11907" w:h="16841"/>
          <w:pgMar w:top="1428" w:right="1293" w:bottom="1254" w:left="1588" w:header="0" w:footer="1093" w:gutter="0"/>
          <w:pgNumType w:fmt="decimal"/>
          <w:cols w:space="720" w:num="1"/>
        </w:sectPr>
      </w:pPr>
    </w:p>
    <w:p w14:paraId="6B35920A">
      <w:pPr>
        <w:pStyle w:val="3"/>
        <w:spacing w:line="243" w:lineRule="auto"/>
        <w:rPr>
          <w:color w:val="auto"/>
          <w:highlight w:val="none"/>
        </w:rPr>
      </w:pPr>
    </w:p>
    <w:p w14:paraId="6C1D0486">
      <w:pPr>
        <w:pStyle w:val="3"/>
        <w:spacing w:line="243" w:lineRule="auto"/>
        <w:rPr>
          <w:color w:val="auto"/>
          <w:highlight w:val="none"/>
        </w:rPr>
      </w:pPr>
    </w:p>
    <w:p w14:paraId="4A08E9D3">
      <w:pPr>
        <w:pStyle w:val="3"/>
        <w:spacing w:line="243" w:lineRule="auto"/>
        <w:rPr>
          <w:color w:val="auto"/>
          <w:highlight w:val="none"/>
        </w:rPr>
      </w:pPr>
    </w:p>
    <w:p w14:paraId="2D7826D9">
      <w:pPr>
        <w:pStyle w:val="3"/>
        <w:spacing w:line="243" w:lineRule="auto"/>
        <w:rPr>
          <w:color w:val="auto"/>
          <w:highlight w:val="none"/>
        </w:rPr>
      </w:pPr>
    </w:p>
    <w:p w14:paraId="59BD9B0E">
      <w:pPr>
        <w:pStyle w:val="3"/>
        <w:spacing w:line="243" w:lineRule="auto"/>
        <w:rPr>
          <w:color w:val="auto"/>
          <w:highlight w:val="none"/>
        </w:rPr>
      </w:pPr>
    </w:p>
    <w:p w14:paraId="344DFADD">
      <w:pPr>
        <w:pStyle w:val="3"/>
        <w:spacing w:line="243" w:lineRule="auto"/>
        <w:rPr>
          <w:color w:val="auto"/>
          <w:highlight w:val="none"/>
        </w:rPr>
      </w:pPr>
    </w:p>
    <w:p w14:paraId="15DB3169">
      <w:pPr>
        <w:pStyle w:val="3"/>
        <w:spacing w:line="243" w:lineRule="auto"/>
        <w:rPr>
          <w:color w:val="auto"/>
          <w:highlight w:val="none"/>
        </w:rPr>
      </w:pPr>
    </w:p>
    <w:p w14:paraId="2A66290B">
      <w:pPr>
        <w:pStyle w:val="3"/>
        <w:spacing w:line="243" w:lineRule="auto"/>
        <w:rPr>
          <w:color w:val="auto"/>
          <w:highlight w:val="none"/>
        </w:rPr>
      </w:pPr>
    </w:p>
    <w:p w14:paraId="6B47B079">
      <w:pPr>
        <w:pStyle w:val="3"/>
        <w:spacing w:line="243" w:lineRule="auto"/>
        <w:rPr>
          <w:color w:val="auto"/>
          <w:highlight w:val="none"/>
        </w:rPr>
      </w:pPr>
    </w:p>
    <w:p w14:paraId="2F7D1E4A">
      <w:pPr>
        <w:pStyle w:val="3"/>
        <w:spacing w:line="243" w:lineRule="auto"/>
        <w:rPr>
          <w:color w:val="auto"/>
          <w:highlight w:val="none"/>
        </w:rPr>
      </w:pPr>
    </w:p>
    <w:p w14:paraId="3EC63E56">
      <w:pPr>
        <w:pStyle w:val="3"/>
        <w:spacing w:line="243" w:lineRule="auto"/>
        <w:rPr>
          <w:color w:val="auto"/>
          <w:highlight w:val="none"/>
        </w:rPr>
      </w:pPr>
    </w:p>
    <w:p w14:paraId="7D1DBD8C">
      <w:pPr>
        <w:pStyle w:val="3"/>
        <w:spacing w:line="243" w:lineRule="auto"/>
        <w:rPr>
          <w:color w:val="auto"/>
          <w:highlight w:val="none"/>
        </w:rPr>
      </w:pPr>
    </w:p>
    <w:p w14:paraId="7B06637A">
      <w:pPr>
        <w:pStyle w:val="3"/>
        <w:spacing w:line="243" w:lineRule="auto"/>
        <w:rPr>
          <w:color w:val="auto"/>
          <w:highlight w:val="none"/>
        </w:rPr>
      </w:pPr>
    </w:p>
    <w:p w14:paraId="154ADF65">
      <w:pPr>
        <w:pStyle w:val="3"/>
        <w:spacing w:line="243" w:lineRule="auto"/>
        <w:rPr>
          <w:color w:val="auto"/>
          <w:highlight w:val="none"/>
        </w:rPr>
      </w:pPr>
    </w:p>
    <w:p w14:paraId="05492245">
      <w:pPr>
        <w:pStyle w:val="3"/>
        <w:spacing w:line="243" w:lineRule="auto"/>
        <w:rPr>
          <w:color w:val="auto"/>
          <w:highlight w:val="none"/>
        </w:rPr>
      </w:pPr>
    </w:p>
    <w:p w14:paraId="66E2E103">
      <w:pPr>
        <w:pStyle w:val="3"/>
        <w:spacing w:line="243" w:lineRule="auto"/>
        <w:rPr>
          <w:color w:val="auto"/>
          <w:highlight w:val="none"/>
        </w:rPr>
      </w:pPr>
    </w:p>
    <w:p w14:paraId="5F21E61E">
      <w:pPr>
        <w:pStyle w:val="3"/>
        <w:spacing w:line="243" w:lineRule="auto"/>
        <w:rPr>
          <w:color w:val="auto"/>
          <w:highlight w:val="none"/>
        </w:rPr>
      </w:pPr>
    </w:p>
    <w:p w14:paraId="2527369B">
      <w:pPr>
        <w:pStyle w:val="3"/>
        <w:spacing w:line="243" w:lineRule="auto"/>
        <w:rPr>
          <w:color w:val="auto"/>
          <w:highlight w:val="none"/>
        </w:rPr>
      </w:pPr>
    </w:p>
    <w:p w14:paraId="61FAB5CC">
      <w:pPr>
        <w:pStyle w:val="3"/>
        <w:spacing w:line="243" w:lineRule="auto"/>
        <w:rPr>
          <w:color w:val="auto"/>
          <w:highlight w:val="none"/>
        </w:rPr>
      </w:pPr>
    </w:p>
    <w:p w14:paraId="5ABC2ED6">
      <w:pPr>
        <w:pStyle w:val="3"/>
        <w:spacing w:line="243" w:lineRule="auto"/>
        <w:rPr>
          <w:color w:val="auto"/>
          <w:highlight w:val="none"/>
        </w:rPr>
      </w:pPr>
    </w:p>
    <w:p w14:paraId="61082A1E">
      <w:pPr>
        <w:pStyle w:val="3"/>
        <w:spacing w:line="243" w:lineRule="auto"/>
        <w:rPr>
          <w:color w:val="auto"/>
          <w:highlight w:val="none"/>
        </w:rPr>
      </w:pPr>
    </w:p>
    <w:p w14:paraId="582CAB3B">
      <w:pPr>
        <w:pStyle w:val="3"/>
        <w:spacing w:line="243" w:lineRule="auto"/>
        <w:rPr>
          <w:color w:val="auto"/>
          <w:highlight w:val="none"/>
        </w:rPr>
      </w:pPr>
    </w:p>
    <w:p w14:paraId="4525D16E">
      <w:pPr>
        <w:pStyle w:val="3"/>
        <w:spacing w:line="243" w:lineRule="auto"/>
        <w:rPr>
          <w:color w:val="auto"/>
          <w:highlight w:val="none"/>
        </w:rPr>
      </w:pPr>
    </w:p>
    <w:p w14:paraId="76F1BA79">
      <w:pPr>
        <w:pStyle w:val="3"/>
        <w:spacing w:line="244" w:lineRule="auto"/>
        <w:rPr>
          <w:color w:val="auto"/>
          <w:highlight w:val="none"/>
        </w:rPr>
      </w:pPr>
    </w:p>
    <w:p w14:paraId="32257F93">
      <w:pPr>
        <w:pStyle w:val="3"/>
        <w:spacing w:line="244" w:lineRule="auto"/>
        <w:rPr>
          <w:color w:val="auto"/>
          <w:highlight w:val="none"/>
        </w:rPr>
      </w:pPr>
    </w:p>
    <w:p w14:paraId="7A48ECB6">
      <w:pPr>
        <w:pStyle w:val="3"/>
        <w:spacing w:line="244" w:lineRule="auto"/>
        <w:rPr>
          <w:color w:val="auto"/>
          <w:highlight w:val="none"/>
        </w:rPr>
      </w:pPr>
    </w:p>
    <w:p w14:paraId="1F6F0BF2">
      <w:pPr>
        <w:spacing w:before="156" w:line="222" w:lineRule="auto"/>
        <w:ind w:left="3251"/>
        <w:outlineLvl w:val="0"/>
        <w:rPr>
          <w:rFonts w:ascii="黑体" w:hAnsi="黑体" w:eastAsia="黑体" w:cs="黑体"/>
          <w:color w:val="auto"/>
          <w:sz w:val="48"/>
          <w:szCs w:val="48"/>
          <w:highlight w:val="none"/>
        </w:rPr>
      </w:pPr>
      <w:bookmarkStart w:id="1048" w:name="bookmark393"/>
      <w:bookmarkEnd w:id="1048"/>
      <w:bookmarkStart w:id="1049" w:name="_Toc2813"/>
      <w:bookmarkStart w:id="1050" w:name="_Toc19224"/>
      <w:r>
        <w:rPr>
          <w:rFonts w:ascii="黑体" w:hAnsi="黑体" w:eastAsia="黑体" w:cs="黑体"/>
          <w:b/>
          <w:bCs/>
          <w:color w:val="auto"/>
          <w:spacing w:val="-21"/>
          <w:sz w:val="48"/>
          <w:szCs w:val="48"/>
          <w:highlight w:val="none"/>
        </w:rPr>
        <w:t>第</w:t>
      </w:r>
      <w:r>
        <w:rPr>
          <w:rFonts w:ascii="黑体" w:hAnsi="黑体" w:eastAsia="黑体" w:cs="黑体"/>
          <w:color w:val="auto"/>
          <w:spacing w:val="30"/>
          <w:sz w:val="48"/>
          <w:szCs w:val="48"/>
          <w:highlight w:val="none"/>
        </w:rPr>
        <w:t xml:space="preserve"> </w:t>
      </w:r>
      <w:r>
        <w:rPr>
          <w:rFonts w:ascii="黑体" w:hAnsi="黑体" w:eastAsia="黑体" w:cs="黑体"/>
          <w:b/>
          <w:bCs/>
          <w:color w:val="auto"/>
          <w:spacing w:val="-21"/>
          <w:sz w:val="48"/>
          <w:szCs w:val="48"/>
          <w:highlight w:val="none"/>
        </w:rPr>
        <w:t>二</w:t>
      </w:r>
      <w:r>
        <w:rPr>
          <w:rFonts w:ascii="黑体" w:hAnsi="黑体" w:eastAsia="黑体" w:cs="黑体"/>
          <w:color w:val="auto"/>
          <w:spacing w:val="29"/>
          <w:sz w:val="48"/>
          <w:szCs w:val="48"/>
          <w:highlight w:val="none"/>
        </w:rPr>
        <w:t xml:space="preserve"> </w:t>
      </w:r>
      <w:r>
        <w:rPr>
          <w:rFonts w:ascii="黑体" w:hAnsi="黑体" w:eastAsia="黑体" w:cs="黑体"/>
          <w:b/>
          <w:bCs/>
          <w:color w:val="auto"/>
          <w:spacing w:val="-21"/>
          <w:sz w:val="48"/>
          <w:szCs w:val="48"/>
          <w:highlight w:val="none"/>
        </w:rPr>
        <w:t>卷</w:t>
      </w:r>
      <w:bookmarkEnd w:id="1049"/>
      <w:bookmarkEnd w:id="1050"/>
    </w:p>
    <w:p w14:paraId="197E1F8E">
      <w:pPr>
        <w:spacing w:line="222" w:lineRule="auto"/>
        <w:rPr>
          <w:rFonts w:ascii="黑体" w:hAnsi="黑体" w:eastAsia="黑体" w:cs="黑体"/>
          <w:color w:val="auto"/>
          <w:sz w:val="48"/>
          <w:szCs w:val="48"/>
          <w:highlight w:val="none"/>
        </w:rPr>
        <w:sectPr>
          <w:footerReference r:id="rId101" w:type="default"/>
          <w:pgSz w:w="11907" w:h="16841"/>
          <w:pgMar w:top="1431" w:right="1527" w:bottom="1254" w:left="1785" w:header="0" w:footer="1093" w:gutter="0"/>
          <w:pgNumType w:fmt="decimal"/>
          <w:cols w:space="720" w:num="1"/>
        </w:sectPr>
      </w:pPr>
    </w:p>
    <w:p w14:paraId="0EF88D9F">
      <w:pPr>
        <w:spacing w:before="71" w:line="219" w:lineRule="auto"/>
        <w:ind w:left="1334"/>
        <w:outlineLvl w:val="0"/>
        <w:rPr>
          <w:rFonts w:ascii="宋体" w:hAnsi="宋体" w:eastAsia="宋体" w:cs="宋体"/>
          <w:color w:val="auto"/>
          <w:sz w:val="36"/>
          <w:szCs w:val="36"/>
          <w:highlight w:val="none"/>
        </w:rPr>
      </w:pPr>
      <w:bookmarkStart w:id="1051" w:name="bookmark394"/>
      <w:bookmarkEnd w:id="1051"/>
      <w:bookmarkStart w:id="1052" w:name="bookmark395"/>
      <w:bookmarkEnd w:id="1052"/>
      <w:bookmarkStart w:id="1053" w:name="_Toc1026"/>
      <w:bookmarkStart w:id="1054" w:name="_Toc21814"/>
      <w:r>
        <w:rPr>
          <w:rFonts w:ascii="宋体" w:hAnsi="宋体" w:eastAsia="宋体" w:cs="宋体"/>
          <w:b/>
          <w:bCs/>
          <w:color w:val="auto"/>
          <w:spacing w:val="-3"/>
          <w:sz w:val="36"/>
          <w:szCs w:val="36"/>
          <w:highlight w:val="none"/>
        </w:rPr>
        <w:t>第六章</w:t>
      </w:r>
      <w:r>
        <w:rPr>
          <w:rFonts w:ascii="宋体" w:hAnsi="宋体" w:eastAsia="宋体" w:cs="宋体"/>
          <w:color w:val="auto"/>
          <w:spacing w:val="-3"/>
          <w:sz w:val="36"/>
          <w:szCs w:val="36"/>
          <w:highlight w:val="none"/>
        </w:rPr>
        <w:t xml:space="preserve">  </w:t>
      </w:r>
      <w:r>
        <w:rPr>
          <w:rFonts w:ascii="宋体" w:hAnsi="宋体" w:eastAsia="宋体" w:cs="宋体"/>
          <w:b/>
          <w:bCs/>
          <w:color w:val="auto"/>
          <w:spacing w:val="-3"/>
          <w:sz w:val="36"/>
          <w:szCs w:val="36"/>
          <w:highlight w:val="none"/>
        </w:rPr>
        <w:t>图纸（招标图纸）及其他资料</w:t>
      </w:r>
      <w:bookmarkEnd w:id="1053"/>
      <w:bookmarkEnd w:id="1054"/>
    </w:p>
    <w:p w14:paraId="1C4105AA">
      <w:pPr>
        <w:pStyle w:val="3"/>
        <w:spacing w:line="352" w:lineRule="auto"/>
        <w:rPr>
          <w:color w:val="auto"/>
          <w:highlight w:val="none"/>
        </w:rPr>
      </w:pPr>
    </w:p>
    <w:p w14:paraId="14A123A9">
      <w:pPr>
        <w:pStyle w:val="3"/>
        <w:spacing w:line="353" w:lineRule="auto"/>
        <w:rPr>
          <w:color w:val="auto"/>
          <w:highlight w:val="none"/>
        </w:rPr>
      </w:pPr>
    </w:p>
    <w:p w14:paraId="4DB3104D">
      <w:pPr>
        <w:spacing w:before="91" w:line="220" w:lineRule="auto"/>
        <w:ind w:left="18"/>
        <w:outlineLvl w:val="1"/>
        <w:rPr>
          <w:rFonts w:ascii="宋体" w:hAnsi="宋体" w:eastAsia="宋体" w:cs="宋体"/>
          <w:color w:val="auto"/>
          <w:sz w:val="28"/>
          <w:szCs w:val="28"/>
          <w:highlight w:val="none"/>
        </w:rPr>
      </w:pPr>
      <w:bookmarkStart w:id="1055" w:name="bookmark731"/>
      <w:bookmarkEnd w:id="1055"/>
      <w:bookmarkStart w:id="1056" w:name="_Toc14788"/>
      <w:bookmarkStart w:id="1057" w:name="_Toc18457"/>
      <w:r>
        <w:rPr>
          <w:rFonts w:ascii="Times New Roman" w:hAnsi="Times New Roman" w:eastAsia="Times New Roman" w:cs="Times New Roman"/>
          <w:b/>
          <w:bCs/>
          <w:color w:val="auto"/>
          <w:spacing w:val="-11"/>
          <w:sz w:val="28"/>
          <w:szCs w:val="28"/>
          <w:highlight w:val="none"/>
        </w:rPr>
        <w:t>1</w:t>
      </w:r>
      <w:r>
        <w:rPr>
          <w:rFonts w:hint="eastAsia" w:ascii="Times New Roman" w:hAnsi="Times New Roman" w:eastAsia="宋体" w:cs="Times New Roman"/>
          <w:b/>
          <w:bCs/>
          <w:color w:val="auto"/>
          <w:spacing w:val="8"/>
          <w:sz w:val="28"/>
          <w:szCs w:val="28"/>
          <w:highlight w:val="none"/>
          <w:lang w:eastAsia="zh-CN"/>
        </w:rPr>
        <w:t>、</w:t>
      </w:r>
      <w:r>
        <w:rPr>
          <w:rFonts w:ascii="宋体" w:hAnsi="宋体" w:eastAsia="宋体" w:cs="宋体"/>
          <w:b/>
          <w:bCs/>
          <w:color w:val="auto"/>
          <w:spacing w:val="-11"/>
          <w:sz w:val="28"/>
          <w:szCs w:val="28"/>
          <w:highlight w:val="none"/>
        </w:rPr>
        <w:t>说明</w:t>
      </w:r>
      <w:bookmarkEnd w:id="1056"/>
      <w:bookmarkEnd w:id="1057"/>
    </w:p>
    <w:p w14:paraId="5EB98894">
      <w:pPr>
        <w:pStyle w:val="3"/>
        <w:spacing w:line="247" w:lineRule="auto"/>
        <w:rPr>
          <w:color w:val="auto"/>
          <w:highlight w:val="none"/>
        </w:rPr>
      </w:pPr>
    </w:p>
    <w:p w14:paraId="410A4E16">
      <w:pPr>
        <w:spacing w:before="78" w:line="360" w:lineRule="auto"/>
        <w:ind w:left="11" w:right="235" w:firstLine="479"/>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本招标文件所附的全部图纸及其它资料均为招标阶段的中间成果，仅供投标人在</w:t>
      </w:r>
      <w:r>
        <w:rPr>
          <w:rFonts w:ascii="宋体" w:hAnsi="宋体" w:eastAsia="宋体" w:cs="宋体"/>
          <w:color w:val="auto"/>
          <w:spacing w:val="-6"/>
          <w:sz w:val="24"/>
          <w:szCs w:val="24"/>
          <w:highlight w:val="none"/>
        </w:rPr>
        <w:t>编制投标文件时使用，不得作为施工的依据。否则， 由此而造成的一切后果均由承包</w:t>
      </w:r>
      <w:r>
        <w:rPr>
          <w:rFonts w:ascii="宋体" w:hAnsi="宋体" w:eastAsia="宋体" w:cs="宋体"/>
          <w:color w:val="auto"/>
          <w:spacing w:val="-9"/>
          <w:sz w:val="24"/>
          <w:szCs w:val="24"/>
          <w:highlight w:val="none"/>
        </w:rPr>
        <w:t>人自负。</w:t>
      </w:r>
    </w:p>
    <w:p w14:paraId="6193C6EF">
      <w:pPr>
        <w:spacing w:before="121" w:line="221" w:lineRule="auto"/>
        <w:ind w:left="6"/>
        <w:outlineLvl w:val="1"/>
        <w:rPr>
          <w:rFonts w:ascii="宋体" w:hAnsi="宋体" w:eastAsia="宋体" w:cs="宋体"/>
          <w:color w:val="auto"/>
          <w:sz w:val="28"/>
          <w:szCs w:val="28"/>
          <w:highlight w:val="none"/>
        </w:rPr>
      </w:pPr>
      <w:bookmarkStart w:id="1058" w:name="bookmark396"/>
      <w:bookmarkEnd w:id="1058"/>
      <w:bookmarkStart w:id="1059" w:name="_Toc1709"/>
      <w:bookmarkStart w:id="1060" w:name="_Toc14329"/>
      <w:r>
        <w:rPr>
          <w:rFonts w:ascii="Times New Roman" w:hAnsi="Times New Roman" w:eastAsia="Times New Roman" w:cs="Times New Roman"/>
          <w:b/>
          <w:bCs/>
          <w:color w:val="auto"/>
          <w:spacing w:val="-7"/>
          <w:sz w:val="28"/>
          <w:szCs w:val="28"/>
          <w:highlight w:val="none"/>
        </w:rPr>
        <w:t>2</w:t>
      </w:r>
      <w:r>
        <w:rPr>
          <w:rFonts w:hint="eastAsia" w:ascii="Times New Roman" w:hAnsi="Times New Roman" w:eastAsia="宋体" w:cs="Times New Roman"/>
          <w:b/>
          <w:bCs/>
          <w:color w:val="auto"/>
          <w:spacing w:val="23"/>
          <w:sz w:val="28"/>
          <w:szCs w:val="28"/>
          <w:highlight w:val="none"/>
          <w:lang w:eastAsia="zh-CN"/>
        </w:rPr>
        <w:t>、</w:t>
      </w:r>
      <w:r>
        <w:rPr>
          <w:rFonts w:ascii="宋体" w:hAnsi="宋体" w:eastAsia="宋体" w:cs="宋体"/>
          <w:b/>
          <w:bCs/>
          <w:color w:val="auto"/>
          <w:spacing w:val="-7"/>
          <w:sz w:val="28"/>
          <w:szCs w:val="28"/>
          <w:highlight w:val="none"/>
        </w:rPr>
        <w:t>图纸及其他资料目录</w:t>
      </w:r>
      <w:bookmarkEnd w:id="1059"/>
      <w:bookmarkEnd w:id="1060"/>
    </w:p>
    <w:p w14:paraId="5AD5E99D">
      <w:pPr>
        <w:spacing w:before="46"/>
        <w:rPr>
          <w:color w:val="auto"/>
          <w:highlight w:val="none"/>
        </w:rPr>
      </w:pPr>
    </w:p>
    <w:tbl>
      <w:tblPr>
        <w:tblStyle w:val="16"/>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2437"/>
        <w:gridCol w:w="2032"/>
        <w:gridCol w:w="2573"/>
        <w:gridCol w:w="1033"/>
      </w:tblGrid>
      <w:tr w14:paraId="304C8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934" w:type="dxa"/>
            <w:tcBorders>
              <w:top w:val="single" w:color="000000" w:sz="6" w:space="0"/>
              <w:left w:val="single" w:color="000000" w:sz="6" w:space="0"/>
            </w:tcBorders>
            <w:vAlign w:val="top"/>
          </w:tcPr>
          <w:p w14:paraId="0435D13E">
            <w:pPr>
              <w:pStyle w:val="17"/>
              <w:spacing w:before="235" w:line="222" w:lineRule="auto"/>
              <w:ind w:left="253"/>
              <w:rPr>
                <w:color w:val="auto"/>
                <w:sz w:val="21"/>
                <w:szCs w:val="21"/>
                <w:highlight w:val="none"/>
              </w:rPr>
            </w:pPr>
            <w:r>
              <w:rPr>
                <w:color w:val="auto"/>
                <w:spacing w:val="-2"/>
                <w:sz w:val="21"/>
                <w:szCs w:val="21"/>
                <w:highlight w:val="none"/>
              </w:rPr>
              <w:t>序号</w:t>
            </w:r>
          </w:p>
        </w:tc>
        <w:tc>
          <w:tcPr>
            <w:tcW w:w="2437" w:type="dxa"/>
            <w:tcBorders>
              <w:top w:val="single" w:color="000000" w:sz="6" w:space="0"/>
            </w:tcBorders>
            <w:vAlign w:val="top"/>
          </w:tcPr>
          <w:p w14:paraId="064706DC">
            <w:pPr>
              <w:pStyle w:val="17"/>
              <w:spacing w:before="235" w:line="221" w:lineRule="auto"/>
              <w:ind w:left="505"/>
              <w:rPr>
                <w:color w:val="auto"/>
                <w:sz w:val="21"/>
                <w:szCs w:val="21"/>
                <w:highlight w:val="none"/>
              </w:rPr>
            </w:pPr>
            <w:r>
              <w:rPr>
                <w:color w:val="auto"/>
                <w:spacing w:val="-4"/>
                <w:sz w:val="21"/>
                <w:szCs w:val="21"/>
                <w:highlight w:val="none"/>
              </w:rPr>
              <w:t>图名或资料名称</w:t>
            </w:r>
          </w:p>
        </w:tc>
        <w:tc>
          <w:tcPr>
            <w:tcW w:w="2032" w:type="dxa"/>
            <w:tcBorders>
              <w:top w:val="single" w:color="000000" w:sz="6" w:space="0"/>
            </w:tcBorders>
            <w:vAlign w:val="top"/>
          </w:tcPr>
          <w:p w14:paraId="34BB3EAF">
            <w:pPr>
              <w:pStyle w:val="17"/>
              <w:spacing w:before="235" w:line="221" w:lineRule="auto"/>
              <w:ind w:left="305"/>
              <w:rPr>
                <w:color w:val="auto"/>
                <w:sz w:val="21"/>
                <w:szCs w:val="21"/>
                <w:highlight w:val="none"/>
              </w:rPr>
            </w:pPr>
            <w:r>
              <w:rPr>
                <w:color w:val="auto"/>
                <w:spacing w:val="-4"/>
                <w:sz w:val="21"/>
                <w:szCs w:val="21"/>
                <w:highlight w:val="none"/>
              </w:rPr>
              <w:t>图号或资料编号</w:t>
            </w:r>
          </w:p>
        </w:tc>
        <w:tc>
          <w:tcPr>
            <w:tcW w:w="2573" w:type="dxa"/>
            <w:tcBorders>
              <w:top w:val="single" w:color="000000" w:sz="6" w:space="0"/>
            </w:tcBorders>
            <w:vAlign w:val="top"/>
          </w:tcPr>
          <w:p w14:paraId="35721FB3">
            <w:pPr>
              <w:pStyle w:val="17"/>
              <w:spacing w:before="235" w:line="221" w:lineRule="auto"/>
              <w:ind w:left="368"/>
              <w:rPr>
                <w:color w:val="auto"/>
                <w:sz w:val="21"/>
                <w:szCs w:val="21"/>
                <w:highlight w:val="none"/>
              </w:rPr>
            </w:pPr>
            <w:r>
              <w:rPr>
                <w:color w:val="auto"/>
                <w:spacing w:val="-3"/>
                <w:sz w:val="21"/>
                <w:szCs w:val="21"/>
                <w:highlight w:val="none"/>
              </w:rPr>
              <w:t>出图日期或资料日期</w:t>
            </w:r>
          </w:p>
        </w:tc>
        <w:tc>
          <w:tcPr>
            <w:tcW w:w="1033" w:type="dxa"/>
            <w:tcBorders>
              <w:top w:val="single" w:color="000000" w:sz="6" w:space="0"/>
              <w:right w:val="single" w:color="000000" w:sz="6" w:space="0"/>
            </w:tcBorders>
            <w:vAlign w:val="top"/>
          </w:tcPr>
          <w:p w14:paraId="1A5D51D9">
            <w:pPr>
              <w:pStyle w:val="17"/>
              <w:spacing w:before="235" w:line="222" w:lineRule="auto"/>
              <w:ind w:left="314"/>
              <w:rPr>
                <w:color w:val="auto"/>
                <w:sz w:val="21"/>
                <w:szCs w:val="21"/>
                <w:highlight w:val="none"/>
              </w:rPr>
            </w:pPr>
            <w:r>
              <w:rPr>
                <w:color w:val="auto"/>
                <w:spacing w:val="-3"/>
                <w:sz w:val="21"/>
                <w:szCs w:val="21"/>
                <w:highlight w:val="none"/>
              </w:rPr>
              <w:t>备注</w:t>
            </w:r>
          </w:p>
        </w:tc>
      </w:tr>
      <w:tr w14:paraId="53138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34" w:type="dxa"/>
            <w:tcBorders>
              <w:left w:val="single" w:color="000000" w:sz="6" w:space="0"/>
            </w:tcBorders>
            <w:vAlign w:val="top"/>
          </w:tcPr>
          <w:p w14:paraId="2BF5CBB5">
            <w:pPr>
              <w:rPr>
                <w:rFonts w:ascii="Arial"/>
                <w:color w:val="auto"/>
                <w:sz w:val="21"/>
                <w:highlight w:val="none"/>
              </w:rPr>
            </w:pPr>
          </w:p>
        </w:tc>
        <w:tc>
          <w:tcPr>
            <w:tcW w:w="2437" w:type="dxa"/>
            <w:vAlign w:val="top"/>
          </w:tcPr>
          <w:p w14:paraId="7870487A">
            <w:pPr>
              <w:rPr>
                <w:rFonts w:ascii="Arial"/>
                <w:color w:val="auto"/>
                <w:sz w:val="21"/>
                <w:highlight w:val="none"/>
              </w:rPr>
            </w:pPr>
          </w:p>
        </w:tc>
        <w:tc>
          <w:tcPr>
            <w:tcW w:w="2032" w:type="dxa"/>
            <w:vAlign w:val="top"/>
          </w:tcPr>
          <w:p w14:paraId="15C7BE33">
            <w:pPr>
              <w:rPr>
                <w:rFonts w:ascii="Arial"/>
                <w:color w:val="auto"/>
                <w:sz w:val="21"/>
                <w:highlight w:val="none"/>
              </w:rPr>
            </w:pPr>
          </w:p>
        </w:tc>
        <w:tc>
          <w:tcPr>
            <w:tcW w:w="2573" w:type="dxa"/>
            <w:vAlign w:val="top"/>
          </w:tcPr>
          <w:p w14:paraId="094FFE89">
            <w:pPr>
              <w:rPr>
                <w:rFonts w:ascii="Arial"/>
                <w:color w:val="auto"/>
                <w:sz w:val="21"/>
                <w:highlight w:val="none"/>
              </w:rPr>
            </w:pPr>
          </w:p>
        </w:tc>
        <w:tc>
          <w:tcPr>
            <w:tcW w:w="1033" w:type="dxa"/>
            <w:tcBorders>
              <w:right w:val="single" w:color="000000" w:sz="6" w:space="0"/>
            </w:tcBorders>
            <w:vAlign w:val="top"/>
          </w:tcPr>
          <w:p w14:paraId="2475AC5D">
            <w:pPr>
              <w:rPr>
                <w:rFonts w:ascii="Arial"/>
                <w:color w:val="auto"/>
                <w:sz w:val="21"/>
                <w:highlight w:val="none"/>
              </w:rPr>
            </w:pPr>
          </w:p>
        </w:tc>
      </w:tr>
      <w:tr w14:paraId="1C53F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34" w:type="dxa"/>
            <w:tcBorders>
              <w:left w:val="single" w:color="000000" w:sz="6" w:space="0"/>
            </w:tcBorders>
            <w:vAlign w:val="top"/>
          </w:tcPr>
          <w:p w14:paraId="265AD789">
            <w:pPr>
              <w:rPr>
                <w:rFonts w:ascii="Arial"/>
                <w:color w:val="auto"/>
                <w:sz w:val="21"/>
                <w:highlight w:val="none"/>
              </w:rPr>
            </w:pPr>
          </w:p>
        </w:tc>
        <w:tc>
          <w:tcPr>
            <w:tcW w:w="2437" w:type="dxa"/>
            <w:vAlign w:val="top"/>
          </w:tcPr>
          <w:p w14:paraId="45F06988">
            <w:pPr>
              <w:rPr>
                <w:rFonts w:ascii="Arial"/>
                <w:color w:val="auto"/>
                <w:sz w:val="21"/>
                <w:highlight w:val="none"/>
              </w:rPr>
            </w:pPr>
          </w:p>
        </w:tc>
        <w:tc>
          <w:tcPr>
            <w:tcW w:w="2032" w:type="dxa"/>
            <w:vAlign w:val="top"/>
          </w:tcPr>
          <w:p w14:paraId="34391C7F">
            <w:pPr>
              <w:rPr>
                <w:rFonts w:ascii="Arial"/>
                <w:color w:val="auto"/>
                <w:sz w:val="21"/>
                <w:highlight w:val="none"/>
              </w:rPr>
            </w:pPr>
          </w:p>
        </w:tc>
        <w:tc>
          <w:tcPr>
            <w:tcW w:w="2573" w:type="dxa"/>
            <w:vAlign w:val="top"/>
          </w:tcPr>
          <w:p w14:paraId="328690AF">
            <w:pPr>
              <w:rPr>
                <w:rFonts w:ascii="Arial"/>
                <w:color w:val="auto"/>
                <w:sz w:val="21"/>
                <w:highlight w:val="none"/>
              </w:rPr>
            </w:pPr>
          </w:p>
        </w:tc>
        <w:tc>
          <w:tcPr>
            <w:tcW w:w="1033" w:type="dxa"/>
            <w:tcBorders>
              <w:right w:val="single" w:color="000000" w:sz="6" w:space="0"/>
            </w:tcBorders>
            <w:vAlign w:val="top"/>
          </w:tcPr>
          <w:p w14:paraId="6F476D98">
            <w:pPr>
              <w:rPr>
                <w:rFonts w:ascii="Arial"/>
                <w:color w:val="auto"/>
                <w:sz w:val="21"/>
                <w:highlight w:val="none"/>
              </w:rPr>
            </w:pPr>
          </w:p>
        </w:tc>
      </w:tr>
      <w:tr w14:paraId="6199A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34" w:type="dxa"/>
            <w:tcBorders>
              <w:left w:val="single" w:color="000000" w:sz="6" w:space="0"/>
            </w:tcBorders>
            <w:vAlign w:val="top"/>
          </w:tcPr>
          <w:p w14:paraId="299D38E8">
            <w:pPr>
              <w:rPr>
                <w:rFonts w:ascii="Arial"/>
                <w:color w:val="auto"/>
                <w:sz w:val="21"/>
                <w:highlight w:val="none"/>
              </w:rPr>
            </w:pPr>
          </w:p>
        </w:tc>
        <w:tc>
          <w:tcPr>
            <w:tcW w:w="2437" w:type="dxa"/>
            <w:vAlign w:val="top"/>
          </w:tcPr>
          <w:p w14:paraId="705ABD41">
            <w:pPr>
              <w:rPr>
                <w:rFonts w:ascii="Arial"/>
                <w:color w:val="auto"/>
                <w:sz w:val="21"/>
                <w:highlight w:val="none"/>
              </w:rPr>
            </w:pPr>
          </w:p>
        </w:tc>
        <w:tc>
          <w:tcPr>
            <w:tcW w:w="2032" w:type="dxa"/>
            <w:vAlign w:val="top"/>
          </w:tcPr>
          <w:p w14:paraId="25D03B7D">
            <w:pPr>
              <w:rPr>
                <w:rFonts w:ascii="Arial"/>
                <w:color w:val="auto"/>
                <w:sz w:val="21"/>
                <w:highlight w:val="none"/>
              </w:rPr>
            </w:pPr>
          </w:p>
        </w:tc>
        <w:tc>
          <w:tcPr>
            <w:tcW w:w="2573" w:type="dxa"/>
            <w:vAlign w:val="top"/>
          </w:tcPr>
          <w:p w14:paraId="14D69A26">
            <w:pPr>
              <w:rPr>
                <w:rFonts w:ascii="Arial"/>
                <w:color w:val="auto"/>
                <w:sz w:val="21"/>
                <w:highlight w:val="none"/>
              </w:rPr>
            </w:pPr>
          </w:p>
        </w:tc>
        <w:tc>
          <w:tcPr>
            <w:tcW w:w="1033" w:type="dxa"/>
            <w:tcBorders>
              <w:right w:val="single" w:color="000000" w:sz="6" w:space="0"/>
            </w:tcBorders>
            <w:vAlign w:val="top"/>
          </w:tcPr>
          <w:p w14:paraId="41306E9D">
            <w:pPr>
              <w:rPr>
                <w:rFonts w:ascii="Arial"/>
                <w:color w:val="auto"/>
                <w:sz w:val="21"/>
                <w:highlight w:val="none"/>
              </w:rPr>
            </w:pPr>
          </w:p>
        </w:tc>
      </w:tr>
      <w:tr w14:paraId="09C34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34" w:type="dxa"/>
            <w:tcBorders>
              <w:left w:val="single" w:color="000000" w:sz="6" w:space="0"/>
            </w:tcBorders>
            <w:vAlign w:val="top"/>
          </w:tcPr>
          <w:p w14:paraId="57B563F3">
            <w:pPr>
              <w:rPr>
                <w:rFonts w:ascii="Arial"/>
                <w:color w:val="auto"/>
                <w:sz w:val="21"/>
                <w:highlight w:val="none"/>
              </w:rPr>
            </w:pPr>
          </w:p>
        </w:tc>
        <w:tc>
          <w:tcPr>
            <w:tcW w:w="2437" w:type="dxa"/>
            <w:vAlign w:val="top"/>
          </w:tcPr>
          <w:p w14:paraId="07A573E6">
            <w:pPr>
              <w:rPr>
                <w:rFonts w:ascii="Arial"/>
                <w:color w:val="auto"/>
                <w:sz w:val="21"/>
                <w:highlight w:val="none"/>
              </w:rPr>
            </w:pPr>
          </w:p>
        </w:tc>
        <w:tc>
          <w:tcPr>
            <w:tcW w:w="2032" w:type="dxa"/>
            <w:vAlign w:val="top"/>
          </w:tcPr>
          <w:p w14:paraId="39D017E9">
            <w:pPr>
              <w:rPr>
                <w:rFonts w:ascii="Arial"/>
                <w:color w:val="auto"/>
                <w:sz w:val="21"/>
                <w:highlight w:val="none"/>
              </w:rPr>
            </w:pPr>
          </w:p>
        </w:tc>
        <w:tc>
          <w:tcPr>
            <w:tcW w:w="2573" w:type="dxa"/>
            <w:vAlign w:val="top"/>
          </w:tcPr>
          <w:p w14:paraId="75C899DD">
            <w:pPr>
              <w:rPr>
                <w:rFonts w:ascii="Arial"/>
                <w:color w:val="auto"/>
                <w:sz w:val="21"/>
                <w:highlight w:val="none"/>
              </w:rPr>
            </w:pPr>
          </w:p>
        </w:tc>
        <w:tc>
          <w:tcPr>
            <w:tcW w:w="1033" w:type="dxa"/>
            <w:tcBorders>
              <w:right w:val="single" w:color="000000" w:sz="6" w:space="0"/>
            </w:tcBorders>
            <w:vAlign w:val="top"/>
          </w:tcPr>
          <w:p w14:paraId="40C15D74">
            <w:pPr>
              <w:rPr>
                <w:rFonts w:ascii="Arial"/>
                <w:color w:val="auto"/>
                <w:sz w:val="21"/>
                <w:highlight w:val="none"/>
              </w:rPr>
            </w:pPr>
          </w:p>
        </w:tc>
      </w:tr>
      <w:tr w14:paraId="56CC6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934" w:type="dxa"/>
            <w:tcBorders>
              <w:left w:val="single" w:color="000000" w:sz="6" w:space="0"/>
            </w:tcBorders>
            <w:vAlign w:val="top"/>
          </w:tcPr>
          <w:p w14:paraId="136F79B5">
            <w:pPr>
              <w:rPr>
                <w:rFonts w:ascii="Arial"/>
                <w:color w:val="auto"/>
                <w:sz w:val="21"/>
                <w:highlight w:val="none"/>
              </w:rPr>
            </w:pPr>
          </w:p>
        </w:tc>
        <w:tc>
          <w:tcPr>
            <w:tcW w:w="2437" w:type="dxa"/>
            <w:vAlign w:val="top"/>
          </w:tcPr>
          <w:p w14:paraId="7291F596">
            <w:pPr>
              <w:rPr>
                <w:rFonts w:ascii="Arial"/>
                <w:color w:val="auto"/>
                <w:sz w:val="21"/>
                <w:highlight w:val="none"/>
              </w:rPr>
            </w:pPr>
          </w:p>
        </w:tc>
        <w:tc>
          <w:tcPr>
            <w:tcW w:w="2032" w:type="dxa"/>
            <w:vAlign w:val="top"/>
          </w:tcPr>
          <w:p w14:paraId="36B9024C">
            <w:pPr>
              <w:rPr>
                <w:rFonts w:ascii="Arial"/>
                <w:color w:val="auto"/>
                <w:sz w:val="21"/>
                <w:highlight w:val="none"/>
              </w:rPr>
            </w:pPr>
          </w:p>
        </w:tc>
        <w:tc>
          <w:tcPr>
            <w:tcW w:w="2573" w:type="dxa"/>
            <w:vAlign w:val="top"/>
          </w:tcPr>
          <w:p w14:paraId="2B3438E1">
            <w:pPr>
              <w:rPr>
                <w:rFonts w:ascii="Arial"/>
                <w:color w:val="auto"/>
                <w:sz w:val="21"/>
                <w:highlight w:val="none"/>
              </w:rPr>
            </w:pPr>
          </w:p>
        </w:tc>
        <w:tc>
          <w:tcPr>
            <w:tcW w:w="1033" w:type="dxa"/>
            <w:tcBorders>
              <w:right w:val="single" w:color="000000" w:sz="6" w:space="0"/>
            </w:tcBorders>
            <w:vAlign w:val="top"/>
          </w:tcPr>
          <w:p w14:paraId="4FD87E1D">
            <w:pPr>
              <w:rPr>
                <w:rFonts w:ascii="Arial"/>
                <w:color w:val="auto"/>
                <w:sz w:val="21"/>
                <w:highlight w:val="none"/>
              </w:rPr>
            </w:pPr>
          </w:p>
        </w:tc>
      </w:tr>
      <w:tr w14:paraId="6B5EB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34" w:type="dxa"/>
            <w:tcBorders>
              <w:left w:val="single" w:color="000000" w:sz="6" w:space="0"/>
            </w:tcBorders>
            <w:vAlign w:val="top"/>
          </w:tcPr>
          <w:p w14:paraId="5CA0EE93">
            <w:pPr>
              <w:rPr>
                <w:rFonts w:ascii="Arial"/>
                <w:color w:val="auto"/>
                <w:sz w:val="21"/>
                <w:highlight w:val="none"/>
              </w:rPr>
            </w:pPr>
          </w:p>
        </w:tc>
        <w:tc>
          <w:tcPr>
            <w:tcW w:w="2437" w:type="dxa"/>
            <w:vAlign w:val="top"/>
          </w:tcPr>
          <w:p w14:paraId="6E73C939">
            <w:pPr>
              <w:rPr>
                <w:rFonts w:ascii="Arial"/>
                <w:color w:val="auto"/>
                <w:sz w:val="21"/>
                <w:highlight w:val="none"/>
              </w:rPr>
            </w:pPr>
          </w:p>
        </w:tc>
        <w:tc>
          <w:tcPr>
            <w:tcW w:w="2032" w:type="dxa"/>
            <w:vAlign w:val="top"/>
          </w:tcPr>
          <w:p w14:paraId="3BDF7AB4">
            <w:pPr>
              <w:rPr>
                <w:rFonts w:ascii="Arial"/>
                <w:color w:val="auto"/>
                <w:sz w:val="21"/>
                <w:highlight w:val="none"/>
              </w:rPr>
            </w:pPr>
          </w:p>
        </w:tc>
        <w:tc>
          <w:tcPr>
            <w:tcW w:w="2573" w:type="dxa"/>
            <w:vAlign w:val="top"/>
          </w:tcPr>
          <w:p w14:paraId="73B3B3AB">
            <w:pPr>
              <w:rPr>
                <w:rFonts w:ascii="Arial"/>
                <w:color w:val="auto"/>
                <w:sz w:val="21"/>
                <w:highlight w:val="none"/>
              </w:rPr>
            </w:pPr>
          </w:p>
        </w:tc>
        <w:tc>
          <w:tcPr>
            <w:tcW w:w="1033" w:type="dxa"/>
            <w:tcBorders>
              <w:right w:val="single" w:color="000000" w:sz="6" w:space="0"/>
            </w:tcBorders>
            <w:vAlign w:val="top"/>
          </w:tcPr>
          <w:p w14:paraId="5078B20F">
            <w:pPr>
              <w:rPr>
                <w:rFonts w:ascii="Arial"/>
                <w:color w:val="auto"/>
                <w:sz w:val="21"/>
                <w:highlight w:val="none"/>
              </w:rPr>
            </w:pPr>
          </w:p>
        </w:tc>
      </w:tr>
      <w:tr w14:paraId="1752D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34" w:type="dxa"/>
            <w:tcBorders>
              <w:left w:val="single" w:color="000000" w:sz="6" w:space="0"/>
            </w:tcBorders>
            <w:vAlign w:val="top"/>
          </w:tcPr>
          <w:p w14:paraId="6EDC19F5">
            <w:pPr>
              <w:rPr>
                <w:rFonts w:ascii="Arial"/>
                <w:color w:val="auto"/>
                <w:sz w:val="21"/>
                <w:highlight w:val="none"/>
              </w:rPr>
            </w:pPr>
          </w:p>
        </w:tc>
        <w:tc>
          <w:tcPr>
            <w:tcW w:w="2437" w:type="dxa"/>
            <w:vAlign w:val="top"/>
          </w:tcPr>
          <w:p w14:paraId="0B7FCB29">
            <w:pPr>
              <w:rPr>
                <w:rFonts w:ascii="Arial"/>
                <w:color w:val="auto"/>
                <w:sz w:val="21"/>
                <w:highlight w:val="none"/>
              </w:rPr>
            </w:pPr>
          </w:p>
        </w:tc>
        <w:tc>
          <w:tcPr>
            <w:tcW w:w="2032" w:type="dxa"/>
            <w:vAlign w:val="top"/>
          </w:tcPr>
          <w:p w14:paraId="5EC91820">
            <w:pPr>
              <w:rPr>
                <w:rFonts w:ascii="Arial"/>
                <w:color w:val="auto"/>
                <w:sz w:val="21"/>
                <w:highlight w:val="none"/>
              </w:rPr>
            </w:pPr>
          </w:p>
        </w:tc>
        <w:tc>
          <w:tcPr>
            <w:tcW w:w="2573" w:type="dxa"/>
            <w:vAlign w:val="top"/>
          </w:tcPr>
          <w:p w14:paraId="49F630A1">
            <w:pPr>
              <w:rPr>
                <w:rFonts w:ascii="Arial"/>
                <w:color w:val="auto"/>
                <w:sz w:val="21"/>
                <w:highlight w:val="none"/>
              </w:rPr>
            </w:pPr>
          </w:p>
        </w:tc>
        <w:tc>
          <w:tcPr>
            <w:tcW w:w="1033" w:type="dxa"/>
            <w:tcBorders>
              <w:right w:val="single" w:color="000000" w:sz="6" w:space="0"/>
            </w:tcBorders>
            <w:vAlign w:val="top"/>
          </w:tcPr>
          <w:p w14:paraId="4DDCC5B9">
            <w:pPr>
              <w:rPr>
                <w:rFonts w:ascii="Arial"/>
                <w:color w:val="auto"/>
                <w:sz w:val="21"/>
                <w:highlight w:val="none"/>
              </w:rPr>
            </w:pPr>
          </w:p>
        </w:tc>
      </w:tr>
      <w:tr w14:paraId="03620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34" w:type="dxa"/>
            <w:tcBorders>
              <w:left w:val="single" w:color="000000" w:sz="6" w:space="0"/>
            </w:tcBorders>
            <w:vAlign w:val="top"/>
          </w:tcPr>
          <w:p w14:paraId="1B6552C5">
            <w:pPr>
              <w:rPr>
                <w:rFonts w:ascii="Arial"/>
                <w:color w:val="auto"/>
                <w:sz w:val="21"/>
                <w:highlight w:val="none"/>
              </w:rPr>
            </w:pPr>
          </w:p>
        </w:tc>
        <w:tc>
          <w:tcPr>
            <w:tcW w:w="2437" w:type="dxa"/>
            <w:vAlign w:val="top"/>
          </w:tcPr>
          <w:p w14:paraId="541630FF">
            <w:pPr>
              <w:rPr>
                <w:rFonts w:ascii="Arial"/>
                <w:color w:val="auto"/>
                <w:sz w:val="21"/>
                <w:highlight w:val="none"/>
              </w:rPr>
            </w:pPr>
          </w:p>
        </w:tc>
        <w:tc>
          <w:tcPr>
            <w:tcW w:w="2032" w:type="dxa"/>
            <w:vAlign w:val="top"/>
          </w:tcPr>
          <w:p w14:paraId="32E4C289">
            <w:pPr>
              <w:rPr>
                <w:rFonts w:ascii="Arial"/>
                <w:color w:val="auto"/>
                <w:sz w:val="21"/>
                <w:highlight w:val="none"/>
              </w:rPr>
            </w:pPr>
          </w:p>
        </w:tc>
        <w:tc>
          <w:tcPr>
            <w:tcW w:w="2573" w:type="dxa"/>
            <w:vAlign w:val="top"/>
          </w:tcPr>
          <w:p w14:paraId="4428966C">
            <w:pPr>
              <w:rPr>
                <w:rFonts w:ascii="Arial"/>
                <w:color w:val="auto"/>
                <w:sz w:val="21"/>
                <w:highlight w:val="none"/>
              </w:rPr>
            </w:pPr>
          </w:p>
        </w:tc>
        <w:tc>
          <w:tcPr>
            <w:tcW w:w="1033" w:type="dxa"/>
            <w:tcBorders>
              <w:right w:val="single" w:color="000000" w:sz="6" w:space="0"/>
            </w:tcBorders>
            <w:vAlign w:val="top"/>
          </w:tcPr>
          <w:p w14:paraId="0183522F">
            <w:pPr>
              <w:rPr>
                <w:rFonts w:ascii="Arial"/>
                <w:color w:val="auto"/>
                <w:sz w:val="21"/>
                <w:highlight w:val="none"/>
              </w:rPr>
            </w:pPr>
          </w:p>
        </w:tc>
      </w:tr>
      <w:tr w14:paraId="246F8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934" w:type="dxa"/>
            <w:tcBorders>
              <w:left w:val="single" w:color="000000" w:sz="6" w:space="0"/>
              <w:bottom w:val="single" w:color="000000" w:sz="6" w:space="0"/>
            </w:tcBorders>
            <w:vAlign w:val="top"/>
          </w:tcPr>
          <w:p w14:paraId="5D640973">
            <w:pPr>
              <w:rPr>
                <w:rFonts w:ascii="Arial"/>
                <w:color w:val="auto"/>
                <w:sz w:val="21"/>
                <w:highlight w:val="none"/>
              </w:rPr>
            </w:pPr>
          </w:p>
        </w:tc>
        <w:tc>
          <w:tcPr>
            <w:tcW w:w="2437" w:type="dxa"/>
            <w:tcBorders>
              <w:bottom w:val="single" w:color="000000" w:sz="6" w:space="0"/>
            </w:tcBorders>
            <w:vAlign w:val="top"/>
          </w:tcPr>
          <w:p w14:paraId="34A6C9DD">
            <w:pPr>
              <w:rPr>
                <w:rFonts w:ascii="Arial"/>
                <w:color w:val="auto"/>
                <w:sz w:val="21"/>
                <w:highlight w:val="none"/>
              </w:rPr>
            </w:pPr>
          </w:p>
        </w:tc>
        <w:tc>
          <w:tcPr>
            <w:tcW w:w="2032" w:type="dxa"/>
            <w:tcBorders>
              <w:bottom w:val="single" w:color="000000" w:sz="6" w:space="0"/>
            </w:tcBorders>
            <w:vAlign w:val="top"/>
          </w:tcPr>
          <w:p w14:paraId="1421E35C">
            <w:pPr>
              <w:rPr>
                <w:rFonts w:ascii="Arial"/>
                <w:color w:val="auto"/>
                <w:sz w:val="21"/>
                <w:highlight w:val="none"/>
              </w:rPr>
            </w:pPr>
          </w:p>
        </w:tc>
        <w:tc>
          <w:tcPr>
            <w:tcW w:w="2573" w:type="dxa"/>
            <w:tcBorders>
              <w:bottom w:val="single" w:color="000000" w:sz="6" w:space="0"/>
            </w:tcBorders>
            <w:vAlign w:val="top"/>
          </w:tcPr>
          <w:p w14:paraId="5B9BA50E">
            <w:pPr>
              <w:rPr>
                <w:rFonts w:ascii="Arial"/>
                <w:color w:val="auto"/>
                <w:sz w:val="21"/>
                <w:highlight w:val="none"/>
              </w:rPr>
            </w:pPr>
          </w:p>
        </w:tc>
        <w:tc>
          <w:tcPr>
            <w:tcW w:w="1033" w:type="dxa"/>
            <w:tcBorders>
              <w:bottom w:val="single" w:color="000000" w:sz="6" w:space="0"/>
              <w:right w:val="single" w:color="000000" w:sz="6" w:space="0"/>
            </w:tcBorders>
            <w:vAlign w:val="top"/>
          </w:tcPr>
          <w:p w14:paraId="70969D53">
            <w:pPr>
              <w:rPr>
                <w:rFonts w:ascii="Arial"/>
                <w:color w:val="auto"/>
                <w:sz w:val="21"/>
                <w:highlight w:val="none"/>
              </w:rPr>
            </w:pPr>
          </w:p>
        </w:tc>
      </w:tr>
    </w:tbl>
    <w:p w14:paraId="25815D56">
      <w:pPr>
        <w:pStyle w:val="3"/>
        <w:spacing w:line="241" w:lineRule="auto"/>
        <w:rPr>
          <w:color w:val="auto"/>
          <w:highlight w:val="none"/>
        </w:rPr>
      </w:pPr>
    </w:p>
    <w:p w14:paraId="794C1B81">
      <w:pPr>
        <w:pStyle w:val="3"/>
        <w:spacing w:line="241" w:lineRule="auto"/>
        <w:rPr>
          <w:color w:val="auto"/>
          <w:highlight w:val="none"/>
        </w:rPr>
      </w:pPr>
    </w:p>
    <w:p w14:paraId="7F8B9721">
      <w:pPr>
        <w:spacing w:before="92" w:line="221" w:lineRule="auto"/>
        <w:ind w:left="4"/>
        <w:outlineLvl w:val="1"/>
        <w:rPr>
          <w:rFonts w:ascii="宋体" w:hAnsi="宋体" w:eastAsia="宋体" w:cs="宋体"/>
          <w:color w:val="auto"/>
          <w:sz w:val="28"/>
          <w:szCs w:val="28"/>
          <w:highlight w:val="none"/>
        </w:rPr>
      </w:pPr>
      <w:bookmarkStart w:id="1061" w:name="bookmark397"/>
      <w:bookmarkEnd w:id="1061"/>
      <w:bookmarkStart w:id="1062" w:name="_Toc5938"/>
      <w:bookmarkStart w:id="1063" w:name="_Toc26197"/>
      <w:r>
        <w:rPr>
          <w:rFonts w:ascii="Times New Roman" w:hAnsi="Times New Roman" w:eastAsia="Times New Roman" w:cs="Times New Roman"/>
          <w:b/>
          <w:bCs/>
          <w:color w:val="auto"/>
          <w:spacing w:val="-7"/>
          <w:sz w:val="28"/>
          <w:szCs w:val="28"/>
          <w:highlight w:val="none"/>
        </w:rPr>
        <w:t>3</w:t>
      </w:r>
      <w:r>
        <w:rPr>
          <w:rFonts w:hint="eastAsia" w:ascii="Times New Roman" w:hAnsi="Times New Roman" w:eastAsia="宋体" w:cs="Times New Roman"/>
          <w:b/>
          <w:bCs/>
          <w:color w:val="auto"/>
          <w:spacing w:val="19"/>
          <w:sz w:val="28"/>
          <w:szCs w:val="28"/>
          <w:highlight w:val="none"/>
          <w:lang w:eastAsia="zh-CN"/>
        </w:rPr>
        <w:t>、</w:t>
      </w:r>
      <w:r>
        <w:rPr>
          <w:rFonts w:ascii="宋体" w:hAnsi="宋体" w:eastAsia="宋体" w:cs="宋体"/>
          <w:b/>
          <w:bCs/>
          <w:color w:val="auto"/>
          <w:spacing w:val="-7"/>
          <w:sz w:val="28"/>
          <w:szCs w:val="28"/>
          <w:highlight w:val="none"/>
        </w:rPr>
        <w:t>图纸及其他资料</w:t>
      </w:r>
      <w:bookmarkEnd w:id="1062"/>
      <w:bookmarkEnd w:id="1063"/>
    </w:p>
    <w:p w14:paraId="13A02D4E">
      <w:pPr>
        <w:pStyle w:val="3"/>
        <w:spacing w:line="244" w:lineRule="auto"/>
        <w:rPr>
          <w:color w:val="auto"/>
          <w:highlight w:val="none"/>
        </w:rPr>
      </w:pPr>
    </w:p>
    <w:p w14:paraId="3D21477B">
      <w:pPr>
        <w:spacing w:before="78" w:line="221" w:lineRule="auto"/>
        <w:ind w:left="495"/>
        <w:rPr>
          <w:rFonts w:ascii="宋体" w:hAnsi="宋体" w:eastAsia="宋体" w:cs="宋体"/>
          <w:color w:val="auto"/>
          <w:sz w:val="24"/>
          <w:szCs w:val="24"/>
          <w:highlight w:val="none"/>
        </w:rPr>
      </w:pPr>
      <w:r>
        <w:rPr>
          <w:rFonts w:ascii="宋体" w:hAnsi="宋体" w:eastAsia="宋体" w:cs="宋体"/>
          <w:color w:val="auto"/>
          <w:spacing w:val="-12"/>
          <w:sz w:val="24"/>
          <w:szCs w:val="24"/>
          <w:highlight w:val="none"/>
        </w:rPr>
        <w:t>另册。</w:t>
      </w:r>
    </w:p>
    <w:p w14:paraId="0D4127FE">
      <w:pPr>
        <w:spacing w:line="221" w:lineRule="auto"/>
        <w:rPr>
          <w:rFonts w:ascii="宋体" w:hAnsi="宋体" w:eastAsia="宋体" w:cs="宋体"/>
          <w:color w:val="auto"/>
          <w:sz w:val="24"/>
          <w:szCs w:val="24"/>
          <w:highlight w:val="none"/>
        </w:rPr>
        <w:sectPr>
          <w:footerReference r:id="rId102" w:type="default"/>
          <w:pgSz w:w="11907" w:h="16841"/>
          <w:pgMar w:top="1423" w:right="1293" w:bottom="1254" w:left="1588" w:header="0" w:footer="1093" w:gutter="0"/>
          <w:pgNumType w:fmt="decimal"/>
          <w:cols w:space="720" w:num="1"/>
        </w:sectPr>
      </w:pPr>
    </w:p>
    <w:p w14:paraId="1166DD9B">
      <w:pPr>
        <w:pStyle w:val="3"/>
        <w:spacing w:line="243" w:lineRule="auto"/>
        <w:rPr>
          <w:color w:val="auto"/>
          <w:highlight w:val="none"/>
        </w:rPr>
      </w:pPr>
    </w:p>
    <w:p w14:paraId="04C35D68">
      <w:pPr>
        <w:pStyle w:val="3"/>
        <w:spacing w:line="243" w:lineRule="auto"/>
        <w:rPr>
          <w:color w:val="auto"/>
          <w:highlight w:val="none"/>
        </w:rPr>
      </w:pPr>
    </w:p>
    <w:p w14:paraId="4098B926">
      <w:pPr>
        <w:pStyle w:val="3"/>
        <w:spacing w:line="243" w:lineRule="auto"/>
        <w:rPr>
          <w:color w:val="auto"/>
          <w:highlight w:val="none"/>
        </w:rPr>
      </w:pPr>
    </w:p>
    <w:p w14:paraId="49E2D71C">
      <w:pPr>
        <w:pStyle w:val="3"/>
        <w:spacing w:line="243" w:lineRule="auto"/>
        <w:rPr>
          <w:color w:val="auto"/>
          <w:highlight w:val="none"/>
        </w:rPr>
      </w:pPr>
    </w:p>
    <w:p w14:paraId="31BFBA2E">
      <w:pPr>
        <w:pStyle w:val="3"/>
        <w:spacing w:line="243" w:lineRule="auto"/>
        <w:rPr>
          <w:color w:val="auto"/>
          <w:highlight w:val="none"/>
        </w:rPr>
      </w:pPr>
    </w:p>
    <w:p w14:paraId="3EAF31B2">
      <w:pPr>
        <w:pStyle w:val="3"/>
        <w:spacing w:line="243" w:lineRule="auto"/>
        <w:rPr>
          <w:color w:val="auto"/>
          <w:highlight w:val="none"/>
        </w:rPr>
      </w:pPr>
    </w:p>
    <w:p w14:paraId="3C6871E1">
      <w:pPr>
        <w:pStyle w:val="3"/>
        <w:spacing w:line="243" w:lineRule="auto"/>
        <w:rPr>
          <w:color w:val="auto"/>
          <w:highlight w:val="none"/>
        </w:rPr>
      </w:pPr>
    </w:p>
    <w:p w14:paraId="69EE81C9">
      <w:pPr>
        <w:pStyle w:val="3"/>
        <w:spacing w:line="243" w:lineRule="auto"/>
        <w:rPr>
          <w:color w:val="auto"/>
          <w:highlight w:val="none"/>
        </w:rPr>
      </w:pPr>
    </w:p>
    <w:p w14:paraId="72A72F22">
      <w:pPr>
        <w:pStyle w:val="3"/>
        <w:spacing w:line="243" w:lineRule="auto"/>
        <w:rPr>
          <w:color w:val="auto"/>
          <w:highlight w:val="none"/>
        </w:rPr>
      </w:pPr>
    </w:p>
    <w:p w14:paraId="3C885EC5">
      <w:pPr>
        <w:pStyle w:val="3"/>
        <w:spacing w:line="243" w:lineRule="auto"/>
        <w:rPr>
          <w:color w:val="auto"/>
          <w:highlight w:val="none"/>
        </w:rPr>
      </w:pPr>
    </w:p>
    <w:p w14:paraId="5A6ACF6C">
      <w:pPr>
        <w:pStyle w:val="3"/>
        <w:spacing w:line="243" w:lineRule="auto"/>
        <w:rPr>
          <w:color w:val="auto"/>
          <w:highlight w:val="none"/>
        </w:rPr>
      </w:pPr>
    </w:p>
    <w:p w14:paraId="78C70448">
      <w:pPr>
        <w:pStyle w:val="3"/>
        <w:spacing w:line="243" w:lineRule="auto"/>
        <w:rPr>
          <w:color w:val="auto"/>
          <w:highlight w:val="none"/>
        </w:rPr>
      </w:pPr>
    </w:p>
    <w:p w14:paraId="576FF289">
      <w:pPr>
        <w:pStyle w:val="3"/>
        <w:spacing w:line="243" w:lineRule="auto"/>
        <w:rPr>
          <w:color w:val="auto"/>
          <w:highlight w:val="none"/>
        </w:rPr>
      </w:pPr>
    </w:p>
    <w:p w14:paraId="44A6D8CE">
      <w:pPr>
        <w:pStyle w:val="3"/>
        <w:spacing w:line="243" w:lineRule="auto"/>
        <w:rPr>
          <w:color w:val="auto"/>
          <w:highlight w:val="none"/>
        </w:rPr>
      </w:pPr>
    </w:p>
    <w:p w14:paraId="5B643D6A">
      <w:pPr>
        <w:pStyle w:val="3"/>
        <w:spacing w:line="243" w:lineRule="auto"/>
        <w:rPr>
          <w:color w:val="auto"/>
          <w:highlight w:val="none"/>
        </w:rPr>
      </w:pPr>
    </w:p>
    <w:p w14:paraId="7651B4CD">
      <w:pPr>
        <w:pStyle w:val="3"/>
        <w:spacing w:line="243" w:lineRule="auto"/>
        <w:rPr>
          <w:color w:val="auto"/>
          <w:highlight w:val="none"/>
        </w:rPr>
      </w:pPr>
    </w:p>
    <w:p w14:paraId="2AE89A9F">
      <w:pPr>
        <w:pStyle w:val="3"/>
        <w:spacing w:line="243" w:lineRule="auto"/>
        <w:rPr>
          <w:color w:val="auto"/>
          <w:highlight w:val="none"/>
        </w:rPr>
      </w:pPr>
    </w:p>
    <w:p w14:paraId="4C9BAD80">
      <w:pPr>
        <w:pStyle w:val="3"/>
        <w:spacing w:line="243" w:lineRule="auto"/>
        <w:rPr>
          <w:color w:val="auto"/>
          <w:highlight w:val="none"/>
        </w:rPr>
      </w:pPr>
    </w:p>
    <w:p w14:paraId="127AD34A">
      <w:pPr>
        <w:pStyle w:val="3"/>
        <w:spacing w:line="243" w:lineRule="auto"/>
        <w:rPr>
          <w:color w:val="auto"/>
          <w:highlight w:val="none"/>
        </w:rPr>
      </w:pPr>
    </w:p>
    <w:p w14:paraId="0B88E127">
      <w:pPr>
        <w:pStyle w:val="3"/>
        <w:spacing w:line="243" w:lineRule="auto"/>
        <w:rPr>
          <w:color w:val="auto"/>
          <w:highlight w:val="none"/>
        </w:rPr>
      </w:pPr>
    </w:p>
    <w:p w14:paraId="52918261">
      <w:pPr>
        <w:pStyle w:val="3"/>
        <w:spacing w:line="243" w:lineRule="auto"/>
        <w:rPr>
          <w:color w:val="auto"/>
          <w:highlight w:val="none"/>
        </w:rPr>
      </w:pPr>
    </w:p>
    <w:p w14:paraId="7F07E50A">
      <w:pPr>
        <w:pStyle w:val="3"/>
        <w:spacing w:line="243" w:lineRule="auto"/>
        <w:rPr>
          <w:color w:val="auto"/>
          <w:highlight w:val="none"/>
        </w:rPr>
      </w:pPr>
    </w:p>
    <w:p w14:paraId="137BAACC">
      <w:pPr>
        <w:pStyle w:val="3"/>
        <w:spacing w:line="243" w:lineRule="auto"/>
        <w:rPr>
          <w:color w:val="auto"/>
          <w:highlight w:val="none"/>
        </w:rPr>
      </w:pPr>
    </w:p>
    <w:p w14:paraId="53A4733B">
      <w:pPr>
        <w:pStyle w:val="3"/>
        <w:spacing w:line="244" w:lineRule="auto"/>
        <w:rPr>
          <w:color w:val="auto"/>
          <w:highlight w:val="none"/>
        </w:rPr>
      </w:pPr>
    </w:p>
    <w:p w14:paraId="132A5365">
      <w:pPr>
        <w:pStyle w:val="3"/>
        <w:spacing w:line="244" w:lineRule="auto"/>
        <w:rPr>
          <w:color w:val="auto"/>
          <w:highlight w:val="none"/>
        </w:rPr>
      </w:pPr>
    </w:p>
    <w:p w14:paraId="57ADD468">
      <w:pPr>
        <w:pStyle w:val="3"/>
        <w:spacing w:line="244" w:lineRule="auto"/>
        <w:rPr>
          <w:color w:val="auto"/>
          <w:highlight w:val="none"/>
        </w:rPr>
      </w:pPr>
    </w:p>
    <w:p w14:paraId="01E500E1">
      <w:pPr>
        <w:spacing w:before="156" w:line="222" w:lineRule="auto"/>
        <w:ind w:left="3251"/>
        <w:outlineLvl w:val="0"/>
        <w:rPr>
          <w:rFonts w:ascii="黑体" w:hAnsi="黑体" w:eastAsia="黑体" w:cs="黑体"/>
          <w:color w:val="auto"/>
          <w:sz w:val="48"/>
          <w:szCs w:val="48"/>
          <w:highlight w:val="none"/>
        </w:rPr>
      </w:pPr>
      <w:bookmarkStart w:id="1064" w:name="bookmark398"/>
      <w:bookmarkEnd w:id="1064"/>
      <w:bookmarkStart w:id="1065" w:name="_Toc5033"/>
      <w:bookmarkStart w:id="1066" w:name="_Toc358"/>
      <w:r>
        <w:rPr>
          <w:rFonts w:ascii="黑体" w:hAnsi="黑体" w:eastAsia="黑体" w:cs="黑体"/>
          <w:b/>
          <w:bCs/>
          <w:color w:val="auto"/>
          <w:spacing w:val="-21"/>
          <w:sz w:val="48"/>
          <w:szCs w:val="48"/>
          <w:highlight w:val="none"/>
        </w:rPr>
        <w:t>第</w:t>
      </w:r>
      <w:r>
        <w:rPr>
          <w:rFonts w:ascii="黑体" w:hAnsi="黑体" w:eastAsia="黑体" w:cs="黑体"/>
          <w:color w:val="auto"/>
          <w:spacing w:val="30"/>
          <w:sz w:val="48"/>
          <w:szCs w:val="48"/>
          <w:highlight w:val="none"/>
        </w:rPr>
        <w:t xml:space="preserve"> </w:t>
      </w:r>
      <w:r>
        <w:rPr>
          <w:rFonts w:ascii="黑体" w:hAnsi="黑体" w:eastAsia="黑体" w:cs="黑体"/>
          <w:b/>
          <w:bCs/>
          <w:color w:val="auto"/>
          <w:spacing w:val="-21"/>
          <w:sz w:val="48"/>
          <w:szCs w:val="48"/>
          <w:highlight w:val="none"/>
        </w:rPr>
        <w:t>三</w:t>
      </w:r>
      <w:r>
        <w:rPr>
          <w:rFonts w:ascii="黑体" w:hAnsi="黑体" w:eastAsia="黑体" w:cs="黑体"/>
          <w:color w:val="auto"/>
          <w:spacing w:val="29"/>
          <w:sz w:val="48"/>
          <w:szCs w:val="48"/>
          <w:highlight w:val="none"/>
        </w:rPr>
        <w:t xml:space="preserve"> </w:t>
      </w:r>
      <w:r>
        <w:rPr>
          <w:rFonts w:ascii="黑体" w:hAnsi="黑体" w:eastAsia="黑体" w:cs="黑体"/>
          <w:b/>
          <w:bCs/>
          <w:color w:val="auto"/>
          <w:spacing w:val="-21"/>
          <w:sz w:val="48"/>
          <w:szCs w:val="48"/>
          <w:highlight w:val="none"/>
        </w:rPr>
        <w:t>卷</w:t>
      </w:r>
      <w:bookmarkEnd w:id="1065"/>
      <w:bookmarkEnd w:id="1066"/>
    </w:p>
    <w:p w14:paraId="683115C6">
      <w:pPr>
        <w:spacing w:line="222" w:lineRule="auto"/>
        <w:rPr>
          <w:rFonts w:ascii="黑体" w:hAnsi="黑体" w:eastAsia="黑体" w:cs="黑体"/>
          <w:color w:val="auto"/>
          <w:sz w:val="48"/>
          <w:szCs w:val="48"/>
          <w:highlight w:val="none"/>
        </w:rPr>
        <w:sectPr>
          <w:footerReference r:id="rId103" w:type="default"/>
          <w:pgSz w:w="11907" w:h="16841"/>
          <w:pgMar w:top="1431" w:right="1527" w:bottom="1254" w:left="1785" w:header="0" w:footer="1093" w:gutter="0"/>
          <w:pgNumType w:fmt="decimal"/>
          <w:cols w:space="720" w:num="1"/>
        </w:sectPr>
      </w:pPr>
    </w:p>
    <w:p w14:paraId="6A6CB75D">
      <w:pPr>
        <w:spacing w:before="71" w:line="219" w:lineRule="auto"/>
        <w:ind w:left="955"/>
        <w:outlineLvl w:val="0"/>
        <w:rPr>
          <w:rFonts w:ascii="宋体" w:hAnsi="宋体" w:eastAsia="宋体" w:cs="宋体"/>
          <w:b/>
          <w:bCs/>
          <w:color w:val="auto"/>
          <w:spacing w:val="-3"/>
          <w:sz w:val="36"/>
          <w:szCs w:val="36"/>
          <w:highlight w:val="none"/>
        </w:rPr>
      </w:pPr>
      <w:bookmarkStart w:id="1067" w:name="bookmark399"/>
      <w:bookmarkEnd w:id="1067"/>
      <w:bookmarkStart w:id="1068" w:name="bookmark401"/>
      <w:bookmarkEnd w:id="1068"/>
      <w:bookmarkStart w:id="1069" w:name="bookmark400"/>
      <w:bookmarkEnd w:id="1069"/>
      <w:bookmarkStart w:id="1070" w:name="_Toc6786"/>
    </w:p>
    <w:p w14:paraId="64566ED1">
      <w:pPr>
        <w:spacing w:before="71" w:line="219" w:lineRule="auto"/>
        <w:ind w:left="955"/>
        <w:outlineLvl w:val="0"/>
        <w:rPr>
          <w:rFonts w:ascii="宋体" w:hAnsi="宋体" w:eastAsia="宋体" w:cs="宋体"/>
          <w:b/>
          <w:bCs/>
          <w:color w:val="auto"/>
          <w:spacing w:val="-3"/>
          <w:sz w:val="36"/>
          <w:szCs w:val="36"/>
          <w:highlight w:val="none"/>
        </w:rPr>
      </w:pPr>
    </w:p>
    <w:p w14:paraId="57E2FD33">
      <w:pPr>
        <w:spacing w:before="71" w:line="219" w:lineRule="auto"/>
        <w:ind w:left="955"/>
        <w:outlineLvl w:val="0"/>
        <w:rPr>
          <w:rFonts w:ascii="宋体" w:hAnsi="宋体" w:eastAsia="宋体" w:cs="宋体"/>
          <w:b/>
          <w:bCs/>
          <w:color w:val="auto"/>
          <w:spacing w:val="-3"/>
          <w:sz w:val="36"/>
          <w:szCs w:val="36"/>
          <w:highlight w:val="none"/>
        </w:rPr>
      </w:pPr>
    </w:p>
    <w:p w14:paraId="4AD37918">
      <w:pPr>
        <w:spacing w:before="71" w:line="219" w:lineRule="auto"/>
        <w:ind w:left="955"/>
        <w:outlineLvl w:val="0"/>
        <w:rPr>
          <w:rFonts w:ascii="宋体" w:hAnsi="宋体" w:eastAsia="宋体" w:cs="宋体"/>
          <w:b/>
          <w:bCs/>
          <w:color w:val="auto"/>
          <w:spacing w:val="-3"/>
          <w:sz w:val="36"/>
          <w:szCs w:val="36"/>
          <w:highlight w:val="none"/>
        </w:rPr>
      </w:pPr>
    </w:p>
    <w:p w14:paraId="053BA072">
      <w:pPr>
        <w:spacing w:before="71" w:line="219" w:lineRule="auto"/>
        <w:ind w:left="955"/>
        <w:outlineLvl w:val="0"/>
        <w:rPr>
          <w:rFonts w:ascii="宋体" w:hAnsi="宋体" w:eastAsia="宋体" w:cs="宋体"/>
          <w:color w:val="auto"/>
          <w:sz w:val="36"/>
          <w:szCs w:val="36"/>
          <w:highlight w:val="none"/>
        </w:rPr>
      </w:pPr>
      <w:bookmarkStart w:id="1071" w:name="_Toc7119"/>
      <w:r>
        <w:rPr>
          <w:rFonts w:ascii="宋体" w:hAnsi="宋体" w:eastAsia="宋体" w:cs="宋体"/>
          <w:b/>
          <w:bCs/>
          <w:color w:val="auto"/>
          <w:spacing w:val="-3"/>
          <w:sz w:val="36"/>
          <w:szCs w:val="36"/>
          <w:highlight w:val="none"/>
        </w:rPr>
        <w:t>第七章</w:t>
      </w:r>
      <w:r>
        <w:rPr>
          <w:rFonts w:ascii="宋体" w:hAnsi="宋体" w:eastAsia="宋体" w:cs="宋体"/>
          <w:color w:val="auto"/>
          <w:spacing w:val="-3"/>
          <w:sz w:val="36"/>
          <w:szCs w:val="36"/>
          <w:highlight w:val="none"/>
        </w:rPr>
        <w:t xml:space="preserve">  </w:t>
      </w:r>
      <w:r>
        <w:rPr>
          <w:rFonts w:ascii="宋体" w:hAnsi="宋体" w:eastAsia="宋体" w:cs="宋体"/>
          <w:b/>
          <w:bCs/>
          <w:color w:val="auto"/>
          <w:spacing w:val="-3"/>
          <w:sz w:val="36"/>
          <w:szCs w:val="36"/>
          <w:highlight w:val="none"/>
        </w:rPr>
        <w:t>技术标准和要求（合同技术条款）</w:t>
      </w:r>
      <w:bookmarkEnd w:id="1070"/>
      <w:bookmarkEnd w:id="1071"/>
    </w:p>
    <w:p w14:paraId="6EE26986">
      <w:pPr>
        <w:pStyle w:val="3"/>
        <w:spacing w:line="247" w:lineRule="auto"/>
        <w:rPr>
          <w:color w:val="auto"/>
          <w:highlight w:val="none"/>
        </w:rPr>
      </w:pPr>
      <w:bookmarkStart w:id="1072" w:name="bookmark732"/>
      <w:bookmarkEnd w:id="1072"/>
    </w:p>
    <w:p w14:paraId="43A86A66">
      <w:pPr>
        <w:pStyle w:val="3"/>
        <w:spacing w:line="248" w:lineRule="auto"/>
        <w:rPr>
          <w:color w:val="auto"/>
          <w:highlight w:val="none"/>
        </w:rPr>
      </w:pPr>
    </w:p>
    <w:p w14:paraId="2EB60183">
      <w:pPr>
        <w:pStyle w:val="3"/>
        <w:spacing w:line="244" w:lineRule="auto"/>
        <w:outlineLvl w:val="1"/>
        <w:rPr>
          <w:rFonts w:hint="eastAsia" w:ascii="宋体" w:hAnsi="宋体" w:eastAsia="宋体" w:cs="宋体"/>
          <w:color w:val="auto"/>
          <w:highlight w:val="none"/>
        </w:rPr>
      </w:pPr>
      <w:bookmarkStart w:id="1073" w:name="_Toc3695"/>
      <w:bookmarkStart w:id="1074" w:name="_Toc21751"/>
      <w:bookmarkStart w:id="1075" w:name="_Toc26352"/>
      <w:r>
        <w:rPr>
          <w:rFonts w:hint="eastAsia" w:ascii="宋体" w:hAnsi="宋体" w:eastAsia="宋体" w:cs="宋体"/>
          <w:color w:val="auto"/>
          <w:sz w:val="29"/>
          <w:szCs w:val="29"/>
          <w:highlight w:val="none"/>
        </w:rPr>
        <w:t>略。参照《浙江省水利水电工程施工招标文件示范文本》(</w:t>
      </w:r>
      <w:r>
        <w:rPr>
          <w:rFonts w:hint="eastAsia" w:ascii="宋体" w:hAnsi="宋体" w:eastAsia="宋体" w:cs="宋体"/>
          <w:color w:val="auto"/>
          <w:sz w:val="29"/>
          <w:szCs w:val="29"/>
          <w:highlight w:val="none"/>
          <w:lang w:val="en-US" w:eastAsia="zh-CN"/>
        </w:rPr>
        <w:t>2025</w:t>
      </w:r>
      <w:r>
        <w:rPr>
          <w:rFonts w:hint="eastAsia" w:ascii="宋体" w:hAnsi="宋体" w:eastAsia="宋体" w:cs="宋体"/>
          <w:color w:val="auto"/>
          <w:sz w:val="29"/>
          <w:szCs w:val="29"/>
          <w:highlight w:val="none"/>
        </w:rPr>
        <w:t>年版)</w:t>
      </w:r>
      <w:bookmarkEnd w:id="1073"/>
      <w:bookmarkEnd w:id="1074"/>
      <w:bookmarkEnd w:id="1075"/>
    </w:p>
    <w:p w14:paraId="4F162493">
      <w:pPr>
        <w:pStyle w:val="3"/>
        <w:spacing w:line="248" w:lineRule="auto"/>
        <w:rPr>
          <w:color w:val="auto"/>
          <w:highlight w:val="none"/>
        </w:rPr>
      </w:pPr>
    </w:p>
    <w:p w14:paraId="313B6F00">
      <w:pPr>
        <w:pStyle w:val="3"/>
        <w:spacing w:line="248" w:lineRule="auto"/>
        <w:rPr>
          <w:color w:val="auto"/>
          <w:highlight w:val="none"/>
        </w:rPr>
      </w:pPr>
    </w:p>
    <w:p w14:paraId="244AB4CE">
      <w:pPr>
        <w:pStyle w:val="3"/>
        <w:spacing w:line="246" w:lineRule="auto"/>
        <w:rPr>
          <w:color w:val="auto"/>
          <w:highlight w:val="none"/>
        </w:rPr>
      </w:pPr>
    </w:p>
    <w:p w14:paraId="67D9C30D">
      <w:pPr>
        <w:pStyle w:val="3"/>
        <w:spacing w:line="246" w:lineRule="auto"/>
        <w:rPr>
          <w:color w:val="auto"/>
          <w:highlight w:val="none"/>
        </w:rPr>
      </w:pPr>
    </w:p>
    <w:p w14:paraId="7D1B17F2">
      <w:pPr>
        <w:pStyle w:val="3"/>
        <w:spacing w:line="246" w:lineRule="auto"/>
        <w:rPr>
          <w:color w:val="auto"/>
          <w:highlight w:val="none"/>
        </w:rPr>
      </w:pPr>
    </w:p>
    <w:p w14:paraId="4C02483D">
      <w:pPr>
        <w:pStyle w:val="3"/>
        <w:spacing w:line="246" w:lineRule="auto"/>
        <w:rPr>
          <w:color w:val="auto"/>
          <w:highlight w:val="none"/>
        </w:rPr>
      </w:pPr>
    </w:p>
    <w:p w14:paraId="3537DCA3">
      <w:pPr>
        <w:pStyle w:val="3"/>
        <w:spacing w:line="246" w:lineRule="auto"/>
        <w:rPr>
          <w:color w:val="auto"/>
          <w:highlight w:val="none"/>
        </w:rPr>
      </w:pPr>
    </w:p>
    <w:p w14:paraId="1DC0EFF8">
      <w:pPr>
        <w:pStyle w:val="3"/>
        <w:spacing w:line="246" w:lineRule="auto"/>
        <w:rPr>
          <w:color w:val="auto"/>
          <w:highlight w:val="none"/>
        </w:rPr>
      </w:pPr>
    </w:p>
    <w:p w14:paraId="496FAF6E">
      <w:pPr>
        <w:pStyle w:val="3"/>
        <w:spacing w:line="246" w:lineRule="auto"/>
        <w:rPr>
          <w:color w:val="auto"/>
          <w:highlight w:val="none"/>
        </w:rPr>
      </w:pPr>
    </w:p>
    <w:p w14:paraId="1F65D8AA">
      <w:pPr>
        <w:pStyle w:val="3"/>
        <w:spacing w:line="246" w:lineRule="auto"/>
        <w:rPr>
          <w:color w:val="auto"/>
          <w:highlight w:val="none"/>
        </w:rPr>
      </w:pPr>
    </w:p>
    <w:p w14:paraId="5E10D474">
      <w:pPr>
        <w:pStyle w:val="3"/>
        <w:spacing w:line="246" w:lineRule="auto"/>
        <w:rPr>
          <w:color w:val="auto"/>
          <w:highlight w:val="none"/>
        </w:rPr>
      </w:pPr>
    </w:p>
    <w:p w14:paraId="0610C143">
      <w:pPr>
        <w:pStyle w:val="3"/>
        <w:spacing w:line="246" w:lineRule="auto"/>
        <w:rPr>
          <w:color w:val="auto"/>
          <w:highlight w:val="none"/>
        </w:rPr>
      </w:pPr>
    </w:p>
    <w:p w14:paraId="032ABB7B">
      <w:pPr>
        <w:pStyle w:val="3"/>
        <w:spacing w:line="246" w:lineRule="auto"/>
        <w:rPr>
          <w:color w:val="auto"/>
          <w:highlight w:val="none"/>
        </w:rPr>
      </w:pPr>
    </w:p>
    <w:p w14:paraId="2DE62674">
      <w:pPr>
        <w:pStyle w:val="3"/>
        <w:spacing w:line="246" w:lineRule="auto"/>
        <w:rPr>
          <w:color w:val="auto"/>
          <w:highlight w:val="none"/>
        </w:rPr>
      </w:pPr>
    </w:p>
    <w:p w14:paraId="6D82C378">
      <w:pPr>
        <w:pStyle w:val="3"/>
        <w:spacing w:line="246" w:lineRule="auto"/>
        <w:rPr>
          <w:color w:val="auto"/>
          <w:highlight w:val="none"/>
        </w:rPr>
      </w:pPr>
    </w:p>
    <w:p w14:paraId="3CD99E63">
      <w:pPr>
        <w:pStyle w:val="3"/>
        <w:spacing w:line="246" w:lineRule="auto"/>
        <w:rPr>
          <w:color w:val="auto"/>
          <w:highlight w:val="none"/>
        </w:rPr>
      </w:pPr>
    </w:p>
    <w:p w14:paraId="24D869D9">
      <w:pPr>
        <w:pStyle w:val="3"/>
        <w:spacing w:line="246" w:lineRule="auto"/>
        <w:rPr>
          <w:color w:val="auto"/>
          <w:highlight w:val="none"/>
        </w:rPr>
      </w:pPr>
    </w:p>
    <w:p w14:paraId="15797A18">
      <w:pPr>
        <w:pStyle w:val="3"/>
        <w:spacing w:line="246" w:lineRule="auto"/>
        <w:rPr>
          <w:color w:val="auto"/>
          <w:highlight w:val="none"/>
        </w:rPr>
      </w:pPr>
    </w:p>
    <w:p w14:paraId="0D1AD8D2">
      <w:pPr>
        <w:pStyle w:val="3"/>
        <w:spacing w:line="246" w:lineRule="auto"/>
        <w:rPr>
          <w:color w:val="auto"/>
          <w:highlight w:val="none"/>
        </w:rPr>
      </w:pPr>
    </w:p>
    <w:p w14:paraId="3EDAE591">
      <w:pPr>
        <w:pStyle w:val="3"/>
        <w:spacing w:line="246" w:lineRule="auto"/>
        <w:rPr>
          <w:color w:val="auto"/>
          <w:highlight w:val="none"/>
        </w:rPr>
      </w:pPr>
    </w:p>
    <w:p w14:paraId="02ED4396">
      <w:pPr>
        <w:pStyle w:val="3"/>
        <w:spacing w:line="246" w:lineRule="auto"/>
        <w:rPr>
          <w:color w:val="auto"/>
          <w:highlight w:val="none"/>
        </w:rPr>
      </w:pPr>
    </w:p>
    <w:p w14:paraId="6ECB38CB">
      <w:pPr>
        <w:pStyle w:val="3"/>
        <w:spacing w:line="246" w:lineRule="auto"/>
        <w:rPr>
          <w:color w:val="auto"/>
          <w:highlight w:val="none"/>
        </w:rPr>
      </w:pPr>
    </w:p>
    <w:p w14:paraId="171E978C">
      <w:pPr>
        <w:pStyle w:val="3"/>
        <w:spacing w:line="246" w:lineRule="auto"/>
        <w:rPr>
          <w:color w:val="auto"/>
          <w:highlight w:val="none"/>
        </w:rPr>
      </w:pPr>
    </w:p>
    <w:p w14:paraId="2C80586D">
      <w:pPr>
        <w:pStyle w:val="3"/>
        <w:spacing w:line="246" w:lineRule="auto"/>
        <w:rPr>
          <w:color w:val="auto"/>
          <w:highlight w:val="none"/>
        </w:rPr>
      </w:pPr>
    </w:p>
    <w:p w14:paraId="55F33565">
      <w:pPr>
        <w:pStyle w:val="3"/>
        <w:spacing w:line="246" w:lineRule="auto"/>
        <w:rPr>
          <w:color w:val="auto"/>
          <w:highlight w:val="none"/>
        </w:rPr>
      </w:pPr>
    </w:p>
    <w:p w14:paraId="655F08A4">
      <w:pPr>
        <w:pStyle w:val="3"/>
        <w:spacing w:line="246" w:lineRule="auto"/>
        <w:rPr>
          <w:color w:val="auto"/>
          <w:highlight w:val="none"/>
        </w:rPr>
      </w:pPr>
    </w:p>
    <w:p w14:paraId="3A94F417">
      <w:pPr>
        <w:pStyle w:val="3"/>
        <w:spacing w:line="246" w:lineRule="auto"/>
        <w:rPr>
          <w:color w:val="auto"/>
          <w:highlight w:val="none"/>
        </w:rPr>
      </w:pPr>
    </w:p>
    <w:p w14:paraId="50F774A2">
      <w:pPr>
        <w:pStyle w:val="3"/>
        <w:spacing w:line="246" w:lineRule="auto"/>
        <w:rPr>
          <w:color w:val="auto"/>
          <w:highlight w:val="none"/>
        </w:rPr>
      </w:pPr>
    </w:p>
    <w:p w14:paraId="140BAA7A">
      <w:pPr>
        <w:pStyle w:val="3"/>
        <w:spacing w:line="246" w:lineRule="auto"/>
        <w:rPr>
          <w:color w:val="auto"/>
          <w:highlight w:val="none"/>
        </w:rPr>
      </w:pPr>
    </w:p>
    <w:p w14:paraId="7DC58BA5">
      <w:pPr>
        <w:pStyle w:val="3"/>
        <w:spacing w:line="246" w:lineRule="auto"/>
        <w:rPr>
          <w:color w:val="auto"/>
          <w:highlight w:val="none"/>
        </w:rPr>
      </w:pPr>
    </w:p>
    <w:p w14:paraId="05DA2250">
      <w:pPr>
        <w:spacing w:before="156" w:line="222" w:lineRule="auto"/>
        <w:ind w:left="3251"/>
        <w:outlineLvl w:val="0"/>
        <w:rPr>
          <w:rFonts w:ascii="黑体" w:hAnsi="黑体" w:eastAsia="黑体" w:cs="黑体"/>
          <w:b/>
          <w:bCs/>
          <w:color w:val="auto"/>
          <w:spacing w:val="-27"/>
          <w:sz w:val="48"/>
          <w:szCs w:val="48"/>
          <w:highlight w:val="none"/>
        </w:rPr>
        <w:sectPr>
          <w:headerReference r:id="rId104" w:type="default"/>
          <w:footerReference r:id="rId105" w:type="default"/>
          <w:pgSz w:w="11907" w:h="16841"/>
          <w:pgMar w:top="400" w:right="1527" w:bottom="1254" w:left="1785" w:header="0" w:footer="1093" w:gutter="0"/>
          <w:pgNumType w:fmt="decimal"/>
          <w:cols w:space="720" w:num="1"/>
        </w:sectPr>
      </w:pPr>
      <w:bookmarkStart w:id="1076" w:name="bookmark643"/>
      <w:bookmarkEnd w:id="1076"/>
      <w:bookmarkStart w:id="1077" w:name="_Toc1779"/>
    </w:p>
    <w:p w14:paraId="5F149B5E">
      <w:pPr>
        <w:spacing w:before="156" w:line="222" w:lineRule="auto"/>
        <w:ind w:left="3251"/>
        <w:outlineLvl w:val="0"/>
        <w:rPr>
          <w:rFonts w:ascii="黑体" w:hAnsi="黑体" w:eastAsia="黑体" w:cs="黑体"/>
          <w:b/>
          <w:bCs/>
          <w:color w:val="auto"/>
          <w:spacing w:val="-27"/>
          <w:sz w:val="48"/>
          <w:szCs w:val="48"/>
          <w:highlight w:val="none"/>
        </w:rPr>
      </w:pPr>
    </w:p>
    <w:p w14:paraId="3E9F5FE7">
      <w:pPr>
        <w:spacing w:before="156" w:line="222" w:lineRule="auto"/>
        <w:ind w:left="3251"/>
        <w:outlineLvl w:val="0"/>
        <w:rPr>
          <w:rFonts w:ascii="黑体" w:hAnsi="黑体" w:eastAsia="黑体" w:cs="黑体"/>
          <w:b/>
          <w:bCs/>
          <w:color w:val="auto"/>
          <w:spacing w:val="-27"/>
          <w:sz w:val="48"/>
          <w:szCs w:val="48"/>
          <w:highlight w:val="none"/>
        </w:rPr>
      </w:pPr>
    </w:p>
    <w:p w14:paraId="61BF5A6D">
      <w:pPr>
        <w:spacing w:before="156" w:line="222" w:lineRule="auto"/>
        <w:ind w:left="3251"/>
        <w:outlineLvl w:val="0"/>
        <w:rPr>
          <w:rFonts w:ascii="黑体" w:hAnsi="黑体" w:eastAsia="黑体" w:cs="黑体"/>
          <w:b/>
          <w:bCs/>
          <w:color w:val="auto"/>
          <w:spacing w:val="-27"/>
          <w:sz w:val="48"/>
          <w:szCs w:val="48"/>
          <w:highlight w:val="none"/>
        </w:rPr>
      </w:pPr>
    </w:p>
    <w:p w14:paraId="185828DE">
      <w:pPr>
        <w:spacing w:before="156" w:line="222" w:lineRule="auto"/>
        <w:ind w:left="3251"/>
        <w:outlineLvl w:val="0"/>
        <w:rPr>
          <w:rFonts w:ascii="黑体" w:hAnsi="黑体" w:eastAsia="黑体" w:cs="黑体"/>
          <w:b/>
          <w:bCs/>
          <w:color w:val="auto"/>
          <w:spacing w:val="-27"/>
          <w:sz w:val="48"/>
          <w:szCs w:val="48"/>
          <w:highlight w:val="none"/>
        </w:rPr>
      </w:pPr>
    </w:p>
    <w:p w14:paraId="070BA399">
      <w:pPr>
        <w:spacing w:before="156" w:line="222" w:lineRule="auto"/>
        <w:ind w:left="3251"/>
        <w:outlineLvl w:val="0"/>
        <w:rPr>
          <w:rFonts w:ascii="黑体" w:hAnsi="黑体" w:eastAsia="黑体" w:cs="黑体"/>
          <w:b/>
          <w:bCs/>
          <w:color w:val="auto"/>
          <w:spacing w:val="-27"/>
          <w:sz w:val="48"/>
          <w:szCs w:val="48"/>
          <w:highlight w:val="none"/>
        </w:rPr>
      </w:pPr>
    </w:p>
    <w:p w14:paraId="3A3075A0">
      <w:pPr>
        <w:spacing w:before="156" w:line="222" w:lineRule="auto"/>
        <w:ind w:left="3251"/>
        <w:outlineLvl w:val="0"/>
        <w:rPr>
          <w:rFonts w:ascii="黑体" w:hAnsi="黑体" w:eastAsia="黑体" w:cs="黑体"/>
          <w:b/>
          <w:bCs/>
          <w:color w:val="auto"/>
          <w:spacing w:val="-27"/>
          <w:sz w:val="48"/>
          <w:szCs w:val="48"/>
          <w:highlight w:val="none"/>
        </w:rPr>
      </w:pPr>
    </w:p>
    <w:p w14:paraId="7BE7CF14">
      <w:pPr>
        <w:spacing w:before="156" w:line="222" w:lineRule="auto"/>
        <w:ind w:left="3251"/>
        <w:outlineLvl w:val="0"/>
        <w:rPr>
          <w:rFonts w:ascii="黑体" w:hAnsi="黑体" w:eastAsia="黑体" w:cs="黑体"/>
          <w:b/>
          <w:bCs/>
          <w:color w:val="auto"/>
          <w:spacing w:val="-27"/>
          <w:sz w:val="48"/>
          <w:szCs w:val="48"/>
          <w:highlight w:val="none"/>
        </w:rPr>
      </w:pPr>
    </w:p>
    <w:p w14:paraId="267EB3CB">
      <w:pPr>
        <w:spacing w:before="156" w:line="222" w:lineRule="auto"/>
        <w:ind w:left="3251"/>
        <w:outlineLvl w:val="0"/>
        <w:rPr>
          <w:rFonts w:ascii="黑体" w:hAnsi="黑体" w:eastAsia="黑体" w:cs="黑体"/>
          <w:b/>
          <w:bCs/>
          <w:color w:val="auto"/>
          <w:spacing w:val="-27"/>
          <w:sz w:val="48"/>
          <w:szCs w:val="48"/>
          <w:highlight w:val="none"/>
        </w:rPr>
      </w:pPr>
    </w:p>
    <w:p w14:paraId="7578F5D5">
      <w:pPr>
        <w:spacing w:before="156" w:line="222" w:lineRule="auto"/>
        <w:ind w:left="3251"/>
        <w:outlineLvl w:val="0"/>
        <w:rPr>
          <w:rFonts w:ascii="黑体" w:hAnsi="黑体" w:eastAsia="黑体" w:cs="黑体"/>
          <w:color w:val="auto"/>
          <w:sz w:val="48"/>
          <w:szCs w:val="48"/>
          <w:highlight w:val="none"/>
        </w:rPr>
      </w:pPr>
      <w:bookmarkStart w:id="1078" w:name="_Toc1600"/>
      <w:r>
        <w:rPr>
          <w:rFonts w:ascii="黑体" w:hAnsi="黑体" w:eastAsia="黑体" w:cs="黑体"/>
          <w:b/>
          <w:bCs/>
          <w:color w:val="auto"/>
          <w:spacing w:val="-27"/>
          <w:sz w:val="48"/>
          <w:szCs w:val="48"/>
          <w:highlight w:val="none"/>
        </w:rPr>
        <w:t>第</w:t>
      </w:r>
      <w:r>
        <w:rPr>
          <w:rFonts w:ascii="黑体" w:hAnsi="黑体" w:eastAsia="黑体" w:cs="黑体"/>
          <w:color w:val="auto"/>
          <w:spacing w:val="49"/>
          <w:sz w:val="48"/>
          <w:szCs w:val="48"/>
          <w:highlight w:val="none"/>
        </w:rPr>
        <w:t xml:space="preserve"> </w:t>
      </w:r>
      <w:r>
        <w:rPr>
          <w:rFonts w:ascii="黑体" w:hAnsi="黑体" w:eastAsia="黑体" w:cs="黑体"/>
          <w:b/>
          <w:bCs/>
          <w:color w:val="auto"/>
          <w:spacing w:val="-27"/>
          <w:sz w:val="48"/>
          <w:szCs w:val="48"/>
          <w:highlight w:val="none"/>
        </w:rPr>
        <w:t>四</w:t>
      </w:r>
      <w:r>
        <w:rPr>
          <w:rFonts w:ascii="黑体" w:hAnsi="黑体" w:eastAsia="黑体" w:cs="黑体"/>
          <w:color w:val="auto"/>
          <w:spacing w:val="28"/>
          <w:sz w:val="48"/>
          <w:szCs w:val="48"/>
          <w:highlight w:val="none"/>
        </w:rPr>
        <w:t xml:space="preserve"> </w:t>
      </w:r>
      <w:r>
        <w:rPr>
          <w:rFonts w:ascii="黑体" w:hAnsi="黑体" w:eastAsia="黑体" w:cs="黑体"/>
          <w:b/>
          <w:bCs/>
          <w:color w:val="auto"/>
          <w:spacing w:val="-27"/>
          <w:sz w:val="48"/>
          <w:szCs w:val="48"/>
          <w:highlight w:val="none"/>
        </w:rPr>
        <w:t>卷</w:t>
      </w:r>
      <w:bookmarkEnd w:id="1077"/>
      <w:bookmarkEnd w:id="1078"/>
    </w:p>
    <w:p w14:paraId="18CF17DB">
      <w:pPr>
        <w:spacing w:line="222" w:lineRule="auto"/>
        <w:rPr>
          <w:rFonts w:ascii="黑体" w:hAnsi="黑体" w:eastAsia="黑体" w:cs="黑体"/>
          <w:color w:val="auto"/>
          <w:sz w:val="48"/>
          <w:szCs w:val="48"/>
          <w:highlight w:val="none"/>
        </w:rPr>
        <w:sectPr>
          <w:pgSz w:w="11907" w:h="16841"/>
          <w:pgMar w:top="400" w:right="1527" w:bottom="1254" w:left="1785" w:header="0" w:footer="1093" w:gutter="0"/>
          <w:pgNumType w:fmt="decimal"/>
          <w:cols w:space="720" w:num="1"/>
        </w:sectPr>
      </w:pPr>
    </w:p>
    <w:p w14:paraId="6FBE1AB9">
      <w:pPr>
        <w:pStyle w:val="3"/>
        <w:spacing w:line="243" w:lineRule="auto"/>
        <w:rPr>
          <w:color w:val="auto"/>
          <w:highlight w:val="none"/>
        </w:rPr>
      </w:pPr>
    </w:p>
    <w:p w14:paraId="3DE25E68">
      <w:pPr>
        <w:pStyle w:val="3"/>
        <w:spacing w:line="243" w:lineRule="auto"/>
        <w:rPr>
          <w:color w:val="auto"/>
          <w:highlight w:val="none"/>
        </w:rPr>
      </w:pPr>
    </w:p>
    <w:p w14:paraId="1E3B2470">
      <w:pPr>
        <w:pStyle w:val="3"/>
        <w:spacing w:line="243" w:lineRule="auto"/>
        <w:rPr>
          <w:color w:val="auto"/>
          <w:highlight w:val="none"/>
        </w:rPr>
      </w:pPr>
    </w:p>
    <w:p w14:paraId="78A4EC61">
      <w:pPr>
        <w:pStyle w:val="3"/>
        <w:spacing w:line="243" w:lineRule="auto"/>
        <w:rPr>
          <w:color w:val="auto"/>
          <w:highlight w:val="none"/>
        </w:rPr>
      </w:pPr>
    </w:p>
    <w:p w14:paraId="0276D0F6">
      <w:pPr>
        <w:spacing w:before="117" w:line="219" w:lineRule="auto"/>
        <w:ind w:left="2404"/>
        <w:outlineLvl w:val="0"/>
        <w:rPr>
          <w:rFonts w:ascii="宋体" w:hAnsi="宋体" w:eastAsia="宋体" w:cs="宋体"/>
          <w:color w:val="auto"/>
          <w:sz w:val="36"/>
          <w:szCs w:val="36"/>
          <w:highlight w:val="none"/>
        </w:rPr>
      </w:pPr>
      <w:bookmarkStart w:id="1079" w:name="bookmark644"/>
      <w:bookmarkEnd w:id="1079"/>
      <w:bookmarkStart w:id="1080" w:name="_Toc25574"/>
      <w:bookmarkStart w:id="1081" w:name="_Toc30270"/>
      <w:r>
        <w:rPr>
          <w:rFonts w:ascii="宋体" w:hAnsi="宋体" w:eastAsia="宋体" w:cs="宋体"/>
          <w:b/>
          <w:bCs/>
          <w:color w:val="auto"/>
          <w:spacing w:val="-4"/>
          <w:sz w:val="36"/>
          <w:szCs w:val="36"/>
          <w:highlight w:val="none"/>
        </w:rPr>
        <w:t>第八章</w:t>
      </w:r>
      <w:r>
        <w:rPr>
          <w:rFonts w:ascii="宋体" w:hAnsi="宋体" w:eastAsia="宋体" w:cs="宋体"/>
          <w:color w:val="auto"/>
          <w:spacing w:val="-4"/>
          <w:sz w:val="36"/>
          <w:szCs w:val="36"/>
          <w:highlight w:val="none"/>
        </w:rPr>
        <w:t xml:space="preserve">  </w:t>
      </w:r>
      <w:r>
        <w:rPr>
          <w:rFonts w:ascii="宋体" w:hAnsi="宋体" w:eastAsia="宋体" w:cs="宋体"/>
          <w:b/>
          <w:bCs/>
          <w:color w:val="auto"/>
          <w:spacing w:val="-4"/>
          <w:sz w:val="36"/>
          <w:szCs w:val="36"/>
          <w:highlight w:val="none"/>
        </w:rPr>
        <w:t>投标文件格式</w:t>
      </w:r>
      <w:bookmarkEnd w:id="1080"/>
      <w:bookmarkEnd w:id="1081"/>
    </w:p>
    <w:p w14:paraId="421F1D80">
      <w:pPr>
        <w:spacing w:line="219" w:lineRule="auto"/>
        <w:rPr>
          <w:rFonts w:ascii="宋体" w:hAnsi="宋体" w:eastAsia="宋体" w:cs="宋体"/>
          <w:color w:val="auto"/>
          <w:sz w:val="36"/>
          <w:szCs w:val="36"/>
          <w:highlight w:val="none"/>
        </w:rPr>
        <w:sectPr>
          <w:footerReference r:id="rId106" w:type="default"/>
          <w:pgSz w:w="11907" w:h="16841"/>
          <w:pgMar w:top="400" w:right="1527" w:bottom="1254" w:left="1785" w:header="0" w:footer="1093" w:gutter="0"/>
          <w:pgNumType w:fmt="decimal"/>
          <w:cols w:space="720" w:num="1"/>
        </w:sectPr>
      </w:pPr>
    </w:p>
    <w:p w14:paraId="0D8682B2">
      <w:pPr>
        <w:pStyle w:val="3"/>
        <w:spacing w:line="263" w:lineRule="auto"/>
        <w:rPr>
          <w:color w:val="auto"/>
          <w:highlight w:val="none"/>
        </w:rPr>
      </w:pPr>
    </w:p>
    <w:p w14:paraId="213E6B98">
      <w:pPr>
        <w:pStyle w:val="3"/>
        <w:spacing w:line="263" w:lineRule="auto"/>
        <w:rPr>
          <w:color w:val="auto"/>
          <w:highlight w:val="none"/>
        </w:rPr>
      </w:pPr>
    </w:p>
    <w:p w14:paraId="5F1069EA">
      <w:pPr>
        <w:pStyle w:val="3"/>
        <w:spacing w:line="263" w:lineRule="auto"/>
        <w:rPr>
          <w:color w:val="auto"/>
          <w:highlight w:val="none"/>
        </w:rPr>
      </w:pPr>
    </w:p>
    <w:p w14:paraId="65A752F6">
      <w:pPr>
        <w:pStyle w:val="3"/>
        <w:spacing w:line="263" w:lineRule="auto"/>
        <w:rPr>
          <w:color w:val="auto"/>
          <w:highlight w:val="none"/>
        </w:rPr>
      </w:pPr>
    </w:p>
    <w:p w14:paraId="7B66757B">
      <w:pPr>
        <w:pStyle w:val="3"/>
        <w:spacing w:line="263" w:lineRule="auto"/>
        <w:rPr>
          <w:color w:val="auto"/>
          <w:highlight w:val="none"/>
        </w:rPr>
      </w:pPr>
    </w:p>
    <w:p w14:paraId="383F83C1">
      <w:pPr>
        <w:pStyle w:val="3"/>
        <w:spacing w:line="263" w:lineRule="auto"/>
        <w:rPr>
          <w:color w:val="auto"/>
          <w:highlight w:val="none"/>
        </w:rPr>
      </w:pPr>
    </w:p>
    <w:p w14:paraId="27EE340F">
      <w:pPr>
        <w:pStyle w:val="3"/>
        <w:spacing w:line="264" w:lineRule="auto"/>
        <w:rPr>
          <w:color w:val="auto"/>
          <w:highlight w:val="none"/>
        </w:rPr>
      </w:pPr>
    </w:p>
    <w:p w14:paraId="3F22142C">
      <w:pPr>
        <w:pStyle w:val="3"/>
        <w:spacing w:line="264" w:lineRule="auto"/>
        <w:rPr>
          <w:color w:val="auto"/>
          <w:highlight w:val="none"/>
        </w:rPr>
      </w:pPr>
    </w:p>
    <w:p w14:paraId="3EA69896">
      <w:pPr>
        <w:pStyle w:val="3"/>
        <w:spacing w:line="264" w:lineRule="auto"/>
        <w:rPr>
          <w:color w:val="auto"/>
          <w:highlight w:val="none"/>
        </w:rPr>
      </w:pPr>
    </w:p>
    <w:p w14:paraId="01217DBB">
      <w:pPr>
        <w:pStyle w:val="3"/>
        <w:spacing w:line="264" w:lineRule="auto"/>
        <w:rPr>
          <w:color w:val="auto"/>
          <w:highlight w:val="none"/>
        </w:rPr>
      </w:pPr>
    </w:p>
    <w:p w14:paraId="6484AC61">
      <w:pPr>
        <w:tabs>
          <w:tab w:val="left" w:pos="3486"/>
        </w:tabs>
        <w:spacing w:before="81" w:line="213" w:lineRule="auto"/>
        <w:ind w:left="1326"/>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
          <w:sz w:val="24"/>
          <w:szCs w:val="24"/>
          <w:highlight w:val="none"/>
        </w:rPr>
        <w:t>（</w:t>
      </w:r>
      <w:r>
        <w:rPr>
          <w:rFonts w:ascii="宋体" w:hAnsi="宋体" w:eastAsia="宋体" w:cs="宋体"/>
          <w:i/>
          <w:iCs/>
          <w:color w:val="auto"/>
          <w:spacing w:val="-1"/>
          <w:sz w:val="25"/>
          <w:szCs w:val="25"/>
          <w:highlight w:val="none"/>
        </w:rPr>
        <w:t>项目名称</w:t>
      </w:r>
      <w:r>
        <w:rPr>
          <w:rFonts w:ascii="宋体" w:hAnsi="宋体" w:eastAsia="宋体" w:cs="宋体"/>
          <w:color w:val="auto"/>
          <w:spacing w:val="-25"/>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5"/>
          <w:sz w:val="24"/>
          <w:szCs w:val="24"/>
          <w:highlight w:val="none"/>
        </w:rPr>
        <w:t>（</w:t>
      </w:r>
      <w:r>
        <w:rPr>
          <w:rFonts w:ascii="宋体" w:hAnsi="宋体" w:eastAsia="宋体" w:cs="宋体"/>
          <w:i/>
          <w:iCs/>
          <w:color w:val="auto"/>
          <w:spacing w:val="-1"/>
          <w:sz w:val="25"/>
          <w:szCs w:val="25"/>
          <w:highlight w:val="none"/>
        </w:rPr>
        <w:t>标段名称</w:t>
      </w:r>
      <w:r>
        <w:rPr>
          <w:rFonts w:ascii="宋体" w:hAnsi="宋体" w:eastAsia="宋体" w:cs="宋体"/>
          <w:color w:val="auto"/>
          <w:spacing w:val="-1"/>
          <w:sz w:val="24"/>
          <w:szCs w:val="24"/>
          <w:highlight w:val="none"/>
        </w:rPr>
        <w:t>）</w:t>
      </w:r>
    </w:p>
    <w:p w14:paraId="1BA38903">
      <w:pPr>
        <w:pStyle w:val="3"/>
        <w:spacing w:line="244" w:lineRule="auto"/>
        <w:rPr>
          <w:color w:val="auto"/>
          <w:highlight w:val="none"/>
        </w:rPr>
      </w:pPr>
    </w:p>
    <w:p w14:paraId="0D1EB1D0">
      <w:pPr>
        <w:pStyle w:val="3"/>
        <w:spacing w:line="245" w:lineRule="auto"/>
        <w:rPr>
          <w:color w:val="auto"/>
          <w:highlight w:val="none"/>
        </w:rPr>
      </w:pPr>
    </w:p>
    <w:p w14:paraId="61E9F61D">
      <w:pPr>
        <w:pStyle w:val="3"/>
        <w:spacing w:line="245" w:lineRule="auto"/>
        <w:rPr>
          <w:color w:val="auto"/>
          <w:highlight w:val="none"/>
        </w:rPr>
      </w:pPr>
    </w:p>
    <w:p w14:paraId="0154F2C5">
      <w:pPr>
        <w:pStyle w:val="3"/>
        <w:spacing w:line="245" w:lineRule="auto"/>
        <w:rPr>
          <w:color w:val="auto"/>
          <w:highlight w:val="none"/>
        </w:rPr>
      </w:pPr>
    </w:p>
    <w:p w14:paraId="46876295">
      <w:pPr>
        <w:pStyle w:val="3"/>
        <w:spacing w:line="245" w:lineRule="auto"/>
        <w:rPr>
          <w:color w:val="auto"/>
          <w:highlight w:val="none"/>
        </w:rPr>
      </w:pPr>
    </w:p>
    <w:p w14:paraId="598EF9E9">
      <w:pPr>
        <w:pStyle w:val="3"/>
        <w:spacing w:line="245" w:lineRule="auto"/>
        <w:rPr>
          <w:color w:val="auto"/>
          <w:highlight w:val="none"/>
        </w:rPr>
      </w:pPr>
    </w:p>
    <w:p w14:paraId="7D847AD0">
      <w:pPr>
        <w:pStyle w:val="3"/>
        <w:spacing w:line="245" w:lineRule="auto"/>
        <w:rPr>
          <w:color w:val="auto"/>
          <w:highlight w:val="none"/>
        </w:rPr>
      </w:pPr>
    </w:p>
    <w:p w14:paraId="4F1A7A48">
      <w:pPr>
        <w:spacing w:before="140" w:line="223" w:lineRule="auto"/>
        <w:ind w:left="3113"/>
        <w:rPr>
          <w:rFonts w:ascii="宋体" w:hAnsi="宋体" w:eastAsia="宋体" w:cs="宋体"/>
          <w:color w:val="auto"/>
          <w:sz w:val="43"/>
          <w:szCs w:val="43"/>
          <w:highlight w:val="none"/>
        </w:rPr>
      </w:pPr>
      <w:r>
        <w:rPr>
          <w:rFonts w:ascii="宋体" w:hAnsi="宋体" w:eastAsia="宋体" w:cs="宋体"/>
          <w:b/>
          <w:bCs/>
          <w:color w:val="auto"/>
          <w:spacing w:val="-14"/>
          <w:sz w:val="43"/>
          <w:szCs w:val="43"/>
          <w:highlight w:val="none"/>
        </w:rPr>
        <w:t>投</w:t>
      </w:r>
      <w:r>
        <w:rPr>
          <w:rFonts w:ascii="宋体" w:hAnsi="宋体" w:eastAsia="宋体" w:cs="宋体"/>
          <w:color w:val="auto"/>
          <w:spacing w:val="29"/>
          <w:sz w:val="43"/>
          <w:szCs w:val="43"/>
          <w:highlight w:val="none"/>
        </w:rPr>
        <w:t xml:space="preserve"> </w:t>
      </w:r>
      <w:r>
        <w:rPr>
          <w:rFonts w:ascii="宋体" w:hAnsi="宋体" w:eastAsia="宋体" w:cs="宋体"/>
          <w:b/>
          <w:bCs/>
          <w:color w:val="auto"/>
          <w:spacing w:val="-14"/>
          <w:sz w:val="43"/>
          <w:szCs w:val="43"/>
          <w:highlight w:val="none"/>
        </w:rPr>
        <w:t>标</w:t>
      </w:r>
      <w:r>
        <w:rPr>
          <w:rFonts w:ascii="宋体" w:hAnsi="宋体" w:eastAsia="宋体" w:cs="宋体"/>
          <w:color w:val="auto"/>
          <w:spacing w:val="29"/>
          <w:sz w:val="43"/>
          <w:szCs w:val="43"/>
          <w:highlight w:val="none"/>
        </w:rPr>
        <w:t xml:space="preserve"> </w:t>
      </w:r>
      <w:r>
        <w:rPr>
          <w:rFonts w:ascii="宋体" w:hAnsi="宋体" w:eastAsia="宋体" w:cs="宋体"/>
          <w:b/>
          <w:bCs/>
          <w:color w:val="auto"/>
          <w:spacing w:val="-14"/>
          <w:sz w:val="43"/>
          <w:szCs w:val="43"/>
          <w:highlight w:val="none"/>
        </w:rPr>
        <w:t>文</w:t>
      </w:r>
      <w:r>
        <w:rPr>
          <w:rFonts w:ascii="宋体" w:hAnsi="宋体" w:eastAsia="宋体" w:cs="宋体"/>
          <w:color w:val="auto"/>
          <w:spacing w:val="24"/>
          <w:sz w:val="43"/>
          <w:szCs w:val="43"/>
          <w:highlight w:val="none"/>
        </w:rPr>
        <w:t xml:space="preserve"> </w:t>
      </w:r>
      <w:r>
        <w:rPr>
          <w:rFonts w:ascii="宋体" w:hAnsi="宋体" w:eastAsia="宋体" w:cs="宋体"/>
          <w:b/>
          <w:bCs/>
          <w:color w:val="auto"/>
          <w:spacing w:val="-14"/>
          <w:sz w:val="43"/>
          <w:szCs w:val="43"/>
          <w:highlight w:val="none"/>
        </w:rPr>
        <w:t>件</w:t>
      </w:r>
    </w:p>
    <w:p w14:paraId="73A46E40">
      <w:pPr>
        <w:spacing w:before="305" w:line="220" w:lineRule="auto"/>
        <w:ind w:left="372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（技术标）</w:t>
      </w:r>
    </w:p>
    <w:p w14:paraId="6E4EDBB0">
      <w:pPr>
        <w:pStyle w:val="3"/>
        <w:spacing w:line="247" w:lineRule="auto"/>
        <w:rPr>
          <w:color w:val="auto"/>
          <w:highlight w:val="none"/>
        </w:rPr>
      </w:pPr>
    </w:p>
    <w:p w14:paraId="7F0077DF">
      <w:pPr>
        <w:pStyle w:val="3"/>
        <w:spacing w:line="248" w:lineRule="auto"/>
        <w:rPr>
          <w:color w:val="auto"/>
          <w:highlight w:val="none"/>
        </w:rPr>
      </w:pPr>
    </w:p>
    <w:p w14:paraId="25FF1AAD">
      <w:pPr>
        <w:pStyle w:val="3"/>
        <w:spacing w:line="248" w:lineRule="auto"/>
        <w:rPr>
          <w:color w:val="auto"/>
          <w:highlight w:val="none"/>
        </w:rPr>
      </w:pPr>
    </w:p>
    <w:p w14:paraId="11E5735A">
      <w:pPr>
        <w:pStyle w:val="3"/>
        <w:spacing w:line="248" w:lineRule="auto"/>
        <w:rPr>
          <w:color w:val="auto"/>
          <w:highlight w:val="none"/>
        </w:rPr>
      </w:pPr>
    </w:p>
    <w:p w14:paraId="32E43991">
      <w:pPr>
        <w:pStyle w:val="3"/>
        <w:spacing w:line="248" w:lineRule="auto"/>
        <w:rPr>
          <w:color w:val="auto"/>
          <w:highlight w:val="none"/>
        </w:rPr>
      </w:pPr>
    </w:p>
    <w:p w14:paraId="1D788201">
      <w:pPr>
        <w:pStyle w:val="3"/>
        <w:spacing w:line="248" w:lineRule="auto"/>
        <w:rPr>
          <w:color w:val="auto"/>
          <w:highlight w:val="none"/>
        </w:rPr>
      </w:pPr>
    </w:p>
    <w:p w14:paraId="35375E07">
      <w:pPr>
        <w:pStyle w:val="3"/>
        <w:spacing w:line="248" w:lineRule="auto"/>
        <w:rPr>
          <w:color w:val="auto"/>
          <w:highlight w:val="none"/>
        </w:rPr>
      </w:pPr>
    </w:p>
    <w:p w14:paraId="72369776">
      <w:pPr>
        <w:pStyle w:val="3"/>
        <w:spacing w:line="248" w:lineRule="auto"/>
        <w:rPr>
          <w:color w:val="auto"/>
          <w:highlight w:val="none"/>
        </w:rPr>
      </w:pPr>
    </w:p>
    <w:p w14:paraId="0B619A04">
      <w:pPr>
        <w:pStyle w:val="3"/>
        <w:spacing w:line="248" w:lineRule="auto"/>
        <w:rPr>
          <w:color w:val="auto"/>
          <w:highlight w:val="none"/>
        </w:rPr>
      </w:pPr>
    </w:p>
    <w:p w14:paraId="04C82193">
      <w:pPr>
        <w:pStyle w:val="3"/>
        <w:spacing w:line="248" w:lineRule="auto"/>
        <w:rPr>
          <w:color w:val="auto"/>
          <w:highlight w:val="none"/>
        </w:rPr>
      </w:pPr>
    </w:p>
    <w:p w14:paraId="1327F20E">
      <w:pPr>
        <w:pStyle w:val="3"/>
        <w:spacing w:line="248" w:lineRule="auto"/>
        <w:rPr>
          <w:color w:val="auto"/>
          <w:highlight w:val="none"/>
        </w:rPr>
      </w:pPr>
    </w:p>
    <w:p w14:paraId="1243438F">
      <w:pPr>
        <w:pStyle w:val="3"/>
        <w:spacing w:line="248" w:lineRule="auto"/>
        <w:rPr>
          <w:color w:val="auto"/>
          <w:highlight w:val="none"/>
        </w:rPr>
      </w:pPr>
    </w:p>
    <w:p w14:paraId="54779B75">
      <w:pPr>
        <w:pStyle w:val="3"/>
        <w:spacing w:line="248" w:lineRule="auto"/>
        <w:rPr>
          <w:color w:val="auto"/>
          <w:highlight w:val="none"/>
        </w:rPr>
      </w:pPr>
    </w:p>
    <w:p w14:paraId="2A4C6E98">
      <w:pPr>
        <w:pStyle w:val="3"/>
        <w:spacing w:line="248" w:lineRule="auto"/>
        <w:rPr>
          <w:color w:val="auto"/>
          <w:highlight w:val="none"/>
        </w:rPr>
      </w:pPr>
    </w:p>
    <w:p w14:paraId="7CB0E05C">
      <w:pPr>
        <w:pStyle w:val="3"/>
        <w:spacing w:line="248" w:lineRule="auto"/>
        <w:rPr>
          <w:color w:val="auto"/>
          <w:highlight w:val="none"/>
        </w:rPr>
      </w:pPr>
    </w:p>
    <w:p w14:paraId="300E8F39">
      <w:pPr>
        <w:pStyle w:val="3"/>
        <w:spacing w:line="248" w:lineRule="auto"/>
        <w:rPr>
          <w:color w:val="auto"/>
          <w:highlight w:val="none"/>
        </w:rPr>
      </w:pPr>
    </w:p>
    <w:p w14:paraId="466611A1">
      <w:pPr>
        <w:pStyle w:val="3"/>
        <w:spacing w:line="248" w:lineRule="auto"/>
        <w:rPr>
          <w:color w:val="auto"/>
          <w:highlight w:val="none"/>
        </w:rPr>
      </w:pPr>
    </w:p>
    <w:p w14:paraId="37D4C273">
      <w:pPr>
        <w:spacing w:before="78" w:line="219" w:lineRule="auto"/>
        <w:ind w:left="112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w:t>
      </w:r>
      <w:r>
        <w:rPr>
          <w:rFonts w:ascii="宋体" w:hAnsi="宋体" w:eastAsia="宋体" w:cs="宋体"/>
          <w:color w:val="auto"/>
          <w:spacing w:val="15"/>
          <w:sz w:val="24"/>
          <w:szCs w:val="24"/>
          <w:highlight w:val="none"/>
        </w:rPr>
        <w:t xml:space="preserve">   </w:t>
      </w:r>
      <w:r>
        <w:rPr>
          <w:rFonts w:ascii="宋体" w:hAnsi="宋体" w:eastAsia="宋体" w:cs="宋体"/>
          <w:color w:val="auto"/>
          <w:spacing w:val="-1"/>
          <w:sz w:val="24"/>
          <w:szCs w:val="24"/>
          <w:highlight w:val="none"/>
        </w:rPr>
        <w:t>标</w:t>
      </w:r>
      <w:r>
        <w:rPr>
          <w:rFonts w:ascii="宋体" w:hAnsi="宋体" w:eastAsia="宋体" w:cs="宋体"/>
          <w:color w:val="auto"/>
          <w:spacing w:val="15"/>
          <w:sz w:val="24"/>
          <w:szCs w:val="24"/>
          <w:highlight w:val="none"/>
        </w:rPr>
        <w:t xml:space="preserve">   </w:t>
      </w:r>
      <w:r>
        <w:rPr>
          <w:rFonts w:ascii="宋体" w:hAnsi="宋体" w:eastAsia="宋体" w:cs="宋体"/>
          <w:color w:val="auto"/>
          <w:spacing w:val="-1"/>
          <w:sz w:val="24"/>
          <w:szCs w:val="24"/>
          <w:highlight w:val="none"/>
        </w:rPr>
        <w:t>人</w:t>
      </w:r>
      <w:r>
        <w:rPr>
          <w:rFonts w:ascii="宋体" w:hAnsi="宋体" w:eastAsia="宋体" w:cs="宋体"/>
          <w:color w:val="auto"/>
          <w:spacing w:val="-31"/>
          <w:sz w:val="24"/>
          <w:szCs w:val="24"/>
          <w:highlight w:val="none"/>
        </w:rPr>
        <w:t>：</w:t>
      </w:r>
      <w:r>
        <w:rPr>
          <w:rFonts w:ascii="宋体" w:hAnsi="宋体" w:eastAsia="宋体" w:cs="宋体"/>
          <w:color w:val="auto"/>
          <w:spacing w:val="17"/>
          <w:sz w:val="24"/>
          <w:szCs w:val="24"/>
          <w:highlight w:val="none"/>
          <w:u w:val="single" w:color="auto"/>
        </w:rPr>
        <w:t xml:space="preserve">       </w:t>
      </w:r>
      <w:r>
        <w:rPr>
          <w:rFonts w:ascii="宋体" w:hAnsi="宋体" w:eastAsia="宋体" w:cs="宋体"/>
          <w:color w:val="auto"/>
          <w:spacing w:val="-31"/>
          <w:sz w:val="24"/>
          <w:szCs w:val="24"/>
          <w:highlight w:val="none"/>
          <w:u w:val="single" w:color="auto"/>
        </w:rPr>
        <w:t>（</w:t>
      </w:r>
      <w:r>
        <w:rPr>
          <w:rFonts w:ascii="宋体" w:hAnsi="宋体" w:eastAsia="宋体" w:cs="宋体"/>
          <w:color w:val="auto"/>
          <w:spacing w:val="-1"/>
          <w:sz w:val="24"/>
          <w:szCs w:val="24"/>
          <w:highlight w:val="none"/>
          <w:u w:val="single" w:color="auto"/>
        </w:rPr>
        <w:t>盖单位公章）</w:t>
      </w:r>
      <w:r>
        <w:rPr>
          <w:rFonts w:ascii="宋体" w:hAnsi="宋体" w:eastAsia="宋体" w:cs="宋体"/>
          <w:color w:val="auto"/>
          <w:sz w:val="24"/>
          <w:szCs w:val="24"/>
          <w:highlight w:val="none"/>
          <w:u w:val="single" w:color="auto"/>
        </w:rPr>
        <w:t xml:space="preserve">            </w:t>
      </w:r>
    </w:p>
    <w:p w14:paraId="4185809F">
      <w:pPr>
        <w:pStyle w:val="3"/>
        <w:spacing w:line="257" w:lineRule="auto"/>
        <w:rPr>
          <w:color w:val="auto"/>
          <w:highlight w:val="none"/>
        </w:rPr>
      </w:pPr>
    </w:p>
    <w:p w14:paraId="4E9931DC">
      <w:pPr>
        <w:pStyle w:val="3"/>
        <w:spacing w:line="258" w:lineRule="auto"/>
        <w:rPr>
          <w:color w:val="auto"/>
          <w:highlight w:val="none"/>
        </w:rPr>
      </w:pPr>
    </w:p>
    <w:p w14:paraId="468C878C">
      <w:pPr>
        <w:tabs>
          <w:tab w:val="left" w:pos="4125"/>
        </w:tabs>
        <w:spacing w:before="78" w:line="362" w:lineRule="auto"/>
        <w:ind w:left="2805" w:right="1808" w:hanging="16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法定代表人或委托代理人</w:t>
      </w:r>
      <w:r>
        <w:rPr>
          <w:rFonts w:ascii="宋体" w:hAnsi="宋体" w:eastAsia="宋体" w:cs="宋体"/>
          <w:color w:val="auto"/>
          <w:spacing w:val="-14"/>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4"/>
          <w:sz w:val="24"/>
          <w:szCs w:val="24"/>
          <w:highlight w:val="none"/>
          <w:u w:val="single" w:color="auto"/>
        </w:rPr>
        <w:t>（</w:t>
      </w:r>
      <w:r>
        <w:rPr>
          <w:rFonts w:ascii="宋体" w:hAnsi="宋体" w:eastAsia="宋体" w:cs="宋体"/>
          <w:color w:val="auto"/>
          <w:spacing w:val="2"/>
          <w:sz w:val="24"/>
          <w:szCs w:val="24"/>
          <w:highlight w:val="none"/>
          <w:u w:val="single" w:color="auto"/>
        </w:rPr>
        <w:t>签字或盖章）</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1DA37827">
      <w:pPr>
        <w:pStyle w:val="3"/>
        <w:spacing w:line="286" w:lineRule="auto"/>
        <w:rPr>
          <w:color w:val="auto"/>
          <w:highlight w:val="none"/>
        </w:rPr>
      </w:pPr>
    </w:p>
    <w:p w14:paraId="5BF74155">
      <w:pPr>
        <w:pStyle w:val="3"/>
        <w:spacing w:line="287" w:lineRule="auto"/>
        <w:rPr>
          <w:color w:val="auto"/>
          <w:highlight w:val="none"/>
        </w:rPr>
      </w:pPr>
    </w:p>
    <w:p w14:paraId="4ED5BFD2">
      <w:pPr>
        <w:pStyle w:val="3"/>
        <w:spacing w:line="287" w:lineRule="auto"/>
        <w:rPr>
          <w:color w:val="auto"/>
          <w:highlight w:val="none"/>
        </w:rPr>
      </w:pPr>
    </w:p>
    <w:p w14:paraId="2F995F33">
      <w:pPr>
        <w:pStyle w:val="3"/>
        <w:spacing w:line="287" w:lineRule="auto"/>
        <w:rPr>
          <w:color w:val="auto"/>
          <w:highlight w:val="none"/>
        </w:rPr>
      </w:pPr>
    </w:p>
    <w:p w14:paraId="59B2EAD8">
      <w:pPr>
        <w:spacing w:before="82" w:line="211" w:lineRule="auto"/>
        <w:rPr>
          <w:rFonts w:ascii="宋体" w:hAnsi="宋体" w:eastAsia="宋体" w:cs="宋体"/>
          <w:color w:val="auto"/>
          <w:sz w:val="25"/>
          <w:szCs w:val="25"/>
          <w:highlight w:val="none"/>
        </w:rPr>
      </w:pPr>
      <w:r>
        <w:rPr>
          <w:rFonts w:ascii="宋体" w:hAnsi="宋体" w:eastAsia="宋体" w:cs="宋体"/>
          <w:i/>
          <w:iCs/>
          <w:color w:val="auto"/>
          <w:spacing w:val="-19"/>
          <w:sz w:val="25"/>
          <w:szCs w:val="25"/>
          <w:highlight w:val="none"/>
        </w:rPr>
        <w:t>注：本页同时适用于封面或扉页。</w:t>
      </w:r>
    </w:p>
    <w:p w14:paraId="1DE8B03B">
      <w:pPr>
        <w:spacing w:line="211" w:lineRule="auto"/>
        <w:rPr>
          <w:rFonts w:ascii="宋体" w:hAnsi="宋体" w:eastAsia="宋体" w:cs="宋体"/>
          <w:color w:val="auto"/>
          <w:sz w:val="25"/>
          <w:szCs w:val="25"/>
          <w:highlight w:val="none"/>
        </w:rPr>
        <w:sectPr>
          <w:footerReference r:id="rId107" w:type="default"/>
          <w:pgSz w:w="11907" w:h="16841"/>
          <w:pgMar w:top="400" w:right="1527" w:bottom="1254" w:left="1677" w:header="0" w:footer="1093" w:gutter="0"/>
          <w:pgNumType w:fmt="decimal"/>
          <w:cols w:space="720" w:num="1"/>
        </w:sectPr>
      </w:pPr>
    </w:p>
    <w:p w14:paraId="719B6C69">
      <w:pPr>
        <w:pStyle w:val="3"/>
        <w:spacing w:line="246" w:lineRule="auto"/>
        <w:rPr>
          <w:color w:val="auto"/>
          <w:highlight w:val="none"/>
        </w:rPr>
      </w:pPr>
    </w:p>
    <w:p w14:paraId="782F998B">
      <w:pPr>
        <w:pStyle w:val="3"/>
        <w:spacing w:line="246" w:lineRule="auto"/>
        <w:rPr>
          <w:color w:val="auto"/>
          <w:highlight w:val="none"/>
        </w:rPr>
      </w:pPr>
    </w:p>
    <w:p w14:paraId="02099EEE">
      <w:pPr>
        <w:pStyle w:val="3"/>
        <w:spacing w:line="246" w:lineRule="auto"/>
        <w:rPr>
          <w:color w:val="auto"/>
          <w:highlight w:val="none"/>
        </w:rPr>
      </w:pPr>
    </w:p>
    <w:p w14:paraId="15321A3F">
      <w:pPr>
        <w:pStyle w:val="3"/>
        <w:spacing w:line="246" w:lineRule="auto"/>
        <w:rPr>
          <w:color w:val="auto"/>
          <w:highlight w:val="none"/>
        </w:rPr>
      </w:pPr>
    </w:p>
    <w:p w14:paraId="636C63B6">
      <w:pPr>
        <w:spacing w:before="91" w:line="220" w:lineRule="auto"/>
        <w:ind w:left="342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评审因素索引表</w:t>
      </w:r>
    </w:p>
    <w:p w14:paraId="74E84504">
      <w:pPr>
        <w:spacing w:before="47"/>
        <w:rPr>
          <w:color w:val="auto"/>
          <w:highlight w:val="none"/>
        </w:rPr>
      </w:pPr>
    </w:p>
    <w:tbl>
      <w:tblPr>
        <w:tblStyle w:val="16"/>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5410"/>
        <w:gridCol w:w="2664"/>
      </w:tblGrid>
      <w:tr w14:paraId="57083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934" w:type="dxa"/>
            <w:tcBorders>
              <w:top w:val="single" w:color="000000" w:sz="6" w:space="0"/>
              <w:left w:val="single" w:color="000000" w:sz="6" w:space="0"/>
            </w:tcBorders>
            <w:vAlign w:val="top"/>
          </w:tcPr>
          <w:p w14:paraId="31692096">
            <w:pPr>
              <w:pStyle w:val="17"/>
              <w:spacing w:before="198" w:line="221" w:lineRule="auto"/>
              <w:ind w:left="226"/>
              <w:rPr>
                <w:color w:val="auto"/>
                <w:sz w:val="24"/>
                <w:szCs w:val="24"/>
                <w:highlight w:val="none"/>
              </w:rPr>
            </w:pPr>
            <w:r>
              <w:rPr>
                <w:color w:val="auto"/>
                <w:spacing w:val="-3"/>
                <w:sz w:val="24"/>
                <w:szCs w:val="24"/>
                <w:highlight w:val="none"/>
              </w:rPr>
              <w:t>序号</w:t>
            </w:r>
          </w:p>
        </w:tc>
        <w:tc>
          <w:tcPr>
            <w:tcW w:w="5410" w:type="dxa"/>
            <w:tcBorders>
              <w:top w:val="single" w:color="000000" w:sz="6" w:space="0"/>
            </w:tcBorders>
            <w:vAlign w:val="top"/>
          </w:tcPr>
          <w:p w14:paraId="59CD1198">
            <w:pPr>
              <w:pStyle w:val="17"/>
              <w:spacing w:before="198" w:line="220" w:lineRule="auto"/>
              <w:ind w:left="1690"/>
              <w:rPr>
                <w:color w:val="auto"/>
                <w:sz w:val="24"/>
                <w:szCs w:val="24"/>
                <w:highlight w:val="none"/>
              </w:rPr>
            </w:pPr>
            <w:r>
              <w:rPr>
                <w:color w:val="auto"/>
                <w:spacing w:val="-15"/>
                <w:sz w:val="24"/>
                <w:szCs w:val="24"/>
                <w:highlight w:val="none"/>
              </w:rPr>
              <w:t>评</w:t>
            </w:r>
            <w:r>
              <w:rPr>
                <w:color w:val="auto"/>
                <w:spacing w:val="7"/>
                <w:sz w:val="24"/>
                <w:szCs w:val="24"/>
                <w:highlight w:val="none"/>
              </w:rPr>
              <w:t xml:space="preserve">   </w:t>
            </w:r>
            <w:r>
              <w:rPr>
                <w:color w:val="auto"/>
                <w:spacing w:val="-15"/>
                <w:sz w:val="24"/>
                <w:szCs w:val="24"/>
                <w:highlight w:val="none"/>
              </w:rPr>
              <w:t>审</w:t>
            </w:r>
            <w:r>
              <w:rPr>
                <w:color w:val="auto"/>
                <w:spacing w:val="9"/>
                <w:sz w:val="24"/>
                <w:szCs w:val="24"/>
                <w:highlight w:val="none"/>
              </w:rPr>
              <w:t xml:space="preserve">   </w:t>
            </w:r>
            <w:r>
              <w:rPr>
                <w:color w:val="auto"/>
                <w:spacing w:val="-15"/>
                <w:sz w:val="24"/>
                <w:szCs w:val="24"/>
                <w:highlight w:val="none"/>
              </w:rPr>
              <w:t>因</w:t>
            </w:r>
            <w:r>
              <w:rPr>
                <w:color w:val="auto"/>
                <w:spacing w:val="4"/>
                <w:sz w:val="24"/>
                <w:szCs w:val="24"/>
                <w:highlight w:val="none"/>
              </w:rPr>
              <w:t xml:space="preserve">   </w:t>
            </w:r>
            <w:r>
              <w:rPr>
                <w:color w:val="auto"/>
                <w:spacing w:val="-15"/>
                <w:sz w:val="24"/>
                <w:szCs w:val="24"/>
                <w:highlight w:val="none"/>
              </w:rPr>
              <w:t>素</w:t>
            </w:r>
          </w:p>
        </w:tc>
        <w:tc>
          <w:tcPr>
            <w:tcW w:w="2664" w:type="dxa"/>
            <w:tcBorders>
              <w:top w:val="single" w:color="000000" w:sz="6" w:space="0"/>
              <w:right w:val="single" w:color="000000" w:sz="6" w:space="0"/>
            </w:tcBorders>
            <w:vAlign w:val="top"/>
          </w:tcPr>
          <w:p w14:paraId="067EAA2F">
            <w:pPr>
              <w:pStyle w:val="17"/>
              <w:spacing w:before="198" w:line="220" w:lineRule="auto"/>
              <w:ind w:left="383"/>
              <w:rPr>
                <w:color w:val="auto"/>
                <w:sz w:val="24"/>
                <w:szCs w:val="24"/>
                <w:highlight w:val="none"/>
              </w:rPr>
            </w:pPr>
            <w:r>
              <w:rPr>
                <w:color w:val="auto"/>
                <w:spacing w:val="-2"/>
                <w:sz w:val="24"/>
                <w:szCs w:val="24"/>
                <w:highlight w:val="none"/>
              </w:rPr>
              <w:t>投标文件页码范围</w:t>
            </w:r>
          </w:p>
        </w:tc>
      </w:tr>
      <w:tr w14:paraId="1591C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1206319A">
            <w:pPr>
              <w:rPr>
                <w:rFonts w:ascii="Arial"/>
                <w:color w:val="auto"/>
                <w:sz w:val="21"/>
                <w:highlight w:val="none"/>
              </w:rPr>
            </w:pPr>
          </w:p>
        </w:tc>
        <w:tc>
          <w:tcPr>
            <w:tcW w:w="5410" w:type="dxa"/>
            <w:vAlign w:val="top"/>
          </w:tcPr>
          <w:p w14:paraId="2E0BC879">
            <w:pPr>
              <w:rPr>
                <w:rFonts w:ascii="Arial"/>
                <w:color w:val="auto"/>
                <w:sz w:val="21"/>
                <w:highlight w:val="none"/>
              </w:rPr>
            </w:pPr>
          </w:p>
        </w:tc>
        <w:tc>
          <w:tcPr>
            <w:tcW w:w="2664" w:type="dxa"/>
            <w:tcBorders>
              <w:right w:val="single" w:color="000000" w:sz="6" w:space="0"/>
            </w:tcBorders>
            <w:vAlign w:val="top"/>
          </w:tcPr>
          <w:p w14:paraId="2A409B59">
            <w:pPr>
              <w:rPr>
                <w:rFonts w:ascii="Arial"/>
                <w:color w:val="auto"/>
                <w:sz w:val="21"/>
                <w:highlight w:val="none"/>
              </w:rPr>
            </w:pPr>
          </w:p>
        </w:tc>
      </w:tr>
      <w:tr w14:paraId="2F01C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6D659764">
            <w:pPr>
              <w:rPr>
                <w:rFonts w:ascii="Arial"/>
                <w:color w:val="auto"/>
                <w:sz w:val="21"/>
                <w:highlight w:val="none"/>
              </w:rPr>
            </w:pPr>
          </w:p>
        </w:tc>
        <w:tc>
          <w:tcPr>
            <w:tcW w:w="5410" w:type="dxa"/>
            <w:vAlign w:val="top"/>
          </w:tcPr>
          <w:p w14:paraId="6574DF6C">
            <w:pPr>
              <w:rPr>
                <w:rFonts w:ascii="Arial"/>
                <w:color w:val="auto"/>
                <w:sz w:val="21"/>
                <w:highlight w:val="none"/>
              </w:rPr>
            </w:pPr>
          </w:p>
        </w:tc>
        <w:tc>
          <w:tcPr>
            <w:tcW w:w="2664" w:type="dxa"/>
            <w:tcBorders>
              <w:right w:val="single" w:color="000000" w:sz="6" w:space="0"/>
            </w:tcBorders>
            <w:vAlign w:val="top"/>
          </w:tcPr>
          <w:p w14:paraId="351E2A4F">
            <w:pPr>
              <w:rPr>
                <w:rFonts w:ascii="Arial"/>
                <w:color w:val="auto"/>
                <w:sz w:val="21"/>
                <w:highlight w:val="none"/>
              </w:rPr>
            </w:pPr>
          </w:p>
        </w:tc>
      </w:tr>
      <w:tr w14:paraId="54361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6A950434">
            <w:pPr>
              <w:rPr>
                <w:rFonts w:ascii="Arial"/>
                <w:color w:val="auto"/>
                <w:sz w:val="21"/>
                <w:highlight w:val="none"/>
              </w:rPr>
            </w:pPr>
          </w:p>
        </w:tc>
        <w:tc>
          <w:tcPr>
            <w:tcW w:w="5410" w:type="dxa"/>
            <w:vAlign w:val="top"/>
          </w:tcPr>
          <w:p w14:paraId="02DA206C">
            <w:pPr>
              <w:rPr>
                <w:rFonts w:ascii="Arial"/>
                <w:color w:val="auto"/>
                <w:sz w:val="21"/>
                <w:highlight w:val="none"/>
              </w:rPr>
            </w:pPr>
          </w:p>
        </w:tc>
        <w:tc>
          <w:tcPr>
            <w:tcW w:w="2664" w:type="dxa"/>
            <w:tcBorders>
              <w:right w:val="single" w:color="000000" w:sz="6" w:space="0"/>
            </w:tcBorders>
            <w:vAlign w:val="top"/>
          </w:tcPr>
          <w:p w14:paraId="4A25FF38">
            <w:pPr>
              <w:rPr>
                <w:rFonts w:ascii="Arial"/>
                <w:color w:val="auto"/>
                <w:sz w:val="21"/>
                <w:highlight w:val="none"/>
              </w:rPr>
            </w:pPr>
          </w:p>
        </w:tc>
      </w:tr>
      <w:tr w14:paraId="20E45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79937A6C">
            <w:pPr>
              <w:rPr>
                <w:rFonts w:ascii="Arial"/>
                <w:color w:val="auto"/>
                <w:sz w:val="21"/>
                <w:highlight w:val="none"/>
              </w:rPr>
            </w:pPr>
          </w:p>
        </w:tc>
        <w:tc>
          <w:tcPr>
            <w:tcW w:w="5410" w:type="dxa"/>
            <w:vAlign w:val="top"/>
          </w:tcPr>
          <w:p w14:paraId="276853BF">
            <w:pPr>
              <w:rPr>
                <w:rFonts w:ascii="Arial"/>
                <w:color w:val="auto"/>
                <w:sz w:val="21"/>
                <w:highlight w:val="none"/>
              </w:rPr>
            </w:pPr>
          </w:p>
        </w:tc>
        <w:tc>
          <w:tcPr>
            <w:tcW w:w="2664" w:type="dxa"/>
            <w:tcBorders>
              <w:right w:val="single" w:color="000000" w:sz="6" w:space="0"/>
            </w:tcBorders>
            <w:vAlign w:val="top"/>
          </w:tcPr>
          <w:p w14:paraId="1B915802">
            <w:pPr>
              <w:rPr>
                <w:rFonts w:ascii="Arial"/>
                <w:color w:val="auto"/>
                <w:sz w:val="21"/>
                <w:highlight w:val="none"/>
              </w:rPr>
            </w:pPr>
          </w:p>
        </w:tc>
      </w:tr>
      <w:tr w14:paraId="0E2B0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181C7528">
            <w:pPr>
              <w:rPr>
                <w:rFonts w:ascii="Arial"/>
                <w:color w:val="auto"/>
                <w:sz w:val="21"/>
                <w:highlight w:val="none"/>
              </w:rPr>
            </w:pPr>
          </w:p>
        </w:tc>
        <w:tc>
          <w:tcPr>
            <w:tcW w:w="5410" w:type="dxa"/>
            <w:vAlign w:val="top"/>
          </w:tcPr>
          <w:p w14:paraId="55B9C74D">
            <w:pPr>
              <w:rPr>
                <w:rFonts w:ascii="Arial"/>
                <w:color w:val="auto"/>
                <w:sz w:val="21"/>
                <w:highlight w:val="none"/>
              </w:rPr>
            </w:pPr>
          </w:p>
        </w:tc>
        <w:tc>
          <w:tcPr>
            <w:tcW w:w="2664" w:type="dxa"/>
            <w:tcBorders>
              <w:right w:val="single" w:color="000000" w:sz="6" w:space="0"/>
            </w:tcBorders>
            <w:vAlign w:val="top"/>
          </w:tcPr>
          <w:p w14:paraId="4A214FBB">
            <w:pPr>
              <w:rPr>
                <w:rFonts w:ascii="Arial"/>
                <w:color w:val="auto"/>
                <w:sz w:val="21"/>
                <w:highlight w:val="none"/>
              </w:rPr>
            </w:pPr>
          </w:p>
        </w:tc>
      </w:tr>
      <w:tr w14:paraId="288E0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262D1219">
            <w:pPr>
              <w:rPr>
                <w:rFonts w:ascii="Arial"/>
                <w:color w:val="auto"/>
                <w:sz w:val="21"/>
                <w:highlight w:val="none"/>
              </w:rPr>
            </w:pPr>
          </w:p>
        </w:tc>
        <w:tc>
          <w:tcPr>
            <w:tcW w:w="5410" w:type="dxa"/>
            <w:vAlign w:val="top"/>
          </w:tcPr>
          <w:p w14:paraId="2915D964">
            <w:pPr>
              <w:rPr>
                <w:rFonts w:ascii="Arial"/>
                <w:color w:val="auto"/>
                <w:sz w:val="21"/>
                <w:highlight w:val="none"/>
              </w:rPr>
            </w:pPr>
          </w:p>
        </w:tc>
        <w:tc>
          <w:tcPr>
            <w:tcW w:w="2664" w:type="dxa"/>
            <w:tcBorders>
              <w:right w:val="single" w:color="000000" w:sz="6" w:space="0"/>
            </w:tcBorders>
            <w:vAlign w:val="top"/>
          </w:tcPr>
          <w:p w14:paraId="0E6CE0C8">
            <w:pPr>
              <w:rPr>
                <w:rFonts w:ascii="Arial"/>
                <w:color w:val="auto"/>
                <w:sz w:val="21"/>
                <w:highlight w:val="none"/>
              </w:rPr>
            </w:pPr>
          </w:p>
        </w:tc>
      </w:tr>
      <w:tr w14:paraId="029CC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283505AD">
            <w:pPr>
              <w:rPr>
                <w:rFonts w:ascii="Arial"/>
                <w:color w:val="auto"/>
                <w:sz w:val="21"/>
                <w:highlight w:val="none"/>
              </w:rPr>
            </w:pPr>
          </w:p>
        </w:tc>
        <w:tc>
          <w:tcPr>
            <w:tcW w:w="5410" w:type="dxa"/>
            <w:vAlign w:val="top"/>
          </w:tcPr>
          <w:p w14:paraId="6ED26BC3">
            <w:pPr>
              <w:rPr>
                <w:rFonts w:ascii="Arial"/>
                <w:color w:val="auto"/>
                <w:sz w:val="21"/>
                <w:highlight w:val="none"/>
              </w:rPr>
            </w:pPr>
          </w:p>
        </w:tc>
        <w:tc>
          <w:tcPr>
            <w:tcW w:w="2664" w:type="dxa"/>
            <w:tcBorders>
              <w:right w:val="single" w:color="000000" w:sz="6" w:space="0"/>
            </w:tcBorders>
            <w:vAlign w:val="top"/>
          </w:tcPr>
          <w:p w14:paraId="25B1B119">
            <w:pPr>
              <w:rPr>
                <w:rFonts w:ascii="Arial"/>
                <w:color w:val="auto"/>
                <w:sz w:val="21"/>
                <w:highlight w:val="none"/>
              </w:rPr>
            </w:pPr>
          </w:p>
        </w:tc>
      </w:tr>
      <w:tr w14:paraId="56C70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09897566">
            <w:pPr>
              <w:rPr>
                <w:rFonts w:ascii="Arial"/>
                <w:color w:val="auto"/>
                <w:sz w:val="21"/>
                <w:highlight w:val="none"/>
              </w:rPr>
            </w:pPr>
          </w:p>
        </w:tc>
        <w:tc>
          <w:tcPr>
            <w:tcW w:w="5410" w:type="dxa"/>
            <w:vAlign w:val="top"/>
          </w:tcPr>
          <w:p w14:paraId="5DEF8C11">
            <w:pPr>
              <w:rPr>
                <w:rFonts w:ascii="Arial"/>
                <w:color w:val="auto"/>
                <w:sz w:val="21"/>
                <w:highlight w:val="none"/>
              </w:rPr>
            </w:pPr>
          </w:p>
        </w:tc>
        <w:tc>
          <w:tcPr>
            <w:tcW w:w="2664" w:type="dxa"/>
            <w:tcBorders>
              <w:right w:val="single" w:color="000000" w:sz="6" w:space="0"/>
            </w:tcBorders>
            <w:vAlign w:val="top"/>
          </w:tcPr>
          <w:p w14:paraId="65F95B81">
            <w:pPr>
              <w:rPr>
                <w:rFonts w:ascii="Arial"/>
                <w:color w:val="auto"/>
                <w:sz w:val="21"/>
                <w:highlight w:val="none"/>
              </w:rPr>
            </w:pPr>
          </w:p>
        </w:tc>
      </w:tr>
      <w:tr w14:paraId="0C73A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48AA1BB8">
            <w:pPr>
              <w:rPr>
                <w:rFonts w:ascii="Arial"/>
                <w:color w:val="auto"/>
                <w:sz w:val="21"/>
                <w:highlight w:val="none"/>
              </w:rPr>
            </w:pPr>
          </w:p>
        </w:tc>
        <w:tc>
          <w:tcPr>
            <w:tcW w:w="5410" w:type="dxa"/>
            <w:vAlign w:val="top"/>
          </w:tcPr>
          <w:p w14:paraId="48CAF659">
            <w:pPr>
              <w:rPr>
                <w:rFonts w:ascii="Arial"/>
                <w:color w:val="auto"/>
                <w:sz w:val="21"/>
                <w:highlight w:val="none"/>
              </w:rPr>
            </w:pPr>
          </w:p>
        </w:tc>
        <w:tc>
          <w:tcPr>
            <w:tcW w:w="2664" w:type="dxa"/>
            <w:tcBorders>
              <w:right w:val="single" w:color="000000" w:sz="6" w:space="0"/>
            </w:tcBorders>
            <w:vAlign w:val="top"/>
          </w:tcPr>
          <w:p w14:paraId="0A15CD19">
            <w:pPr>
              <w:rPr>
                <w:rFonts w:ascii="Arial"/>
                <w:color w:val="auto"/>
                <w:sz w:val="21"/>
                <w:highlight w:val="none"/>
              </w:rPr>
            </w:pPr>
          </w:p>
        </w:tc>
      </w:tr>
      <w:tr w14:paraId="3F39C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2B82CD65">
            <w:pPr>
              <w:rPr>
                <w:rFonts w:ascii="Arial"/>
                <w:color w:val="auto"/>
                <w:sz w:val="21"/>
                <w:highlight w:val="none"/>
              </w:rPr>
            </w:pPr>
          </w:p>
        </w:tc>
        <w:tc>
          <w:tcPr>
            <w:tcW w:w="5410" w:type="dxa"/>
            <w:vAlign w:val="top"/>
          </w:tcPr>
          <w:p w14:paraId="757C7DF9">
            <w:pPr>
              <w:rPr>
                <w:rFonts w:ascii="Arial"/>
                <w:color w:val="auto"/>
                <w:sz w:val="21"/>
                <w:highlight w:val="none"/>
              </w:rPr>
            </w:pPr>
          </w:p>
        </w:tc>
        <w:tc>
          <w:tcPr>
            <w:tcW w:w="2664" w:type="dxa"/>
            <w:tcBorders>
              <w:right w:val="single" w:color="000000" w:sz="6" w:space="0"/>
            </w:tcBorders>
            <w:vAlign w:val="top"/>
          </w:tcPr>
          <w:p w14:paraId="191DB90E">
            <w:pPr>
              <w:rPr>
                <w:rFonts w:ascii="Arial"/>
                <w:color w:val="auto"/>
                <w:sz w:val="21"/>
                <w:highlight w:val="none"/>
              </w:rPr>
            </w:pPr>
          </w:p>
        </w:tc>
      </w:tr>
      <w:tr w14:paraId="7E48F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089C58B7">
            <w:pPr>
              <w:rPr>
                <w:rFonts w:ascii="Arial"/>
                <w:color w:val="auto"/>
                <w:sz w:val="21"/>
                <w:highlight w:val="none"/>
              </w:rPr>
            </w:pPr>
          </w:p>
        </w:tc>
        <w:tc>
          <w:tcPr>
            <w:tcW w:w="5410" w:type="dxa"/>
            <w:vAlign w:val="top"/>
          </w:tcPr>
          <w:p w14:paraId="385D7B3C">
            <w:pPr>
              <w:rPr>
                <w:rFonts w:ascii="Arial"/>
                <w:color w:val="auto"/>
                <w:sz w:val="21"/>
                <w:highlight w:val="none"/>
              </w:rPr>
            </w:pPr>
          </w:p>
        </w:tc>
        <w:tc>
          <w:tcPr>
            <w:tcW w:w="2664" w:type="dxa"/>
            <w:tcBorders>
              <w:right w:val="single" w:color="000000" w:sz="6" w:space="0"/>
            </w:tcBorders>
            <w:vAlign w:val="top"/>
          </w:tcPr>
          <w:p w14:paraId="78F5EF72">
            <w:pPr>
              <w:rPr>
                <w:rFonts w:ascii="Arial"/>
                <w:color w:val="auto"/>
                <w:sz w:val="21"/>
                <w:highlight w:val="none"/>
              </w:rPr>
            </w:pPr>
          </w:p>
        </w:tc>
      </w:tr>
      <w:tr w14:paraId="345C4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644F79A1">
            <w:pPr>
              <w:rPr>
                <w:rFonts w:ascii="Arial"/>
                <w:color w:val="auto"/>
                <w:sz w:val="21"/>
                <w:highlight w:val="none"/>
              </w:rPr>
            </w:pPr>
          </w:p>
        </w:tc>
        <w:tc>
          <w:tcPr>
            <w:tcW w:w="5410" w:type="dxa"/>
            <w:vAlign w:val="top"/>
          </w:tcPr>
          <w:p w14:paraId="3C1A43B1">
            <w:pPr>
              <w:rPr>
                <w:rFonts w:ascii="Arial"/>
                <w:color w:val="auto"/>
                <w:sz w:val="21"/>
                <w:highlight w:val="none"/>
              </w:rPr>
            </w:pPr>
          </w:p>
        </w:tc>
        <w:tc>
          <w:tcPr>
            <w:tcW w:w="2664" w:type="dxa"/>
            <w:tcBorders>
              <w:right w:val="single" w:color="000000" w:sz="6" w:space="0"/>
            </w:tcBorders>
            <w:vAlign w:val="top"/>
          </w:tcPr>
          <w:p w14:paraId="394633DF">
            <w:pPr>
              <w:rPr>
                <w:rFonts w:ascii="Arial"/>
                <w:color w:val="auto"/>
                <w:sz w:val="21"/>
                <w:highlight w:val="none"/>
              </w:rPr>
            </w:pPr>
          </w:p>
        </w:tc>
      </w:tr>
      <w:tr w14:paraId="495C7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3E2D2EDE">
            <w:pPr>
              <w:rPr>
                <w:rFonts w:ascii="Arial"/>
                <w:color w:val="auto"/>
                <w:sz w:val="21"/>
                <w:highlight w:val="none"/>
              </w:rPr>
            </w:pPr>
          </w:p>
        </w:tc>
        <w:tc>
          <w:tcPr>
            <w:tcW w:w="5410" w:type="dxa"/>
            <w:vAlign w:val="top"/>
          </w:tcPr>
          <w:p w14:paraId="7F89B416">
            <w:pPr>
              <w:rPr>
                <w:rFonts w:ascii="Arial"/>
                <w:color w:val="auto"/>
                <w:sz w:val="21"/>
                <w:highlight w:val="none"/>
              </w:rPr>
            </w:pPr>
          </w:p>
        </w:tc>
        <w:tc>
          <w:tcPr>
            <w:tcW w:w="2664" w:type="dxa"/>
            <w:tcBorders>
              <w:right w:val="single" w:color="000000" w:sz="6" w:space="0"/>
            </w:tcBorders>
            <w:vAlign w:val="top"/>
          </w:tcPr>
          <w:p w14:paraId="2D7E4284">
            <w:pPr>
              <w:rPr>
                <w:rFonts w:ascii="Arial"/>
                <w:color w:val="auto"/>
                <w:sz w:val="21"/>
                <w:highlight w:val="none"/>
              </w:rPr>
            </w:pPr>
          </w:p>
        </w:tc>
      </w:tr>
      <w:tr w14:paraId="5232D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934" w:type="dxa"/>
            <w:tcBorders>
              <w:left w:val="single" w:color="000000" w:sz="6" w:space="0"/>
              <w:bottom w:val="single" w:color="000000" w:sz="6" w:space="0"/>
            </w:tcBorders>
            <w:vAlign w:val="top"/>
          </w:tcPr>
          <w:p w14:paraId="182D3A8A">
            <w:pPr>
              <w:rPr>
                <w:rFonts w:ascii="Arial"/>
                <w:color w:val="auto"/>
                <w:sz w:val="21"/>
                <w:highlight w:val="none"/>
              </w:rPr>
            </w:pPr>
          </w:p>
        </w:tc>
        <w:tc>
          <w:tcPr>
            <w:tcW w:w="5410" w:type="dxa"/>
            <w:tcBorders>
              <w:bottom w:val="single" w:color="000000" w:sz="6" w:space="0"/>
            </w:tcBorders>
            <w:vAlign w:val="top"/>
          </w:tcPr>
          <w:p w14:paraId="7532270C">
            <w:pPr>
              <w:rPr>
                <w:rFonts w:ascii="Arial"/>
                <w:color w:val="auto"/>
                <w:sz w:val="21"/>
                <w:highlight w:val="none"/>
              </w:rPr>
            </w:pPr>
          </w:p>
        </w:tc>
        <w:tc>
          <w:tcPr>
            <w:tcW w:w="2664" w:type="dxa"/>
            <w:tcBorders>
              <w:bottom w:val="single" w:color="000000" w:sz="6" w:space="0"/>
              <w:right w:val="single" w:color="000000" w:sz="6" w:space="0"/>
            </w:tcBorders>
            <w:vAlign w:val="top"/>
          </w:tcPr>
          <w:p w14:paraId="5D9A17BF">
            <w:pPr>
              <w:rPr>
                <w:rFonts w:ascii="Arial"/>
                <w:color w:val="auto"/>
                <w:sz w:val="21"/>
                <w:highlight w:val="none"/>
              </w:rPr>
            </w:pPr>
          </w:p>
        </w:tc>
      </w:tr>
    </w:tbl>
    <w:p w14:paraId="5F301AC5">
      <w:pPr>
        <w:pStyle w:val="3"/>
        <w:rPr>
          <w:color w:val="auto"/>
          <w:highlight w:val="none"/>
        </w:rPr>
      </w:pPr>
    </w:p>
    <w:p w14:paraId="356AAA06">
      <w:pPr>
        <w:rPr>
          <w:color w:val="auto"/>
          <w:highlight w:val="none"/>
        </w:rPr>
        <w:sectPr>
          <w:footerReference r:id="rId108" w:type="default"/>
          <w:pgSz w:w="11907" w:h="16841"/>
          <w:pgMar w:top="400" w:right="1293" w:bottom="1254" w:left="1588" w:header="0" w:footer="1093" w:gutter="0"/>
          <w:pgNumType w:fmt="decimal"/>
          <w:cols w:space="720" w:num="1"/>
        </w:sectPr>
      </w:pPr>
    </w:p>
    <w:p w14:paraId="78FDFF7C">
      <w:pPr>
        <w:pStyle w:val="3"/>
        <w:spacing w:line="246" w:lineRule="auto"/>
        <w:rPr>
          <w:color w:val="auto"/>
          <w:highlight w:val="none"/>
        </w:rPr>
      </w:pPr>
    </w:p>
    <w:p w14:paraId="4F4B12CE">
      <w:pPr>
        <w:pStyle w:val="3"/>
        <w:spacing w:line="246" w:lineRule="auto"/>
        <w:rPr>
          <w:color w:val="auto"/>
          <w:highlight w:val="none"/>
        </w:rPr>
      </w:pPr>
    </w:p>
    <w:p w14:paraId="68BEE508">
      <w:pPr>
        <w:pStyle w:val="3"/>
        <w:spacing w:line="246" w:lineRule="auto"/>
        <w:rPr>
          <w:color w:val="auto"/>
          <w:highlight w:val="none"/>
        </w:rPr>
      </w:pPr>
    </w:p>
    <w:p w14:paraId="716F3945">
      <w:pPr>
        <w:pStyle w:val="3"/>
        <w:spacing w:line="246" w:lineRule="auto"/>
        <w:rPr>
          <w:color w:val="auto"/>
          <w:highlight w:val="none"/>
        </w:rPr>
      </w:pPr>
    </w:p>
    <w:p w14:paraId="1310E1BC">
      <w:pPr>
        <w:spacing w:before="91" w:line="220" w:lineRule="auto"/>
        <w:ind w:left="3506"/>
        <w:outlineLvl w:val="1"/>
        <w:rPr>
          <w:rFonts w:ascii="宋体" w:hAnsi="宋体" w:eastAsia="宋体" w:cs="宋体"/>
          <w:color w:val="auto"/>
          <w:sz w:val="28"/>
          <w:szCs w:val="28"/>
          <w:highlight w:val="none"/>
        </w:rPr>
      </w:pPr>
      <w:bookmarkStart w:id="1082" w:name="bookmark645"/>
      <w:bookmarkEnd w:id="1082"/>
      <w:bookmarkStart w:id="1083" w:name="_Toc14007"/>
      <w:bookmarkStart w:id="1084" w:name="_Toc7972"/>
      <w:r>
        <w:rPr>
          <w:rFonts w:ascii="宋体" w:hAnsi="宋体" w:eastAsia="宋体" w:cs="宋体"/>
          <w:b/>
          <w:bCs/>
          <w:color w:val="auto"/>
          <w:spacing w:val="-5"/>
          <w:sz w:val="28"/>
          <w:szCs w:val="28"/>
          <w:highlight w:val="none"/>
        </w:rPr>
        <w:t>技术标目录</w:t>
      </w:r>
      <w:bookmarkEnd w:id="1083"/>
      <w:bookmarkEnd w:id="1084"/>
    </w:p>
    <w:p w14:paraId="254D233D">
      <w:pPr>
        <w:pStyle w:val="3"/>
        <w:spacing w:line="245" w:lineRule="auto"/>
        <w:rPr>
          <w:color w:val="auto"/>
          <w:highlight w:val="none"/>
        </w:rPr>
      </w:pPr>
    </w:p>
    <w:p w14:paraId="520DA66B">
      <w:pPr>
        <w:spacing w:before="78" w:line="219" w:lineRule="auto"/>
        <w:ind w:left="29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）法定代表人身份证明</w:t>
      </w:r>
      <w:r>
        <w:rPr>
          <w:rFonts w:ascii="宋体" w:hAnsi="宋体" w:eastAsia="宋体" w:cs="宋体"/>
          <w:color w:val="auto"/>
          <w:spacing w:val="-61"/>
          <w:sz w:val="24"/>
          <w:szCs w:val="24"/>
          <w:highlight w:val="none"/>
        </w:rPr>
        <w:t xml:space="preserve"> </w:t>
      </w:r>
      <w:r>
        <w:rPr>
          <w:rFonts w:ascii="宋体" w:hAnsi="宋体" w:eastAsia="宋体" w:cs="宋体"/>
          <w:color w:val="auto"/>
          <w:spacing w:val="-4"/>
          <w:sz w:val="24"/>
          <w:szCs w:val="24"/>
          <w:highlight w:val="none"/>
        </w:rPr>
        <w:t>、授权委托书（若有）</w:t>
      </w:r>
    </w:p>
    <w:p w14:paraId="5041E02E">
      <w:pPr>
        <w:spacing w:before="180" w:line="219" w:lineRule="auto"/>
        <w:ind w:left="29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w:t>
      </w:r>
      <w:r>
        <w:rPr>
          <w:rFonts w:ascii="Times New Roman" w:hAnsi="Times New Roman" w:eastAsia="Times New Roman" w:cs="Times New Roman"/>
          <w:strike/>
          <w:dstrike w:val="0"/>
          <w:color w:val="auto"/>
          <w:spacing w:val="-4"/>
          <w:sz w:val="24"/>
          <w:szCs w:val="24"/>
          <w:highlight w:val="none"/>
        </w:rPr>
        <w:t>2</w:t>
      </w:r>
      <w:r>
        <w:rPr>
          <w:rFonts w:ascii="宋体" w:hAnsi="宋体" w:eastAsia="宋体" w:cs="宋体"/>
          <w:strike/>
          <w:dstrike w:val="0"/>
          <w:color w:val="auto"/>
          <w:spacing w:val="-4"/>
          <w:sz w:val="24"/>
          <w:szCs w:val="24"/>
          <w:highlight w:val="none"/>
        </w:rPr>
        <w:t>）联合体协议书</w:t>
      </w:r>
    </w:p>
    <w:p w14:paraId="53DFD3E5">
      <w:pPr>
        <w:spacing w:before="184" w:line="220" w:lineRule="auto"/>
        <w:ind w:left="29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）投标保证金</w:t>
      </w:r>
    </w:p>
    <w:p w14:paraId="1E59F80B">
      <w:pPr>
        <w:spacing w:before="181" w:line="221" w:lineRule="auto"/>
        <w:ind w:left="29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w:t>
      </w:r>
      <w:r>
        <w:rPr>
          <w:rFonts w:ascii="Times New Roman" w:hAnsi="Times New Roman" w:eastAsia="Times New Roman" w:cs="Times New Roman"/>
          <w:color w:val="auto"/>
          <w:spacing w:val="-3"/>
          <w:sz w:val="24"/>
          <w:szCs w:val="24"/>
          <w:highlight w:val="none"/>
        </w:rPr>
        <w:t>4</w:t>
      </w:r>
      <w:r>
        <w:rPr>
          <w:rFonts w:ascii="宋体" w:hAnsi="宋体" w:eastAsia="宋体" w:cs="宋体"/>
          <w:color w:val="auto"/>
          <w:spacing w:val="-3"/>
          <w:sz w:val="24"/>
          <w:szCs w:val="24"/>
          <w:highlight w:val="none"/>
        </w:rPr>
        <w:t>）施工组织设计</w:t>
      </w:r>
    </w:p>
    <w:p w14:paraId="5A410F1B">
      <w:pPr>
        <w:spacing w:before="179" w:line="219" w:lineRule="auto"/>
        <w:ind w:left="29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5</w:t>
      </w:r>
      <w:r>
        <w:rPr>
          <w:rFonts w:ascii="宋体" w:hAnsi="宋体" w:eastAsia="宋体" w:cs="宋体"/>
          <w:color w:val="auto"/>
          <w:spacing w:val="-2"/>
          <w:sz w:val="24"/>
          <w:szCs w:val="24"/>
          <w:highlight w:val="none"/>
        </w:rPr>
        <w:t>）拟分包项目情况表</w:t>
      </w:r>
    </w:p>
    <w:p w14:paraId="610112D1">
      <w:pPr>
        <w:spacing w:before="182" w:line="220" w:lineRule="auto"/>
        <w:ind w:left="29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6</w:t>
      </w:r>
      <w:r>
        <w:rPr>
          <w:rFonts w:ascii="宋体" w:hAnsi="宋体" w:eastAsia="宋体" w:cs="宋体"/>
          <w:color w:val="auto"/>
          <w:spacing w:val="-2"/>
          <w:sz w:val="24"/>
          <w:szCs w:val="24"/>
          <w:highlight w:val="none"/>
        </w:rPr>
        <w:t>）资格审查资料</w:t>
      </w:r>
    </w:p>
    <w:p w14:paraId="003E8A00">
      <w:pPr>
        <w:spacing w:before="180" w:line="219" w:lineRule="auto"/>
        <w:ind w:left="29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7</w:t>
      </w:r>
      <w:r>
        <w:rPr>
          <w:rFonts w:ascii="宋体" w:hAnsi="宋体" w:eastAsia="宋体" w:cs="宋体"/>
          <w:color w:val="auto"/>
          <w:spacing w:val="-4"/>
          <w:sz w:val="24"/>
          <w:szCs w:val="24"/>
          <w:highlight w:val="none"/>
        </w:rPr>
        <w:t>）其他材料</w:t>
      </w:r>
    </w:p>
    <w:p w14:paraId="3604D864">
      <w:pPr>
        <w:spacing w:line="219" w:lineRule="auto"/>
        <w:rPr>
          <w:rFonts w:ascii="宋体" w:hAnsi="宋体" w:eastAsia="宋体" w:cs="宋体"/>
          <w:color w:val="auto"/>
          <w:sz w:val="24"/>
          <w:szCs w:val="24"/>
          <w:highlight w:val="none"/>
        </w:rPr>
        <w:sectPr>
          <w:footerReference r:id="rId109" w:type="default"/>
          <w:pgSz w:w="11907" w:h="16841"/>
          <w:pgMar w:top="400" w:right="1527" w:bottom="1254" w:left="1785" w:header="0" w:footer="1093" w:gutter="0"/>
          <w:pgNumType w:fmt="decimal"/>
          <w:cols w:space="720" w:num="1"/>
        </w:sectPr>
      </w:pPr>
    </w:p>
    <w:p w14:paraId="2630F9DA">
      <w:pPr>
        <w:pStyle w:val="3"/>
        <w:spacing w:line="246" w:lineRule="auto"/>
        <w:rPr>
          <w:color w:val="auto"/>
          <w:highlight w:val="none"/>
        </w:rPr>
      </w:pPr>
    </w:p>
    <w:p w14:paraId="6404FC61">
      <w:pPr>
        <w:pStyle w:val="3"/>
        <w:spacing w:line="246" w:lineRule="auto"/>
        <w:rPr>
          <w:color w:val="auto"/>
          <w:highlight w:val="none"/>
        </w:rPr>
      </w:pPr>
    </w:p>
    <w:p w14:paraId="25E266EC">
      <w:pPr>
        <w:pStyle w:val="3"/>
        <w:spacing w:line="246" w:lineRule="auto"/>
        <w:rPr>
          <w:color w:val="auto"/>
          <w:highlight w:val="none"/>
        </w:rPr>
      </w:pPr>
    </w:p>
    <w:p w14:paraId="24923E8C">
      <w:pPr>
        <w:pStyle w:val="3"/>
        <w:spacing w:line="247" w:lineRule="auto"/>
        <w:rPr>
          <w:color w:val="auto"/>
          <w:highlight w:val="none"/>
        </w:rPr>
      </w:pPr>
    </w:p>
    <w:p w14:paraId="0D0240DF">
      <w:pPr>
        <w:spacing w:before="91" w:line="219" w:lineRule="auto"/>
        <w:ind w:left="1447"/>
        <w:outlineLvl w:val="1"/>
        <w:rPr>
          <w:rFonts w:ascii="宋体" w:hAnsi="宋体" w:eastAsia="宋体" w:cs="宋体"/>
          <w:color w:val="auto"/>
          <w:sz w:val="28"/>
          <w:szCs w:val="28"/>
          <w:highlight w:val="none"/>
        </w:rPr>
      </w:pPr>
      <w:bookmarkStart w:id="1085" w:name="bookmark646"/>
      <w:bookmarkEnd w:id="1085"/>
      <w:bookmarkStart w:id="1086" w:name="_Toc7175"/>
      <w:bookmarkStart w:id="1087" w:name="_Toc1458"/>
      <w:r>
        <w:rPr>
          <w:rFonts w:ascii="宋体" w:hAnsi="宋体" w:eastAsia="宋体" w:cs="宋体"/>
          <w:b/>
          <w:bCs/>
          <w:color w:val="auto"/>
          <w:spacing w:val="-4"/>
          <w:sz w:val="28"/>
          <w:szCs w:val="28"/>
          <w:highlight w:val="none"/>
        </w:rPr>
        <w:t>一、法定代表人身份证明、授权委托书（若有）</w:t>
      </w:r>
      <w:bookmarkEnd w:id="1086"/>
      <w:bookmarkEnd w:id="1087"/>
    </w:p>
    <w:p w14:paraId="54C42531">
      <w:pPr>
        <w:spacing w:before="332" w:line="220" w:lineRule="auto"/>
        <w:ind w:left="2996"/>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（一）法定代表人身份证明</w:t>
      </w:r>
    </w:p>
    <w:p w14:paraId="0581CC84">
      <w:pPr>
        <w:spacing w:before="205" w:line="220" w:lineRule="auto"/>
        <w:ind w:left="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投标人名称：</w:t>
      </w:r>
      <w:r>
        <w:rPr>
          <w:rFonts w:ascii="宋体" w:hAnsi="宋体" w:eastAsia="宋体" w:cs="宋体"/>
          <w:color w:val="auto"/>
          <w:sz w:val="24"/>
          <w:szCs w:val="24"/>
          <w:highlight w:val="none"/>
          <w:u w:val="single" w:color="auto"/>
        </w:rPr>
        <w:t xml:space="preserve">                                 </w:t>
      </w:r>
    </w:p>
    <w:p w14:paraId="5D4E2591">
      <w:pPr>
        <w:spacing w:before="179" w:line="220" w:lineRule="auto"/>
        <w:ind w:left="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单位性质：</w:t>
      </w:r>
      <w:r>
        <w:rPr>
          <w:rFonts w:ascii="宋体" w:hAnsi="宋体" w:eastAsia="宋体" w:cs="宋体"/>
          <w:color w:val="auto"/>
          <w:sz w:val="24"/>
          <w:szCs w:val="24"/>
          <w:highlight w:val="none"/>
          <w:u w:val="single" w:color="auto"/>
        </w:rPr>
        <w:t xml:space="preserve">                                   </w:t>
      </w:r>
    </w:p>
    <w:p w14:paraId="57A57903">
      <w:pPr>
        <w:spacing w:before="181" w:line="229" w:lineRule="auto"/>
        <w:ind w:left="47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地址：</w:t>
      </w:r>
      <w:r>
        <w:rPr>
          <w:rFonts w:ascii="宋体" w:hAnsi="宋体" w:eastAsia="宋体" w:cs="宋体"/>
          <w:color w:val="auto"/>
          <w:sz w:val="24"/>
          <w:szCs w:val="24"/>
          <w:highlight w:val="none"/>
          <w:u w:val="single" w:color="auto"/>
        </w:rPr>
        <w:t xml:space="preserve">                                      </w:t>
      </w:r>
    </w:p>
    <w:p w14:paraId="7FE4556E">
      <w:pPr>
        <w:spacing w:before="170" w:line="220" w:lineRule="auto"/>
        <w:ind w:left="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成立时间：</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2"/>
          <w:sz w:val="24"/>
          <w:szCs w:val="24"/>
          <w:highlight w:val="none"/>
        </w:rPr>
        <w:t>年</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2"/>
          <w:sz w:val="24"/>
          <w:szCs w:val="24"/>
          <w:highlight w:val="none"/>
        </w:rPr>
        <w:t>月</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2"/>
          <w:sz w:val="24"/>
          <w:szCs w:val="24"/>
          <w:highlight w:val="none"/>
        </w:rPr>
        <w:t>日</w:t>
      </w:r>
    </w:p>
    <w:p w14:paraId="1582D826">
      <w:pPr>
        <w:spacing w:before="180" w:line="220" w:lineRule="auto"/>
        <w:ind w:left="48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经营期限：</w:t>
      </w:r>
      <w:r>
        <w:rPr>
          <w:rFonts w:ascii="宋体" w:hAnsi="宋体" w:eastAsia="宋体" w:cs="宋体"/>
          <w:color w:val="auto"/>
          <w:sz w:val="24"/>
          <w:szCs w:val="24"/>
          <w:highlight w:val="none"/>
          <w:u w:val="single" w:color="auto"/>
        </w:rPr>
        <w:t xml:space="preserve">                                 </w:t>
      </w:r>
    </w:p>
    <w:p w14:paraId="042F099F">
      <w:pPr>
        <w:spacing w:before="181" w:line="220" w:lineRule="auto"/>
        <w:ind w:left="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姓名：</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3"/>
          <w:sz w:val="24"/>
          <w:szCs w:val="24"/>
          <w:highlight w:val="none"/>
        </w:rPr>
        <w:t>性别：</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3"/>
          <w:sz w:val="24"/>
          <w:szCs w:val="24"/>
          <w:highlight w:val="none"/>
        </w:rPr>
        <w:t>年龄：</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color w:val="auto"/>
          <w:spacing w:val="-3"/>
          <w:sz w:val="24"/>
          <w:szCs w:val="24"/>
          <w:highlight w:val="none"/>
        </w:rPr>
        <w:t>身份证号码</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4"/>
          <w:sz w:val="24"/>
          <w:szCs w:val="24"/>
          <w:highlight w:val="none"/>
          <w:u w:val="single" w:color="auto"/>
        </w:rPr>
        <w:t xml:space="preserve">       </w:t>
      </w:r>
    </w:p>
    <w:p w14:paraId="6BB8B074">
      <w:pPr>
        <w:spacing w:before="181" w:line="285" w:lineRule="auto"/>
        <w:ind w:left="497" w:right="184" w:hanging="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职务：</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1"/>
          <w:sz w:val="24"/>
          <w:szCs w:val="24"/>
          <w:highlight w:val="none"/>
        </w:rPr>
        <w:t>系</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（投标人名称）</w:t>
      </w:r>
      <w:r>
        <w:rPr>
          <w:rFonts w:ascii="宋体" w:hAnsi="宋体" w:eastAsia="宋体" w:cs="宋体"/>
          <w:color w:val="auto"/>
          <w:spacing w:val="-2"/>
          <w:sz w:val="24"/>
          <w:szCs w:val="24"/>
          <w:highlight w:val="none"/>
        </w:rPr>
        <w:t>的法定代表人。</w:t>
      </w:r>
      <w:r>
        <w:rPr>
          <w:rFonts w:ascii="宋体" w:hAnsi="宋体" w:eastAsia="宋体" w:cs="宋体"/>
          <w:color w:val="auto"/>
          <w:sz w:val="24"/>
          <w:szCs w:val="24"/>
          <w:highlight w:val="none"/>
        </w:rPr>
        <w:t>附</w:t>
      </w:r>
    </w:p>
    <w:tbl>
      <w:tblPr>
        <w:tblStyle w:val="16"/>
        <w:tblW w:w="6666" w:type="dxa"/>
        <w:tblInd w:w="117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666"/>
      </w:tblGrid>
      <w:tr w14:paraId="2C203E5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53" w:hRule="atLeast"/>
        </w:trPr>
        <w:tc>
          <w:tcPr>
            <w:tcW w:w="6666" w:type="dxa"/>
            <w:vAlign w:val="top"/>
          </w:tcPr>
          <w:p w14:paraId="0FBEB75C">
            <w:pPr>
              <w:spacing w:line="267" w:lineRule="auto"/>
              <w:rPr>
                <w:rFonts w:ascii="Arial"/>
                <w:color w:val="auto"/>
                <w:sz w:val="21"/>
                <w:highlight w:val="none"/>
              </w:rPr>
            </w:pPr>
          </w:p>
          <w:p w14:paraId="1A3CBE52">
            <w:pPr>
              <w:spacing w:line="268" w:lineRule="auto"/>
              <w:rPr>
                <w:rFonts w:ascii="Arial"/>
                <w:color w:val="auto"/>
                <w:sz w:val="21"/>
                <w:highlight w:val="none"/>
              </w:rPr>
            </w:pPr>
          </w:p>
          <w:p w14:paraId="23B3CEEF">
            <w:pPr>
              <w:spacing w:line="268" w:lineRule="auto"/>
              <w:rPr>
                <w:rFonts w:ascii="Arial"/>
                <w:color w:val="auto"/>
                <w:sz w:val="21"/>
                <w:highlight w:val="none"/>
              </w:rPr>
            </w:pPr>
          </w:p>
          <w:p w14:paraId="6CDC2183">
            <w:pPr>
              <w:spacing w:line="268" w:lineRule="auto"/>
              <w:rPr>
                <w:rFonts w:ascii="Arial"/>
                <w:color w:val="auto"/>
                <w:sz w:val="21"/>
                <w:highlight w:val="none"/>
              </w:rPr>
            </w:pPr>
          </w:p>
          <w:p w14:paraId="3C763168">
            <w:pPr>
              <w:pStyle w:val="17"/>
              <w:spacing w:before="78" w:line="220" w:lineRule="auto"/>
              <w:ind w:left="1692"/>
              <w:rPr>
                <w:color w:val="auto"/>
                <w:sz w:val="24"/>
                <w:szCs w:val="24"/>
                <w:highlight w:val="none"/>
              </w:rPr>
            </w:pPr>
            <w:r>
              <w:rPr>
                <w:color w:val="auto"/>
                <w:spacing w:val="-2"/>
                <w:sz w:val="24"/>
                <w:szCs w:val="24"/>
                <w:highlight w:val="none"/>
              </w:rPr>
              <w:t>法定代表人身份证复制件（双面）</w:t>
            </w:r>
          </w:p>
        </w:tc>
      </w:tr>
    </w:tbl>
    <w:p w14:paraId="48E8C5B9">
      <w:pPr>
        <w:pStyle w:val="3"/>
        <w:spacing w:line="368" w:lineRule="auto"/>
        <w:rPr>
          <w:color w:val="auto"/>
          <w:highlight w:val="none"/>
        </w:rPr>
      </w:pPr>
    </w:p>
    <w:p w14:paraId="5AFEF18C">
      <w:pPr>
        <w:spacing w:before="78" w:line="220" w:lineRule="auto"/>
        <w:ind w:left="959"/>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特此证明。</w:t>
      </w:r>
    </w:p>
    <w:p w14:paraId="6C9FD6BA">
      <w:pPr>
        <w:pStyle w:val="3"/>
        <w:spacing w:line="256" w:lineRule="auto"/>
        <w:rPr>
          <w:color w:val="auto"/>
          <w:highlight w:val="none"/>
        </w:rPr>
      </w:pPr>
    </w:p>
    <w:p w14:paraId="60C991AF">
      <w:pPr>
        <w:pStyle w:val="3"/>
        <w:spacing w:line="257" w:lineRule="auto"/>
        <w:rPr>
          <w:color w:val="auto"/>
          <w:highlight w:val="none"/>
        </w:rPr>
      </w:pPr>
    </w:p>
    <w:p w14:paraId="7F736BD5">
      <w:pPr>
        <w:spacing w:before="79" w:line="219" w:lineRule="auto"/>
        <w:ind w:left="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注：若投标人为联合体，由牵头人出具即可。</w:t>
      </w:r>
    </w:p>
    <w:p w14:paraId="1A2CCC18">
      <w:pPr>
        <w:pStyle w:val="3"/>
        <w:spacing w:line="267" w:lineRule="auto"/>
        <w:rPr>
          <w:color w:val="auto"/>
          <w:highlight w:val="none"/>
        </w:rPr>
      </w:pPr>
    </w:p>
    <w:p w14:paraId="799D11E5">
      <w:pPr>
        <w:pStyle w:val="3"/>
        <w:spacing w:line="267" w:lineRule="auto"/>
        <w:rPr>
          <w:color w:val="auto"/>
          <w:highlight w:val="none"/>
        </w:rPr>
      </w:pPr>
    </w:p>
    <w:p w14:paraId="35C5BB3B">
      <w:pPr>
        <w:pStyle w:val="3"/>
        <w:spacing w:line="267" w:lineRule="auto"/>
        <w:rPr>
          <w:color w:val="auto"/>
          <w:highlight w:val="none"/>
        </w:rPr>
      </w:pPr>
    </w:p>
    <w:p w14:paraId="38B02E6E">
      <w:pPr>
        <w:pStyle w:val="3"/>
        <w:spacing w:line="268" w:lineRule="auto"/>
        <w:rPr>
          <w:color w:val="auto"/>
          <w:highlight w:val="none"/>
        </w:rPr>
      </w:pPr>
    </w:p>
    <w:p w14:paraId="361255DE">
      <w:pPr>
        <w:pStyle w:val="3"/>
        <w:spacing w:line="268" w:lineRule="auto"/>
        <w:rPr>
          <w:color w:val="auto"/>
          <w:highlight w:val="none"/>
        </w:rPr>
      </w:pPr>
    </w:p>
    <w:p w14:paraId="4B811039">
      <w:pPr>
        <w:spacing w:before="79" w:line="219" w:lineRule="auto"/>
        <w:ind w:left="396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w:t>
      </w:r>
      <w:r>
        <w:rPr>
          <w:rFonts w:ascii="宋体" w:hAnsi="宋体" w:eastAsia="宋体" w:cs="宋体"/>
          <w:color w:val="auto"/>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w:t>
      </w:r>
      <w:r>
        <w:rPr>
          <w:rFonts w:ascii="宋体" w:hAnsi="宋体" w:eastAsia="宋体" w:cs="宋体"/>
          <w:color w:val="auto"/>
          <w:spacing w:val="-3"/>
          <w:sz w:val="24"/>
          <w:szCs w:val="24"/>
          <w:highlight w:val="none"/>
        </w:rPr>
        <w:t>盖单位公章）</w:t>
      </w:r>
    </w:p>
    <w:p w14:paraId="619615A5">
      <w:pPr>
        <w:pStyle w:val="3"/>
        <w:spacing w:line="257" w:lineRule="auto"/>
        <w:rPr>
          <w:color w:val="auto"/>
          <w:highlight w:val="none"/>
        </w:rPr>
      </w:pPr>
    </w:p>
    <w:p w14:paraId="092B5278">
      <w:pPr>
        <w:pStyle w:val="3"/>
        <w:spacing w:line="257" w:lineRule="auto"/>
        <w:rPr>
          <w:color w:val="auto"/>
          <w:highlight w:val="none"/>
        </w:rPr>
      </w:pPr>
    </w:p>
    <w:p w14:paraId="514EC8C3">
      <w:pPr>
        <w:tabs>
          <w:tab w:val="left" w:pos="5869"/>
        </w:tabs>
        <w:spacing w:before="78" w:line="220" w:lineRule="auto"/>
        <w:ind w:left="4909"/>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5CDE0152">
      <w:pPr>
        <w:spacing w:line="220" w:lineRule="auto"/>
        <w:rPr>
          <w:rFonts w:ascii="宋体" w:hAnsi="宋体" w:eastAsia="宋体" w:cs="宋体"/>
          <w:color w:val="auto"/>
          <w:sz w:val="24"/>
          <w:szCs w:val="24"/>
          <w:highlight w:val="none"/>
        </w:rPr>
        <w:sectPr>
          <w:footerReference r:id="rId110" w:type="default"/>
          <w:pgSz w:w="11907" w:h="16841"/>
          <w:pgMar w:top="400" w:right="1527" w:bottom="1254" w:left="1599" w:header="0" w:footer="1093" w:gutter="0"/>
          <w:pgNumType w:fmt="decimal"/>
          <w:cols w:space="720" w:num="1"/>
        </w:sectPr>
      </w:pPr>
    </w:p>
    <w:p w14:paraId="41694972">
      <w:pPr>
        <w:pStyle w:val="3"/>
        <w:spacing w:line="246" w:lineRule="auto"/>
        <w:rPr>
          <w:color w:val="auto"/>
          <w:highlight w:val="none"/>
        </w:rPr>
      </w:pPr>
    </w:p>
    <w:p w14:paraId="5B573435">
      <w:pPr>
        <w:pStyle w:val="3"/>
        <w:spacing w:line="246" w:lineRule="auto"/>
        <w:rPr>
          <w:color w:val="auto"/>
          <w:highlight w:val="none"/>
        </w:rPr>
      </w:pPr>
    </w:p>
    <w:p w14:paraId="114AEEA5">
      <w:pPr>
        <w:pStyle w:val="3"/>
        <w:spacing w:line="246" w:lineRule="auto"/>
        <w:rPr>
          <w:color w:val="auto"/>
          <w:highlight w:val="none"/>
        </w:rPr>
      </w:pPr>
    </w:p>
    <w:p w14:paraId="742A9B67">
      <w:pPr>
        <w:pStyle w:val="3"/>
        <w:spacing w:line="247" w:lineRule="auto"/>
        <w:rPr>
          <w:color w:val="auto"/>
          <w:highlight w:val="none"/>
        </w:rPr>
      </w:pPr>
    </w:p>
    <w:p w14:paraId="2066A4A8">
      <w:pPr>
        <w:spacing w:before="91" w:line="219" w:lineRule="auto"/>
        <w:ind w:left="2955"/>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（二）授权委托书</w:t>
      </w:r>
    </w:p>
    <w:p w14:paraId="2A28247A">
      <w:pPr>
        <w:pStyle w:val="3"/>
        <w:spacing w:line="329" w:lineRule="auto"/>
        <w:rPr>
          <w:color w:val="auto"/>
          <w:highlight w:val="none"/>
        </w:rPr>
      </w:pPr>
    </w:p>
    <w:p w14:paraId="6FAF49A8">
      <w:pPr>
        <w:pStyle w:val="3"/>
        <w:spacing w:line="329" w:lineRule="auto"/>
        <w:rPr>
          <w:color w:val="auto"/>
          <w:highlight w:val="none"/>
        </w:rPr>
      </w:pPr>
    </w:p>
    <w:p w14:paraId="17215F93">
      <w:pPr>
        <w:spacing w:before="78" w:line="359" w:lineRule="auto"/>
        <w:ind w:right="32" w:firstLine="479"/>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本人</w:t>
      </w:r>
      <w:r>
        <w:rPr>
          <w:rFonts w:ascii="宋体" w:hAnsi="宋体" w:eastAsia="宋体" w:cs="宋体"/>
          <w:color w:val="auto"/>
          <w:spacing w:val="-108"/>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（姓名）系</w:t>
      </w:r>
      <w:r>
        <w:rPr>
          <w:rFonts w:ascii="宋体" w:hAnsi="宋体" w:eastAsia="宋体" w:cs="宋体"/>
          <w:color w:val="auto"/>
          <w:spacing w:val="-117"/>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（投标人名称）的法定代表人，</w:t>
      </w:r>
      <w:r>
        <w:rPr>
          <w:rFonts w:ascii="宋体" w:hAnsi="宋体" w:eastAsia="宋体" w:cs="宋体"/>
          <w:color w:val="auto"/>
          <w:spacing w:val="-5"/>
          <w:sz w:val="24"/>
          <w:szCs w:val="24"/>
          <w:highlight w:val="none"/>
        </w:rPr>
        <w:t>现委托</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5"/>
          <w:sz w:val="24"/>
          <w:szCs w:val="24"/>
          <w:highlight w:val="none"/>
        </w:rPr>
        <w:t>（姓名）为我方代理人。代理人根据授权， 在投标有</w:t>
      </w:r>
      <w:r>
        <w:rPr>
          <w:rFonts w:ascii="宋体" w:hAnsi="宋体" w:eastAsia="宋体" w:cs="宋体"/>
          <w:color w:val="auto"/>
          <w:spacing w:val="-6"/>
          <w:sz w:val="24"/>
          <w:szCs w:val="24"/>
          <w:highlight w:val="none"/>
        </w:rPr>
        <w:t>效期满前以</w:t>
      </w:r>
      <w:r>
        <w:rPr>
          <w:rFonts w:ascii="宋体" w:hAnsi="宋体" w:eastAsia="宋体" w:cs="宋体"/>
          <w:color w:val="auto"/>
          <w:spacing w:val="-5"/>
          <w:sz w:val="24"/>
          <w:szCs w:val="24"/>
          <w:highlight w:val="none"/>
        </w:rPr>
        <w:t>我方名义签署、澄清、说明、补正、递交、撤回、修改</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6"/>
          <w:sz w:val="24"/>
          <w:szCs w:val="24"/>
          <w:highlight w:val="none"/>
        </w:rPr>
        <w:t>（项目及标</w:t>
      </w:r>
      <w:r>
        <w:rPr>
          <w:rFonts w:ascii="宋体" w:hAnsi="宋体" w:eastAsia="宋体" w:cs="宋体"/>
          <w:color w:val="auto"/>
          <w:spacing w:val="-11"/>
          <w:sz w:val="24"/>
          <w:szCs w:val="24"/>
          <w:highlight w:val="none"/>
        </w:rPr>
        <w:t>段名称</w:t>
      </w:r>
      <w:r>
        <w:rPr>
          <w:rFonts w:ascii="宋体" w:hAnsi="宋体" w:eastAsia="宋体" w:cs="宋体"/>
          <w:color w:val="auto"/>
          <w:spacing w:val="-23"/>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3"/>
          <w:sz w:val="24"/>
          <w:szCs w:val="24"/>
          <w:highlight w:val="none"/>
        </w:rPr>
        <w:t>（</w:t>
      </w:r>
      <w:r>
        <w:rPr>
          <w:rFonts w:ascii="宋体" w:hAnsi="宋体" w:eastAsia="宋体" w:cs="宋体"/>
          <w:color w:val="auto"/>
          <w:spacing w:val="-11"/>
          <w:sz w:val="24"/>
          <w:szCs w:val="24"/>
          <w:highlight w:val="none"/>
        </w:rPr>
        <w:t>标段名称）投标文件、出席开标会议、签订合同和处理有关事宜，</w:t>
      </w:r>
      <w:r>
        <w:rPr>
          <w:rFonts w:ascii="宋体" w:hAnsi="宋体" w:eastAsia="宋体" w:cs="宋体"/>
          <w:color w:val="auto"/>
          <w:spacing w:val="-4"/>
          <w:sz w:val="24"/>
          <w:szCs w:val="24"/>
          <w:highlight w:val="none"/>
        </w:rPr>
        <w:t>其法律后果由我方承担。</w:t>
      </w:r>
    </w:p>
    <w:p w14:paraId="6DC8E032">
      <w:pPr>
        <w:spacing w:line="219" w:lineRule="auto"/>
        <w:ind w:left="47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代理人无转委托权。</w:t>
      </w:r>
    </w:p>
    <w:p w14:paraId="01C1EC3F">
      <w:pPr>
        <w:spacing w:before="180" w:line="212" w:lineRule="auto"/>
        <w:ind w:left="497"/>
        <w:rPr>
          <w:rFonts w:ascii="宋体" w:hAnsi="宋体" w:eastAsia="宋体" w:cs="宋体"/>
          <w:color w:val="auto"/>
          <w:sz w:val="24"/>
          <w:szCs w:val="24"/>
          <w:highlight w:val="none"/>
        </w:rPr>
      </w:pPr>
      <w:r>
        <w:rPr>
          <w:rFonts w:ascii="宋体" w:hAnsi="宋体" w:eastAsia="宋体" w:cs="宋体"/>
          <w:color w:val="auto"/>
          <w:spacing w:val="-21"/>
          <w:sz w:val="24"/>
          <w:szCs w:val="24"/>
          <w:highlight w:val="none"/>
        </w:rPr>
        <w:t>附：</w:t>
      </w:r>
    </w:p>
    <w:tbl>
      <w:tblPr>
        <w:tblStyle w:val="16"/>
        <w:tblW w:w="6666" w:type="dxa"/>
        <w:tblInd w:w="117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6666"/>
      </w:tblGrid>
      <w:tr w14:paraId="7133DF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53" w:hRule="atLeast"/>
        </w:trPr>
        <w:tc>
          <w:tcPr>
            <w:tcW w:w="6666" w:type="dxa"/>
            <w:vAlign w:val="top"/>
          </w:tcPr>
          <w:p w14:paraId="604E3C9D">
            <w:pPr>
              <w:spacing w:line="267" w:lineRule="auto"/>
              <w:rPr>
                <w:rFonts w:ascii="Arial"/>
                <w:color w:val="auto"/>
                <w:sz w:val="21"/>
                <w:highlight w:val="none"/>
              </w:rPr>
            </w:pPr>
          </w:p>
          <w:p w14:paraId="2FAECA48">
            <w:pPr>
              <w:spacing w:line="268" w:lineRule="auto"/>
              <w:rPr>
                <w:rFonts w:ascii="Arial"/>
                <w:color w:val="auto"/>
                <w:sz w:val="21"/>
                <w:highlight w:val="none"/>
              </w:rPr>
            </w:pPr>
          </w:p>
          <w:p w14:paraId="19B9CA21">
            <w:pPr>
              <w:spacing w:line="268" w:lineRule="auto"/>
              <w:rPr>
                <w:rFonts w:ascii="Arial"/>
                <w:color w:val="auto"/>
                <w:sz w:val="21"/>
                <w:highlight w:val="none"/>
              </w:rPr>
            </w:pPr>
          </w:p>
          <w:p w14:paraId="0EC8B25F">
            <w:pPr>
              <w:spacing w:line="268" w:lineRule="auto"/>
              <w:rPr>
                <w:rFonts w:ascii="Arial"/>
                <w:color w:val="auto"/>
                <w:sz w:val="21"/>
                <w:highlight w:val="none"/>
              </w:rPr>
            </w:pPr>
          </w:p>
          <w:p w14:paraId="7710ED10">
            <w:pPr>
              <w:pStyle w:val="17"/>
              <w:spacing w:before="78" w:line="220" w:lineRule="auto"/>
              <w:ind w:left="1690"/>
              <w:rPr>
                <w:color w:val="auto"/>
                <w:sz w:val="24"/>
                <w:szCs w:val="24"/>
                <w:highlight w:val="none"/>
              </w:rPr>
            </w:pPr>
            <w:r>
              <w:rPr>
                <w:color w:val="auto"/>
                <w:spacing w:val="-2"/>
                <w:sz w:val="24"/>
                <w:szCs w:val="24"/>
                <w:highlight w:val="none"/>
              </w:rPr>
              <w:t>委托代理人身份证复制件（双面）</w:t>
            </w:r>
          </w:p>
        </w:tc>
      </w:tr>
    </w:tbl>
    <w:p w14:paraId="7E2F7863">
      <w:pPr>
        <w:pStyle w:val="3"/>
        <w:spacing w:line="260" w:lineRule="auto"/>
        <w:rPr>
          <w:color w:val="auto"/>
          <w:highlight w:val="none"/>
        </w:rPr>
      </w:pPr>
    </w:p>
    <w:p w14:paraId="492A9BD0">
      <w:pPr>
        <w:pStyle w:val="3"/>
        <w:spacing w:line="260" w:lineRule="auto"/>
        <w:rPr>
          <w:color w:val="auto"/>
          <w:highlight w:val="none"/>
        </w:rPr>
      </w:pPr>
    </w:p>
    <w:p w14:paraId="40707CFC">
      <w:pPr>
        <w:pStyle w:val="3"/>
        <w:spacing w:line="261" w:lineRule="auto"/>
        <w:rPr>
          <w:color w:val="auto"/>
          <w:highlight w:val="none"/>
        </w:rPr>
      </w:pPr>
    </w:p>
    <w:p w14:paraId="43447A1F">
      <w:pPr>
        <w:spacing w:before="78" w:line="219" w:lineRule="auto"/>
        <w:jc w:val="right"/>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投标人</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1"/>
          <w:sz w:val="24"/>
          <w:szCs w:val="24"/>
          <w:highlight w:val="none"/>
        </w:rPr>
        <w:t>盖单位公章）</w:t>
      </w:r>
    </w:p>
    <w:p w14:paraId="487F3373">
      <w:pPr>
        <w:spacing w:before="181" w:line="220" w:lineRule="auto"/>
        <w:ind w:left="336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w:t>
      </w:r>
      <w:r>
        <w:rPr>
          <w:rFonts w:ascii="宋体" w:hAnsi="宋体" w:eastAsia="宋体" w:cs="宋体"/>
          <w:color w:val="auto"/>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w:t>
      </w:r>
      <w:r>
        <w:rPr>
          <w:rFonts w:ascii="宋体" w:hAnsi="宋体" w:eastAsia="宋体" w:cs="宋体"/>
          <w:color w:val="auto"/>
          <w:spacing w:val="-3"/>
          <w:sz w:val="24"/>
          <w:szCs w:val="24"/>
          <w:highlight w:val="none"/>
        </w:rPr>
        <w:t>签字）</w:t>
      </w:r>
    </w:p>
    <w:p w14:paraId="1F369FB1">
      <w:pPr>
        <w:spacing w:before="182" w:line="220" w:lineRule="auto"/>
        <w:ind w:left="336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身份证号码：</w:t>
      </w:r>
      <w:r>
        <w:rPr>
          <w:rFonts w:ascii="宋体" w:hAnsi="宋体" w:eastAsia="宋体" w:cs="宋体"/>
          <w:color w:val="auto"/>
          <w:sz w:val="24"/>
          <w:szCs w:val="24"/>
          <w:highlight w:val="none"/>
          <w:u w:val="single" w:color="auto"/>
        </w:rPr>
        <w:t xml:space="preserve">                                 </w:t>
      </w:r>
    </w:p>
    <w:p w14:paraId="492C1B64">
      <w:pPr>
        <w:spacing w:before="179" w:line="220" w:lineRule="auto"/>
        <w:ind w:left="335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委托代理人</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2"/>
          <w:sz w:val="24"/>
          <w:szCs w:val="24"/>
          <w:highlight w:val="none"/>
        </w:rPr>
        <w:t>签字）</w:t>
      </w:r>
    </w:p>
    <w:p w14:paraId="5EACD21D">
      <w:pPr>
        <w:spacing w:before="182" w:line="220" w:lineRule="auto"/>
        <w:ind w:left="336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身份证号码：</w:t>
      </w:r>
      <w:r>
        <w:rPr>
          <w:rFonts w:ascii="宋体" w:hAnsi="宋体" w:eastAsia="宋体" w:cs="宋体"/>
          <w:color w:val="auto"/>
          <w:sz w:val="24"/>
          <w:szCs w:val="24"/>
          <w:highlight w:val="none"/>
          <w:u w:val="single" w:color="auto"/>
        </w:rPr>
        <w:t xml:space="preserve">                                 </w:t>
      </w:r>
    </w:p>
    <w:p w14:paraId="74C77163">
      <w:pPr>
        <w:tabs>
          <w:tab w:val="left" w:pos="5749"/>
        </w:tabs>
        <w:spacing w:before="180" w:line="220" w:lineRule="auto"/>
        <w:ind w:left="5029"/>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50770087">
      <w:pPr>
        <w:spacing w:before="182" w:line="360" w:lineRule="auto"/>
        <w:ind w:left="23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注：</w:t>
      </w:r>
      <w:r>
        <w:rPr>
          <w:rFonts w:hint="eastAsia" w:ascii="宋体" w:hAnsi="宋体" w:eastAsia="宋体" w:cs="宋体"/>
          <w:color w:val="auto"/>
          <w:spacing w:val="-3"/>
          <w:sz w:val="24"/>
          <w:szCs w:val="24"/>
          <w:highlight w:val="none"/>
          <w:lang w:val="en-US" w:eastAsia="zh-CN"/>
        </w:rPr>
        <w:t>1.</w:t>
      </w:r>
      <w:r>
        <w:rPr>
          <w:rFonts w:ascii="宋体" w:hAnsi="宋体" w:eastAsia="宋体" w:cs="宋体"/>
          <w:color w:val="auto"/>
          <w:spacing w:val="-3"/>
          <w:sz w:val="24"/>
          <w:szCs w:val="24"/>
          <w:highlight w:val="none"/>
        </w:rPr>
        <w:t>法定代表人和委托代理人均应在本授权委托书上签字，不得使用印章、签名章或其他电子制版签名。</w:t>
      </w:r>
    </w:p>
    <w:p w14:paraId="2E3D3686">
      <w:pPr>
        <w:spacing w:before="183" w:line="219" w:lineRule="auto"/>
        <w:ind w:left="719"/>
        <w:rPr>
          <w:rFonts w:ascii="宋体" w:hAnsi="宋体" w:eastAsia="宋体" w:cs="宋体"/>
          <w:color w:val="auto"/>
          <w:sz w:val="24"/>
          <w:szCs w:val="24"/>
          <w:highlight w:val="none"/>
        </w:rPr>
      </w:pPr>
      <w:r>
        <w:rPr>
          <w:rFonts w:hint="eastAsia" w:ascii="Times New Roman" w:hAnsi="Times New Roman" w:eastAsia="宋体" w:cs="Times New Roman"/>
          <w:color w:val="auto"/>
          <w:spacing w:val="-3"/>
          <w:sz w:val="24"/>
          <w:szCs w:val="24"/>
          <w:highlight w:val="none"/>
          <w:lang w:val="en-US" w:eastAsia="zh-CN"/>
        </w:rPr>
        <w:t>2.</w:t>
      </w:r>
      <w:r>
        <w:rPr>
          <w:rFonts w:ascii="Times New Roman" w:hAnsi="Times New Roman" w:eastAsia="Times New Roman" w:cs="Times New Roman"/>
          <w:color w:val="auto"/>
          <w:spacing w:val="-3"/>
          <w:sz w:val="24"/>
          <w:szCs w:val="24"/>
          <w:highlight w:val="none"/>
        </w:rPr>
        <w:t>.</w:t>
      </w:r>
      <w:r>
        <w:rPr>
          <w:rFonts w:ascii="宋体" w:hAnsi="宋体" w:eastAsia="宋体" w:cs="宋体"/>
          <w:color w:val="auto"/>
          <w:spacing w:val="-3"/>
          <w:sz w:val="24"/>
          <w:szCs w:val="24"/>
          <w:highlight w:val="none"/>
        </w:rPr>
        <w:t>若投标人为联合体，由牵头人出具即可。</w:t>
      </w:r>
    </w:p>
    <w:p w14:paraId="1E7D5313">
      <w:pPr>
        <w:spacing w:line="219" w:lineRule="auto"/>
        <w:rPr>
          <w:rFonts w:ascii="宋体" w:hAnsi="宋体" w:eastAsia="宋体" w:cs="宋体"/>
          <w:color w:val="auto"/>
          <w:sz w:val="24"/>
          <w:szCs w:val="24"/>
          <w:highlight w:val="none"/>
        </w:rPr>
        <w:sectPr>
          <w:footerReference r:id="rId111" w:type="default"/>
          <w:pgSz w:w="11907" w:h="16841"/>
          <w:pgMar w:top="400" w:right="1427" w:bottom="1254" w:left="1599" w:header="0" w:footer="1093" w:gutter="0"/>
          <w:pgNumType w:fmt="decimal"/>
          <w:cols w:space="720" w:num="1"/>
        </w:sectPr>
      </w:pPr>
    </w:p>
    <w:p w14:paraId="0BE99284">
      <w:pPr>
        <w:pStyle w:val="3"/>
        <w:spacing w:line="246" w:lineRule="auto"/>
        <w:rPr>
          <w:color w:val="auto"/>
          <w:highlight w:val="none"/>
        </w:rPr>
      </w:pPr>
    </w:p>
    <w:p w14:paraId="17E9D124">
      <w:pPr>
        <w:pStyle w:val="3"/>
        <w:spacing w:line="246" w:lineRule="auto"/>
        <w:rPr>
          <w:color w:val="auto"/>
          <w:highlight w:val="none"/>
        </w:rPr>
      </w:pPr>
    </w:p>
    <w:p w14:paraId="7C6B4E86">
      <w:pPr>
        <w:pStyle w:val="3"/>
        <w:spacing w:line="246" w:lineRule="auto"/>
        <w:rPr>
          <w:color w:val="auto"/>
          <w:highlight w:val="none"/>
        </w:rPr>
      </w:pPr>
    </w:p>
    <w:p w14:paraId="0B7EBFBC">
      <w:pPr>
        <w:pStyle w:val="3"/>
        <w:spacing w:line="247" w:lineRule="auto"/>
        <w:rPr>
          <w:color w:val="auto"/>
          <w:highlight w:val="none"/>
        </w:rPr>
      </w:pPr>
    </w:p>
    <w:p w14:paraId="10952E28">
      <w:pPr>
        <w:spacing w:before="91" w:line="219" w:lineRule="auto"/>
        <w:ind w:left="3275"/>
        <w:outlineLvl w:val="1"/>
        <w:rPr>
          <w:rFonts w:ascii="宋体" w:hAnsi="宋体" w:eastAsia="宋体" w:cs="宋体"/>
          <w:strike/>
          <w:dstrike w:val="0"/>
          <w:color w:val="auto"/>
          <w:sz w:val="28"/>
          <w:szCs w:val="28"/>
          <w:highlight w:val="none"/>
        </w:rPr>
      </w:pPr>
      <w:bookmarkStart w:id="1088" w:name="bookmark647"/>
      <w:bookmarkEnd w:id="1088"/>
      <w:bookmarkStart w:id="1089" w:name="_Toc22519"/>
      <w:bookmarkStart w:id="1090" w:name="_Toc30011"/>
      <w:r>
        <w:rPr>
          <w:rFonts w:ascii="宋体" w:hAnsi="宋体" w:eastAsia="宋体" w:cs="宋体"/>
          <w:b/>
          <w:bCs/>
          <w:strike/>
          <w:dstrike w:val="0"/>
          <w:color w:val="auto"/>
          <w:spacing w:val="-7"/>
          <w:sz w:val="28"/>
          <w:szCs w:val="28"/>
          <w:highlight w:val="none"/>
        </w:rPr>
        <w:t>二、联合体协议书</w:t>
      </w:r>
      <w:bookmarkEnd w:id="1089"/>
      <w:bookmarkEnd w:id="1090"/>
    </w:p>
    <w:p w14:paraId="3426FAC1">
      <w:pPr>
        <w:pStyle w:val="3"/>
        <w:spacing w:line="326" w:lineRule="auto"/>
        <w:rPr>
          <w:strike/>
          <w:dstrike w:val="0"/>
          <w:color w:val="auto"/>
          <w:highlight w:val="none"/>
        </w:rPr>
      </w:pPr>
    </w:p>
    <w:p w14:paraId="22CAFF94">
      <w:pPr>
        <w:pStyle w:val="3"/>
        <w:spacing w:line="326" w:lineRule="auto"/>
        <w:rPr>
          <w:strike/>
          <w:dstrike w:val="0"/>
          <w:color w:val="auto"/>
          <w:highlight w:val="none"/>
        </w:rPr>
      </w:pPr>
    </w:p>
    <w:p w14:paraId="41348F0D">
      <w:pPr>
        <w:tabs>
          <w:tab w:val="left" w:pos="2151"/>
        </w:tabs>
        <w:spacing w:before="81" w:line="350" w:lineRule="auto"/>
        <w:ind w:right="96" w:firstLine="470"/>
        <w:jc w:val="both"/>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pacing w:val="-17"/>
          <w:sz w:val="24"/>
          <w:szCs w:val="24"/>
          <w:highlight w:val="none"/>
        </w:rPr>
        <w:t xml:space="preserve">（ </w:t>
      </w:r>
      <w:r>
        <w:rPr>
          <w:rFonts w:ascii="宋体" w:hAnsi="宋体" w:eastAsia="宋体" w:cs="宋体"/>
          <w:i/>
          <w:iCs/>
          <w:strike/>
          <w:dstrike w:val="0"/>
          <w:color w:val="auto"/>
          <w:spacing w:val="-17"/>
          <w:sz w:val="24"/>
          <w:szCs w:val="24"/>
          <w:highlight w:val="none"/>
        </w:rPr>
        <w:t>所有成员单位名称</w:t>
      </w:r>
      <w:r>
        <w:rPr>
          <w:rFonts w:ascii="宋体" w:hAnsi="宋体" w:eastAsia="宋体" w:cs="宋体"/>
          <w:strike/>
          <w:dstrike w:val="0"/>
          <w:color w:val="auto"/>
          <w:spacing w:val="-17"/>
          <w:sz w:val="24"/>
          <w:szCs w:val="24"/>
          <w:highlight w:val="none"/>
        </w:rPr>
        <w:t>）自愿组成</w:t>
      </w:r>
      <w:r>
        <w:rPr>
          <w:rFonts w:ascii="宋体" w:hAnsi="宋体" w:eastAsia="宋体" w:cs="宋体"/>
          <w:strike/>
          <w:dstrike w:val="0"/>
          <w:color w:val="auto"/>
          <w:spacing w:val="-119"/>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7"/>
          <w:sz w:val="24"/>
          <w:szCs w:val="24"/>
          <w:highlight w:val="none"/>
        </w:rPr>
        <w:t>（</w:t>
      </w:r>
      <w:r>
        <w:rPr>
          <w:rFonts w:ascii="宋体" w:hAnsi="宋体" w:eastAsia="宋体" w:cs="宋体"/>
          <w:strike/>
          <w:dstrike w:val="0"/>
          <w:color w:val="auto"/>
          <w:spacing w:val="-68"/>
          <w:sz w:val="24"/>
          <w:szCs w:val="24"/>
          <w:highlight w:val="none"/>
        </w:rPr>
        <w:t xml:space="preserve"> </w:t>
      </w:r>
      <w:r>
        <w:rPr>
          <w:rFonts w:ascii="宋体" w:hAnsi="宋体" w:eastAsia="宋体" w:cs="宋体"/>
          <w:i/>
          <w:iCs/>
          <w:strike/>
          <w:dstrike w:val="0"/>
          <w:color w:val="auto"/>
          <w:spacing w:val="-17"/>
          <w:sz w:val="24"/>
          <w:szCs w:val="24"/>
          <w:highlight w:val="none"/>
        </w:rPr>
        <w:t>联合体名称</w:t>
      </w:r>
      <w:r>
        <w:rPr>
          <w:rFonts w:ascii="宋体" w:hAnsi="宋体" w:eastAsia="宋体" w:cs="宋体"/>
          <w:strike/>
          <w:dstrike w:val="0"/>
          <w:color w:val="auto"/>
          <w:spacing w:val="-18"/>
          <w:sz w:val="24"/>
          <w:szCs w:val="24"/>
          <w:highlight w:val="none"/>
        </w:rPr>
        <w:t>），</w:t>
      </w:r>
      <w:r>
        <w:rPr>
          <w:rFonts w:ascii="宋体" w:hAnsi="宋体" w:eastAsia="宋体" w:cs="宋体"/>
          <w:strike/>
          <w:dstrike w:val="0"/>
          <w:color w:val="auto"/>
          <w:spacing w:val="-17"/>
          <w:sz w:val="24"/>
          <w:szCs w:val="24"/>
          <w:highlight w:val="none"/>
        </w:rPr>
        <w:t>共</w:t>
      </w:r>
      <w:r>
        <w:rPr>
          <w:rFonts w:ascii="宋体" w:hAnsi="宋体" w:eastAsia="宋体" w:cs="宋体"/>
          <w:strike/>
          <w:dstrike w:val="0"/>
          <w:color w:val="auto"/>
          <w:sz w:val="24"/>
          <w:szCs w:val="24"/>
          <w:highlight w:val="none"/>
        </w:rPr>
        <w:t>同参加</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z w:val="24"/>
          <w:szCs w:val="24"/>
          <w:highlight w:val="none"/>
        </w:rPr>
        <w:t>（</w:t>
      </w:r>
      <w:r>
        <w:rPr>
          <w:rFonts w:ascii="宋体" w:hAnsi="宋体" w:eastAsia="宋体" w:cs="宋体"/>
          <w:i/>
          <w:iCs/>
          <w:strike/>
          <w:dstrike w:val="0"/>
          <w:color w:val="auto"/>
          <w:sz w:val="24"/>
          <w:szCs w:val="24"/>
          <w:highlight w:val="none"/>
        </w:rPr>
        <w:t>项目名称</w:t>
      </w:r>
      <w:r>
        <w:rPr>
          <w:rFonts w:ascii="宋体" w:hAnsi="宋体" w:eastAsia="宋体" w:cs="宋体"/>
          <w:strike/>
          <w:dstrike w:val="0"/>
          <w:color w:val="auto"/>
          <w:spacing w:val="-31"/>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31"/>
          <w:sz w:val="24"/>
          <w:szCs w:val="24"/>
          <w:highlight w:val="none"/>
        </w:rPr>
        <w:t>（</w:t>
      </w:r>
      <w:r>
        <w:rPr>
          <w:rFonts w:ascii="宋体" w:hAnsi="宋体" w:eastAsia="宋体" w:cs="宋体"/>
          <w:i/>
          <w:iCs/>
          <w:strike/>
          <w:dstrike w:val="0"/>
          <w:color w:val="auto"/>
          <w:spacing w:val="-1"/>
          <w:sz w:val="24"/>
          <w:szCs w:val="24"/>
          <w:highlight w:val="none"/>
        </w:rPr>
        <w:t>标段名称</w:t>
      </w:r>
      <w:r>
        <w:rPr>
          <w:rFonts w:ascii="宋体" w:hAnsi="宋体" w:eastAsia="宋体" w:cs="宋体"/>
          <w:strike/>
          <w:dstrike w:val="0"/>
          <w:color w:val="auto"/>
          <w:spacing w:val="-1"/>
          <w:sz w:val="24"/>
          <w:szCs w:val="24"/>
          <w:highlight w:val="none"/>
        </w:rPr>
        <w:t>）投标。现就联合体投标</w:t>
      </w:r>
      <w:r>
        <w:rPr>
          <w:rFonts w:ascii="宋体" w:hAnsi="宋体" w:eastAsia="宋体" w:cs="宋体"/>
          <w:strike/>
          <w:dstrike w:val="0"/>
          <w:color w:val="auto"/>
          <w:spacing w:val="-5"/>
          <w:sz w:val="24"/>
          <w:szCs w:val="24"/>
          <w:highlight w:val="none"/>
        </w:rPr>
        <w:t>事宜订立如下协议。</w:t>
      </w:r>
    </w:p>
    <w:p w14:paraId="3F8E33FD">
      <w:pPr>
        <w:spacing w:line="212" w:lineRule="auto"/>
        <w:ind w:left="499"/>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9"/>
          <w:sz w:val="24"/>
          <w:szCs w:val="24"/>
          <w:highlight w:val="none"/>
        </w:rPr>
        <w:t xml:space="preserve">1.  </w:t>
      </w:r>
      <w:r>
        <w:rPr>
          <w:rFonts w:ascii="Times New Roman" w:hAnsi="Times New Roman" w:eastAsia="Times New Roman" w:cs="Times New Roman"/>
          <w:strike/>
          <w:dstrike w:val="0"/>
          <w:color w:val="auto"/>
          <w:spacing w:val="-9"/>
          <w:sz w:val="24"/>
          <w:szCs w:val="24"/>
          <w:highlight w:val="none"/>
          <w:u w:val="single" w:color="auto"/>
        </w:rPr>
        <w:t xml:space="preserve">                         </w:t>
      </w:r>
      <w:r>
        <w:rPr>
          <w:rFonts w:ascii="宋体" w:hAnsi="宋体" w:eastAsia="宋体" w:cs="宋体"/>
          <w:strike/>
          <w:dstrike w:val="0"/>
          <w:color w:val="auto"/>
          <w:spacing w:val="-9"/>
          <w:sz w:val="24"/>
          <w:szCs w:val="24"/>
          <w:highlight w:val="none"/>
        </w:rPr>
        <w:t xml:space="preserve">（ </w:t>
      </w:r>
      <w:r>
        <w:rPr>
          <w:rFonts w:ascii="宋体" w:hAnsi="宋体" w:eastAsia="宋体" w:cs="宋体"/>
          <w:i/>
          <w:iCs/>
          <w:strike/>
          <w:dstrike w:val="0"/>
          <w:color w:val="auto"/>
          <w:spacing w:val="-9"/>
          <w:sz w:val="24"/>
          <w:szCs w:val="24"/>
          <w:highlight w:val="none"/>
        </w:rPr>
        <w:t>某成员单位名称</w:t>
      </w:r>
      <w:r>
        <w:rPr>
          <w:rFonts w:ascii="宋体" w:hAnsi="宋体" w:eastAsia="宋体" w:cs="宋体"/>
          <w:strike/>
          <w:dstrike w:val="0"/>
          <w:color w:val="auto"/>
          <w:spacing w:val="-9"/>
          <w:sz w:val="24"/>
          <w:szCs w:val="24"/>
          <w:highlight w:val="none"/>
        </w:rPr>
        <w:t>）为</w:t>
      </w:r>
      <w:r>
        <w:rPr>
          <w:rFonts w:ascii="宋体" w:hAnsi="宋体" w:eastAsia="宋体" w:cs="宋体"/>
          <w:strike/>
          <w:dstrike w:val="0"/>
          <w:color w:val="auto"/>
          <w:spacing w:val="-108"/>
          <w:sz w:val="24"/>
          <w:szCs w:val="24"/>
          <w:highlight w:val="none"/>
        </w:rPr>
        <w:t xml:space="preserve"> </w:t>
      </w:r>
      <w:r>
        <w:rPr>
          <w:rFonts w:ascii="宋体" w:hAnsi="宋体" w:eastAsia="宋体" w:cs="宋体"/>
          <w:strike/>
          <w:dstrike w:val="0"/>
          <w:color w:val="auto"/>
          <w:spacing w:val="-9"/>
          <w:sz w:val="24"/>
          <w:szCs w:val="24"/>
          <w:highlight w:val="none"/>
          <w:u w:val="single" w:color="auto"/>
        </w:rPr>
        <w:t xml:space="preserve">       </w:t>
      </w:r>
      <w:r>
        <w:rPr>
          <w:rFonts w:ascii="宋体" w:hAnsi="宋体" w:eastAsia="宋体" w:cs="宋体"/>
          <w:strike/>
          <w:dstrike w:val="0"/>
          <w:color w:val="auto"/>
          <w:spacing w:val="-10"/>
          <w:sz w:val="24"/>
          <w:szCs w:val="24"/>
          <w:highlight w:val="none"/>
          <w:u w:val="single" w:color="auto"/>
        </w:rPr>
        <w:t xml:space="preserve">    </w:t>
      </w:r>
      <w:r>
        <w:rPr>
          <w:rFonts w:ascii="宋体" w:hAnsi="宋体" w:eastAsia="宋体" w:cs="宋体"/>
          <w:strike/>
          <w:dstrike w:val="0"/>
          <w:color w:val="auto"/>
          <w:spacing w:val="-10"/>
          <w:sz w:val="24"/>
          <w:szCs w:val="24"/>
          <w:highlight w:val="none"/>
        </w:rPr>
        <w:t>（</w:t>
      </w:r>
      <w:r>
        <w:rPr>
          <w:rFonts w:ascii="宋体" w:hAnsi="宋体" w:eastAsia="宋体" w:cs="宋体"/>
          <w:strike/>
          <w:dstrike w:val="0"/>
          <w:color w:val="auto"/>
          <w:spacing w:val="-33"/>
          <w:sz w:val="24"/>
          <w:szCs w:val="24"/>
          <w:highlight w:val="none"/>
        </w:rPr>
        <w:t xml:space="preserve"> </w:t>
      </w:r>
      <w:r>
        <w:rPr>
          <w:rFonts w:ascii="宋体" w:hAnsi="宋体" w:eastAsia="宋体" w:cs="宋体"/>
          <w:i/>
          <w:iCs/>
          <w:strike/>
          <w:dstrike w:val="0"/>
          <w:color w:val="auto"/>
          <w:spacing w:val="-10"/>
          <w:sz w:val="24"/>
          <w:szCs w:val="24"/>
          <w:highlight w:val="none"/>
        </w:rPr>
        <w:t>联合体名称</w:t>
      </w:r>
      <w:r>
        <w:rPr>
          <w:rFonts w:ascii="宋体" w:hAnsi="宋体" w:eastAsia="宋体" w:cs="宋体"/>
          <w:strike/>
          <w:dstrike w:val="0"/>
          <w:color w:val="auto"/>
          <w:spacing w:val="-10"/>
          <w:sz w:val="24"/>
          <w:szCs w:val="24"/>
          <w:highlight w:val="none"/>
        </w:rPr>
        <w:t>）牵头人。</w:t>
      </w:r>
    </w:p>
    <w:p w14:paraId="76D2A5C0">
      <w:pPr>
        <w:spacing w:before="178" w:line="313" w:lineRule="auto"/>
        <w:ind w:right="85" w:firstLine="476"/>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z w:val="24"/>
          <w:szCs w:val="24"/>
          <w:highlight w:val="none"/>
        </w:rPr>
        <w:t>2</w:t>
      </w:r>
      <w:r>
        <w:rPr>
          <w:rFonts w:ascii="Times New Roman" w:hAnsi="Times New Roman" w:eastAsia="Times New Roman" w:cs="Times New Roman"/>
          <w:strike/>
          <w:dstrike w:val="0"/>
          <w:color w:val="auto"/>
          <w:spacing w:val="-28"/>
          <w:sz w:val="24"/>
          <w:szCs w:val="24"/>
          <w:highlight w:val="none"/>
        </w:rPr>
        <w:t xml:space="preserve"> </w:t>
      </w:r>
      <w:r>
        <w:rPr>
          <w:rFonts w:ascii="宋体" w:hAnsi="宋体" w:eastAsia="宋体" w:cs="宋体"/>
          <w:strike/>
          <w:dstrike w:val="0"/>
          <w:color w:val="auto"/>
          <w:sz w:val="24"/>
          <w:szCs w:val="24"/>
          <w:highlight w:val="none"/>
        </w:rPr>
        <w:t>．联合体牵头人合法代表联合体各成员负责本标段施工</w:t>
      </w:r>
      <w:r>
        <w:rPr>
          <w:rFonts w:ascii="宋体" w:hAnsi="宋体" w:eastAsia="宋体" w:cs="宋体"/>
          <w:strike/>
          <w:dstrike w:val="0"/>
          <w:color w:val="auto"/>
          <w:spacing w:val="-1"/>
          <w:sz w:val="24"/>
          <w:szCs w:val="24"/>
          <w:highlight w:val="none"/>
        </w:rPr>
        <w:t>招标投标文件递交和合</w:t>
      </w:r>
      <w:r>
        <w:rPr>
          <w:rFonts w:ascii="宋体" w:hAnsi="宋体" w:eastAsia="宋体" w:cs="宋体"/>
          <w:strike/>
          <w:dstrike w:val="0"/>
          <w:color w:val="auto"/>
          <w:spacing w:val="-6"/>
          <w:sz w:val="24"/>
          <w:szCs w:val="24"/>
          <w:highlight w:val="none"/>
        </w:rPr>
        <w:t>同谈判活动，并代表联合体提交和接受相关的资料、信息及指示， 处理与之有关的一</w:t>
      </w:r>
      <w:r>
        <w:rPr>
          <w:rFonts w:ascii="宋体" w:hAnsi="宋体" w:eastAsia="宋体" w:cs="宋体"/>
          <w:strike/>
          <w:dstrike w:val="0"/>
          <w:color w:val="auto"/>
          <w:spacing w:val="-2"/>
          <w:sz w:val="24"/>
          <w:szCs w:val="24"/>
          <w:highlight w:val="none"/>
        </w:rPr>
        <w:t>切事务，并负责合同实施阶段的主办、组织和协调工作。</w:t>
      </w:r>
    </w:p>
    <w:p w14:paraId="49799A09">
      <w:pPr>
        <w:spacing w:before="180" w:line="290" w:lineRule="auto"/>
        <w:ind w:left="1" w:right="85" w:firstLine="479"/>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z w:val="24"/>
          <w:szCs w:val="24"/>
          <w:highlight w:val="none"/>
        </w:rPr>
        <w:t>3</w:t>
      </w:r>
      <w:r>
        <w:rPr>
          <w:rFonts w:ascii="Times New Roman" w:hAnsi="Times New Roman" w:eastAsia="Times New Roman" w:cs="Times New Roman"/>
          <w:strike/>
          <w:dstrike w:val="0"/>
          <w:color w:val="auto"/>
          <w:spacing w:val="-29"/>
          <w:sz w:val="24"/>
          <w:szCs w:val="24"/>
          <w:highlight w:val="none"/>
        </w:rPr>
        <w:t xml:space="preserve"> </w:t>
      </w:r>
      <w:r>
        <w:rPr>
          <w:rFonts w:ascii="宋体" w:hAnsi="宋体" w:eastAsia="宋体" w:cs="宋体"/>
          <w:strike/>
          <w:dstrike w:val="0"/>
          <w:color w:val="auto"/>
          <w:sz w:val="24"/>
          <w:szCs w:val="24"/>
          <w:highlight w:val="none"/>
        </w:rPr>
        <w:t>．联合体将严格按照招标文件的各项要求，编</w:t>
      </w:r>
      <w:r>
        <w:rPr>
          <w:rFonts w:ascii="宋体" w:hAnsi="宋体" w:eastAsia="宋体" w:cs="宋体"/>
          <w:strike/>
          <w:dstrike w:val="0"/>
          <w:color w:val="auto"/>
          <w:spacing w:val="-1"/>
          <w:sz w:val="24"/>
          <w:szCs w:val="24"/>
          <w:highlight w:val="none"/>
        </w:rPr>
        <w:t>制投标文件，履行合同，并向招</w:t>
      </w:r>
      <w:r>
        <w:rPr>
          <w:rFonts w:ascii="宋体" w:hAnsi="宋体" w:eastAsia="宋体" w:cs="宋体"/>
          <w:strike/>
          <w:dstrike w:val="0"/>
          <w:color w:val="auto"/>
          <w:spacing w:val="-5"/>
          <w:sz w:val="24"/>
          <w:szCs w:val="24"/>
          <w:highlight w:val="none"/>
        </w:rPr>
        <w:t>标人承担连带责任。</w:t>
      </w:r>
    </w:p>
    <w:p w14:paraId="53ED660C">
      <w:pPr>
        <w:spacing w:before="179" w:line="220" w:lineRule="auto"/>
        <w:ind w:left="475"/>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1"/>
          <w:sz w:val="24"/>
          <w:szCs w:val="24"/>
          <w:highlight w:val="none"/>
        </w:rPr>
        <w:t>4</w:t>
      </w:r>
      <w:r>
        <w:rPr>
          <w:rFonts w:ascii="Times New Roman" w:hAnsi="Times New Roman" w:eastAsia="Times New Roman" w:cs="Times New Roman"/>
          <w:strike/>
          <w:dstrike w:val="0"/>
          <w:color w:val="auto"/>
          <w:spacing w:val="-27"/>
          <w:sz w:val="24"/>
          <w:szCs w:val="24"/>
          <w:highlight w:val="none"/>
        </w:rPr>
        <w:t xml:space="preserve"> </w:t>
      </w:r>
      <w:r>
        <w:rPr>
          <w:rFonts w:ascii="宋体" w:hAnsi="宋体" w:eastAsia="宋体" w:cs="宋体"/>
          <w:strike/>
          <w:dstrike w:val="0"/>
          <w:color w:val="auto"/>
          <w:spacing w:val="-1"/>
          <w:sz w:val="24"/>
          <w:szCs w:val="24"/>
          <w:highlight w:val="none"/>
        </w:rPr>
        <w:t>．联合体内部各成员单位的职责分工如下：</w:t>
      </w:r>
      <w:r>
        <w:rPr>
          <w:rFonts w:ascii="宋体" w:hAnsi="宋体" w:eastAsia="宋体" w:cs="宋体"/>
          <w:strike/>
          <w:dstrike w:val="0"/>
          <w:color w:val="auto"/>
          <w:spacing w:val="-1"/>
          <w:sz w:val="24"/>
          <w:szCs w:val="24"/>
          <w:highlight w:val="none"/>
          <w:u w:val="single" w:color="auto"/>
        </w:rPr>
        <w:t xml:space="preserve">                 </w:t>
      </w:r>
      <w:r>
        <w:rPr>
          <w:rFonts w:ascii="宋体" w:hAnsi="宋体" w:eastAsia="宋体" w:cs="宋体"/>
          <w:strike/>
          <w:dstrike w:val="0"/>
          <w:color w:val="auto"/>
          <w:spacing w:val="-1"/>
          <w:sz w:val="24"/>
          <w:szCs w:val="24"/>
          <w:highlight w:val="none"/>
        </w:rPr>
        <w:t>。</w:t>
      </w:r>
    </w:p>
    <w:p w14:paraId="65011423">
      <w:pPr>
        <w:spacing w:before="182" w:line="289" w:lineRule="auto"/>
        <w:ind w:right="85" w:firstLine="482"/>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z w:val="24"/>
          <w:szCs w:val="24"/>
          <w:highlight w:val="none"/>
        </w:rPr>
        <w:t>5</w:t>
      </w:r>
      <w:r>
        <w:rPr>
          <w:rFonts w:ascii="Times New Roman" w:hAnsi="Times New Roman" w:eastAsia="Times New Roman" w:cs="Times New Roman"/>
          <w:strike/>
          <w:dstrike w:val="0"/>
          <w:color w:val="auto"/>
          <w:spacing w:val="-28"/>
          <w:sz w:val="24"/>
          <w:szCs w:val="24"/>
          <w:highlight w:val="none"/>
        </w:rPr>
        <w:t xml:space="preserve"> </w:t>
      </w:r>
      <w:r>
        <w:rPr>
          <w:rFonts w:ascii="宋体" w:hAnsi="宋体" w:eastAsia="宋体" w:cs="宋体"/>
          <w:strike/>
          <w:dstrike w:val="0"/>
          <w:color w:val="auto"/>
          <w:sz w:val="24"/>
          <w:szCs w:val="24"/>
          <w:highlight w:val="none"/>
        </w:rPr>
        <w:t>．牵头人承担综合协调管理工作，联合体</w:t>
      </w:r>
      <w:r>
        <w:rPr>
          <w:rFonts w:ascii="宋体" w:hAnsi="宋体" w:eastAsia="宋体" w:cs="宋体"/>
          <w:strike/>
          <w:dstrike w:val="0"/>
          <w:color w:val="auto"/>
          <w:spacing w:val="-1"/>
          <w:sz w:val="24"/>
          <w:szCs w:val="24"/>
          <w:highlight w:val="none"/>
        </w:rPr>
        <w:t>内部各成员单位根据职责分工，按照</w:t>
      </w:r>
      <w:r>
        <w:rPr>
          <w:rFonts w:ascii="宋体" w:hAnsi="宋体" w:eastAsia="宋体" w:cs="宋体"/>
          <w:strike/>
          <w:dstrike w:val="0"/>
          <w:color w:val="auto"/>
          <w:spacing w:val="-2"/>
          <w:sz w:val="24"/>
          <w:szCs w:val="24"/>
          <w:highlight w:val="none"/>
        </w:rPr>
        <w:t>相关法律法规分别承担相应工作内容的质量与安全主体责任。</w:t>
      </w:r>
    </w:p>
    <w:p w14:paraId="6BC654DC">
      <w:pPr>
        <w:spacing w:before="183" w:line="219" w:lineRule="auto"/>
        <w:ind w:left="481"/>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3"/>
          <w:sz w:val="24"/>
          <w:szCs w:val="24"/>
          <w:highlight w:val="none"/>
        </w:rPr>
        <w:t>6</w:t>
      </w:r>
      <w:r>
        <w:rPr>
          <w:rFonts w:ascii="Times New Roman" w:hAnsi="Times New Roman" w:eastAsia="Times New Roman" w:cs="Times New Roman"/>
          <w:strike/>
          <w:dstrike w:val="0"/>
          <w:color w:val="auto"/>
          <w:spacing w:val="-24"/>
          <w:sz w:val="24"/>
          <w:szCs w:val="24"/>
          <w:highlight w:val="none"/>
        </w:rPr>
        <w:t xml:space="preserve"> </w:t>
      </w:r>
      <w:r>
        <w:rPr>
          <w:rFonts w:ascii="宋体" w:hAnsi="宋体" w:eastAsia="宋体" w:cs="宋体"/>
          <w:strike/>
          <w:dstrike w:val="0"/>
          <w:color w:val="auto"/>
          <w:spacing w:val="-3"/>
          <w:sz w:val="24"/>
          <w:szCs w:val="24"/>
          <w:highlight w:val="none"/>
        </w:rPr>
        <w:t>．本协议书自签署之日起生效，合同履行完毕后自动失效。</w:t>
      </w:r>
    </w:p>
    <w:p w14:paraId="233045AD">
      <w:pPr>
        <w:spacing w:before="181" w:line="219" w:lineRule="auto"/>
        <w:ind w:left="480"/>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3"/>
          <w:sz w:val="24"/>
          <w:szCs w:val="24"/>
          <w:highlight w:val="none"/>
        </w:rPr>
        <w:t>7</w:t>
      </w:r>
      <w:r>
        <w:rPr>
          <w:rFonts w:ascii="Times New Roman" w:hAnsi="Times New Roman" w:eastAsia="Times New Roman" w:cs="Times New Roman"/>
          <w:strike/>
          <w:dstrike w:val="0"/>
          <w:color w:val="auto"/>
          <w:spacing w:val="-13"/>
          <w:sz w:val="24"/>
          <w:szCs w:val="24"/>
          <w:highlight w:val="none"/>
        </w:rPr>
        <w:t xml:space="preserve"> </w:t>
      </w:r>
      <w:r>
        <w:rPr>
          <w:rFonts w:ascii="宋体" w:hAnsi="宋体" w:eastAsia="宋体" w:cs="宋体"/>
          <w:strike/>
          <w:dstrike w:val="0"/>
          <w:color w:val="auto"/>
          <w:spacing w:val="-3"/>
          <w:sz w:val="24"/>
          <w:szCs w:val="24"/>
          <w:highlight w:val="none"/>
        </w:rPr>
        <w:t>．本协议书一式</w:t>
      </w:r>
      <w:r>
        <w:rPr>
          <w:rFonts w:ascii="宋体" w:hAnsi="宋体" w:eastAsia="宋体" w:cs="宋体"/>
          <w:strike/>
          <w:dstrike w:val="0"/>
          <w:color w:val="auto"/>
          <w:spacing w:val="-3"/>
          <w:sz w:val="24"/>
          <w:szCs w:val="24"/>
          <w:highlight w:val="none"/>
          <w:u w:val="single" w:color="auto"/>
        </w:rPr>
        <w:t xml:space="preserve">    </w:t>
      </w:r>
      <w:r>
        <w:rPr>
          <w:rFonts w:ascii="宋体" w:hAnsi="宋体" w:eastAsia="宋体" w:cs="宋体"/>
          <w:strike/>
          <w:dstrike w:val="0"/>
          <w:color w:val="auto"/>
          <w:spacing w:val="-111"/>
          <w:sz w:val="24"/>
          <w:szCs w:val="24"/>
          <w:highlight w:val="none"/>
        </w:rPr>
        <w:t xml:space="preserve"> </w:t>
      </w:r>
      <w:r>
        <w:rPr>
          <w:rFonts w:ascii="宋体" w:hAnsi="宋体" w:eastAsia="宋体" w:cs="宋体"/>
          <w:strike/>
          <w:dstrike w:val="0"/>
          <w:color w:val="auto"/>
          <w:spacing w:val="-3"/>
          <w:sz w:val="24"/>
          <w:szCs w:val="24"/>
          <w:highlight w:val="none"/>
        </w:rPr>
        <w:t>份，联合体成员和招标人各执一份。</w:t>
      </w:r>
    </w:p>
    <w:p w14:paraId="223C0E46">
      <w:pPr>
        <w:pStyle w:val="3"/>
        <w:spacing w:line="257" w:lineRule="auto"/>
        <w:rPr>
          <w:strike/>
          <w:dstrike w:val="0"/>
          <w:color w:val="auto"/>
          <w:highlight w:val="none"/>
        </w:rPr>
      </w:pPr>
    </w:p>
    <w:p w14:paraId="2AD6D0EC">
      <w:pPr>
        <w:pStyle w:val="3"/>
        <w:spacing w:line="257" w:lineRule="auto"/>
        <w:rPr>
          <w:strike/>
          <w:dstrike w:val="0"/>
          <w:color w:val="auto"/>
          <w:highlight w:val="none"/>
        </w:rPr>
      </w:pPr>
    </w:p>
    <w:p w14:paraId="61DEC00B">
      <w:pPr>
        <w:spacing w:before="79" w:line="219" w:lineRule="auto"/>
        <w:ind w:left="2"/>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牵头人名称：</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2"/>
          <w:sz w:val="24"/>
          <w:szCs w:val="24"/>
          <w:highlight w:val="none"/>
        </w:rPr>
        <w:t>（盖单位公章）</w:t>
      </w:r>
    </w:p>
    <w:p w14:paraId="18511BD6">
      <w:pPr>
        <w:spacing w:before="183" w:line="219" w:lineRule="auto"/>
        <w:ind w:left="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法定代表人或其委托代理人</w:t>
      </w:r>
      <w:r>
        <w:rPr>
          <w:rFonts w:ascii="宋体" w:hAnsi="宋体" w:eastAsia="宋体" w:cs="宋体"/>
          <w:strike/>
          <w:dstrike w:val="0"/>
          <w:color w:val="auto"/>
          <w:spacing w:val="5"/>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5"/>
          <w:sz w:val="24"/>
          <w:szCs w:val="24"/>
          <w:highlight w:val="none"/>
        </w:rPr>
        <w:t>（</w:t>
      </w:r>
      <w:r>
        <w:rPr>
          <w:rFonts w:ascii="宋体" w:hAnsi="宋体" w:eastAsia="宋体" w:cs="宋体"/>
          <w:strike/>
          <w:dstrike w:val="0"/>
          <w:color w:val="auto"/>
          <w:spacing w:val="-2"/>
          <w:sz w:val="24"/>
          <w:szCs w:val="24"/>
          <w:highlight w:val="none"/>
        </w:rPr>
        <w:t>签字或盖章）</w:t>
      </w:r>
    </w:p>
    <w:p w14:paraId="302AC297">
      <w:pPr>
        <w:pStyle w:val="3"/>
        <w:spacing w:line="257" w:lineRule="auto"/>
        <w:rPr>
          <w:strike/>
          <w:dstrike w:val="0"/>
          <w:color w:val="auto"/>
          <w:highlight w:val="none"/>
        </w:rPr>
      </w:pPr>
    </w:p>
    <w:p w14:paraId="569DF577">
      <w:pPr>
        <w:pStyle w:val="3"/>
        <w:spacing w:line="257" w:lineRule="auto"/>
        <w:rPr>
          <w:strike/>
          <w:dstrike w:val="0"/>
          <w:color w:val="auto"/>
          <w:highlight w:val="none"/>
        </w:rPr>
      </w:pPr>
    </w:p>
    <w:p w14:paraId="1C1F69C9">
      <w:pPr>
        <w:spacing w:before="79" w:line="219" w:lineRule="auto"/>
        <w:ind w:left="2"/>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成员一名称</w:t>
      </w:r>
      <w:r>
        <w:rPr>
          <w:rFonts w:ascii="宋体" w:hAnsi="宋体" w:eastAsia="宋体" w:cs="宋体"/>
          <w:strike/>
          <w:dstrike w:val="0"/>
          <w:color w:val="auto"/>
          <w:spacing w:val="3"/>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3"/>
          <w:sz w:val="24"/>
          <w:szCs w:val="24"/>
          <w:highlight w:val="none"/>
        </w:rPr>
        <w:t>（</w:t>
      </w:r>
      <w:r>
        <w:rPr>
          <w:rFonts w:ascii="宋体" w:hAnsi="宋体" w:eastAsia="宋体" w:cs="宋体"/>
          <w:strike/>
          <w:dstrike w:val="0"/>
          <w:color w:val="auto"/>
          <w:spacing w:val="-3"/>
          <w:sz w:val="24"/>
          <w:szCs w:val="24"/>
          <w:highlight w:val="none"/>
        </w:rPr>
        <w:t>盖单位公章）</w:t>
      </w:r>
    </w:p>
    <w:p w14:paraId="22D8E60A">
      <w:pPr>
        <w:spacing w:before="181" w:line="219" w:lineRule="auto"/>
        <w:ind w:left="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法定代表人或其委托代理人</w:t>
      </w:r>
      <w:r>
        <w:rPr>
          <w:rFonts w:ascii="宋体" w:hAnsi="宋体" w:eastAsia="宋体" w:cs="宋体"/>
          <w:strike/>
          <w:dstrike w:val="0"/>
          <w:color w:val="auto"/>
          <w:spacing w:val="5"/>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5"/>
          <w:sz w:val="24"/>
          <w:szCs w:val="24"/>
          <w:highlight w:val="none"/>
        </w:rPr>
        <w:t>（</w:t>
      </w:r>
      <w:r>
        <w:rPr>
          <w:rFonts w:ascii="宋体" w:hAnsi="宋体" w:eastAsia="宋体" w:cs="宋体"/>
          <w:strike/>
          <w:dstrike w:val="0"/>
          <w:color w:val="auto"/>
          <w:spacing w:val="-2"/>
          <w:sz w:val="24"/>
          <w:szCs w:val="24"/>
          <w:highlight w:val="none"/>
        </w:rPr>
        <w:t>签字或盖章）</w:t>
      </w:r>
    </w:p>
    <w:p w14:paraId="2D45A50E">
      <w:pPr>
        <w:pStyle w:val="3"/>
        <w:spacing w:line="257" w:lineRule="auto"/>
        <w:rPr>
          <w:strike/>
          <w:dstrike w:val="0"/>
          <w:color w:val="auto"/>
          <w:highlight w:val="none"/>
        </w:rPr>
      </w:pPr>
    </w:p>
    <w:p w14:paraId="6F270E25">
      <w:pPr>
        <w:pStyle w:val="3"/>
        <w:spacing w:line="257" w:lineRule="auto"/>
        <w:rPr>
          <w:strike/>
          <w:dstrike w:val="0"/>
          <w:color w:val="auto"/>
          <w:highlight w:val="none"/>
        </w:rPr>
      </w:pPr>
    </w:p>
    <w:p w14:paraId="7AFB132D">
      <w:pPr>
        <w:spacing w:before="79" w:line="219" w:lineRule="auto"/>
        <w:ind w:left="2"/>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成员二名称：</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2"/>
          <w:sz w:val="24"/>
          <w:szCs w:val="24"/>
          <w:highlight w:val="none"/>
        </w:rPr>
        <w:t>（盖单位公章）</w:t>
      </w:r>
    </w:p>
    <w:p w14:paraId="1D317048">
      <w:pPr>
        <w:spacing w:before="183" w:line="219" w:lineRule="auto"/>
        <w:ind w:left="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法定代表人或其委托代理人</w:t>
      </w:r>
      <w:r>
        <w:rPr>
          <w:rFonts w:ascii="宋体" w:hAnsi="宋体" w:eastAsia="宋体" w:cs="宋体"/>
          <w:strike/>
          <w:dstrike w:val="0"/>
          <w:color w:val="auto"/>
          <w:spacing w:val="5"/>
          <w:sz w:val="24"/>
          <w:szCs w:val="24"/>
          <w:highlight w:val="none"/>
        </w:rPr>
        <w:t>：</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5"/>
          <w:sz w:val="24"/>
          <w:szCs w:val="24"/>
          <w:highlight w:val="none"/>
        </w:rPr>
        <w:t>（</w:t>
      </w:r>
      <w:r>
        <w:rPr>
          <w:rFonts w:ascii="宋体" w:hAnsi="宋体" w:eastAsia="宋体" w:cs="宋体"/>
          <w:strike/>
          <w:dstrike w:val="0"/>
          <w:color w:val="auto"/>
          <w:spacing w:val="-2"/>
          <w:sz w:val="24"/>
          <w:szCs w:val="24"/>
          <w:highlight w:val="none"/>
        </w:rPr>
        <w:t>签字或盖章）</w:t>
      </w:r>
    </w:p>
    <w:p w14:paraId="14A2833B">
      <w:pPr>
        <w:pStyle w:val="3"/>
        <w:spacing w:line="277" w:lineRule="auto"/>
        <w:rPr>
          <w:strike/>
          <w:dstrike w:val="0"/>
          <w:color w:val="auto"/>
          <w:highlight w:val="none"/>
        </w:rPr>
      </w:pPr>
    </w:p>
    <w:p w14:paraId="2CDEEF87">
      <w:pPr>
        <w:spacing w:before="69" w:line="75" w:lineRule="exact"/>
        <w:ind w:left="18"/>
        <w:rPr>
          <w:rFonts w:ascii="Times New Roman" w:hAnsi="Times New Roman" w:eastAsia="Times New Roman" w:cs="Times New Roman"/>
          <w:strike/>
          <w:dstrike w:val="0"/>
          <w:color w:val="auto"/>
          <w:sz w:val="24"/>
          <w:szCs w:val="24"/>
          <w:highlight w:val="none"/>
        </w:rPr>
      </w:pPr>
      <w:r>
        <w:rPr>
          <w:rFonts w:ascii="Times New Roman" w:hAnsi="Times New Roman" w:eastAsia="Times New Roman" w:cs="Times New Roman"/>
          <w:strike/>
          <w:dstrike w:val="0"/>
          <w:color w:val="auto"/>
          <w:spacing w:val="-7"/>
          <w:position w:val="-1"/>
          <w:sz w:val="24"/>
          <w:szCs w:val="24"/>
          <w:highlight w:val="none"/>
        </w:rPr>
        <w:t>……</w:t>
      </w:r>
    </w:p>
    <w:p w14:paraId="4636256E">
      <w:pPr>
        <w:pStyle w:val="3"/>
        <w:spacing w:line="252" w:lineRule="auto"/>
        <w:rPr>
          <w:strike/>
          <w:dstrike w:val="0"/>
          <w:color w:val="auto"/>
          <w:highlight w:val="none"/>
        </w:rPr>
      </w:pPr>
    </w:p>
    <w:p w14:paraId="26F10779">
      <w:pPr>
        <w:pStyle w:val="3"/>
        <w:spacing w:line="253" w:lineRule="auto"/>
        <w:rPr>
          <w:strike/>
          <w:dstrike w:val="0"/>
          <w:color w:val="auto"/>
          <w:highlight w:val="none"/>
        </w:rPr>
      </w:pPr>
    </w:p>
    <w:p w14:paraId="2013D50B">
      <w:pPr>
        <w:tabs>
          <w:tab w:val="left" w:pos="7100"/>
        </w:tabs>
        <w:spacing w:before="78" w:line="220" w:lineRule="auto"/>
        <w:ind w:left="6260"/>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pacing w:val="-109"/>
          <w:sz w:val="24"/>
          <w:szCs w:val="24"/>
          <w:highlight w:val="none"/>
        </w:rPr>
        <w:t xml:space="preserve"> </w:t>
      </w:r>
      <w:r>
        <w:rPr>
          <w:rFonts w:ascii="宋体" w:hAnsi="宋体" w:eastAsia="宋体" w:cs="宋体"/>
          <w:strike/>
          <w:dstrike w:val="0"/>
          <w:color w:val="auto"/>
          <w:spacing w:val="-9"/>
          <w:sz w:val="24"/>
          <w:szCs w:val="24"/>
          <w:highlight w:val="none"/>
        </w:rPr>
        <w:t>年</w:t>
      </w:r>
      <w:r>
        <w:rPr>
          <w:rFonts w:ascii="宋体" w:hAnsi="宋体" w:eastAsia="宋体" w:cs="宋体"/>
          <w:strike/>
          <w:dstrike w:val="0"/>
          <w:color w:val="auto"/>
          <w:spacing w:val="40"/>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9"/>
          <w:sz w:val="24"/>
          <w:szCs w:val="24"/>
          <w:highlight w:val="none"/>
        </w:rPr>
        <w:t>月</w:t>
      </w:r>
      <w:r>
        <w:rPr>
          <w:rFonts w:ascii="宋体" w:hAnsi="宋体" w:eastAsia="宋体" w:cs="宋体"/>
          <w:strike/>
          <w:dstrike w:val="0"/>
          <w:color w:val="auto"/>
          <w:spacing w:val="40"/>
          <w:sz w:val="24"/>
          <w:szCs w:val="24"/>
          <w:highlight w:val="none"/>
          <w:u w:val="single" w:color="auto"/>
        </w:rPr>
        <w:t xml:space="preserve">   </w:t>
      </w:r>
      <w:r>
        <w:rPr>
          <w:rFonts w:ascii="宋体" w:hAnsi="宋体" w:eastAsia="宋体" w:cs="宋体"/>
          <w:strike/>
          <w:dstrike w:val="0"/>
          <w:color w:val="auto"/>
          <w:spacing w:val="-69"/>
          <w:sz w:val="24"/>
          <w:szCs w:val="24"/>
          <w:highlight w:val="none"/>
        </w:rPr>
        <w:t xml:space="preserve"> </w:t>
      </w:r>
      <w:r>
        <w:rPr>
          <w:rFonts w:ascii="宋体" w:hAnsi="宋体" w:eastAsia="宋体" w:cs="宋体"/>
          <w:strike/>
          <w:dstrike w:val="0"/>
          <w:color w:val="auto"/>
          <w:spacing w:val="-9"/>
          <w:sz w:val="24"/>
          <w:szCs w:val="24"/>
          <w:highlight w:val="none"/>
        </w:rPr>
        <w:t>日</w:t>
      </w:r>
    </w:p>
    <w:p w14:paraId="66A34B9D">
      <w:pPr>
        <w:pStyle w:val="3"/>
        <w:spacing w:line="258" w:lineRule="auto"/>
        <w:rPr>
          <w:strike/>
          <w:dstrike w:val="0"/>
          <w:color w:val="auto"/>
          <w:highlight w:val="none"/>
        </w:rPr>
      </w:pPr>
    </w:p>
    <w:p w14:paraId="08BBC96D">
      <w:pPr>
        <w:pStyle w:val="3"/>
        <w:spacing w:line="258" w:lineRule="auto"/>
        <w:rPr>
          <w:strike/>
          <w:dstrike w:val="0"/>
          <w:color w:val="auto"/>
          <w:highlight w:val="none"/>
        </w:rPr>
      </w:pPr>
    </w:p>
    <w:p w14:paraId="0336138B">
      <w:pPr>
        <w:spacing w:before="78" w:line="219" w:lineRule="auto"/>
        <w:jc w:val="right"/>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注：本协议书由委托代理人签字或盖章时，应附法定代表人签字的授权委托书。</w:t>
      </w:r>
    </w:p>
    <w:p w14:paraId="4BF7143B">
      <w:pPr>
        <w:spacing w:line="219" w:lineRule="auto"/>
        <w:rPr>
          <w:rFonts w:ascii="宋体" w:hAnsi="宋体" w:eastAsia="宋体" w:cs="宋体"/>
          <w:strike/>
          <w:dstrike w:val="0"/>
          <w:color w:val="auto"/>
          <w:sz w:val="24"/>
          <w:szCs w:val="24"/>
          <w:highlight w:val="none"/>
        </w:rPr>
        <w:sectPr>
          <w:footerReference r:id="rId112" w:type="default"/>
          <w:pgSz w:w="11907" w:h="16841"/>
          <w:pgMar w:top="400" w:right="1443" w:bottom="1254" w:left="1597" w:header="0" w:footer="1093" w:gutter="0"/>
          <w:pgNumType w:fmt="decimal"/>
          <w:cols w:space="720" w:num="1"/>
        </w:sectPr>
      </w:pPr>
    </w:p>
    <w:p w14:paraId="60A9275A">
      <w:pPr>
        <w:pStyle w:val="3"/>
        <w:spacing w:line="246" w:lineRule="auto"/>
        <w:rPr>
          <w:color w:val="auto"/>
          <w:highlight w:val="none"/>
        </w:rPr>
      </w:pPr>
    </w:p>
    <w:p w14:paraId="32967CBE">
      <w:pPr>
        <w:pStyle w:val="3"/>
        <w:spacing w:line="246" w:lineRule="auto"/>
        <w:rPr>
          <w:color w:val="auto"/>
          <w:highlight w:val="none"/>
        </w:rPr>
      </w:pPr>
    </w:p>
    <w:p w14:paraId="5C5BF2FB">
      <w:pPr>
        <w:pStyle w:val="3"/>
        <w:spacing w:line="246" w:lineRule="auto"/>
        <w:rPr>
          <w:color w:val="auto"/>
          <w:highlight w:val="none"/>
        </w:rPr>
      </w:pPr>
    </w:p>
    <w:p w14:paraId="0B77D589">
      <w:pPr>
        <w:pStyle w:val="3"/>
        <w:spacing w:line="246" w:lineRule="auto"/>
        <w:rPr>
          <w:color w:val="auto"/>
          <w:highlight w:val="none"/>
        </w:rPr>
      </w:pPr>
    </w:p>
    <w:p w14:paraId="2FACF646">
      <w:pPr>
        <w:spacing w:before="91" w:line="221" w:lineRule="auto"/>
        <w:ind w:left="3421"/>
        <w:outlineLvl w:val="1"/>
        <w:rPr>
          <w:rFonts w:ascii="宋体" w:hAnsi="宋体" w:eastAsia="宋体" w:cs="宋体"/>
          <w:color w:val="auto"/>
          <w:sz w:val="28"/>
          <w:szCs w:val="28"/>
          <w:highlight w:val="none"/>
        </w:rPr>
      </w:pPr>
      <w:bookmarkStart w:id="1091" w:name="bookmark648"/>
      <w:bookmarkEnd w:id="1091"/>
      <w:bookmarkStart w:id="1092" w:name="_Toc4363"/>
      <w:bookmarkStart w:id="1093" w:name="_Toc10275"/>
      <w:r>
        <w:rPr>
          <w:rFonts w:ascii="宋体" w:hAnsi="宋体" w:eastAsia="宋体" w:cs="宋体"/>
          <w:b/>
          <w:bCs/>
          <w:color w:val="auto"/>
          <w:spacing w:val="-4"/>
          <w:sz w:val="28"/>
          <w:szCs w:val="28"/>
          <w:highlight w:val="none"/>
        </w:rPr>
        <w:t>三、投标保证金</w:t>
      </w:r>
      <w:bookmarkEnd w:id="1092"/>
      <w:bookmarkEnd w:id="1093"/>
    </w:p>
    <w:p w14:paraId="51458BC5">
      <w:pPr>
        <w:pStyle w:val="3"/>
        <w:spacing w:line="241" w:lineRule="auto"/>
        <w:rPr>
          <w:color w:val="auto"/>
          <w:highlight w:val="none"/>
        </w:rPr>
      </w:pPr>
    </w:p>
    <w:p w14:paraId="49CB59C7">
      <w:pPr>
        <w:pStyle w:val="20"/>
        <w:keepNext/>
        <w:keepLines/>
        <w:spacing w:before="240" w:beforeLines="100" w:after="120" w:afterLines="50"/>
        <w:jc w:val="center"/>
        <w:outlineLvl w:val="9"/>
        <w:rPr>
          <w:rFonts w:hint="eastAsia"/>
          <w:color w:val="auto"/>
          <w:sz w:val="24"/>
          <w:szCs w:val="24"/>
          <w:highlight w:val="none"/>
        </w:rPr>
      </w:pPr>
      <w:r>
        <w:rPr>
          <w:rFonts w:hint="eastAsia"/>
          <w:color w:val="auto"/>
          <w:sz w:val="24"/>
          <w:szCs w:val="24"/>
          <w:highlight w:val="none"/>
        </w:rPr>
        <w:t>（</w:t>
      </w:r>
      <w:r>
        <w:rPr>
          <w:rFonts w:hint="eastAsia"/>
          <w:color w:val="auto"/>
          <w:sz w:val="24"/>
          <w:szCs w:val="24"/>
          <w:highlight w:val="none"/>
          <w:lang w:eastAsia="zh-CN"/>
        </w:rPr>
        <w:t>由评标专家在系统中核查是否有“已缴纳有效保证金的标识"</w:t>
      </w:r>
      <w:r>
        <w:rPr>
          <w:rFonts w:hint="eastAsia"/>
          <w:color w:val="auto"/>
          <w:sz w:val="24"/>
          <w:szCs w:val="24"/>
          <w:highlight w:val="none"/>
        </w:rPr>
        <w:t>）</w:t>
      </w:r>
    </w:p>
    <w:p w14:paraId="17A3D9AA">
      <w:pPr>
        <w:spacing w:line="219" w:lineRule="auto"/>
        <w:rPr>
          <w:rFonts w:ascii="宋体" w:hAnsi="宋体" w:eastAsia="宋体" w:cs="宋体"/>
          <w:color w:val="auto"/>
          <w:sz w:val="24"/>
          <w:szCs w:val="24"/>
          <w:highlight w:val="none"/>
        </w:rPr>
        <w:sectPr>
          <w:footerReference r:id="rId113" w:type="default"/>
          <w:pgSz w:w="11907" w:h="16841"/>
          <w:pgMar w:top="400" w:right="1462" w:bottom="1254" w:left="1588" w:header="0" w:footer="1093" w:gutter="0"/>
          <w:pgNumType w:fmt="decimal"/>
          <w:cols w:space="720" w:num="1"/>
        </w:sectPr>
      </w:pPr>
    </w:p>
    <w:p w14:paraId="728DF146">
      <w:pPr>
        <w:pStyle w:val="3"/>
        <w:spacing w:line="246" w:lineRule="auto"/>
        <w:rPr>
          <w:color w:val="auto"/>
          <w:highlight w:val="none"/>
        </w:rPr>
      </w:pPr>
    </w:p>
    <w:p w14:paraId="617EC20B">
      <w:pPr>
        <w:pStyle w:val="3"/>
        <w:spacing w:line="246" w:lineRule="auto"/>
        <w:rPr>
          <w:color w:val="auto"/>
          <w:highlight w:val="none"/>
        </w:rPr>
      </w:pPr>
    </w:p>
    <w:p w14:paraId="2A5821B4">
      <w:pPr>
        <w:pStyle w:val="3"/>
        <w:spacing w:line="246" w:lineRule="auto"/>
        <w:rPr>
          <w:color w:val="auto"/>
          <w:highlight w:val="none"/>
        </w:rPr>
      </w:pPr>
    </w:p>
    <w:p w14:paraId="489EDEDE">
      <w:pPr>
        <w:pStyle w:val="3"/>
        <w:spacing w:line="247" w:lineRule="auto"/>
        <w:rPr>
          <w:color w:val="auto"/>
          <w:highlight w:val="none"/>
        </w:rPr>
      </w:pPr>
    </w:p>
    <w:p w14:paraId="54F27545">
      <w:pPr>
        <w:spacing w:before="91" w:line="221" w:lineRule="auto"/>
        <w:ind w:left="3108"/>
        <w:outlineLvl w:val="1"/>
        <w:rPr>
          <w:rFonts w:ascii="宋体" w:hAnsi="宋体" w:eastAsia="宋体" w:cs="宋体"/>
          <w:color w:val="auto"/>
          <w:sz w:val="28"/>
          <w:szCs w:val="28"/>
          <w:highlight w:val="none"/>
        </w:rPr>
      </w:pPr>
      <w:bookmarkStart w:id="1094" w:name="bookmark649"/>
      <w:bookmarkEnd w:id="1094"/>
      <w:bookmarkStart w:id="1095" w:name="_Toc1548"/>
      <w:bookmarkStart w:id="1096" w:name="_Toc20757"/>
      <w:r>
        <w:rPr>
          <w:rFonts w:ascii="宋体" w:hAnsi="宋体" w:eastAsia="宋体" w:cs="宋体"/>
          <w:b/>
          <w:bCs/>
          <w:color w:val="auto"/>
          <w:spacing w:val="-7"/>
          <w:sz w:val="28"/>
          <w:szCs w:val="28"/>
          <w:highlight w:val="none"/>
        </w:rPr>
        <w:t>四、施工组织设计</w:t>
      </w:r>
      <w:bookmarkEnd w:id="1095"/>
      <w:bookmarkEnd w:id="1096"/>
    </w:p>
    <w:p w14:paraId="41818E38">
      <w:pPr>
        <w:spacing w:line="221" w:lineRule="auto"/>
        <w:rPr>
          <w:rFonts w:ascii="宋体" w:hAnsi="宋体" w:eastAsia="宋体" w:cs="宋体"/>
          <w:color w:val="auto"/>
          <w:sz w:val="28"/>
          <w:szCs w:val="28"/>
          <w:highlight w:val="none"/>
        </w:rPr>
        <w:sectPr>
          <w:footerReference r:id="rId114" w:type="default"/>
          <w:pgSz w:w="11907" w:h="16841"/>
          <w:pgMar w:top="400" w:right="1527" w:bottom="1254" w:left="1785" w:header="0" w:footer="1093" w:gutter="0"/>
          <w:pgNumType w:fmt="decimal"/>
          <w:cols w:space="720" w:num="1"/>
        </w:sectPr>
      </w:pPr>
    </w:p>
    <w:p w14:paraId="52BFCC76">
      <w:pPr>
        <w:pStyle w:val="3"/>
        <w:spacing w:line="246" w:lineRule="auto"/>
        <w:rPr>
          <w:color w:val="auto"/>
          <w:highlight w:val="none"/>
        </w:rPr>
      </w:pPr>
    </w:p>
    <w:p w14:paraId="486695D2">
      <w:pPr>
        <w:pStyle w:val="3"/>
        <w:spacing w:line="246" w:lineRule="auto"/>
        <w:rPr>
          <w:color w:val="auto"/>
          <w:highlight w:val="none"/>
        </w:rPr>
      </w:pPr>
    </w:p>
    <w:p w14:paraId="7BCFBF62">
      <w:pPr>
        <w:pStyle w:val="3"/>
        <w:spacing w:line="246" w:lineRule="auto"/>
        <w:rPr>
          <w:color w:val="auto"/>
          <w:highlight w:val="none"/>
        </w:rPr>
      </w:pPr>
    </w:p>
    <w:p w14:paraId="43EEC6A2">
      <w:pPr>
        <w:pStyle w:val="3"/>
        <w:spacing w:line="246" w:lineRule="auto"/>
        <w:rPr>
          <w:color w:val="auto"/>
          <w:highlight w:val="none"/>
        </w:rPr>
      </w:pPr>
    </w:p>
    <w:p w14:paraId="3CCA82A2">
      <w:pPr>
        <w:spacing w:before="91" w:line="220" w:lineRule="auto"/>
        <w:ind w:left="2989"/>
        <w:outlineLvl w:val="1"/>
        <w:rPr>
          <w:rFonts w:ascii="宋体" w:hAnsi="宋体" w:eastAsia="宋体" w:cs="宋体"/>
          <w:color w:val="auto"/>
          <w:sz w:val="28"/>
          <w:szCs w:val="28"/>
          <w:highlight w:val="none"/>
        </w:rPr>
      </w:pPr>
      <w:bookmarkStart w:id="1097" w:name="bookmark650"/>
      <w:bookmarkEnd w:id="1097"/>
      <w:bookmarkStart w:id="1098" w:name="_Toc22240"/>
      <w:bookmarkStart w:id="1099" w:name="_Toc31064"/>
      <w:r>
        <w:rPr>
          <w:rFonts w:ascii="宋体" w:hAnsi="宋体" w:eastAsia="宋体" w:cs="宋体"/>
          <w:b/>
          <w:bCs/>
          <w:color w:val="auto"/>
          <w:spacing w:val="-3"/>
          <w:sz w:val="28"/>
          <w:szCs w:val="28"/>
          <w:highlight w:val="none"/>
        </w:rPr>
        <w:t>施工组织设计编制原则</w:t>
      </w:r>
      <w:bookmarkEnd w:id="1098"/>
      <w:bookmarkEnd w:id="1099"/>
    </w:p>
    <w:p w14:paraId="73934CCA">
      <w:pPr>
        <w:pStyle w:val="3"/>
        <w:spacing w:line="246" w:lineRule="auto"/>
        <w:rPr>
          <w:color w:val="auto"/>
          <w:highlight w:val="none"/>
        </w:rPr>
      </w:pPr>
    </w:p>
    <w:p w14:paraId="6AAEB6F3">
      <w:pPr>
        <w:spacing w:before="78" w:line="331" w:lineRule="auto"/>
        <w:ind w:firstLine="48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1  </w:t>
      </w:r>
      <w:r>
        <w:rPr>
          <w:rFonts w:ascii="宋体" w:hAnsi="宋体" w:eastAsia="宋体" w:cs="宋体"/>
          <w:color w:val="auto"/>
          <w:spacing w:val="-1"/>
          <w:sz w:val="24"/>
          <w:szCs w:val="24"/>
          <w:highlight w:val="none"/>
        </w:rPr>
        <w:t>投标人编制施工组织设计时应采用文字并结合图表形式说明工程的施工组织、</w:t>
      </w:r>
      <w:r>
        <w:rPr>
          <w:rFonts w:ascii="宋体" w:hAnsi="宋体" w:eastAsia="宋体" w:cs="宋体"/>
          <w:color w:val="auto"/>
          <w:spacing w:val="-9"/>
          <w:sz w:val="24"/>
          <w:szCs w:val="24"/>
          <w:highlight w:val="none"/>
        </w:rPr>
        <w:t>施工方法、技术组织措施， 同时应对关键工序、复杂环节重点提出相应技术措施， 如</w:t>
      </w:r>
      <w:r>
        <w:rPr>
          <w:rFonts w:ascii="宋体" w:hAnsi="宋体" w:eastAsia="宋体" w:cs="宋体"/>
          <w:color w:val="auto"/>
          <w:spacing w:val="-3"/>
          <w:sz w:val="24"/>
          <w:szCs w:val="24"/>
          <w:highlight w:val="none"/>
        </w:rPr>
        <w:t>冬雨季施工技术、减少噪音、降低环境污染、地下管线及其它地上地下设施的保护加固措施等。施工组织设计还应结合工程特点提出切实可行的工程质量、工程进度、安</w:t>
      </w:r>
      <w:r>
        <w:rPr>
          <w:rFonts w:ascii="宋体" w:hAnsi="宋体" w:eastAsia="宋体" w:cs="宋体"/>
          <w:color w:val="auto"/>
          <w:spacing w:val="-2"/>
          <w:sz w:val="24"/>
          <w:szCs w:val="24"/>
          <w:highlight w:val="none"/>
        </w:rPr>
        <w:t>全生产、防汛度汛、文明施工、水土保持、环境保护管理方案等。</w:t>
      </w:r>
    </w:p>
    <w:p w14:paraId="057F3D35">
      <w:pPr>
        <w:spacing w:before="182" w:line="219" w:lineRule="auto"/>
        <w:ind w:left="479"/>
        <w:rPr>
          <w:rFonts w:ascii="宋体" w:hAnsi="宋体" w:eastAsia="宋体" w:cs="宋体"/>
          <w:color w:val="auto"/>
          <w:sz w:val="24"/>
          <w:szCs w:val="24"/>
          <w:highlight w:val="none"/>
        </w:rPr>
      </w:pPr>
      <w:r>
        <w:rPr>
          <w:rFonts w:ascii="Times New Roman" w:hAnsi="Times New Roman" w:eastAsia="Times New Roman" w:cs="Times New Roman"/>
          <w:b/>
          <w:bCs/>
          <w:color w:val="auto"/>
          <w:spacing w:val="-1"/>
          <w:sz w:val="24"/>
          <w:szCs w:val="24"/>
          <w:highlight w:val="none"/>
        </w:rPr>
        <w:t xml:space="preserve">2  </w:t>
      </w:r>
      <w:r>
        <w:rPr>
          <w:rFonts w:ascii="宋体" w:hAnsi="宋体" w:eastAsia="宋体" w:cs="宋体"/>
          <w:color w:val="auto"/>
          <w:spacing w:val="-1"/>
          <w:sz w:val="24"/>
          <w:szCs w:val="24"/>
          <w:highlight w:val="none"/>
        </w:rPr>
        <w:t>施工组织设计除采用文字表述外，应附下列图表，图表及格</w:t>
      </w:r>
      <w:r>
        <w:rPr>
          <w:rFonts w:ascii="宋体" w:hAnsi="宋体" w:eastAsia="宋体" w:cs="宋体"/>
          <w:color w:val="auto"/>
          <w:spacing w:val="-2"/>
          <w:sz w:val="24"/>
          <w:szCs w:val="24"/>
          <w:highlight w:val="none"/>
        </w:rPr>
        <w:t>式要求附后。</w:t>
      </w:r>
    </w:p>
    <w:p w14:paraId="77055DB3">
      <w:pPr>
        <w:spacing w:before="181" w:line="219" w:lineRule="auto"/>
        <w:ind w:left="49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附件一：拟投入本标段的主要施工设备表</w:t>
      </w:r>
    </w:p>
    <w:p w14:paraId="6DB30F39">
      <w:pPr>
        <w:spacing w:before="183" w:line="219" w:lineRule="auto"/>
        <w:ind w:left="49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附件二：拟投入本标段的试验和检测仪器设备表</w:t>
      </w:r>
    </w:p>
    <w:p w14:paraId="4959F6A2">
      <w:pPr>
        <w:spacing w:before="181" w:line="219" w:lineRule="auto"/>
        <w:ind w:left="49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附件三：拟投入本标段的劳动力计划表</w:t>
      </w:r>
    </w:p>
    <w:p w14:paraId="67A2D843">
      <w:pPr>
        <w:spacing w:before="183" w:line="219" w:lineRule="auto"/>
        <w:ind w:left="49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附件四：计划开工日期、完工日期和施工进度表</w:t>
      </w:r>
    </w:p>
    <w:p w14:paraId="05E2EAEF">
      <w:pPr>
        <w:spacing w:before="181" w:line="219" w:lineRule="auto"/>
        <w:ind w:left="49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附件五：施工总平面图</w:t>
      </w:r>
    </w:p>
    <w:p w14:paraId="6D338190">
      <w:pPr>
        <w:spacing w:before="183" w:line="219" w:lineRule="auto"/>
        <w:ind w:left="49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附表六：临时用地表</w:t>
      </w:r>
    </w:p>
    <w:p w14:paraId="7EEAC19D">
      <w:pPr>
        <w:spacing w:line="219" w:lineRule="auto"/>
        <w:rPr>
          <w:rFonts w:ascii="宋体" w:hAnsi="宋体" w:eastAsia="宋体" w:cs="宋体"/>
          <w:color w:val="auto"/>
          <w:sz w:val="24"/>
          <w:szCs w:val="24"/>
          <w:highlight w:val="none"/>
        </w:rPr>
        <w:sectPr>
          <w:footerReference r:id="rId115" w:type="default"/>
          <w:pgSz w:w="11907" w:h="16841"/>
          <w:pgMar w:top="620" w:right="1448" w:bottom="1254" w:left="1597" w:header="0" w:footer="1093" w:gutter="0"/>
          <w:pgNumType w:fmt="decimal"/>
          <w:cols w:space="720" w:num="1"/>
        </w:sectPr>
      </w:pPr>
    </w:p>
    <w:p w14:paraId="4C8A1EEB">
      <w:pPr>
        <w:pStyle w:val="3"/>
        <w:spacing w:line="247" w:lineRule="auto"/>
        <w:rPr>
          <w:color w:val="auto"/>
          <w:highlight w:val="none"/>
        </w:rPr>
      </w:pPr>
    </w:p>
    <w:p w14:paraId="1CA05EAD">
      <w:pPr>
        <w:pStyle w:val="3"/>
        <w:spacing w:line="248" w:lineRule="auto"/>
        <w:rPr>
          <w:color w:val="auto"/>
          <w:highlight w:val="none"/>
        </w:rPr>
      </w:pPr>
    </w:p>
    <w:p w14:paraId="386EBB6B">
      <w:pPr>
        <w:pStyle w:val="3"/>
        <w:spacing w:line="248" w:lineRule="auto"/>
        <w:rPr>
          <w:color w:val="auto"/>
          <w:highlight w:val="none"/>
        </w:rPr>
      </w:pPr>
    </w:p>
    <w:p w14:paraId="6788EF34">
      <w:pPr>
        <w:pStyle w:val="3"/>
        <w:spacing w:line="248" w:lineRule="auto"/>
        <w:rPr>
          <w:color w:val="auto"/>
          <w:highlight w:val="none"/>
        </w:rPr>
      </w:pPr>
    </w:p>
    <w:p w14:paraId="068C2093">
      <w:pPr>
        <w:spacing w:before="78" w:line="219" w:lineRule="auto"/>
        <w:ind w:left="28"/>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附件一：</w:t>
      </w:r>
    </w:p>
    <w:p w14:paraId="344E7D1E">
      <w:pPr>
        <w:spacing w:before="183" w:line="219" w:lineRule="auto"/>
        <w:ind w:left="271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拟投入本标段的主要施工设备表</w:t>
      </w:r>
    </w:p>
    <w:p w14:paraId="0660EF05">
      <w:pPr>
        <w:spacing w:line="144" w:lineRule="exact"/>
        <w:rPr>
          <w:color w:val="auto"/>
          <w:highlight w:val="none"/>
        </w:rPr>
      </w:pPr>
    </w:p>
    <w:tbl>
      <w:tblPr>
        <w:tblStyle w:val="16"/>
        <w:tblW w:w="89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3"/>
        <w:gridCol w:w="1071"/>
        <w:gridCol w:w="719"/>
        <w:gridCol w:w="740"/>
        <w:gridCol w:w="738"/>
        <w:gridCol w:w="855"/>
        <w:gridCol w:w="1270"/>
        <w:gridCol w:w="882"/>
        <w:gridCol w:w="980"/>
        <w:gridCol w:w="987"/>
      </w:tblGrid>
      <w:tr w14:paraId="7FE48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63" w:type="dxa"/>
            <w:tcBorders>
              <w:top w:val="single" w:color="000000" w:sz="6" w:space="0"/>
              <w:left w:val="single" w:color="000000" w:sz="6" w:space="0"/>
            </w:tcBorders>
            <w:textDirection w:val="tbRlV"/>
            <w:vAlign w:val="top"/>
          </w:tcPr>
          <w:p w14:paraId="698D7E45">
            <w:pPr>
              <w:pStyle w:val="17"/>
              <w:spacing w:before="211" w:line="210" w:lineRule="auto"/>
              <w:ind w:left="196"/>
              <w:rPr>
                <w:color w:val="auto"/>
                <w:sz w:val="24"/>
                <w:szCs w:val="24"/>
                <w:highlight w:val="none"/>
              </w:rPr>
            </w:pPr>
            <w:r>
              <w:rPr>
                <w:color w:val="auto"/>
                <w:sz w:val="24"/>
                <w:szCs w:val="24"/>
                <w:highlight w:val="none"/>
              </w:rPr>
              <w:t>序</w:t>
            </w:r>
            <w:r>
              <w:rPr>
                <w:color w:val="auto"/>
                <w:spacing w:val="-48"/>
                <w:sz w:val="24"/>
                <w:szCs w:val="24"/>
                <w:highlight w:val="none"/>
              </w:rPr>
              <w:t xml:space="preserve"> </w:t>
            </w:r>
            <w:r>
              <w:rPr>
                <w:color w:val="auto"/>
                <w:sz w:val="24"/>
                <w:szCs w:val="24"/>
                <w:highlight w:val="none"/>
              </w:rPr>
              <w:t>号</w:t>
            </w:r>
          </w:p>
        </w:tc>
        <w:tc>
          <w:tcPr>
            <w:tcW w:w="1071" w:type="dxa"/>
            <w:tcBorders>
              <w:top w:val="single" w:color="000000" w:sz="6" w:space="0"/>
            </w:tcBorders>
            <w:vAlign w:val="top"/>
          </w:tcPr>
          <w:p w14:paraId="71E0602C">
            <w:pPr>
              <w:pStyle w:val="17"/>
              <w:spacing w:before="196" w:line="243" w:lineRule="auto"/>
              <w:ind w:left="296" w:right="301"/>
              <w:rPr>
                <w:color w:val="auto"/>
                <w:sz w:val="24"/>
                <w:szCs w:val="24"/>
                <w:highlight w:val="none"/>
              </w:rPr>
            </w:pPr>
            <w:r>
              <w:rPr>
                <w:color w:val="auto"/>
                <w:spacing w:val="-7"/>
                <w:sz w:val="24"/>
                <w:szCs w:val="24"/>
                <w:highlight w:val="none"/>
              </w:rPr>
              <w:t>设备名称</w:t>
            </w:r>
          </w:p>
        </w:tc>
        <w:tc>
          <w:tcPr>
            <w:tcW w:w="719" w:type="dxa"/>
            <w:tcBorders>
              <w:top w:val="single" w:color="000000" w:sz="6" w:space="0"/>
            </w:tcBorders>
            <w:vAlign w:val="top"/>
          </w:tcPr>
          <w:p w14:paraId="6D086244">
            <w:pPr>
              <w:pStyle w:val="17"/>
              <w:spacing w:before="196" w:line="242" w:lineRule="auto"/>
              <w:ind w:left="123" w:right="120" w:firstLine="6"/>
              <w:rPr>
                <w:color w:val="auto"/>
                <w:sz w:val="24"/>
                <w:szCs w:val="24"/>
                <w:highlight w:val="none"/>
              </w:rPr>
            </w:pPr>
            <w:r>
              <w:rPr>
                <w:color w:val="auto"/>
                <w:spacing w:val="-9"/>
                <w:sz w:val="24"/>
                <w:szCs w:val="24"/>
                <w:highlight w:val="none"/>
              </w:rPr>
              <w:t>型号</w:t>
            </w:r>
            <w:r>
              <w:rPr>
                <w:color w:val="auto"/>
                <w:spacing w:val="-6"/>
                <w:sz w:val="24"/>
                <w:szCs w:val="24"/>
                <w:highlight w:val="none"/>
              </w:rPr>
              <w:t>规格</w:t>
            </w:r>
          </w:p>
        </w:tc>
        <w:tc>
          <w:tcPr>
            <w:tcW w:w="740" w:type="dxa"/>
            <w:tcBorders>
              <w:top w:val="single" w:color="000000" w:sz="6" w:space="0"/>
            </w:tcBorders>
            <w:vAlign w:val="top"/>
          </w:tcPr>
          <w:p w14:paraId="0AF46FE8">
            <w:pPr>
              <w:spacing w:line="272" w:lineRule="auto"/>
              <w:rPr>
                <w:rFonts w:ascii="Arial"/>
                <w:color w:val="auto"/>
                <w:sz w:val="21"/>
                <w:highlight w:val="none"/>
              </w:rPr>
            </w:pPr>
          </w:p>
          <w:p w14:paraId="5567328A">
            <w:pPr>
              <w:pStyle w:val="17"/>
              <w:spacing w:before="78" w:line="220" w:lineRule="auto"/>
              <w:ind w:left="135"/>
              <w:rPr>
                <w:color w:val="auto"/>
                <w:sz w:val="24"/>
                <w:szCs w:val="24"/>
                <w:highlight w:val="none"/>
              </w:rPr>
            </w:pPr>
            <w:r>
              <w:rPr>
                <w:color w:val="auto"/>
                <w:spacing w:val="-3"/>
                <w:sz w:val="24"/>
                <w:szCs w:val="24"/>
                <w:highlight w:val="none"/>
              </w:rPr>
              <w:t>数量</w:t>
            </w:r>
          </w:p>
        </w:tc>
        <w:tc>
          <w:tcPr>
            <w:tcW w:w="738" w:type="dxa"/>
            <w:tcBorders>
              <w:top w:val="single" w:color="000000" w:sz="6" w:space="0"/>
            </w:tcBorders>
            <w:vAlign w:val="top"/>
          </w:tcPr>
          <w:p w14:paraId="328B4BE2">
            <w:pPr>
              <w:pStyle w:val="17"/>
              <w:spacing w:before="196" w:line="242" w:lineRule="auto"/>
              <w:ind w:left="132" w:right="129" w:firstLine="23"/>
              <w:rPr>
                <w:color w:val="auto"/>
                <w:sz w:val="24"/>
                <w:szCs w:val="24"/>
                <w:highlight w:val="none"/>
              </w:rPr>
            </w:pPr>
            <w:r>
              <w:rPr>
                <w:color w:val="auto"/>
                <w:spacing w:val="-17"/>
                <w:sz w:val="24"/>
                <w:szCs w:val="24"/>
                <w:highlight w:val="none"/>
              </w:rPr>
              <w:t>国别</w:t>
            </w:r>
            <w:r>
              <w:rPr>
                <w:color w:val="auto"/>
                <w:spacing w:val="-5"/>
                <w:sz w:val="24"/>
                <w:szCs w:val="24"/>
                <w:highlight w:val="none"/>
              </w:rPr>
              <w:t>产地</w:t>
            </w:r>
          </w:p>
        </w:tc>
        <w:tc>
          <w:tcPr>
            <w:tcW w:w="855" w:type="dxa"/>
            <w:tcBorders>
              <w:top w:val="single" w:color="000000" w:sz="6" w:space="0"/>
            </w:tcBorders>
            <w:vAlign w:val="top"/>
          </w:tcPr>
          <w:p w14:paraId="5A3D7485">
            <w:pPr>
              <w:pStyle w:val="17"/>
              <w:spacing w:before="196" w:line="242" w:lineRule="auto"/>
              <w:ind w:left="194" w:right="185"/>
              <w:rPr>
                <w:color w:val="auto"/>
                <w:sz w:val="24"/>
                <w:szCs w:val="24"/>
                <w:highlight w:val="none"/>
              </w:rPr>
            </w:pPr>
            <w:r>
              <w:rPr>
                <w:color w:val="auto"/>
                <w:spacing w:val="-6"/>
                <w:sz w:val="24"/>
                <w:szCs w:val="24"/>
                <w:highlight w:val="none"/>
              </w:rPr>
              <w:t>制造年份</w:t>
            </w:r>
          </w:p>
        </w:tc>
        <w:tc>
          <w:tcPr>
            <w:tcW w:w="1270" w:type="dxa"/>
            <w:tcBorders>
              <w:top w:val="single" w:color="000000" w:sz="6" w:space="0"/>
            </w:tcBorders>
            <w:vAlign w:val="top"/>
          </w:tcPr>
          <w:p w14:paraId="411A77AA">
            <w:pPr>
              <w:pStyle w:val="17"/>
              <w:spacing w:before="40" w:line="239" w:lineRule="auto"/>
              <w:ind w:left="297" w:right="149" w:hanging="133"/>
              <w:rPr>
                <w:rFonts w:ascii="Times New Roman" w:hAnsi="Times New Roman" w:eastAsia="Times New Roman" w:cs="Times New Roman"/>
                <w:color w:val="auto"/>
                <w:sz w:val="24"/>
                <w:szCs w:val="24"/>
                <w:highlight w:val="none"/>
              </w:rPr>
            </w:pPr>
            <w:r>
              <w:rPr>
                <w:color w:val="auto"/>
                <w:spacing w:val="-3"/>
                <w:sz w:val="24"/>
                <w:szCs w:val="24"/>
                <w:highlight w:val="none"/>
              </w:rPr>
              <w:t>额定功率</w:t>
            </w:r>
            <w:r>
              <w:rPr>
                <w:color w:val="auto"/>
                <w:spacing w:val="-4"/>
                <w:sz w:val="24"/>
                <w:szCs w:val="24"/>
                <w:highlight w:val="none"/>
              </w:rPr>
              <w:t xml:space="preserve">（ </w:t>
            </w:r>
            <w:r>
              <w:rPr>
                <w:rFonts w:ascii="Times New Roman" w:hAnsi="Times New Roman" w:eastAsia="Times New Roman" w:cs="Times New Roman"/>
                <w:color w:val="auto"/>
                <w:spacing w:val="-4"/>
                <w:sz w:val="24"/>
                <w:szCs w:val="24"/>
                <w:highlight w:val="none"/>
              </w:rPr>
              <w:t>kW</w:t>
            </w:r>
          </w:p>
          <w:p w14:paraId="6046D78C">
            <w:pPr>
              <w:pStyle w:val="17"/>
              <w:spacing w:before="1" w:line="206" w:lineRule="auto"/>
              <w:ind w:left="550"/>
              <w:rPr>
                <w:color w:val="auto"/>
                <w:sz w:val="24"/>
                <w:szCs w:val="24"/>
                <w:highlight w:val="none"/>
              </w:rPr>
            </w:pPr>
            <w:r>
              <w:rPr>
                <w:color w:val="auto"/>
                <w:sz w:val="24"/>
                <w:szCs w:val="24"/>
                <w:highlight w:val="none"/>
              </w:rPr>
              <w:t>)</w:t>
            </w:r>
          </w:p>
        </w:tc>
        <w:tc>
          <w:tcPr>
            <w:tcW w:w="882" w:type="dxa"/>
            <w:tcBorders>
              <w:top w:val="single" w:color="000000" w:sz="6" w:space="0"/>
            </w:tcBorders>
            <w:vAlign w:val="top"/>
          </w:tcPr>
          <w:p w14:paraId="36FA9B71">
            <w:pPr>
              <w:pStyle w:val="17"/>
              <w:spacing w:before="196" w:line="242" w:lineRule="auto"/>
              <w:ind w:left="221" w:right="194" w:hanging="7"/>
              <w:rPr>
                <w:color w:val="auto"/>
                <w:sz w:val="24"/>
                <w:szCs w:val="24"/>
                <w:highlight w:val="none"/>
              </w:rPr>
            </w:pPr>
            <w:r>
              <w:rPr>
                <w:color w:val="auto"/>
                <w:spacing w:val="-6"/>
                <w:sz w:val="24"/>
                <w:szCs w:val="24"/>
                <w:highlight w:val="none"/>
              </w:rPr>
              <w:t>生产</w:t>
            </w:r>
            <w:r>
              <w:rPr>
                <w:color w:val="auto"/>
                <w:spacing w:val="-10"/>
                <w:sz w:val="24"/>
                <w:szCs w:val="24"/>
                <w:highlight w:val="none"/>
              </w:rPr>
              <w:t>能力</w:t>
            </w:r>
          </w:p>
        </w:tc>
        <w:tc>
          <w:tcPr>
            <w:tcW w:w="980" w:type="dxa"/>
            <w:tcBorders>
              <w:top w:val="single" w:color="000000" w:sz="6" w:space="0"/>
            </w:tcBorders>
            <w:vAlign w:val="top"/>
          </w:tcPr>
          <w:p w14:paraId="5AEAA38B">
            <w:pPr>
              <w:pStyle w:val="17"/>
              <w:spacing w:before="196" w:line="242" w:lineRule="auto"/>
              <w:ind w:left="143" w:right="123"/>
              <w:rPr>
                <w:color w:val="auto"/>
                <w:sz w:val="24"/>
                <w:szCs w:val="24"/>
                <w:highlight w:val="none"/>
              </w:rPr>
            </w:pPr>
            <w:r>
              <w:rPr>
                <w:color w:val="auto"/>
                <w:spacing w:val="-4"/>
                <w:sz w:val="24"/>
                <w:szCs w:val="24"/>
                <w:highlight w:val="none"/>
              </w:rPr>
              <w:t>用于施</w:t>
            </w:r>
            <w:r>
              <w:rPr>
                <w:color w:val="auto"/>
                <w:spacing w:val="-5"/>
                <w:sz w:val="24"/>
                <w:szCs w:val="24"/>
                <w:highlight w:val="none"/>
              </w:rPr>
              <w:t>工部位</w:t>
            </w:r>
          </w:p>
        </w:tc>
        <w:tc>
          <w:tcPr>
            <w:tcW w:w="987" w:type="dxa"/>
            <w:tcBorders>
              <w:top w:val="single" w:color="000000" w:sz="6" w:space="0"/>
              <w:right w:val="single" w:color="000000" w:sz="6" w:space="0"/>
            </w:tcBorders>
            <w:vAlign w:val="top"/>
          </w:tcPr>
          <w:p w14:paraId="0CFD68A8">
            <w:pPr>
              <w:spacing w:line="272" w:lineRule="auto"/>
              <w:rPr>
                <w:rFonts w:ascii="Arial"/>
                <w:color w:val="auto"/>
                <w:sz w:val="21"/>
                <w:highlight w:val="none"/>
              </w:rPr>
            </w:pPr>
          </w:p>
          <w:p w14:paraId="1EE72669">
            <w:pPr>
              <w:pStyle w:val="17"/>
              <w:spacing w:before="78" w:line="221" w:lineRule="auto"/>
              <w:ind w:left="265"/>
              <w:rPr>
                <w:color w:val="auto"/>
                <w:sz w:val="24"/>
                <w:szCs w:val="24"/>
                <w:highlight w:val="none"/>
              </w:rPr>
            </w:pPr>
            <w:r>
              <w:rPr>
                <w:color w:val="auto"/>
                <w:spacing w:val="-4"/>
                <w:sz w:val="24"/>
                <w:szCs w:val="24"/>
                <w:highlight w:val="none"/>
              </w:rPr>
              <w:t>备注</w:t>
            </w:r>
          </w:p>
        </w:tc>
      </w:tr>
      <w:tr w14:paraId="5DEFB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63" w:type="dxa"/>
            <w:tcBorders>
              <w:left w:val="single" w:color="000000" w:sz="6" w:space="0"/>
            </w:tcBorders>
            <w:vAlign w:val="top"/>
          </w:tcPr>
          <w:p w14:paraId="7FCA73AE">
            <w:pPr>
              <w:rPr>
                <w:rFonts w:ascii="Arial"/>
                <w:color w:val="auto"/>
                <w:sz w:val="21"/>
                <w:highlight w:val="none"/>
              </w:rPr>
            </w:pPr>
          </w:p>
        </w:tc>
        <w:tc>
          <w:tcPr>
            <w:tcW w:w="1071" w:type="dxa"/>
            <w:vAlign w:val="top"/>
          </w:tcPr>
          <w:p w14:paraId="51161572">
            <w:pPr>
              <w:rPr>
                <w:rFonts w:ascii="Arial"/>
                <w:color w:val="auto"/>
                <w:sz w:val="21"/>
                <w:highlight w:val="none"/>
              </w:rPr>
            </w:pPr>
          </w:p>
        </w:tc>
        <w:tc>
          <w:tcPr>
            <w:tcW w:w="719" w:type="dxa"/>
            <w:vAlign w:val="top"/>
          </w:tcPr>
          <w:p w14:paraId="74849C9C">
            <w:pPr>
              <w:rPr>
                <w:rFonts w:ascii="Arial"/>
                <w:color w:val="auto"/>
                <w:sz w:val="21"/>
                <w:highlight w:val="none"/>
              </w:rPr>
            </w:pPr>
          </w:p>
        </w:tc>
        <w:tc>
          <w:tcPr>
            <w:tcW w:w="740" w:type="dxa"/>
            <w:vAlign w:val="top"/>
          </w:tcPr>
          <w:p w14:paraId="1377D173">
            <w:pPr>
              <w:rPr>
                <w:rFonts w:ascii="Arial"/>
                <w:color w:val="auto"/>
                <w:sz w:val="21"/>
                <w:highlight w:val="none"/>
              </w:rPr>
            </w:pPr>
          </w:p>
        </w:tc>
        <w:tc>
          <w:tcPr>
            <w:tcW w:w="738" w:type="dxa"/>
            <w:vAlign w:val="top"/>
          </w:tcPr>
          <w:p w14:paraId="25AB36C6">
            <w:pPr>
              <w:rPr>
                <w:rFonts w:ascii="Arial"/>
                <w:color w:val="auto"/>
                <w:sz w:val="21"/>
                <w:highlight w:val="none"/>
              </w:rPr>
            </w:pPr>
          </w:p>
        </w:tc>
        <w:tc>
          <w:tcPr>
            <w:tcW w:w="855" w:type="dxa"/>
            <w:vAlign w:val="top"/>
          </w:tcPr>
          <w:p w14:paraId="18D2949C">
            <w:pPr>
              <w:rPr>
                <w:rFonts w:ascii="Arial"/>
                <w:color w:val="auto"/>
                <w:sz w:val="21"/>
                <w:highlight w:val="none"/>
              </w:rPr>
            </w:pPr>
          </w:p>
        </w:tc>
        <w:tc>
          <w:tcPr>
            <w:tcW w:w="1270" w:type="dxa"/>
            <w:vAlign w:val="top"/>
          </w:tcPr>
          <w:p w14:paraId="1D1C529E">
            <w:pPr>
              <w:rPr>
                <w:rFonts w:ascii="Arial"/>
                <w:color w:val="auto"/>
                <w:sz w:val="21"/>
                <w:highlight w:val="none"/>
              </w:rPr>
            </w:pPr>
          </w:p>
        </w:tc>
        <w:tc>
          <w:tcPr>
            <w:tcW w:w="882" w:type="dxa"/>
            <w:vAlign w:val="top"/>
          </w:tcPr>
          <w:p w14:paraId="27AEFED8">
            <w:pPr>
              <w:rPr>
                <w:rFonts w:ascii="Arial"/>
                <w:color w:val="auto"/>
                <w:sz w:val="21"/>
                <w:highlight w:val="none"/>
              </w:rPr>
            </w:pPr>
          </w:p>
        </w:tc>
        <w:tc>
          <w:tcPr>
            <w:tcW w:w="980" w:type="dxa"/>
            <w:vAlign w:val="top"/>
          </w:tcPr>
          <w:p w14:paraId="6646FFF7">
            <w:pPr>
              <w:rPr>
                <w:rFonts w:ascii="Arial"/>
                <w:color w:val="auto"/>
                <w:sz w:val="21"/>
                <w:highlight w:val="none"/>
              </w:rPr>
            </w:pPr>
          </w:p>
        </w:tc>
        <w:tc>
          <w:tcPr>
            <w:tcW w:w="987" w:type="dxa"/>
            <w:tcBorders>
              <w:right w:val="single" w:color="000000" w:sz="6" w:space="0"/>
            </w:tcBorders>
            <w:vAlign w:val="top"/>
          </w:tcPr>
          <w:p w14:paraId="5EE84604">
            <w:pPr>
              <w:rPr>
                <w:rFonts w:ascii="Arial"/>
                <w:color w:val="auto"/>
                <w:sz w:val="21"/>
                <w:highlight w:val="none"/>
              </w:rPr>
            </w:pPr>
          </w:p>
        </w:tc>
      </w:tr>
      <w:tr w14:paraId="27B22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663" w:type="dxa"/>
            <w:tcBorders>
              <w:left w:val="single" w:color="000000" w:sz="6" w:space="0"/>
            </w:tcBorders>
            <w:vAlign w:val="top"/>
          </w:tcPr>
          <w:p w14:paraId="683F8762">
            <w:pPr>
              <w:rPr>
                <w:rFonts w:ascii="Arial"/>
                <w:color w:val="auto"/>
                <w:sz w:val="21"/>
                <w:highlight w:val="none"/>
              </w:rPr>
            </w:pPr>
          </w:p>
        </w:tc>
        <w:tc>
          <w:tcPr>
            <w:tcW w:w="1071" w:type="dxa"/>
            <w:vAlign w:val="top"/>
          </w:tcPr>
          <w:p w14:paraId="0156E4CB">
            <w:pPr>
              <w:rPr>
                <w:rFonts w:ascii="Arial"/>
                <w:color w:val="auto"/>
                <w:sz w:val="21"/>
                <w:highlight w:val="none"/>
              </w:rPr>
            </w:pPr>
          </w:p>
        </w:tc>
        <w:tc>
          <w:tcPr>
            <w:tcW w:w="719" w:type="dxa"/>
            <w:vAlign w:val="top"/>
          </w:tcPr>
          <w:p w14:paraId="2663AC78">
            <w:pPr>
              <w:rPr>
                <w:rFonts w:ascii="Arial"/>
                <w:color w:val="auto"/>
                <w:sz w:val="21"/>
                <w:highlight w:val="none"/>
              </w:rPr>
            </w:pPr>
          </w:p>
        </w:tc>
        <w:tc>
          <w:tcPr>
            <w:tcW w:w="740" w:type="dxa"/>
            <w:vAlign w:val="top"/>
          </w:tcPr>
          <w:p w14:paraId="00630B55">
            <w:pPr>
              <w:rPr>
                <w:rFonts w:ascii="Arial"/>
                <w:color w:val="auto"/>
                <w:sz w:val="21"/>
                <w:highlight w:val="none"/>
              </w:rPr>
            </w:pPr>
          </w:p>
        </w:tc>
        <w:tc>
          <w:tcPr>
            <w:tcW w:w="738" w:type="dxa"/>
            <w:vAlign w:val="top"/>
          </w:tcPr>
          <w:p w14:paraId="7A47CB0E">
            <w:pPr>
              <w:rPr>
                <w:rFonts w:ascii="Arial"/>
                <w:color w:val="auto"/>
                <w:sz w:val="21"/>
                <w:highlight w:val="none"/>
              </w:rPr>
            </w:pPr>
          </w:p>
        </w:tc>
        <w:tc>
          <w:tcPr>
            <w:tcW w:w="855" w:type="dxa"/>
            <w:vAlign w:val="top"/>
          </w:tcPr>
          <w:p w14:paraId="1C609543">
            <w:pPr>
              <w:rPr>
                <w:rFonts w:ascii="Arial"/>
                <w:color w:val="auto"/>
                <w:sz w:val="21"/>
                <w:highlight w:val="none"/>
              </w:rPr>
            </w:pPr>
          </w:p>
        </w:tc>
        <w:tc>
          <w:tcPr>
            <w:tcW w:w="1270" w:type="dxa"/>
            <w:vAlign w:val="top"/>
          </w:tcPr>
          <w:p w14:paraId="36E6AE94">
            <w:pPr>
              <w:rPr>
                <w:rFonts w:ascii="Arial"/>
                <w:color w:val="auto"/>
                <w:sz w:val="21"/>
                <w:highlight w:val="none"/>
              </w:rPr>
            </w:pPr>
          </w:p>
        </w:tc>
        <w:tc>
          <w:tcPr>
            <w:tcW w:w="882" w:type="dxa"/>
            <w:vAlign w:val="top"/>
          </w:tcPr>
          <w:p w14:paraId="27EC0FA0">
            <w:pPr>
              <w:rPr>
                <w:rFonts w:ascii="Arial"/>
                <w:color w:val="auto"/>
                <w:sz w:val="21"/>
                <w:highlight w:val="none"/>
              </w:rPr>
            </w:pPr>
          </w:p>
        </w:tc>
        <w:tc>
          <w:tcPr>
            <w:tcW w:w="980" w:type="dxa"/>
            <w:vAlign w:val="top"/>
          </w:tcPr>
          <w:p w14:paraId="424929CE">
            <w:pPr>
              <w:rPr>
                <w:rFonts w:ascii="Arial"/>
                <w:color w:val="auto"/>
                <w:sz w:val="21"/>
                <w:highlight w:val="none"/>
              </w:rPr>
            </w:pPr>
          </w:p>
        </w:tc>
        <w:tc>
          <w:tcPr>
            <w:tcW w:w="987" w:type="dxa"/>
            <w:tcBorders>
              <w:right w:val="single" w:color="000000" w:sz="6" w:space="0"/>
            </w:tcBorders>
            <w:vAlign w:val="top"/>
          </w:tcPr>
          <w:p w14:paraId="142476F9">
            <w:pPr>
              <w:rPr>
                <w:rFonts w:ascii="Arial"/>
                <w:color w:val="auto"/>
                <w:sz w:val="21"/>
                <w:highlight w:val="none"/>
              </w:rPr>
            </w:pPr>
          </w:p>
        </w:tc>
      </w:tr>
      <w:tr w14:paraId="5DFBB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663" w:type="dxa"/>
            <w:tcBorders>
              <w:left w:val="single" w:color="000000" w:sz="6" w:space="0"/>
            </w:tcBorders>
            <w:vAlign w:val="top"/>
          </w:tcPr>
          <w:p w14:paraId="710F5F0A">
            <w:pPr>
              <w:rPr>
                <w:rFonts w:ascii="Arial"/>
                <w:color w:val="auto"/>
                <w:sz w:val="21"/>
                <w:highlight w:val="none"/>
              </w:rPr>
            </w:pPr>
          </w:p>
        </w:tc>
        <w:tc>
          <w:tcPr>
            <w:tcW w:w="1071" w:type="dxa"/>
            <w:vAlign w:val="top"/>
          </w:tcPr>
          <w:p w14:paraId="33521BF0">
            <w:pPr>
              <w:rPr>
                <w:rFonts w:ascii="Arial"/>
                <w:color w:val="auto"/>
                <w:sz w:val="21"/>
                <w:highlight w:val="none"/>
              </w:rPr>
            </w:pPr>
          </w:p>
        </w:tc>
        <w:tc>
          <w:tcPr>
            <w:tcW w:w="719" w:type="dxa"/>
            <w:vAlign w:val="top"/>
          </w:tcPr>
          <w:p w14:paraId="5319CA51">
            <w:pPr>
              <w:rPr>
                <w:rFonts w:ascii="Arial"/>
                <w:color w:val="auto"/>
                <w:sz w:val="21"/>
                <w:highlight w:val="none"/>
              </w:rPr>
            </w:pPr>
          </w:p>
        </w:tc>
        <w:tc>
          <w:tcPr>
            <w:tcW w:w="740" w:type="dxa"/>
            <w:vAlign w:val="top"/>
          </w:tcPr>
          <w:p w14:paraId="50F6979D">
            <w:pPr>
              <w:rPr>
                <w:rFonts w:ascii="Arial"/>
                <w:color w:val="auto"/>
                <w:sz w:val="21"/>
                <w:highlight w:val="none"/>
              </w:rPr>
            </w:pPr>
          </w:p>
        </w:tc>
        <w:tc>
          <w:tcPr>
            <w:tcW w:w="738" w:type="dxa"/>
            <w:vAlign w:val="top"/>
          </w:tcPr>
          <w:p w14:paraId="5E0DA80F">
            <w:pPr>
              <w:rPr>
                <w:rFonts w:ascii="Arial"/>
                <w:color w:val="auto"/>
                <w:sz w:val="21"/>
                <w:highlight w:val="none"/>
              </w:rPr>
            </w:pPr>
          </w:p>
        </w:tc>
        <w:tc>
          <w:tcPr>
            <w:tcW w:w="855" w:type="dxa"/>
            <w:vAlign w:val="top"/>
          </w:tcPr>
          <w:p w14:paraId="28B2647B">
            <w:pPr>
              <w:rPr>
                <w:rFonts w:ascii="Arial"/>
                <w:color w:val="auto"/>
                <w:sz w:val="21"/>
                <w:highlight w:val="none"/>
              </w:rPr>
            </w:pPr>
          </w:p>
        </w:tc>
        <w:tc>
          <w:tcPr>
            <w:tcW w:w="1270" w:type="dxa"/>
            <w:vAlign w:val="top"/>
          </w:tcPr>
          <w:p w14:paraId="65D6614F">
            <w:pPr>
              <w:rPr>
                <w:rFonts w:ascii="Arial"/>
                <w:color w:val="auto"/>
                <w:sz w:val="21"/>
                <w:highlight w:val="none"/>
              </w:rPr>
            </w:pPr>
          </w:p>
        </w:tc>
        <w:tc>
          <w:tcPr>
            <w:tcW w:w="882" w:type="dxa"/>
            <w:vAlign w:val="top"/>
          </w:tcPr>
          <w:p w14:paraId="5F7A83EA">
            <w:pPr>
              <w:rPr>
                <w:rFonts w:ascii="Arial"/>
                <w:color w:val="auto"/>
                <w:sz w:val="21"/>
                <w:highlight w:val="none"/>
              </w:rPr>
            </w:pPr>
          </w:p>
        </w:tc>
        <w:tc>
          <w:tcPr>
            <w:tcW w:w="980" w:type="dxa"/>
            <w:vAlign w:val="top"/>
          </w:tcPr>
          <w:p w14:paraId="47B5B1D2">
            <w:pPr>
              <w:rPr>
                <w:rFonts w:ascii="Arial"/>
                <w:color w:val="auto"/>
                <w:sz w:val="21"/>
                <w:highlight w:val="none"/>
              </w:rPr>
            </w:pPr>
          </w:p>
        </w:tc>
        <w:tc>
          <w:tcPr>
            <w:tcW w:w="987" w:type="dxa"/>
            <w:tcBorders>
              <w:right w:val="single" w:color="000000" w:sz="6" w:space="0"/>
            </w:tcBorders>
            <w:vAlign w:val="top"/>
          </w:tcPr>
          <w:p w14:paraId="4B9B0578">
            <w:pPr>
              <w:rPr>
                <w:rFonts w:ascii="Arial"/>
                <w:color w:val="auto"/>
                <w:sz w:val="21"/>
                <w:highlight w:val="none"/>
              </w:rPr>
            </w:pPr>
          </w:p>
        </w:tc>
      </w:tr>
      <w:tr w14:paraId="63B78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103EF27F">
            <w:pPr>
              <w:rPr>
                <w:rFonts w:ascii="Arial"/>
                <w:color w:val="auto"/>
                <w:sz w:val="21"/>
                <w:highlight w:val="none"/>
              </w:rPr>
            </w:pPr>
          </w:p>
        </w:tc>
        <w:tc>
          <w:tcPr>
            <w:tcW w:w="1071" w:type="dxa"/>
            <w:vAlign w:val="top"/>
          </w:tcPr>
          <w:p w14:paraId="013AF141">
            <w:pPr>
              <w:rPr>
                <w:rFonts w:ascii="Arial"/>
                <w:color w:val="auto"/>
                <w:sz w:val="21"/>
                <w:highlight w:val="none"/>
              </w:rPr>
            </w:pPr>
          </w:p>
        </w:tc>
        <w:tc>
          <w:tcPr>
            <w:tcW w:w="719" w:type="dxa"/>
            <w:vAlign w:val="top"/>
          </w:tcPr>
          <w:p w14:paraId="00592921">
            <w:pPr>
              <w:rPr>
                <w:rFonts w:ascii="Arial"/>
                <w:color w:val="auto"/>
                <w:sz w:val="21"/>
                <w:highlight w:val="none"/>
              </w:rPr>
            </w:pPr>
          </w:p>
        </w:tc>
        <w:tc>
          <w:tcPr>
            <w:tcW w:w="740" w:type="dxa"/>
            <w:vAlign w:val="top"/>
          </w:tcPr>
          <w:p w14:paraId="1B852D83">
            <w:pPr>
              <w:rPr>
                <w:rFonts w:ascii="Arial"/>
                <w:color w:val="auto"/>
                <w:sz w:val="21"/>
                <w:highlight w:val="none"/>
              </w:rPr>
            </w:pPr>
          </w:p>
        </w:tc>
        <w:tc>
          <w:tcPr>
            <w:tcW w:w="738" w:type="dxa"/>
            <w:vAlign w:val="top"/>
          </w:tcPr>
          <w:p w14:paraId="571261D8">
            <w:pPr>
              <w:rPr>
                <w:rFonts w:ascii="Arial"/>
                <w:color w:val="auto"/>
                <w:sz w:val="21"/>
                <w:highlight w:val="none"/>
              </w:rPr>
            </w:pPr>
          </w:p>
        </w:tc>
        <w:tc>
          <w:tcPr>
            <w:tcW w:w="855" w:type="dxa"/>
            <w:vAlign w:val="top"/>
          </w:tcPr>
          <w:p w14:paraId="471BF2A7">
            <w:pPr>
              <w:rPr>
                <w:rFonts w:ascii="Arial"/>
                <w:color w:val="auto"/>
                <w:sz w:val="21"/>
                <w:highlight w:val="none"/>
              </w:rPr>
            </w:pPr>
          </w:p>
        </w:tc>
        <w:tc>
          <w:tcPr>
            <w:tcW w:w="1270" w:type="dxa"/>
            <w:vAlign w:val="top"/>
          </w:tcPr>
          <w:p w14:paraId="006C4D90">
            <w:pPr>
              <w:rPr>
                <w:rFonts w:ascii="Arial"/>
                <w:color w:val="auto"/>
                <w:sz w:val="21"/>
                <w:highlight w:val="none"/>
              </w:rPr>
            </w:pPr>
          </w:p>
        </w:tc>
        <w:tc>
          <w:tcPr>
            <w:tcW w:w="882" w:type="dxa"/>
            <w:vAlign w:val="top"/>
          </w:tcPr>
          <w:p w14:paraId="468C363D">
            <w:pPr>
              <w:rPr>
                <w:rFonts w:ascii="Arial"/>
                <w:color w:val="auto"/>
                <w:sz w:val="21"/>
                <w:highlight w:val="none"/>
              </w:rPr>
            </w:pPr>
          </w:p>
        </w:tc>
        <w:tc>
          <w:tcPr>
            <w:tcW w:w="980" w:type="dxa"/>
            <w:vAlign w:val="top"/>
          </w:tcPr>
          <w:p w14:paraId="07165050">
            <w:pPr>
              <w:rPr>
                <w:rFonts w:ascii="Arial"/>
                <w:color w:val="auto"/>
                <w:sz w:val="21"/>
                <w:highlight w:val="none"/>
              </w:rPr>
            </w:pPr>
          </w:p>
        </w:tc>
        <w:tc>
          <w:tcPr>
            <w:tcW w:w="987" w:type="dxa"/>
            <w:tcBorders>
              <w:right w:val="single" w:color="000000" w:sz="6" w:space="0"/>
            </w:tcBorders>
            <w:vAlign w:val="top"/>
          </w:tcPr>
          <w:p w14:paraId="12217311">
            <w:pPr>
              <w:rPr>
                <w:rFonts w:ascii="Arial"/>
                <w:color w:val="auto"/>
                <w:sz w:val="21"/>
                <w:highlight w:val="none"/>
              </w:rPr>
            </w:pPr>
          </w:p>
        </w:tc>
      </w:tr>
      <w:tr w14:paraId="68E4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4554C020">
            <w:pPr>
              <w:rPr>
                <w:rFonts w:ascii="Arial"/>
                <w:color w:val="auto"/>
                <w:sz w:val="21"/>
                <w:highlight w:val="none"/>
              </w:rPr>
            </w:pPr>
          </w:p>
        </w:tc>
        <w:tc>
          <w:tcPr>
            <w:tcW w:w="1071" w:type="dxa"/>
            <w:vAlign w:val="top"/>
          </w:tcPr>
          <w:p w14:paraId="5C23CD18">
            <w:pPr>
              <w:rPr>
                <w:rFonts w:ascii="Arial"/>
                <w:color w:val="auto"/>
                <w:sz w:val="21"/>
                <w:highlight w:val="none"/>
              </w:rPr>
            </w:pPr>
          </w:p>
        </w:tc>
        <w:tc>
          <w:tcPr>
            <w:tcW w:w="719" w:type="dxa"/>
            <w:vAlign w:val="top"/>
          </w:tcPr>
          <w:p w14:paraId="2716DBF5">
            <w:pPr>
              <w:rPr>
                <w:rFonts w:ascii="Arial"/>
                <w:color w:val="auto"/>
                <w:sz w:val="21"/>
                <w:highlight w:val="none"/>
              </w:rPr>
            </w:pPr>
          </w:p>
        </w:tc>
        <w:tc>
          <w:tcPr>
            <w:tcW w:w="740" w:type="dxa"/>
            <w:vAlign w:val="top"/>
          </w:tcPr>
          <w:p w14:paraId="4F342A97">
            <w:pPr>
              <w:rPr>
                <w:rFonts w:ascii="Arial"/>
                <w:color w:val="auto"/>
                <w:sz w:val="21"/>
                <w:highlight w:val="none"/>
              </w:rPr>
            </w:pPr>
          </w:p>
        </w:tc>
        <w:tc>
          <w:tcPr>
            <w:tcW w:w="738" w:type="dxa"/>
            <w:vAlign w:val="top"/>
          </w:tcPr>
          <w:p w14:paraId="5A528B8E">
            <w:pPr>
              <w:rPr>
                <w:rFonts w:ascii="Arial"/>
                <w:color w:val="auto"/>
                <w:sz w:val="21"/>
                <w:highlight w:val="none"/>
              </w:rPr>
            </w:pPr>
          </w:p>
        </w:tc>
        <w:tc>
          <w:tcPr>
            <w:tcW w:w="855" w:type="dxa"/>
            <w:vAlign w:val="top"/>
          </w:tcPr>
          <w:p w14:paraId="53FCCE28">
            <w:pPr>
              <w:rPr>
                <w:rFonts w:ascii="Arial"/>
                <w:color w:val="auto"/>
                <w:sz w:val="21"/>
                <w:highlight w:val="none"/>
              </w:rPr>
            </w:pPr>
          </w:p>
        </w:tc>
        <w:tc>
          <w:tcPr>
            <w:tcW w:w="1270" w:type="dxa"/>
            <w:vAlign w:val="top"/>
          </w:tcPr>
          <w:p w14:paraId="2CD3C39B">
            <w:pPr>
              <w:rPr>
                <w:rFonts w:ascii="Arial"/>
                <w:color w:val="auto"/>
                <w:sz w:val="21"/>
                <w:highlight w:val="none"/>
              </w:rPr>
            </w:pPr>
          </w:p>
        </w:tc>
        <w:tc>
          <w:tcPr>
            <w:tcW w:w="882" w:type="dxa"/>
            <w:vAlign w:val="top"/>
          </w:tcPr>
          <w:p w14:paraId="4E3E2D03">
            <w:pPr>
              <w:rPr>
                <w:rFonts w:ascii="Arial"/>
                <w:color w:val="auto"/>
                <w:sz w:val="21"/>
                <w:highlight w:val="none"/>
              </w:rPr>
            </w:pPr>
          </w:p>
        </w:tc>
        <w:tc>
          <w:tcPr>
            <w:tcW w:w="980" w:type="dxa"/>
            <w:vAlign w:val="top"/>
          </w:tcPr>
          <w:p w14:paraId="40B04DB2">
            <w:pPr>
              <w:rPr>
                <w:rFonts w:ascii="Arial"/>
                <w:color w:val="auto"/>
                <w:sz w:val="21"/>
                <w:highlight w:val="none"/>
              </w:rPr>
            </w:pPr>
          </w:p>
        </w:tc>
        <w:tc>
          <w:tcPr>
            <w:tcW w:w="987" w:type="dxa"/>
            <w:tcBorders>
              <w:right w:val="single" w:color="000000" w:sz="6" w:space="0"/>
            </w:tcBorders>
            <w:vAlign w:val="top"/>
          </w:tcPr>
          <w:p w14:paraId="66E58199">
            <w:pPr>
              <w:rPr>
                <w:rFonts w:ascii="Arial"/>
                <w:color w:val="auto"/>
                <w:sz w:val="21"/>
                <w:highlight w:val="none"/>
              </w:rPr>
            </w:pPr>
          </w:p>
        </w:tc>
      </w:tr>
      <w:tr w14:paraId="48E90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45A964F8">
            <w:pPr>
              <w:rPr>
                <w:rFonts w:ascii="Arial"/>
                <w:color w:val="auto"/>
                <w:sz w:val="21"/>
                <w:highlight w:val="none"/>
              </w:rPr>
            </w:pPr>
          </w:p>
        </w:tc>
        <w:tc>
          <w:tcPr>
            <w:tcW w:w="1071" w:type="dxa"/>
            <w:vAlign w:val="top"/>
          </w:tcPr>
          <w:p w14:paraId="535388E2">
            <w:pPr>
              <w:rPr>
                <w:rFonts w:ascii="Arial"/>
                <w:color w:val="auto"/>
                <w:sz w:val="21"/>
                <w:highlight w:val="none"/>
              </w:rPr>
            </w:pPr>
          </w:p>
        </w:tc>
        <w:tc>
          <w:tcPr>
            <w:tcW w:w="719" w:type="dxa"/>
            <w:vAlign w:val="top"/>
          </w:tcPr>
          <w:p w14:paraId="3D37D262">
            <w:pPr>
              <w:rPr>
                <w:rFonts w:ascii="Arial"/>
                <w:color w:val="auto"/>
                <w:sz w:val="21"/>
                <w:highlight w:val="none"/>
              </w:rPr>
            </w:pPr>
          </w:p>
        </w:tc>
        <w:tc>
          <w:tcPr>
            <w:tcW w:w="740" w:type="dxa"/>
            <w:vAlign w:val="top"/>
          </w:tcPr>
          <w:p w14:paraId="38479F5B">
            <w:pPr>
              <w:rPr>
                <w:rFonts w:ascii="Arial"/>
                <w:color w:val="auto"/>
                <w:sz w:val="21"/>
                <w:highlight w:val="none"/>
              </w:rPr>
            </w:pPr>
          </w:p>
        </w:tc>
        <w:tc>
          <w:tcPr>
            <w:tcW w:w="738" w:type="dxa"/>
            <w:vAlign w:val="top"/>
          </w:tcPr>
          <w:p w14:paraId="094DF8F9">
            <w:pPr>
              <w:rPr>
                <w:rFonts w:ascii="Arial"/>
                <w:color w:val="auto"/>
                <w:sz w:val="21"/>
                <w:highlight w:val="none"/>
              </w:rPr>
            </w:pPr>
          </w:p>
        </w:tc>
        <w:tc>
          <w:tcPr>
            <w:tcW w:w="855" w:type="dxa"/>
            <w:vAlign w:val="top"/>
          </w:tcPr>
          <w:p w14:paraId="6683A440">
            <w:pPr>
              <w:rPr>
                <w:rFonts w:ascii="Arial"/>
                <w:color w:val="auto"/>
                <w:sz w:val="21"/>
                <w:highlight w:val="none"/>
              </w:rPr>
            </w:pPr>
          </w:p>
        </w:tc>
        <w:tc>
          <w:tcPr>
            <w:tcW w:w="1270" w:type="dxa"/>
            <w:vAlign w:val="top"/>
          </w:tcPr>
          <w:p w14:paraId="6D761979">
            <w:pPr>
              <w:rPr>
                <w:rFonts w:ascii="Arial"/>
                <w:color w:val="auto"/>
                <w:sz w:val="21"/>
                <w:highlight w:val="none"/>
              </w:rPr>
            </w:pPr>
          </w:p>
        </w:tc>
        <w:tc>
          <w:tcPr>
            <w:tcW w:w="882" w:type="dxa"/>
            <w:vAlign w:val="top"/>
          </w:tcPr>
          <w:p w14:paraId="74F15ABE">
            <w:pPr>
              <w:rPr>
                <w:rFonts w:ascii="Arial"/>
                <w:color w:val="auto"/>
                <w:sz w:val="21"/>
                <w:highlight w:val="none"/>
              </w:rPr>
            </w:pPr>
          </w:p>
        </w:tc>
        <w:tc>
          <w:tcPr>
            <w:tcW w:w="980" w:type="dxa"/>
            <w:vAlign w:val="top"/>
          </w:tcPr>
          <w:p w14:paraId="17F914FE">
            <w:pPr>
              <w:rPr>
                <w:rFonts w:ascii="Arial"/>
                <w:color w:val="auto"/>
                <w:sz w:val="21"/>
                <w:highlight w:val="none"/>
              </w:rPr>
            </w:pPr>
          </w:p>
        </w:tc>
        <w:tc>
          <w:tcPr>
            <w:tcW w:w="987" w:type="dxa"/>
            <w:tcBorders>
              <w:right w:val="single" w:color="000000" w:sz="6" w:space="0"/>
            </w:tcBorders>
            <w:vAlign w:val="top"/>
          </w:tcPr>
          <w:p w14:paraId="0EFD1825">
            <w:pPr>
              <w:rPr>
                <w:rFonts w:ascii="Arial"/>
                <w:color w:val="auto"/>
                <w:sz w:val="21"/>
                <w:highlight w:val="none"/>
              </w:rPr>
            </w:pPr>
          </w:p>
        </w:tc>
      </w:tr>
      <w:tr w14:paraId="27515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63" w:type="dxa"/>
            <w:tcBorders>
              <w:left w:val="single" w:color="000000" w:sz="6" w:space="0"/>
            </w:tcBorders>
            <w:vAlign w:val="top"/>
          </w:tcPr>
          <w:p w14:paraId="12598A07">
            <w:pPr>
              <w:rPr>
                <w:rFonts w:ascii="Arial"/>
                <w:color w:val="auto"/>
                <w:sz w:val="21"/>
                <w:highlight w:val="none"/>
              </w:rPr>
            </w:pPr>
          </w:p>
        </w:tc>
        <w:tc>
          <w:tcPr>
            <w:tcW w:w="1071" w:type="dxa"/>
            <w:vAlign w:val="top"/>
          </w:tcPr>
          <w:p w14:paraId="686C3564">
            <w:pPr>
              <w:rPr>
                <w:rFonts w:ascii="Arial"/>
                <w:color w:val="auto"/>
                <w:sz w:val="21"/>
                <w:highlight w:val="none"/>
              </w:rPr>
            </w:pPr>
          </w:p>
        </w:tc>
        <w:tc>
          <w:tcPr>
            <w:tcW w:w="719" w:type="dxa"/>
            <w:vAlign w:val="top"/>
          </w:tcPr>
          <w:p w14:paraId="0DA3EA38">
            <w:pPr>
              <w:rPr>
                <w:rFonts w:ascii="Arial"/>
                <w:color w:val="auto"/>
                <w:sz w:val="21"/>
                <w:highlight w:val="none"/>
              </w:rPr>
            </w:pPr>
          </w:p>
        </w:tc>
        <w:tc>
          <w:tcPr>
            <w:tcW w:w="740" w:type="dxa"/>
            <w:vAlign w:val="top"/>
          </w:tcPr>
          <w:p w14:paraId="691B9F13">
            <w:pPr>
              <w:rPr>
                <w:rFonts w:ascii="Arial"/>
                <w:color w:val="auto"/>
                <w:sz w:val="21"/>
                <w:highlight w:val="none"/>
              </w:rPr>
            </w:pPr>
          </w:p>
        </w:tc>
        <w:tc>
          <w:tcPr>
            <w:tcW w:w="738" w:type="dxa"/>
            <w:vAlign w:val="top"/>
          </w:tcPr>
          <w:p w14:paraId="36FB9AF0">
            <w:pPr>
              <w:rPr>
                <w:rFonts w:ascii="Arial"/>
                <w:color w:val="auto"/>
                <w:sz w:val="21"/>
                <w:highlight w:val="none"/>
              </w:rPr>
            </w:pPr>
          </w:p>
        </w:tc>
        <w:tc>
          <w:tcPr>
            <w:tcW w:w="855" w:type="dxa"/>
            <w:vAlign w:val="top"/>
          </w:tcPr>
          <w:p w14:paraId="37331E63">
            <w:pPr>
              <w:rPr>
                <w:rFonts w:ascii="Arial"/>
                <w:color w:val="auto"/>
                <w:sz w:val="21"/>
                <w:highlight w:val="none"/>
              </w:rPr>
            </w:pPr>
          </w:p>
        </w:tc>
        <w:tc>
          <w:tcPr>
            <w:tcW w:w="1270" w:type="dxa"/>
            <w:vAlign w:val="top"/>
          </w:tcPr>
          <w:p w14:paraId="0D9CBAC5">
            <w:pPr>
              <w:rPr>
                <w:rFonts w:ascii="Arial"/>
                <w:color w:val="auto"/>
                <w:sz w:val="21"/>
                <w:highlight w:val="none"/>
              </w:rPr>
            </w:pPr>
          </w:p>
        </w:tc>
        <w:tc>
          <w:tcPr>
            <w:tcW w:w="882" w:type="dxa"/>
            <w:vAlign w:val="top"/>
          </w:tcPr>
          <w:p w14:paraId="70740D31">
            <w:pPr>
              <w:rPr>
                <w:rFonts w:ascii="Arial"/>
                <w:color w:val="auto"/>
                <w:sz w:val="21"/>
                <w:highlight w:val="none"/>
              </w:rPr>
            </w:pPr>
          </w:p>
        </w:tc>
        <w:tc>
          <w:tcPr>
            <w:tcW w:w="980" w:type="dxa"/>
            <w:vAlign w:val="top"/>
          </w:tcPr>
          <w:p w14:paraId="352070AD">
            <w:pPr>
              <w:rPr>
                <w:rFonts w:ascii="Arial"/>
                <w:color w:val="auto"/>
                <w:sz w:val="21"/>
                <w:highlight w:val="none"/>
              </w:rPr>
            </w:pPr>
          </w:p>
        </w:tc>
        <w:tc>
          <w:tcPr>
            <w:tcW w:w="987" w:type="dxa"/>
            <w:tcBorders>
              <w:right w:val="single" w:color="000000" w:sz="6" w:space="0"/>
            </w:tcBorders>
            <w:vAlign w:val="top"/>
          </w:tcPr>
          <w:p w14:paraId="51F9518F">
            <w:pPr>
              <w:rPr>
                <w:rFonts w:ascii="Arial"/>
                <w:color w:val="auto"/>
                <w:sz w:val="21"/>
                <w:highlight w:val="none"/>
              </w:rPr>
            </w:pPr>
          </w:p>
        </w:tc>
      </w:tr>
      <w:tr w14:paraId="0B9D6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25ADE619">
            <w:pPr>
              <w:rPr>
                <w:rFonts w:ascii="Arial"/>
                <w:color w:val="auto"/>
                <w:sz w:val="21"/>
                <w:highlight w:val="none"/>
              </w:rPr>
            </w:pPr>
          </w:p>
        </w:tc>
        <w:tc>
          <w:tcPr>
            <w:tcW w:w="1071" w:type="dxa"/>
            <w:vAlign w:val="top"/>
          </w:tcPr>
          <w:p w14:paraId="04CAC355">
            <w:pPr>
              <w:rPr>
                <w:rFonts w:ascii="Arial"/>
                <w:color w:val="auto"/>
                <w:sz w:val="21"/>
                <w:highlight w:val="none"/>
              </w:rPr>
            </w:pPr>
          </w:p>
        </w:tc>
        <w:tc>
          <w:tcPr>
            <w:tcW w:w="719" w:type="dxa"/>
            <w:vAlign w:val="top"/>
          </w:tcPr>
          <w:p w14:paraId="3752966C">
            <w:pPr>
              <w:rPr>
                <w:rFonts w:ascii="Arial"/>
                <w:color w:val="auto"/>
                <w:sz w:val="21"/>
                <w:highlight w:val="none"/>
              </w:rPr>
            </w:pPr>
          </w:p>
        </w:tc>
        <w:tc>
          <w:tcPr>
            <w:tcW w:w="740" w:type="dxa"/>
            <w:vAlign w:val="top"/>
          </w:tcPr>
          <w:p w14:paraId="393B53AE">
            <w:pPr>
              <w:rPr>
                <w:rFonts w:ascii="Arial"/>
                <w:color w:val="auto"/>
                <w:sz w:val="21"/>
                <w:highlight w:val="none"/>
              </w:rPr>
            </w:pPr>
          </w:p>
        </w:tc>
        <w:tc>
          <w:tcPr>
            <w:tcW w:w="738" w:type="dxa"/>
            <w:vAlign w:val="top"/>
          </w:tcPr>
          <w:p w14:paraId="5D4FD3BE">
            <w:pPr>
              <w:rPr>
                <w:rFonts w:ascii="Arial"/>
                <w:color w:val="auto"/>
                <w:sz w:val="21"/>
                <w:highlight w:val="none"/>
              </w:rPr>
            </w:pPr>
          </w:p>
        </w:tc>
        <w:tc>
          <w:tcPr>
            <w:tcW w:w="855" w:type="dxa"/>
            <w:vAlign w:val="top"/>
          </w:tcPr>
          <w:p w14:paraId="3FCD972F">
            <w:pPr>
              <w:rPr>
                <w:rFonts w:ascii="Arial"/>
                <w:color w:val="auto"/>
                <w:sz w:val="21"/>
                <w:highlight w:val="none"/>
              </w:rPr>
            </w:pPr>
          </w:p>
        </w:tc>
        <w:tc>
          <w:tcPr>
            <w:tcW w:w="1270" w:type="dxa"/>
            <w:vAlign w:val="top"/>
          </w:tcPr>
          <w:p w14:paraId="06D9874A">
            <w:pPr>
              <w:rPr>
                <w:rFonts w:ascii="Arial"/>
                <w:color w:val="auto"/>
                <w:sz w:val="21"/>
                <w:highlight w:val="none"/>
              </w:rPr>
            </w:pPr>
          </w:p>
        </w:tc>
        <w:tc>
          <w:tcPr>
            <w:tcW w:w="882" w:type="dxa"/>
            <w:vAlign w:val="top"/>
          </w:tcPr>
          <w:p w14:paraId="23D95400">
            <w:pPr>
              <w:rPr>
                <w:rFonts w:ascii="Arial"/>
                <w:color w:val="auto"/>
                <w:sz w:val="21"/>
                <w:highlight w:val="none"/>
              </w:rPr>
            </w:pPr>
          </w:p>
        </w:tc>
        <w:tc>
          <w:tcPr>
            <w:tcW w:w="980" w:type="dxa"/>
            <w:vAlign w:val="top"/>
          </w:tcPr>
          <w:p w14:paraId="11D75464">
            <w:pPr>
              <w:rPr>
                <w:rFonts w:ascii="Arial"/>
                <w:color w:val="auto"/>
                <w:sz w:val="21"/>
                <w:highlight w:val="none"/>
              </w:rPr>
            </w:pPr>
          </w:p>
        </w:tc>
        <w:tc>
          <w:tcPr>
            <w:tcW w:w="987" w:type="dxa"/>
            <w:tcBorders>
              <w:right w:val="single" w:color="000000" w:sz="6" w:space="0"/>
            </w:tcBorders>
            <w:vAlign w:val="top"/>
          </w:tcPr>
          <w:p w14:paraId="290A6C1E">
            <w:pPr>
              <w:rPr>
                <w:rFonts w:ascii="Arial"/>
                <w:color w:val="auto"/>
                <w:sz w:val="21"/>
                <w:highlight w:val="none"/>
              </w:rPr>
            </w:pPr>
          </w:p>
        </w:tc>
      </w:tr>
      <w:tr w14:paraId="353F6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4069AF55">
            <w:pPr>
              <w:rPr>
                <w:rFonts w:ascii="Arial"/>
                <w:color w:val="auto"/>
                <w:sz w:val="21"/>
                <w:highlight w:val="none"/>
              </w:rPr>
            </w:pPr>
          </w:p>
        </w:tc>
        <w:tc>
          <w:tcPr>
            <w:tcW w:w="1071" w:type="dxa"/>
            <w:vAlign w:val="top"/>
          </w:tcPr>
          <w:p w14:paraId="5C0400AA">
            <w:pPr>
              <w:rPr>
                <w:rFonts w:ascii="Arial"/>
                <w:color w:val="auto"/>
                <w:sz w:val="21"/>
                <w:highlight w:val="none"/>
              </w:rPr>
            </w:pPr>
          </w:p>
        </w:tc>
        <w:tc>
          <w:tcPr>
            <w:tcW w:w="719" w:type="dxa"/>
            <w:vAlign w:val="top"/>
          </w:tcPr>
          <w:p w14:paraId="2A422F27">
            <w:pPr>
              <w:rPr>
                <w:rFonts w:ascii="Arial"/>
                <w:color w:val="auto"/>
                <w:sz w:val="21"/>
                <w:highlight w:val="none"/>
              </w:rPr>
            </w:pPr>
          </w:p>
        </w:tc>
        <w:tc>
          <w:tcPr>
            <w:tcW w:w="740" w:type="dxa"/>
            <w:vAlign w:val="top"/>
          </w:tcPr>
          <w:p w14:paraId="5BFDEBDD">
            <w:pPr>
              <w:rPr>
                <w:rFonts w:ascii="Arial"/>
                <w:color w:val="auto"/>
                <w:sz w:val="21"/>
                <w:highlight w:val="none"/>
              </w:rPr>
            </w:pPr>
          </w:p>
        </w:tc>
        <w:tc>
          <w:tcPr>
            <w:tcW w:w="738" w:type="dxa"/>
            <w:vAlign w:val="top"/>
          </w:tcPr>
          <w:p w14:paraId="5C2279A6">
            <w:pPr>
              <w:rPr>
                <w:rFonts w:ascii="Arial"/>
                <w:color w:val="auto"/>
                <w:sz w:val="21"/>
                <w:highlight w:val="none"/>
              </w:rPr>
            </w:pPr>
          </w:p>
        </w:tc>
        <w:tc>
          <w:tcPr>
            <w:tcW w:w="855" w:type="dxa"/>
            <w:vAlign w:val="top"/>
          </w:tcPr>
          <w:p w14:paraId="108542F2">
            <w:pPr>
              <w:rPr>
                <w:rFonts w:ascii="Arial"/>
                <w:color w:val="auto"/>
                <w:sz w:val="21"/>
                <w:highlight w:val="none"/>
              </w:rPr>
            </w:pPr>
          </w:p>
        </w:tc>
        <w:tc>
          <w:tcPr>
            <w:tcW w:w="1270" w:type="dxa"/>
            <w:vAlign w:val="top"/>
          </w:tcPr>
          <w:p w14:paraId="6D683A98">
            <w:pPr>
              <w:rPr>
                <w:rFonts w:ascii="Arial"/>
                <w:color w:val="auto"/>
                <w:sz w:val="21"/>
                <w:highlight w:val="none"/>
              </w:rPr>
            </w:pPr>
          </w:p>
        </w:tc>
        <w:tc>
          <w:tcPr>
            <w:tcW w:w="882" w:type="dxa"/>
            <w:vAlign w:val="top"/>
          </w:tcPr>
          <w:p w14:paraId="5D00A745">
            <w:pPr>
              <w:rPr>
                <w:rFonts w:ascii="Arial"/>
                <w:color w:val="auto"/>
                <w:sz w:val="21"/>
                <w:highlight w:val="none"/>
              </w:rPr>
            </w:pPr>
          </w:p>
        </w:tc>
        <w:tc>
          <w:tcPr>
            <w:tcW w:w="980" w:type="dxa"/>
            <w:vAlign w:val="top"/>
          </w:tcPr>
          <w:p w14:paraId="3E8D83C8">
            <w:pPr>
              <w:rPr>
                <w:rFonts w:ascii="Arial"/>
                <w:color w:val="auto"/>
                <w:sz w:val="21"/>
                <w:highlight w:val="none"/>
              </w:rPr>
            </w:pPr>
          </w:p>
        </w:tc>
        <w:tc>
          <w:tcPr>
            <w:tcW w:w="987" w:type="dxa"/>
            <w:tcBorders>
              <w:right w:val="single" w:color="000000" w:sz="6" w:space="0"/>
            </w:tcBorders>
            <w:vAlign w:val="top"/>
          </w:tcPr>
          <w:p w14:paraId="22EBD3EA">
            <w:pPr>
              <w:rPr>
                <w:rFonts w:ascii="Arial"/>
                <w:color w:val="auto"/>
                <w:sz w:val="21"/>
                <w:highlight w:val="none"/>
              </w:rPr>
            </w:pPr>
          </w:p>
        </w:tc>
      </w:tr>
      <w:tr w14:paraId="7B7FA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7F2AE903">
            <w:pPr>
              <w:rPr>
                <w:rFonts w:ascii="Arial"/>
                <w:color w:val="auto"/>
                <w:sz w:val="21"/>
                <w:highlight w:val="none"/>
              </w:rPr>
            </w:pPr>
          </w:p>
        </w:tc>
        <w:tc>
          <w:tcPr>
            <w:tcW w:w="1071" w:type="dxa"/>
            <w:vAlign w:val="top"/>
          </w:tcPr>
          <w:p w14:paraId="26F3FD5C">
            <w:pPr>
              <w:rPr>
                <w:rFonts w:ascii="Arial"/>
                <w:color w:val="auto"/>
                <w:sz w:val="21"/>
                <w:highlight w:val="none"/>
              </w:rPr>
            </w:pPr>
          </w:p>
        </w:tc>
        <w:tc>
          <w:tcPr>
            <w:tcW w:w="719" w:type="dxa"/>
            <w:vAlign w:val="top"/>
          </w:tcPr>
          <w:p w14:paraId="4A3D1C67">
            <w:pPr>
              <w:rPr>
                <w:rFonts w:ascii="Arial"/>
                <w:color w:val="auto"/>
                <w:sz w:val="21"/>
                <w:highlight w:val="none"/>
              </w:rPr>
            </w:pPr>
          </w:p>
        </w:tc>
        <w:tc>
          <w:tcPr>
            <w:tcW w:w="740" w:type="dxa"/>
            <w:vAlign w:val="top"/>
          </w:tcPr>
          <w:p w14:paraId="05F7B8D7">
            <w:pPr>
              <w:rPr>
                <w:rFonts w:ascii="Arial"/>
                <w:color w:val="auto"/>
                <w:sz w:val="21"/>
                <w:highlight w:val="none"/>
              </w:rPr>
            </w:pPr>
          </w:p>
        </w:tc>
        <w:tc>
          <w:tcPr>
            <w:tcW w:w="738" w:type="dxa"/>
            <w:vAlign w:val="top"/>
          </w:tcPr>
          <w:p w14:paraId="463BA180">
            <w:pPr>
              <w:rPr>
                <w:rFonts w:ascii="Arial"/>
                <w:color w:val="auto"/>
                <w:sz w:val="21"/>
                <w:highlight w:val="none"/>
              </w:rPr>
            </w:pPr>
          </w:p>
        </w:tc>
        <w:tc>
          <w:tcPr>
            <w:tcW w:w="855" w:type="dxa"/>
            <w:vAlign w:val="top"/>
          </w:tcPr>
          <w:p w14:paraId="1A974144">
            <w:pPr>
              <w:rPr>
                <w:rFonts w:ascii="Arial"/>
                <w:color w:val="auto"/>
                <w:sz w:val="21"/>
                <w:highlight w:val="none"/>
              </w:rPr>
            </w:pPr>
          </w:p>
        </w:tc>
        <w:tc>
          <w:tcPr>
            <w:tcW w:w="1270" w:type="dxa"/>
            <w:vAlign w:val="top"/>
          </w:tcPr>
          <w:p w14:paraId="1181B36C">
            <w:pPr>
              <w:rPr>
                <w:rFonts w:ascii="Arial"/>
                <w:color w:val="auto"/>
                <w:sz w:val="21"/>
                <w:highlight w:val="none"/>
              </w:rPr>
            </w:pPr>
          </w:p>
        </w:tc>
        <w:tc>
          <w:tcPr>
            <w:tcW w:w="882" w:type="dxa"/>
            <w:vAlign w:val="top"/>
          </w:tcPr>
          <w:p w14:paraId="5992A63C">
            <w:pPr>
              <w:rPr>
                <w:rFonts w:ascii="Arial"/>
                <w:color w:val="auto"/>
                <w:sz w:val="21"/>
                <w:highlight w:val="none"/>
              </w:rPr>
            </w:pPr>
          </w:p>
        </w:tc>
        <w:tc>
          <w:tcPr>
            <w:tcW w:w="980" w:type="dxa"/>
            <w:vAlign w:val="top"/>
          </w:tcPr>
          <w:p w14:paraId="5E46D466">
            <w:pPr>
              <w:rPr>
                <w:rFonts w:ascii="Arial"/>
                <w:color w:val="auto"/>
                <w:sz w:val="21"/>
                <w:highlight w:val="none"/>
              </w:rPr>
            </w:pPr>
          </w:p>
        </w:tc>
        <w:tc>
          <w:tcPr>
            <w:tcW w:w="987" w:type="dxa"/>
            <w:tcBorders>
              <w:right w:val="single" w:color="000000" w:sz="6" w:space="0"/>
            </w:tcBorders>
            <w:vAlign w:val="top"/>
          </w:tcPr>
          <w:p w14:paraId="6889F75F">
            <w:pPr>
              <w:rPr>
                <w:rFonts w:ascii="Arial"/>
                <w:color w:val="auto"/>
                <w:sz w:val="21"/>
                <w:highlight w:val="none"/>
              </w:rPr>
            </w:pPr>
          </w:p>
        </w:tc>
      </w:tr>
      <w:tr w14:paraId="0DDC1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151D5738">
            <w:pPr>
              <w:rPr>
                <w:rFonts w:ascii="Arial"/>
                <w:color w:val="auto"/>
                <w:sz w:val="21"/>
                <w:highlight w:val="none"/>
              </w:rPr>
            </w:pPr>
          </w:p>
        </w:tc>
        <w:tc>
          <w:tcPr>
            <w:tcW w:w="1071" w:type="dxa"/>
            <w:vAlign w:val="top"/>
          </w:tcPr>
          <w:p w14:paraId="69D068C5">
            <w:pPr>
              <w:rPr>
                <w:rFonts w:ascii="Arial"/>
                <w:color w:val="auto"/>
                <w:sz w:val="21"/>
                <w:highlight w:val="none"/>
              </w:rPr>
            </w:pPr>
          </w:p>
        </w:tc>
        <w:tc>
          <w:tcPr>
            <w:tcW w:w="719" w:type="dxa"/>
            <w:vAlign w:val="top"/>
          </w:tcPr>
          <w:p w14:paraId="186E9764">
            <w:pPr>
              <w:rPr>
                <w:rFonts w:ascii="Arial"/>
                <w:color w:val="auto"/>
                <w:sz w:val="21"/>
                <w:highlight w:val="none"/>
              </w:rPr>
            </w:pPr>
          </w:p>
        </w:tc>
        <w:tc>
          <w:tcPr>
            <w:tcW w:w="740" w:type="dxa"/>
            <w:vAlign w:val="top"/>
          </w:tcPr>
          <w:p w14:paraId="0057C422">
            <w:pPr>
              <w:rPr>
                <w:rFonts w:ascii="Arial"/>
                <w:color w:val="auto"/>
                <w:sz w:val="21"/>
                <w:highlight w:val="none"/>
              </w:rPr>
            </w:pPr>
          </w:p>
        </w:tc>
        <w:tc>
          <w:tcPr>
            <w:tcW w:w="738" w:type="dxa"/>
            <w:vAlign w:val="top"/>
          </w:tcPr>
          <w:p w14:paraId="25798F39">
            <w:pPr>
              <w:rPr>
                <w:rFonts w:ascii="Arial"/>
                <w:color w:val="auto"/>
                <w:sz w:val="21"/>
                <w:highlight w:val="none"/>
              </w:rPr>
            </w:pPr>
          </w:p>
        </w:tc>
        <w:tc>
          <w:tcPr>
            <w:tcW w:w="855" w:type="dxa"/>
            <w:vAlign w:val="top"/>
          </w:tcPr>
          <w:p w14:paraId="338C37B4">
            <w:pPr>
              <w:rPr>
                <w:rFonts w:ascii="Arial"/>
                <w:color w:val="auto"/>
                <w:sz w:val="21"/>
                <w:highlight w:val="none"/>
              </w:rPr>
            </w:pPr>
          </w:p>
        </w:tc>
        <w:tc>
          <w:tcPr>
            <w:tcW w:w="1270" w:type="dxa"/>
            <w:vAlign w:val="top"/>
          </w:tcPr>
          <w:p w14:paraId="268272B9">
            <w:pPr>
              <w:rPr>
                <w:rFonts w:ascii="Arial"/>
                <w:color w:val="auto"/>
                <w:sz w:val="21"/>
                <w:highlight w:val="none"/>
              </w:rPr>
            </w:pPr>
          </w:p>
        </w:tc>
        <w:tc>
          <w:tcPr>
            <w:tcW w:w="882" w:type="dxa"/>
            <w:vAlign w:val="top"/>
          </w:tcPr>
          <w:p w14:paraId="4B252CCA">
            <w:pPr>
              <w:rPr>
                <w:rFonts w:ascii="Arial"/>
                <w:color w:val="auto"/>
                <w:sz w:val="21"/>
                <w:highlight w:val="none"/>
              </w:rPr>
            </w:pPr>
          </w:p>
        </w:tc>
        <w:tc>
          <w:tcPr>
            <w:tcW w:w="980" w:type="dxa"/>
            <w:vAlign w:val="top"/>
          </w:tcPr>
          <w:p w14:paraId="6991984B">
            <w:pPr>
              <w:rPr>
                <w:rFonts w:ascii="Arial"/>
                <w:color w:val="auto"/>
                <w:sz w:val="21"/>
                <w:highlight w:val="none"/>
              </w:rPr>
            </w:pPr>
          </w:p>
        </w:tc>
        <w:tc>
          <w:tcPr>
            <w:tcW w:w="987" w:type="dxa"/>
            <w:tcBorders>
              <w:right w:val="single" w:color="000000" w:sz="6" w:space="0"/>
            </w:tcBorders>
            <w:vAlign w:val="top"/>
          </w:tcPr>
          <w:p w14:paraId="7F67F74A">
            <w:pPr>
              <w:rPr>
                <w:rFonts w:ascii="Arial"/>
                <w:color w:val="auto"/>
                <w:sz w:val="21"/>
                <w:highlight w:val="none"/>
              </w:rPr>
            </w:pPr>
          </w:p>
        </w:tc>
      </w:tr>
      <w:tr w14:paraId="48976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73E3AD49">
            <w:pPr>
              <w:rPr>
                <w:rFonts w:ascii="Arial"/>
                <w:color w:val="auto"/>
                <w:sz w:val="21"/>
                <w:highlight w:val="none"/>
              </w:rPr>
            </w:pPr>
          </w:p>
        </w:tc>
        <w:tc>
          <w:tcPr>
            <w:tcW w:w="1071" w:type="dxa"/>
            <w:vAlign w:val="top"/>
          </w:tcPr>
          <w:p w14:paraId="1D78E988">
            <w:pPr>
              <w:rPr>
                <w:rFonts w:ascii="Arial"/>
                <w:color w:val="auto"/>
                <w:sz w:val="21"/>
                <w:highlight w:val="none"/>
              </w:rPr>
            </w:pPr>
          </w:p>
        </w:tc>
        <w:tc>
          <w:tcPr>
            <w:tcW w:w="719" w:type="dxa"/>
            <w:vAlign w:val="top"/>
          </w:tcPr>
          <w:p w14:paraId="58447C70">
            <w:pPr>
              <w:rPr>
                <w:rFonts w:ascii="Arial"/>
                <w:color w:val="auto"/>
                <w:sz w:val="21"/>
                <w:highlight w:val="none"/>
              </w:rPr>
            </w:pPr>
          </w:p>
        </w:tc>
        <w:tc>
          <w:tcPr>
            <w:tcW w:w="740" w:type="dxa"/>
            <w:vAlign w:val="top"/>
          </w:tcPr>
          <w:p w14:paraId="4F2FC09F">
            <w:pPr>
              <w:rPr>
                <w:rFonts w:ascii="Arial"/>
                <w:color w:val="auto"/>
                <w:sz w:val="21"/>
                <w:highlight w:val="none"/>
              </w:rPr>
            </w:pPr>
          </w:p>
        </w:tc>
        <w:tc>
          <w:tcPr>
            <w:tcW w:w="738" w:type="dxa"/>
            <w:vAlign w:val="top"/>
          </w:tcPr>
          <w:p w14:paraId="764CD735">
            <w:pPr>
              <w:rPr>
                <w:rFonts w:ascii="Arial"/>
                <w:color w:val="auto"/>
                <w:sz w:val="21"/>
                <w:highlight w:val="none"/>
              </w:rPr>
            </w:pPr>
          </w:p>
        </w:tc>
        <w:tc>
          <w:tcPr>
            <w:tcW w:w="855" w:type="dxa"/>
            <w:vAlign w:val="top"/>
          </w:tcPr>
          <w:p w14:paraId="4CC03A27">
            <w:pPr>
              <w:rPr>
                <w:rFonts w:ascii="Arial"/>
                <w:color w:val="auto"/>
                <w:sz w:val="21"/>
                <w:highlight w:val="none"/>
              </w:rPr>
            </w:pPr>
          </w:p>
        </w:tc>
        <w:tc>
          <w:tcPr>
            <w:tcW w:w="1270" w:type="dxa"/>
            <w:vAlign w:val="top"/>
          </w:tcPr>
          <w:p w14:paraId="2AC3D32E">
            <w:pPr>
              <w:rPr>
                <w:rFonts w:ascii="Arial"/>
                <w:color w:val="auto"/>
                <w:sz w:val="21"/>
                <w:highlight w:val="none"/>
              </w:rPr>
            </w:pPr>
          </w:p>
        </w:tc>
        <w:tc>
          <w:tcPr>
            <w:tcW w:w="882" w:type="dxa"/>
            <w:vAlign w:val="top"/>
          </w:tcPr>
          <w:p w14:paraId="227960C1">
            <w:pPr>
              <w:rPr>
                <w:rFonts w:ascii="Arial"/>
                <w:color w:val="auto"/>
                <w:sz w:val="21"/>
                <w:highlight w:val="none"/>
              </w:rPr>
            </w:pPr>
          </w:p>
        </w:tc>
        <w:tc>
          <w:tcPr>
            <w:tcW w:w="980" w:type="dxa"/>
            <w:vAlign w:val="top"/>
          </w:tcPr>
          <w:p w14:paraId="76C746F1">
            <w:pPr>
              <w:rPr>
                <w:rFonts w:ascii="Arial"/>
                <w:color w:val="auto"/>
                <w:sz w:val="21"/>
                <w:highlight w:val="none"/>
              </w:rPr>
            </w:pPr>
          </w:p>
        </w:tc>
        <w:tc>
          <w:tcPr>
            <w:tcW w:w="987" w:type="dxa"/>
            <w:tcBorders>
              <w:right w:val="single" w:color="000000" w:sz="6" w:space="0"/>
            </w:tcBorders>
            <w:vAlign w:val="top"/>
          </w:tcPr>
          <w:p w14:paraId="022D7800">
            <w:pPr>
              <w:rPr>
                <w:rFonts w:ascii="Arial"/>
                <w:color w:val="auto"/>
                <w:sz w:val="21"/>
                <w:highlight w:val="none"/>
              </w:rPr>
            </w:pPr>
          </w:p>
        </w:tc>
      </w:tr>
      <w:tr w14:paraId="3F148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63" w:type="dxa"/>
            <w:tcBorders>
              <w:left w:val="single" w:color="000000" w:sz="6" w:space="0"/>
            </w:tcBorders>
            <w:vAlign w:val="top"/>
          </w:tcPr>
          <w:p w14:paraId="0272DF21">
            <w:pPr>
              <w:rPr>
                <w:rFonts w:ascii="Arial"/>
                <w:color w:val="auto"/>
                <w:sz w:val="21"/>
                <w:highlight w:val="none"/>
              </w:rPr>
            </w:pPr>
          </w:p>
        </w:tc>
        <w:tc>
          <w:tcPr>
            <w:tcW w:w="1071" w:type="dxa"/>
            <w:vAlign w:val="top"/>
          </w:tcPr>
          <w:p w14:paraId="12E36650">
            <w:pPr>
              <w:rPr>
                <w:rFonts w:ascii="Arial"/>
                <w:color w:val="auto"/>
                <w:sz w:val="21"/>
                <w:highlight w:val="none"/>
              </w:rPr>
            </w:pPr>
          </w:p>
        </w:tc>
        <w:tc>
          <w:tcPr>
            <w:tcW w:w="719" w:type="dxa"/>
            <w:vAlign w:val="top"/>
          </w:tcPr>
          <w:p w14:paraId="1B094533">
            <w:pPr>
              <w:rPr>
                <w:rFonts w:ascii="Arial"/>
                <w:color w:val="auto"/>
                <w:sz w:val="21"/>
                <w:highlight w:val="none"/>
              </w:rPr>
            </w:pPr>
          </w:p>
        </w:tc>
        <w:tc>
          <w:tcPr>
            <w:tcW w:w="740" w:type="dxa"/>
            <w:vAlign w:val="top"/>
          </w:tcPr>
          <w:p w14:paraId="556E0CBF">
            <w:pPr>
              <w:rPr>
                <w:rFonts w:ascii="Arial"/>
                <w:color w:val="auto"/>
                <w:sz w:val="21"/>
                <w:highlight w:val="none"/>
              </w:rPr>
            </w:pPr>
          </w:p>
        </w:tc>
        <w:tc>
          <w:tcPr>
            <w:tcW w:w="738" w:type="dxa"/>
            <w:vAlign w:val="top"/>
          </w:tcPr>
          <w:p w14:paraId="1ED67494">
            <w:pPr>
              <w:rPr>
                <w:rFonts w:ascii="Arial"/>
                <w:color w:val="auto"/>
                <w:sz w:val="21"/>
                <w:highlight w:val="none"/>
              </w:rPr>
            </w:pPr>
          </w:p>
        </w:tc>
        <w:tc>
          <w:tcPr>
            <w:tcW w:w="855" w:type="dxa"/>
            <w:vAlign w:val="top"/>
          </w:tcPr>
          <w:p w14:paraId="07D34271">
            <w:pPr>
              <w:rPr>
                <w:rFonts w:ascii="Arial"/>
                <w:color w:val="auto"/>
                <w:sz w:val="21"/>
                <w:highlight w:val="none"/>
              </w:rPr>
            </w:pPr>
          </w:p>
        </w:tc>
        <w:tc>
          <w:tcPr>
            <w:tcW w:w="1270" w:type="dxa"/>
            <w:vAlign w:val="top"/>
          </w:tcPr>
          <w:p w14:paraId="3FED1540">
            <w:pPr>
              <w:rPr>
                <w:rFonts w:ascii="Arial"/>
                <w:color w:val="auto"/>
                <w:sz w:val="21"/>
                <w:highlight w:val="none"/>
              </w:rPr>
            </w:pPr>
          </w:p>
        </w:tc>
        <w:tc>
          <w:tcPr>
            <w:tcW w:w="882" w:type="dxa"/>
            <w:vAlign w:val="top"/>
          </w:tcPr>
          <w:p w14:paraId="6527AAF2">
            <w:pPr>
              <w:rPr>
                <w:rFonts w:ascii="Arial"/>
                <w:color w:val="auto"/>
                <w:sz w:val="21"/>
                <w:highlight w:val="none"/>
              </w:rPr>
            </w:pPr>
          </w:p>
        </w:tc>
        <w:tc>
          <w:tcPr>
            <w:tcW w:w="980" w:type="dxa"/>
            <w:vAlign w:val="top"/>
          </w:tcPr>
          <w:p w14:paraId="182C77A9">
            <w:pPr>
              <w:rPr>
                <w:rFonts w:ascii="Arial"/>
                <w:color w:val="auto"/>
                <w:sz w:val="21"/>
                <w:highlight w:val="none"/>
              </w:rPr>
            </w:pPr>
          </w:p>
        </w:tc>
        <w:tc>
          <w:tcPr>
            <w:tcW w:w="987" w:type="dxa"/>
            <w:tcBorders>
              <w:right w:val="single" w:color="000000" w:sz="6" w:space="0"/>
            </w:tcBorders>
            <w:vAlign w:val="top"/>
          </w:tcPr>
          <w:p w14:paraId="2C409B9A">
            <w:pPr>
              <w:rPr>
                <w:rFonts w:ascii="Arial"/>
                <w:color w:val="auto"/>
                <w:sz w:val="21"/>
                <w:highlight w:val="none"/>
              </w:rPr>
            </w:pPr>
          </w:p>
        </w:tc>
      </w:tr>
      <w:tr w14:paraId="1267F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37B1702B">
            <w:pPr>
              <w:rPr>
                <w:rFonts w:ascii="Arial"/>
                <w:color w:val="auto"/>
                <w:sz w:val="21"/>
                <w:highlight w:val="none"/>
              </w:rPr>
            </w:pPr>
          </w:p>
        </w:tc>
        <w:tc>
          <w:tcPr>
            <w:tcW w:w="1071" w:type="dxa"/>
            <w:vAlign w:val="top"/>
          </w:tcPr>
          <w:p w14:paraId="4813D208">
            <w:pPr>
              <w:rPr>
                <w:rFonts w:ascii="Arial"/>
                <w:color w:val="auto"/>
                <w:sz w:val="21"/>
                <w:highlight w:val="none"/>
              </w:rPr>
            </w:pPr>
          </w:p>
        </w:tc>
        <w:tc>
          <w:tcPr>
            <w:tcW w:w="719" w:type="dxa"/>
            <w:vAlign w:val="top"/>
          </w:tcPr>
          <w:p w14:paraId="4F1A0888">
            <w:pPr>
              <w:rPr>
                <w:rFonts w:ascii="Arial"/>
                <w:color w:val="auto"/>
                <w:sz w:val="21"/>
                <w:highlight w:val="none"/>
              </w:rPr>
            </w:pPr>
          </w:p>
        </w:tc>
        <w:tc>
          <w:tcPr>
            <w:tcW w:w="740" w:type="dxa"/>
            <w:vAlign w:val="top"/>
          </w:tcPr>
          <w:p w14:paraId="53253DA4">
            <w:pPr>
              <w:rPr>
                <w:rFonts w:ascii="Arial"/>
                <w:color w:val="auto"/>
                <w:sz w:val="21"/>
                <w:highlight w:val="none"/>
              </w:rPr>
            </w:pPr>
          </w:p>
        </w:tc>
        <w:tc>
          <w:tcPr>
            <w:tcW w:w="738" w:type="dxa"/>
            <w:vAlign w:val="top"/>
          </w:tcPr>
          <w:p w14:paraId="55660763">
            <w:pPr>
              <w:rPr>
                <w:rFonts w:ascii="Arial"/>
                <w:color w:val="auto"/>
                <w:sz w:val="21"/>
                <w:highlight w:val="none"/>
              </w:rPr>
            </w:pPr>
          </w:p>
        </w:tc>
        <w:tc>
          <w:tcPr>
            <w:tcW w:w="855" w:type="dxa"/>
            <w:vAlign w:val="top"/>
          </w:tcPr>
          <w:p w14:paraId="49C2A6B2">
            <w:pPr>
              <w:rPr>
                <w:rFonts w:ascii="Arial"/>
                <w:color w:val="auto"/>
                <w:sz w:val="21"/>
                <w:highlight w:val="none"/>
              </w:rPr>
            </w:pPr>
          </w:p>
        </w:tc>
        <w:tc>
          <w:tcPr>
            <w:tcW w:w="1270" w:type="dxa"/>
            <w:vAlign w:val="top"/>
          </w:tcPr>
          <w:p w14:paraId="1DC17D9D">
            <w:pPr>
              <w:rPr>
                <w:rFonts w:ascii="Arial"/>
                <w:color w:val="auto"/>
                <w:sz w:val="21"/>
                <w:highlight w:val="none"/>
              </w:rPr>
            </w:pPr>
          </w:p>
        </w:tc>
        <w:tc>
          <w:tcPr>
            <w:tcW w:w="882" w:type="dxa"/>
            <w:vAlign w:val="top"/>
          </w:tcPr>
          <w:p w14:paraId="7D51A380">
            <w:pPr>
              <w:rPr>
                <w:rFonts w:ascii="Arial"/>
                <w:color w:val="auto"/>
                <w:sz w:val="21"/>
                <w:highlight w:val="none"/>
              </w:rPr>
            </w:pPr>
          </w:p>
        </w:tc>
        <w:tc>
          <w:tcPr>
            <w:tcW w:w="980" w:type="dxa"/>
            <w:vAlign w:val="top"/>
          </w:tcPr>
          <w:p w14:paraId="021F9844">
            <w:pPr>
              <w:rPr>
                <w:rFonts w:ascii="Arial"/>
                <w:color w:val="auto"/>
                <w:sz w:val="21"/>
                <w:highlight w:val="none"/>
              </w:rPr>
            </w:pPr>
          </w:p>
        </w:tc>
        <w:tc>
          <w:tcPr>
            <w:tcW w:w="987" w:type="dxa"/>
            <w:tcBorders>
              <w:right w:val="single" w:color="000000" w:sz="6" w:space="0"/>
            </w:tcBorders>
            <w:vAlign w:val="top"/>
          </w:tcPr>
          <w:p w14:paraId="5F0E9D21">
            <w:pPr>
              <w:rPr>
                <w:rFonts w:ascii="Arial"/>
                <w:color w:val="auto"/>
                <w:sz w:val="21"/>
                <w:highlight w:val="none"/>
              </w:rPr>
            </w:pPr>
          </w:p>
        </w:tc>
      </w:tr>
      <w:tr w14:paraId="6D804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6525C52A">
            <w:pPr>
              <w:rPr>
                <w:rFonts w:ascii="Arial"/>
                <w:color w:val="auto"/>
                <w:sz w:val="21"/>
                <w:highlight w:val="none"/>
              </w:rPr>
            </w:pPr>
          </w:p>
        </w:tc>
        <w:tc>
          <w:tcPr>
            <w:tcW w:w="1071" w:type="dxa"/>
            <w:vAlign w:val="top"/>
          </w:tcPr>
          <w:p w14:paraId="67B93388">
            <w:pPr>
              <w:rPr>
                <w:rFonts w:ascii="Arial"/>
                <w:color w:val="auto"/>
                <w:sz w:val="21"/>
                <w:highlight w:val="none"/>
              </w:rPr>
            </w:pPr>
          </w:p>
        </w:tc>
        <w:tc>
          <w:tcPr>
            <w:tcW w:w="719" w:type="dxa"/>
            <w:vAlign w:val="top"/>
          </w:tcPr>
          <w:p w14:paraId="5289D7B4">
            <w:pPr>
              <w:rPr>
                <w:rFonts w:ascii="Arial"/>
                <w:color w:val="auto"/>
                <w:sz w:val="21"/>
                <w:highlight w:val="none"/>
              </w:rPr>
            </w:pPr>
          </w:p>
        </w:tc>
        <w:tc>
          <w:tcPr>
            <w:tcW w:w="740" w:type="dxa"/>
            <w:vAlign w:val="top"/>
          </w:tcPr>
          <w:p w14:paraId="02CA3B73">
            <w:pPr>
              <w:rPr>
                <w:rFonts w:ascii="Arial"/>
                <w:color w:val="auto"/>
                <w:sz w:val="21"/>
                <w:highlight w:val="none"/>
              </w:rPr>
            </w:pPr>
          </w:p>
        </w:tc>
        <w:tc>
          <w:tcPr>
            <w:tcW w:w="738" w:type="dxa"/>
            <w:vAlign w:val="top"/>
          </w:tcPr>
          <w:p w14:paraId="406B3B70">
            <w:pPr>
              <w:rPr>
                <w:rFonts w:ascii="Arial"/>
                <w:color w:val="auto"/>
                <w:sz w:val="21"/>
                <w:highlight w:val="none"/>
              </w:rPr>
            </w:pPr>
          </w:p>
        </w:tc>
        <w:tc>
          <w:tcPr>
            <w:tcW w:w="855" w:type="dxa"/>
            <w:vAlign w:val="top"/>
          </w:tcPr>
          <w:p w14:paraId="1FE6058C">
            <w:pPr>
              <w:rPr>
                <w:rFonts w:ascii="Arial"/>
                <w:color w:val="auto"/>
                <w:sz w:val="21"/>
                <w:highlight w:val="none"/>
              </w:rPr>
            </w:pPr>
          </w:p>
        </w:tc>
        <w:tc>
          <w:tcPr>
            <w:tcW w:w="1270" w:type="dxa"/>
            <w:vAlign w:val="top"/>
          </w:tcPr>
          <w:p w14:paraId="3A2138BF">
            <w:pPr>
              <w:rPr>
                <w:rFonts w:ascii="Arial"/>
                <w:color w:val="auto"/>
                <w:sz w:val="21"/>
                <w:highlight w:val="none"/>
              </w:rPr>
            </w:pPr>
          </w:p>
        </w:tc>
        <w:tc>
          <w:tcPr>
            <w:tcW w:w="882" w:type="dxa"/>
            <w:vAlign w:val="top"/>
          </w:tcPr>
          <w:p w14:paraId="560AD0C1">
            <w:pPr>
              <w:rPr>
                <w:rFonts w:ascii="Arial"/>
                <w:color w:val="auto"/>
                <w:sz w:val="21"/>
                <w:highlight w:val="none"/>
              </w:rPr>
            </w:pPr>
          </w:p>
        </w:tc>
        <w:tc>
          <w:tcPr>
            <w:tcW w:w="980" w:type="dxa"/>
            <w:vAlign w:val="top"/>
          </w:tcPr>
          <w:p w14:paraId="4DEE6665">
            <w:pPr>
              <w:rPr>
                <w:rFonts w:ascii="Arial"/>
                <w:color w:val="auto"/>
                <w:sz w:val="21"/>
                <w:highlight w:val="none"/>
              </w:rPr>
            </w:pPr>
          </w:p>
        </w:tc>
        <w:tc>
          <w:tcPr>
            <w:tcW w:w="987" w:type="dxa"/>
            <w:tcBorders>
              <w:right w:val="single" w:color="000000" w:sz="6" w:space="0"/>
            </w:tcBorders>
            <w:vAlign w:val="top"/>
          </w:tcPr>
          <w:p w14:paraId="0371A744">
            <w:pPr>
              <w:rPr>
                <w:rFonts w:ascii="Arial"/>
                <w:color w:val="auto"/>
                <w:sz w:val="21"/>
                <w:highlight w:val="none"/>
              </w:rPr>
            </w:pPr>
          </w:p>
        </w:tc>
      </w:tr>
      <w:tr w14:paraId="6E809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63" w:type="dxa"/>
            <w:tcBorders>
              <w:left w:val="single" w:color="000000" w:sz="6" w:space="0"/>
            </w:tcBorders>
            <w:vAlign w:val="top"/>
          </w:tcPr>
          <w:p w14:paraId="4019351D">
            <w:pPr>
              <w:rPr>
                <w:rFonts w:ascii="Arial"/>
                <w:color w:val="auto"/>
                <w:sz w:val="21"/>
                <w:highlight w:val="none"/>
              </w:rPr>
            </w:pPr>
          </w:p>
        </w:tc>
        <w:tc>
          <w:tcPr>
            <w:tcW w:w="1071" w:type="dxa"/>
            <w:vAlign w:val="top"/>
          </w:tcPr>
          <w:p w14:paraId="592A5DA8">
            <w:pPr>
              <w:rPr>
                <w:rFonts w:ascii="Arial"/>
                <w:color w:val="auto"/>
                <w:sz w:val="21"/>
                <w:highlight w:val="none"/>
              </w:rPr>
            </w:pPr>
          </w:p>
        </w:tc>
        <w:tc>
          <w:tcPr>
            <w:tcW w:w="719" w:type="dxa"/>
            <w:vAlign w:val="top"/>
          </w:tcPr>
          <w:p w14:paraId="0930EF1A">
            <w:pPr>
              <w:rPr>
                <w:rFonts w:ascii="Arial"/>
                <w:color w:val="auto"/>
                <w:sz w:val="21"/>
                <w:highlight w:val="none"/>
              </w:rPr>
            </w:pPr>
          </w:p>
        </w:tc>
        <w:tc>
          <w:tcPr>
            <w:tcW w:w="740" w:type="dxa"/>
            <w:vAlign w:val="top"/>
          </w:tcPr>
          <w:p w14:paraId="287AD172">
            <w:pPr>
              <w:rPr>
                <w:rFonts w:ascii="Arial"/>
                <w:color w:val="auto"/>
                <w:sz w:val="21"/>
                <w:highlight w:val="none"/>
              </w:rPr>
            </w:pPr>
          </w:p>
        </w:tc>
        <w:tc>
          <w:tcPr>
            <w:tcW w:w="738" w:type="dxa"/>
            <w:vAlign w:val="top"/>
          </w:tcPr>
          <w:p w14:paraId="3835B309">
            <w:pPr>
              <w:rPr>
                <w:rFonts w:ascii="Arial"/>
                <w:color w:val="auto"/>
                <w:sz w:val="21"/>
                <w:highlight w:val="none"/>
              </w:rPr>
            </w:pPr>
          </w:p>
        </w:tc>
        <w:tc>
          <w:tcPr>
            <w:tcW w:w="855" w:type="dxa"/>
            <w:vAlign w:val="top"/>
          </w:tcPr>
          <w:p w14:paraId="72137726">
            <w:pPr>
              <w:rPr>
                <w:rFonts w:ascii="Arial"/>
                <w:color w:val="auto"/>
                <w:sz w:val="21"/>
                <w:highlight w:val="none"/>
              </w:rPr>
            </w:pPr>
          </w:p>
        </w:tc>
        <w:tc>
          <w:tcPr>
            <w:tcW w:w="1270" w:type="dxa"/>
            <w:vAlign w:val="top"/>
          </w:tcPr>
          <w:p w14:paraId="6A86A8E5">
            <w:pPr>
              <w:rPr>
                <w:rFonts w:ascii="Arial"/>
                <w:color w:val="auto"/>
                <w:sz w:val="21"/>
                <w:highlight w:val="none"/>
              </w:rPr>
            </w:pPr>
          </w:p>
        </w:tc>
        <w:tc>
          <w:tcPr>
            <w:tcW w:w="882" w:type="dxa"/>
            <w:vAlign w:val="top"/>
          </w:tcPr>
          <w:p w14:paraId="259F75FC">
            <w:pPr>
              <w:rPr>
                <w:rFonts w:ascii="Arial"/>
                <w:color w:val="auto"/>
                <w:sz w:val="21"/>
                <w:highlight w:val="none"/>
              </w:rPr>
            </w:pPr>
          </w:p>
        </w:tc>
        <w:tc>
          <w:tcPr>
            <w:tcW w:w="980" w:type="dxa"/>
            <w:vAlign w:val="top"/>
          </w:tcPr>
          <w:p w14:paraId="794FBB3B">
            <w:pPr>
              <w:rPr>
                <w:rFonts w:ascii="Arial"/>
                <w:color w:val="auto"/>
                <w:sz w:val="21"/>
                <w:highlight w:val="none"/>
              </w:rPr>
            </w:pPr>
          </w:p>
        </w:tc>
        <w:tc>
          <w:tcPr>
            <w:tcW w:w="987" w:type="dxa"/>
            <w:tcBorders>
              <w:right w:val="single" w:color="000000" w:sz="6" w:space="0"/>
            </w:tcBorders>
            <w:vAlign w:val="top"/>
          </w:tcPr>
          <w:p w14:paraId="556E8334">
            <w:pPr>
              <w:rPr>
                <w:rFonts w:ascii="Arial"/>
                <w:color w:val="auto"/>
                <w:sz w:val="21"/>
                <w:highlight w:val="none"/>
              </w:rPr>
            </w:pPr>
          </w:p>
        </w:tc>
      </w:tr>
      <w:tr w14:paraId="77169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663" w:type="dxa"/>
            <w:tcBorders>
              <w:left w:val="single" w:color="000000" w:sz="6" w:space="0"/>
              <w:bottom w:val="single" w:color="000000" w:sz="6" w:space="0"/>
            </w:tcBorders>
            <w:vAlign w:val="top"/>
          </w:tcPr>
          <w:p w14:paraId="2693FBEB">
            <w:pPr>
              <w:rPr>
                <w:rFonts w:ascii="Arial"/>
                <w:color w:val="auto"/>
                <w:sz w:val="21"/>
                <w:highlight w:val="none"/>
              </w:rPr>
            </w:pPr>
          </w:p>
        </w:tc>
        <w:tc>
          <w:tcPr>
            <w:tcW w:w="1071" w:type="dxa"/>
            <w:tcBorders>
              <w:bottom w:val="single" w:color="000000" w:sz="6" w:space="0"/>
            </w:tcBorders>
            <w:vAlign w:val="top"/>
          </w:tcPr>
          <w:p w14:paraId="2C5E3A85">
            <w:pPr>
              <w:rPr>
                <w:rFonts w:ascii="Arial"/>
                <w:color w:val="auto"/>
                <w:sz w:val="21"/>
                <w:highlight w:val="none"/>
              </w:rPr>
            </w:pPr>
          </w:p>
        </w:tc>
        <w:tc>
          <w:tcPr>
            <w:tcW w:w="719" w:type="dxa"/>
            <w:tcBorders>
              <w:bottom w:val="single" w:color="000000" w:sz="6" w:space="0"/>
            </w:tcBorders>
            <w:vAlign w:val="top"/>
          </w:tcPr>
          <w:p w14:paraId="1CC31BD1">
            <w:pPr>
              <w:rPr>
                <w:rFonts w:ascii="Arial"/>
                <w:color w:val="auto"/>
                <w:sz w:val="21"/>
                <w:highlight w:val="none"/>
              </w:rPr>
            </w:pPr>
          </w:p>
        </w:tc>
        <w:tc>
          <w:tcPr>
            <w:tcW w:w="740" w:type="dxa"/>
            <w:tcBorders>
              <w:bottom w:val="single" w:color="000000" w:sz="6" w:space="0"/>
            </w:tcBorders>
            <w:vAlign w:val="top"/>
          </w:tcPr>
          <w:p w14:paraId="5739FC3D">
            <w:pPr>
              <w:rPr>
                <w:rFonts w:ascii="Arial"/>
                <w:color w:val="auto"/>
                <w:sz w:val="21"/>
                <w:highlight w:val="none"/>
              </w:rPr>
            </w:pPr>
          </w:p>
        </w:tc>
        <w:tc>
          <w:tcPr>
            <w:tcW w:w="738" w:type="dxa"/>
            <w:tcBorders>
              <w:bottom w:val="single" w:color="000000" w:sz="6" w:space="0"/>
            </w:tcBorders>
            <w:vAlign w:val="top"/>
          </w:tcPr>
          <w:p w14:paraId="0454A73A">
            <w:pPr>
              <w:rPr>
                <w:rFonts w:ascii="Arial"/>
                <w:color w:val="auto"/>
                <w:sz w:val="21"/>
                <w:highlight w:val="none"/>
              </w:rPr>
            </w:pPr>
          </w:p>
        </w:tc>
        <w:tc>
          <w:tcPr>
            <w:tcW w:w="855" w:type="dxa"/>
            <w:tcBorders>
              <w:bottom w:val="single" w:color="000000" w:sz="6" w:space="0"/>
            </w:tcBorders>
            <w:vAlign w:val="top"/>
          </w:tcPr>
          <w:p w14:paraId="3B8DE3C7">
            <w:pPr>
              <w:rPr>
                <w:rFonts w:ascii="Arial"/>
                <w:color w:val="auto"/>
                <w:sz w:val="21"/>
                <w:highlight w:val="none"/>
              </w:rPr>
            </w:pPr>
          </w:p>
        </w:tc>
        <w:tc>
          <w:tcPr>
            <w:tcW w:w="1270" w:type="dxa"/>
            <w:tcBorders>
              <w:bottom w:val="single" w:color="000000" w:sz="6" w:space="0"/>
            </w:tcBorders>
            <w:vAlign w:val="top"/>
          </w:tcPr>
          <w:p w14:paraId="3B8C2CDA">
            <w:pPr>
              <w:rPr>
                <w:rFonts w:ascii="Arial"/>
                <w:color w:val="auto"/>
                <w:sz w:val="21"/>
                <w:highlight w:val="none"/>
              </w:rPr>
            </w:pPr>
          </w:p>
        </w:tc>
        <w:tc>
          <w:tcPr>
            <w:tcW w:w="882" w:type="dxa"/>
            <w:tcBorders>
              <w:bottom w:val="single" w:color="000000" w:sz="6" w:space="0"/>
            </w:tcBorders>
            <w:vAlign w:val="top"/>
          </w:tcPr>
          <w:p w14:paraId="27DEF6B0">
            <w:pPr>
              <w:rPr>
                <w:rFonts w:ascii="Arial"/>
                <w:color w:val="auto"/>
                <w:sz w:val="21"/>
                <w:highlight w:val="none"/>
              </w:rPr>
            </w:pPr>
          </w:p>
        </w:tc>
        <w:tc>
          <w:tcPr>
            <w:tcW w:w="980" w:type="dxa"/>
            <w:tcBorders>
              <w:bottom w:val="single" w:color="000000" w:sz="6" w:space="0"/>
            </w:tcBorders>
            <w:vAlign w:val="top"/>
          </w:tcPr>
          <w:p w14:paraId="4F573837">
            <w:pPr>
              <w:rPr>
                <w:rFonts w:ascii="Arial"/>
                <w:color w:val="auto"/>
                <w:sz w:val="21"/>
                <w:highlight w:val="none"/>
              </w:rPr>
            </w:pPr>
          </w:p>
        </w:tc>
        <w:tc>
          <w:tcPr>
            <w:tcW w:w="987" w:type="dxa"/>
            <w:tcBorders>
              <w:bottom w:val="single" w:color="000000" w:sz="6" w:space="0"/>
              <w:right w:val="single" w:color="000000" w:sz="6" w:space="0"/>
            </w:tcBorders>
            <w:vAlign w:val="top"/>
          </w:tcPr>
          <w:p w14:paraId="5C781A97">
            <w:pPr>
              <w:rPr>
                <w:rFonts w:ascii="Arial"/>
                <w:color w:val="auto"/>
                <w:sz w:val="21"/>
                <w:highlight w:val="none"/>
              </w:rPr>
            </w:pPr>
          </w:p>
        </w:tc>
      </w:tr>
    </w:tbl>
    <w:p w14:paraId="11C2071F">
      <w:pPr>
        <w:pStyle w:val="3"/>
        <w:rPr>
          <w:color w:val="auto"/>
          <w:highlight w:val="none"/>
        </w:rPr>
      </w:pPr>
    </w:p>
    <w:p w14:paraId="09847AC6">
      <w:pPr>
        <w:rPr>
          <w:color w:val="auto"/>
          <w:highlight w:val="none"/>
        </w:rPr>
        <w:sectPr>
          <w:footerReference r:id="rId116" w:type="default"/>
          <w:pgSz w:w="11907" w:h="16841"/>
          <w:pgMar w:top="620" w:right="1396" w:bottom="1254" w:left="1588" w:header="0" w:footer="1093" w:gutter="0"/>
          <w:pgNumType w:fmt="decimal"/>
          <w:cols w:space="720" w:num="1"/>
        </w:sectPr>
      </w:pPr>
    </w:p>
    <w:p w14:paraId="73E471C6">
      <w:pPr>
        <w:pStyle w:val="3"/>
        <w:spacing w:line="247" w:lineRule="auto"/>
        <w:rPr>
          <w:color w:val="auto"/>
          <w:highlight w:val="none"/>
        </w:rPr>
      </w:pPr>
    </w:p>
    <w:p w14:paraId="43BC4C44">
      <w:pPr>
        <w:pStyle w:val="3"/>
        <w:spacing w:line="248" w:lineRule="auto"/>
        <w:rPr>
          <w:color w:val="auto"/>
          <w:highlight w:val="none"/>
        </w:rPr>
      </w:pPr>
    </w:p>
    <w:p w14:paraId="395C83B1">
      <w:pPr>
        <w:pStyle w:val="3"/>
        <w:spacing w:line="248" w:lineRule="auto"/>
        <w:rPr>
          <w:color w:val="auto"/>
          <w:highlight w:val="none"/>
        </w:rPr>
      </w:pPr>
    </w:p>
    <w:p w14:paraId="0A5DB630">
      <w:pPr>
        <w:pStyle w:val="3"/>
        <w:spacing w:line="248" w:lineRule="auto"/>
        <w:rPr>
          <w:color w:val="auto"/>
          <w:highlight w:val="none"/>
        </w:rPr>
      </w:pPr>
    </w:p>
    <w:p w14:paraId="0229B935">
      <w:pPr>
        <w:spacing w:before="78" w:line="219" w:lineRule="auto"/>
        <w:ind w:left="28"/>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rPr>
        <w:t>附件二：</w:t>
      </w:r>
    </w:p>
    <w:p w14:paraId="1A33ADB9">
      <w:pPr>
        <w:spacing w:before="183" w:line="219" w:lineRule="auto"/>
        <w:ind w:left="235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拟投入本标段的试验和检测仪器设备表</w:t>
      </w:r>
    </w:p>
    <w:p w14:paraId="13799B54">
      <w:pPr>
        <w:spacing w:line="144" w:lineRule="exact"/>
        <w:rPr>
          <w:color w:val="auto"/>
          <w:highlight w:val="none"/>
        </w:rPr>
      </w:pPr>
    </w:p>
    <w:tbl>
      <w:tblPr>
        <w:tblStyle w:val="16"/>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696"/>
        <w:gridCol w:w="851"/>
        <w:gridCol w:w="707"/>
        <w:gridCol w:w="850"/>
        <w:gridCol w:w="848"/>
        <w:gridCol w:w="1131"/>
        <w:gridCol w:w="992"/>
        <w:gridCol w:w="1107"/>
      </w:tblGrid>
      <w:tr w14:paraId="71819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827" w:type="dxa"/>
            <w:tcBorders>
              <w:top w:val="single" w:color="000000" w:sz="6" w:space="0"/>
              <w:left w:val="single" w:color="000000" w:sz="6" w:space="0"/>
            </w:tcBorders>
            <w:vAlign w:val="top"/>
          </w:tcPr>
          <w:p w14:paraId="1BFC3028">
            <w:pPr>
              <w:pStyle w:val="17"/>
              <w:spacing w:before="256" w:line="221" w:lineRule="auto"/>
              <w:ind w:left="170"/>
              <w:rPr>
                <w:color w:val="auto"/>
                <w:sz w:val="24"/>
                <w:szCs w:val="24"/>
                <w:highlight w:val="none"/>
              </w:rPr>
            </w:pPr>
            <w:r>
              <w:rPr>
                <w:color w:val="auto"/>
                <w:spacing w:val="-3"/>
                <w:sz w:val="24"/>
                <w:szCs w:val="24"/>
                <w:highlight w:val="none"/>
              </w:rPr>
              <w:t>序号</w:t>
            </w:r>
          </w:p>
        </w:tc>
        <w:tc>
          <w:tcPr>
            <w:tcW w:w="1696" w:type="dxa"/>
            <w:tcBorders>
              <w:top w:val="single" w:color="000000" w:sz="6" w:space="0"/>
            </w:tcBorders>
            <w:vAlign w:val="top"/>
          </w:tcPr>
          <w:p w14:paraId="25ABB5BE">
            <w:pPr>
              <w:pStyle w:val="17"/>
              <w:spacing w:before="255" w:line="220" w:lineRule="auto"/>
              <w:ind w:left="128"/>
              <w:rPr>
                <w:color w:val="auto"/>
                <w:sz w:val="24"/>
                <w:szCs w:val="24"/>
                <w:highlight w:val="none"/>
              </w:rPr>
            </w:pPr>
            <w:r>
              <w:rPr>
                <w:color w:val="auto"/>
                <w:spacing w:val="-2"/>
                <w:sz w:val="24"/>
                <w:szCs w:val="24"/>
                <w:highlight w:val="none"/>
              </w:rPr>
              <w:t>仪器设备名称</w:t>
            </w:r>
          </w:p>
        </w:tc>
        <w:tc>
          <w:tcPr>
            <w:tcW w:w="851" w:type="dxa"/>
            <w:tcBorders>
              <w:top w:val="single" w:color="000000" w:sz="6" w:space="0"/>
            </w:tcBorders>
            <w:vAlign w:val="top"/>
          </w:tcPr>
          <w:p w14:paraId="62FEA5BB">
            <w:pPr>
              <w:pStyle w:val="17"/>
              <w:spacing w:before="102" w:line="221" w:lineRule="auto"/>
              <w:ind w:left="195"/>
              <w:rPr>
                <w:color w:val="auto"/>
                <w:sz w:val="24"/>
                <w:szCs w:val="24"/>
                <w:highlight w:val="none"/>
              </w:rPr>
            </w:pPr>
            <w:r>
              <w:rPr>
                <w:color w:val="auto"/>
                <w:spacing w:val="-5"/>
                <w:sz w:val="24"/>
                <w:szCs w:val="24"/>
                <w:highlight w:val="none"/>
              </w:rPr>
              <w:t>型号</w:t>
            </w:r>
          </w:p>
          <w:p w14:paraId="60EFCACC">
            <w:pPr>
              <w:pStyle w:val="17"/>
              <w:spacing w:before="21" w:line="220" w:lineRule="auto"/>
              <w:ind w:left="189"/>
              <w:rPr>
                <w:color w:val="auto"/>
                <w:sz w:val="24"/>
                <w:szCs w:val="24"/>
                <w:highlight w:val="none"/>
              </w:rPr>
            </w:pPr>
            <w:r>
              <w:rPr>
                <w:color w:val="auto"/>
                <w:spacing w:val="-3"/>
                <w:sz w:val="24"/>
                <w:szCs w:val="24"/>
                <w:highlight w:val="none"/>
              </w:rPr>
              <w:t>规格</w:t>
            </w:r>
          </w:p>
        </w:tc>
        <w:tc>
          <w:tcPr>
            <w:tcW w:w="707" w:type="dxa"/>
            <w:tcBorders>
              <w:top w:val="single" w:color="000000" w:sz="6" w:space="0"/>
            </w:tcBorders>
            <w:vAlign w:val="top"/>
          </w:tcPr>
          <w:p w14:paraId="5EBAD387">
            <w:pPr>
              <w:pStyle w:val="17"/>
              <w:spacing w:before="255" w:line="220" w:lineRule="auto"/>
              <w:ind w:left="119"/>
              <w:rPr>
                <w:color w:val="auto"/>
                <w:sz w:val="24"/>
                <w:szCs w:val="24"/>
                <w:highlight w:val="none"/>
              </w:rPr>
            </w:pPr>
            <w:r>
              <w:rPr>
                <w:color w:val="auto"/>
                <w:spacing w:val="-3"/>
                <w:sz w:val="24"/>
                <w:szCs w:val="24"/>
                <w:highlight w:val="none"/>
              </w:rPr>
              <w:t>数量</w:t>
            </w:r>
          </w:p>
        </w:tc>
        <w:tc>
          <w:tcPr>
            <w:tcW w:w="850" w:type="dxa"/>
            <w:tcBorders>
              <w:top w:val="single" w:color="000000" w:sz="6" w:space="0"/>
            </w:tcBorders>
            <w:vAlign w:val="top"/>
          </w:tcPr>
          <w:p w14:paraId="2EA239AD">
            <w:pPr>
              <w:pStyle w:val="17"/>
              <w:spacing w:before="103" w:line="220" w:lineRule="auto"/>
              <w:ind w:left="213"/>
              <w:rPr>
                <w:color w:val="auto"/>
                <w:sz w:val="24"/>
                <w:szCs w:val="24"/>
                <w:highlight w:val="none"/>
              </w:rPr>
            </w:pPr>
            <w:r>
              <w:rPr>
                <w:color w:val="auto"/>
                <w:spacing w:val="-9"/>
                <w:sz w:val="24"/>
                <w:szCs w:val="24"/>
                <w:highlight w:val="none"/>
              </w:rPr>
              <w:t>国别</w:t>
            </w:r>
          </w:p>
          <w:p w14:paraId="5A771D29">
            <w:pPr>
              <w:pStyle w:val="17"/>
              <w:spacing w:before="22" w:line="220" w:lineRule="auto"/>
              <w:ind w:left="190"/>
              <w:rPr>
                <w:color w:val="auto"/>
                <w:sz w:val="24"/>
                <w:szCs w:val="24"/>
                <w:highlight w:val="none"/>
              </w:rPr>
            </w:pPr>
            <w:r>
              <w:rPr>
                <w:color w:val="auto"/>
                <w:spacing w:val="-3"/>
                <w:sz w:val="24"/>
                <w:szCs w:val="24"/>
                <w:highlight w:val="none"/>
              </w:rPr>
              <w:t>产地</w:t>
            </w:r>
          </w:p>
        </w:tc>
        <w:tc>
          <w:tcPr>
            <w:tcW w:w="848" w:type="dxa"/>
            <w:tcBorders>
              <w:top w:val="single" w:color="000000" w:sz="6" w:space="0"/>
            </w:tcBorders>
            <w:vAlign w:val="top"/>
          </w:tcPr>
          <w:p w14:paraId="2BEF3043">
            <w:pPr>
              <w:pStyle w:val="17"/>
              <w:spacing w:before="103" w:line="220" w:lineRule="auto"/>
              <w:ind w:left="190"/>
              <w:rPr>
                <w:color w:val="auto"/>
                <w:sz w:val="24"/>
                <w:szCs w:val="24"/>
                <w:highlight w:val="none"/>
              </w:rPr>
            </w:pPr>
            <w:r>
              <w:rPr>
                <w:color w:val="auto"/>
                <w:spacing w:val="-3"/>
                <w:sz w:val="24"/>
                <w:szCs w:val="24"/>
                <w:highlight w:val="none"/>
              </w:rPr>
              <w:t>制造</w:t>
            </w:r>
          </w:p>
          <w:p w14:paraId="1E7D25E0">
            <w:pPr>
              <w:pStyle w:val="17"/>
              <w:spacing w:before="22" w:line="220" w:lineRule="auto"/>
              <w:ind w:left="190"/>
              <w:rPr>
                <w:color w:val="auto"/>
                <w:sz w:val="24"/>
                <w:szCs w:val="24"/>
                <w:highlight w:val="none"/>
              </w:rPr>
            </w:pPr>
            <w:r>
              <w:rPr>
                <w:color w:val="auto"/>
                <w:spacing w:val="-3"/>
                <w:sz w:val="24"/>
                <w:szCs w:val="24"/>
                <w:highlight w:val="none"/>
              </w:rPr>
              <w:t>年份</w:t>
            </w:r>
          </w:p>
        </w:tc>
        <w:tc>
          <w:tcPr>
            <w:tcW w:w="1131" w:type="dxa"/>
            <w:tcBorders>
              <w:top w:val="single" w:color="000000" w:sz="6" w:space="0"/>
            </w:tcBorders>
            <w:vAlign w:val="top"/>
          </w:tcPr>
          <w:p w14:paraId="0B929C27">
            <w:pPr>
              <w:pStyle w:val="17"/>
              <w:spacing w:before="102" w:line="220" w:lineRule="auto"/>
              <w:ind w:left="239"/>
              <w:rPr>
                <w:color w:val="auto"/>
                <w:sz w:val="24"/>
                <w:szCs w:val="24"/>
                <w:highlight w:val="none"/>
              </w:rPr>
            </w:pPr>
            <w:r>
              <w:rPr>
                <w:color w:val="auto"/>
                <w:spacing w:val="-8"/>
                <w:sz w:val="24"/>
                <w:szCs w:val="24"/>
                <w:highlight w:val="none"/>
              </w:rPr>
              <w:t>已使用</w:t>
            </w:r>
          </w:p>
          <w:p w14:paraId="1588B02F">
            <w:pPr>
              <w:pStyle w:val="17"/>
              <w:spacing w:before="23" w:line="220" w:lineRule="auto"/>
              <w:ind w:left="231"/>
              <w:rPr>
                <w:color w:val="auto"/>
                <w:sz w:val="24"/>
                <w:szCs w:val="24"/>
                <w:highlight w:val="none"/>
              </w:rPr>
            </w:pPr>
            <w:r>
              <w:rPr>
                <w:color w:val="auto"/>
                <w:spacing w:val="-10"/>
                <w:sz w:val="24"/>
                <w:szCs w:val="24"/>
                <w:highlight w:val="none"/>
              </w:rPr>
              <w:t>台班数</w:t>
            </w:r>
          </w:p>
        </w:tc>
        <w:tc>
          <w:tcPr>
            <w:tcW w:w="992" w:type="dxa"/>
            <w:tcBorders>
              <w:top w:val="single" w:color="000000" w:sz="6" w:space="0"/>
            </w:tcBorders>
            <w:vAlign w:val="top"/>
          </w:tcPr>
          <w:p w14:paraId="5588D5FE">
            <w:pPr>
              <w:pStyle w:val="17"/>
              <w:spacing w:before="256" w:line="221" w:lineRule="auto"/>
              <w:ind w:left="269"/>
              <w:rPr>
                <w:color w:val="auto"/>
                <w:sz w:val="24"/>
                <w:szCs w:val="24"/>
                <w:highlight w:val="none"/>
              </w:rPr>
            </w:pPr>
            <w:r>
              <w:rPr>
                <w:color w:val="auto"/>
                <w:spacing w:val="-3"/>
                <w:sz w:val="24"/>
                <w:szCs w:val="24"/>
                <w:highlight w:val="none"/>
              </w:rPr>
              <w:t>用途</w:t>
            </w:r>
          </w:p>
        </w:tc>
        <w:tc>
          <w:tcPr>
            <w:tcW w:w="1107" w:type="dxa"/>
            <w:tcBorders>
              <w:top w:val="single" w:color="000000" w:sz="6" w:space="0"/>
              <w:right w:val="single" w:color="000000" w:sz="6" w:space="0"/>
            </w:tcBorders>
            <w:vAlign w:val="top"/>
          </w:tcPr>
          <w:p w14:paraId="1B2A31B8">
            <w:pPr>
              <w:pStyle w:val="17"/>
              <w:spacing w:before="256" w:line="221" w:lineRule="auto"/>
              <w:ind w:left="325"/>
              <w:rPr>
                <w:color w:val="auto"/>
                <w:sz w:val="24"/>
                <w:szCs w:val="24"/>
                <w:highlight w:val="none"/>
              </w:rPr>
            </w:pPr>
            <w:r>
              <w:rPr>
                <w:color w:val="auto"/>
                <w:spacing w:val="-4"/>
                <w:sz w:val="24"/>
                <w:szCs w:val="24"/>
                <w:highlight w:val="none"/>
              </w:rPr>
              <w:t>备注</w:t>
            </w:r>
          </w:p>
        </w:tc>
      </w:tr>
      <w:tr w14:paraId="43BA5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27" w:type="dxa"/>
            <w:tcBorders>
              <w:left w:val="single" w:color="000000" w:sz="6" w:space="0"/>
            </w:tcBorders>
            <w:vAlign w:val="top"/>
          </w:tcPr>
          <w:p w14:paraId="6DAFDA9B">
            <w:pPr>
              <w:rPr>
                <w:rFonts w:ascii="Arial"/>
                <w:color w:val="auto"/>
                <w:sz w:val="21"/>
                <w:highlight w:val="none"/>
              </w:rPr>
            </w:pPr>
          </w:p>
        </w:tc>
        <w:tc>
          <w:tcPr>
            <w:tcW w:w="1696" w:type="dxa"/>
            <w:vAlign w:val="top"/>
          </w:tcPr>
          <w:p w14:paraId="10330575">
            <w:pPr>
              <w:rPr>
                <w:rFonts w:ascii="Arial"/>
                <w:color w:val="auto"/>
                <w:sz w:val="21"/>
                <w:highlight w:val="none"/>
              </w:rPr>
            </w:pPr>
          </w:p>
        </w:tc>
        <w:tc>
          <w:tcPr>
            <w:tcW w:w="851" w:type="dxa"/>
            <w:vAlign w:val="top"/>
          </w:tcPr>
          <w:p w14:paraId="15488E65">
            <w:pPr>
              <w:rPr>
                <w:rFonts w:ascii="Arial"/>
                <w:color w:val="auto"/>
                <w:sz w:val="21"/>
                <w:highlight w:val="none"/>
              </w:rPr>
            </w:pPr>
          </w:p>
        </w:tc>
        <w:tc>
          <w:tcPr>
            <w:tcW w:w="707" w:type="dxa"/>
            <w:vAlign w:val="top"/>
          </w:tcPr>
          <w:p w14:paraId="4853D2F6">
            <w:pPr>
              <w:rPr>
                <w:rFonts w:ascii="Arial"/>
                <w:color w:val="auto"/>
                <w:sz w:val="21"/>
                <w:highlight w:val="none"/>
              </w:rPr>
            </w:pPr>
          </w:p>
        </w:tc>
        <w:tc>
          <w:tcPr>
            <w:tcW w:w="850" w:type="dxa"/>
            <w:vAlign w:val="top"/>
          </w:tcPr>
          <w:p w14:paraId="08DA9A44">
            <w:pPr>
              <w:rPr>
                <w:rFonts w:ascii="Arial"/>
                <w:color w:val="auto"/>
                <w:sz w:val="21"/>
                <w:highlight w:val="none"/>
              </w:rPr>
            </w:pPr>
          </w:p>
        </w:tc>
        <w:tc>
          <w:tcPr>
            <w:tcW w:w="848" w:type="dxa"/>
            <w:vAlign w:val="top"/>
          </w:tcPr>
          <w:p w14:paraId="47162068">
            <w:pPr>
              <w:rPr>
                <w:rFonts w:ascii="Arial"/>
                <w:color w:val="auto"/>
                <w:sz w:val="21"/>
                <w:highlight w:val="none"/>
              </w:rPr>
            </w:pPr>
          </w:p>
        </w:tc>
        <w:tc>
          <w:tcPr>
            <w:tcW w:w="1131" w:type="dxa"/>
            <w:vAlign w:val="top"/>
          </w:tcPr>
          <w:p w14:paraId="49CCCDC8">
            <w:pPr>
              <w:rPr>
                <w:rFonts w:ascii="Arial"/>
                <w:color w:val="auto"/>
                <w:sz w:val="21"/>
                <w:highlight w:val="none"/>
              </w:rPr>
            </w:pPr>
          </w:p>
        </w:tc>
        <w:tc>
          <w:tcPr>
            <w:tcW w:w="992" w:type="dxa"/>
            <w:vAlign w:val="top"/>
          </w:tcPr>
          <w:p w14:paraId="364D90EC">
            <w:pPr>
              <w:rPr>
                <w:rFonts w:ascii="Arial"/>
                <w:color w:val="auto"/>
                <w:sz w:val="21"/>
                <w:highlight w:val="none"/>
              </w:rPr>
            </w:pPr>
          </w:p>
        </w:tc>
        <w:tc>
          <w:tcPr>
            <w:tcW w:w="1107" w:type="dxa"/>
            <w:tcBorders>
              <w:right w:val="single" w:color="000000" w:sz="6" w:space="0"/>
            </w:tcBorders>
            <w:vAlign w:val="top"/>
          </w:tcPr>
          <w:p w14:paraId="628099E1">
            <w:pPr>
              <w:rPr>
                <w:rFonts w:ascii="Arial"/>
                <w:color w:val="auto"/>
                <w:sz w:val="21"/>
                <w:highlight w:val="none"/>
              </w:rPr>
            </w:pPr>
          </w:p>
        </w:tc>
      </w:tr>
      <w:tr w14:paraId="4A5B3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4EC17D12">
            <w:pPr>
              <w:rPr>
                <w:rFonts w:ascii="Arial"/>
                <w:color w:val="auto"/>
                <w:sz w:val="21"/>
                <w:highlight w:val="none"/>
              </w:rPr>
            </w:pPr>
          </w:p>
        </w:tc>
        <w:tc>
          <w:tcPr>
            <w:tcW w:w="1696" w:type="dxa"/>
            <w:vAlign w:val="top"/>
          </w:tcPr>
          <w:p w14:paraId="6AC51C09">
            <w:pPr>
              <w:rPr>
                <w:rFonts w:ascii="Arial"/>
                <w:color w:val="auto"/>
                <w:sz w:val="21"/>
                <w:highlight w:val="none"/>
              </w:rPr>
            </w:pPr>
          </w:p>
        </w:tc>
        <w:tc>
          <w:tcPr>
            <w:tcW w:w="851" w:type="dxa"/>
            <w:vAlign w:val="top"/>
          </w:tcPr>
          <w:p w14:paraId="22890493">
            <w:pPr>
              <w:rPr>
                <w:rFonts w:ascii="Arial"/>
                <w:color w:val="auto"/>
                <w:sz w:val="21"/>
                <w:highlight w:val="none"/>
              </w:rPr>
            </w:pPr>
          </w:p>
        </w:tc>
        <w:tc>
          <w:tcPr>
            <w:tcW w:w="707" w:type="dxa"/>
            <w:vAlign w:val="top"/>
          </w:tcPr>
          <w:p w14:paraId="0DD42997">
            <w:pPr>
              <w:rPr>
                <w:rFonts w:ascii="Arial"/>
                <w:color w:val="auto"/>
                <w:sz w:val="21"/>
                <w:highlight w:val="none"/>
              </w:rPr>
            </w:pPr>
          </w:p>
        </w:tc>
        <w:tc>
          <w:tcPr>
            <w:tcW w:w="850" w:type="dxa"/>
            <w:vAlign w:val="top"/>
          </w:tcPr>
          <w:p w14:paraId="5587C3C9">
            <w:pPr>
              <w:rPr>
                <w:rFonts w:ascii="Arial"/>
                <w:color w:val="auto"/>
                <w:sz w:val="21"/>
                <w:highlight w:val="none"/>
              </w:rPr>
            </w:pPr>
          </w:p>
        </w:tc>
        <w:tc>
          <w:tcPr>
            <w:tcW w:w="848" w:type="dxa"/>
            <w:vAlign w:val="top"/>
          </w:tcPr>
          <w:p w14:paraId="5938342F">
            <w:pPr>
              <w:rPr>
                <w:rFonts w:ascii="Arial"/>
                <w:color w:val="auto"/>
                <w:sz w:val="21"/>
                <w:highlight w:val="none"/>
              </w:rPr>
            </w:pPr>
          </w:p>
        </w:tc>
        <w:tc>
          <w:tcPr>
            <w:tcW w:w="1131" w:type="dxa"/>
            <w:vAlign w:val="top"/>
          </w:tcPr>
          <w:p w14:paraId="5005010C">
            <w:pPr>
              <w:rPr>
                <w:rFonts w:ascii="Arial"/>
                <w:color w:val="auto"/>
                <w:sz w:val="21"/>
                <w:highlight w:val="none"/>
              </w:rPr>
            </w:pPr>
          </w:p>
        </w:tc>
        <w:tc>
          <w:tcPr>
            <w:tcW w:w="992" w:type="dxa"/>
            <w:vAlign w:val="top"/>
          </w:tcPr>
          <w:p w14:paraId="30F73369">
            <w:pPr>
              <w:rPr>
                <w:rFonts w:ascii="Arial"/>
                <w:color w:val="auto"/>
                <w:sz w:val="21"/>
                <w:highlight w:val="none"/>
              </w:rPr>
            </w:pPr>
          </w:p>
        </w:tc>
        <w:tc>
          <w:tcPr>
            <w:tcW w:w="1107" w:type="dxa"/>
            <w:tcBorders>
              <w:right w:val="single" w:color="000000" w:sz="6" w:space="0"/>
            </w:tcBorders>
            <w:vAlign w:val="top"/>
          </w:tcPr>
          <w:p w14:paraId="32F6FCFF">
            <w:pPr>
              <w:rPr>
                <w:rFonts w:ascii="Arial"/>
                <w:color w:val="auto"/>
                <w:sz w:val="21"/>
                <w:highlight w:val="none"/>
              </w:rPr>
            </w:pPr>
          </w:p>
        </w:tc>
      </w:tr>
      <w:tr w14:paraId="7E21C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5744B5BE">
            <w:pPr>
              <w:rPr>
                <w:rFonts w:ascii="Arial"/>
                <w:color w:val="auto"/>
                <w:sz w:val="21"/>
                <w:highlight w:val="none"/>
              </w:rPr>
            </w:pPr>
          </w:p>
        </w:tc>
        <w:tc>
          <w:tcPr>
            <w:tcW w:w="1696" w:type="dxa"/>
            <w:vAlign w:val="top"/>
          </w:tcPr>
          <w:p w14:paraId="1F3D4324">
            <w:pPr>
              <w:rPr>
                <w:rFonts w:ascii="Arial"/>
                <w:color w:val="auto"/>
                <w:sz w:val="21"/>
                <w:highlight w:val="none"/>
              </w:rPr>
            </w:pPr>
          </w:p>
        </w:tc>
        <w:tc>
          <w:tcPr>
            <w:tcW w:w="851" w:type="dxa"/>
            <w:vAlign w:val="top"/>
          </w:tcPr>
          <w:p w14:paraId="7F421AD2">
            <w:pPr>
              <w:rPr>
                <w:rFonts w:ascii="Arial"/>
                <w:color w:val="auto"/>
                <w:sz w:val="21"/>
                <w:highlight w:val="none"/>
              </w:rPr>
            </w:pPr>
          </w:p>
        </w:tc>
        <w:tc>
          <w:tcPr>
            <w:tcW w:w="707" w:type="dxa"/>
            <w:vAlign w:val="top"/>
          </w:tcPr>
          <w:p w14:paraId="01EEA2FF">
            <w:pPr>
              <w:rPr>
                <w:rFonts w:ascii="Arial"/>
                <w:color w:val="auto"/>
                <w:sz w:val="21"/>
                <w:highlight w:val="none"/>
              </w:rPr>
            </w:pPr>
          </w:p>
        </w:tc>
        <w:tc>
          <w:tcPr>
            <w:tcW w:w="850" w:type="dxa"/>
            <w:vAlign w:val="top"/>
          </w:tcPr>
          <w:p w14:paraId="55E6F9E4">
            <w:pPr>
              <w:rPr>
                <w:rFonts w:ascii="Arial"/>
                <w:color w:val="auto"/>
                <w:sz w:val="21"/>
                <w:highlight w:val="none"/>
              </w:rPr>
            </w:pPr>
          </w:p>
        </w:tc>
        <w:tc>
          <w:tcPr>
            <w:tcW w:w="848" w:type="dxa"/>
            <w:vAlign w:val="top"/>
          </w:tcPr>
          <w:p w14:paraId="66A33B65">
            <w:pPr>
              <w:rPr>
                <w:rFonts w:ascii="Arial"/>
                <w:color w:val="auto"/>
                <w:sz w:val="21"/>
                <w:highlight w:val="none"/>
              </w:rPr>
            </w:pPr>
          </w:p>
        </w:tc>
        <w:tc>
          <w:tcPr>
            <w:tcW w:w="1131" w:type="dxa"/>
            <w:vAlign w:val="top"/>
          </w:tcPr>
          <w:p w14:paraId="10BBEF8B">
            <w:pPr>
              <w:rPr>
                <w:rFonts w:ascii="Arial"/>
                <w:color w:val="auto"/>
                <w:sz w:val="21"/>
                <w:highlight w:val="none"/>
              </w:rPr>
            </w:pPr>
          </w:p>
        </w:tc>
        <w:tc>
          <w:tcPr>
            <w:tcW w:w="992" w:type="dxa"/>
            <w:vAlign w:val="top"/>
          </w:tcPr>
          <w:p w14:paraId="5D0A224E">
            <w:pPr>
              <w:rPr>
                <w:rFonts w:ascii="Arial"/>
                <w:color w:val="auto"/>
                <w:sz w:val="21"/>
                <w:highlight w:val="none"/>
              </w:rPr>
            </w:pPr>
          </w:p>
        </w:tc>
        <w:tc>
          <w:tcPr>
            <w:tcW w:w="1107" w:type="dxa"/>
            <w:tcBorders>
              <w:right w:val="single" w:color="000000" w:sz="6" w:space="0"/>
            </w:tcBorders>
            <w:vAlign w:val="top"/>
          </w:tcPr>
          <w:p w14:paraId="405E6373">
            <w:pPr>
              <w:rPr>
                <w:rFonts w:ascii="Arial"/>
                <w:color w:val="auto"/>
                <w:sz w:val="21"/>
                <w:highlight w:val="none"/>
              </w:rPr>
            </w:pPr>
          </w:p>
        </w:tc>
      </w:tr>
      <w:tr w14:paraId="21BB4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0009E08F">
            <w:pPr>
              <w:rPr>
                <w:rFonts w:ascii="Arial"/>
                <w:color w:val="auto"/>
                <w:sz w:val="21"/>
                <w:highlight w:val="none"/>
              </w:rPr>
            </w:pPr>
          </w:p>
        </w:tc>
        <w:tc>
          <w:tcPr>
            <w:tcW w:w="1696" w:type="dxa"/>
            <w:vAlign w:val="top"/>
          </w:tcPr>
          <w:p w14:paraId="40184F13">
            <w:pPr>
              <w:rPr>
                <w:rFonts w:ascii="Arial"/>
                <w:color w:val="auto"/>
                <w:sz w:val="21"/>
                <w:highlight w:val="none"/>
              </w:rPr>
            </w:pPr>
          </w:p>
        </w:tc>
        <w:tc>
          <w:tcPr>
            <w:tcW w:w="851" w:type="dxa"/>
            <w:vAlign w:val="top"/>
          </w:tcPr>
          <w:p w14:paraId="4D39BF0E">
            <w:pPr>
              <w:rPr>
                <w:rFonts w:ascii="Arial"/>
                <w:color w:val="auto"/>
                <w:sz w:val="21"/>
                <w:highlight w:val="none"/>
              </w:rPr>
            </w:pPr>
          </w:p>
        </w:tc>
        <w:tc>
          <w:tcPr>
            <w:tcW w:w="707" w:type="dxa"/>
            <w:vAlign w:val="top"/>
          </w:tcPr>
          <w:p w14:paraId="26B029B6">
            <w:pPr>
              <w:rPr>
                <w:rFonts w:ascii="Arial"/>
                <w:color w:val="auto"/>
                <w:sz w:val="21"/>
                <w:highlight w:val="none"/>
              </w:rPr>
            </w:pPr>
          </w:p>
        </w:tc>
        <w:tc>
          <w:tcPr>
            <w:tcW w:w="850" w:type="dxa"/>
            <w:vAlign w:val="top"/>
          </w:tcPr>
          <w:p w14:paraId="50401DEE">
            <w:pPr>
              <w:rPr>
                <w:rFonts w:ascii="Arial"/>
                <w:color w:val="auto"/>
                <w:sz w:val="21"/>
                <w:highlight w:val="none"/>
              </w:rPr>
            </w:pPr>
          </w:p>
        </w:tc>
        <w:tc>
          <w:tcPr>
            <w:tcW w:w="848" w:type="dxa"/>
            <w:vAlign w:val="top"/>
          </w:tcPr>
          <w:p w14:paraId="5D159330">
            <w:pPr>
              <w:rPr>
                <w:rFonts w:ascii="Arial"/>
                <w:color w:val="auto"/>
                <w:sz w:val="21"/>
                <w:highlight w:val="none"/>
              </w:rPr>
            </w:pPr>
          </w:p>
        </w:tc>
        <w:tc>
          <w:tcPr>
            <w:tcW w:w="1131" w:type="dxa"/>
            <w:vAlign w:val="top"/>
          </w:tcPr>
          <w:p w14:paraId="5F4EA212">
            <w:pPr>
              <w:rPr>
                <w:rFonts w:ascii="Arial"/>
                <w:color w:val="auto"/>
                <w:sz w:val="21"/>
                <w:highlight w:val="none"/>
              </w:rPr>
            </w:pPr>
          </w:p>
        </w:tc>
        <w:tc>
          <w:tcPr>
            <w:tcW w:w="992" w:type="dxa"/>
            <w:vAlign w:val="top"/>
          </w:tcPr>
          <w:p w14:paraId="20964492">
            <w:pPr>
              <w:rPr>
                <w:rFonts w:ascii="Arial"/>
                <w:color w:val="auto"/>
                <w:sz w:val="21"/>
                <w:highlight w:val="none"/>
              </w:rPr>
            </w:pPr>
          </w:p>
        </w:tc>
        <w:tc>
          <w:tcPr>
            <w:tcW w:w="1107" w:type="dxa"/>
            <w:tcBorders>
              <w:right w:val="single" w:color="000000" w:sz="6" w:space="0"/>
            </w:tcBorders>
            <w:vAlign w:val="top"/>
          </w:tcPr>
          <w:p w14:paraId="4BAF1CD7">
            <w:pPr>
              <w:rPr>
                <w:rFonts w:ascii="Arial"/>
                <w:color w:val="auto"/>
                <w:sz w:val="21"/>
                <w:highlight w:val="none"/>
              </w:rPr>
            </w:pPr>
          </w:p>
        </w:tc>
      </w:tr>
      <w:tr w14:paraId="4EB8B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7592186A">
            <w:pPr>
              <w:rPr>
                <w:rFonts w:ascii="Arial"/>
                <w:color w:val="auto"/>
                <w:sz w:val="21"/>
                <w:highlight w:val="none"/>
              </w:rPr>
            </w:pPr>
          </w:p>
        </w:tc>
        <w:tc>
          <w:tcPr>
            <w:tcW w:w="1696" w:type="dxa"/>
            <w:vAlign w:val="top"/>
          </w:tcPr>
          <w:p w14:paraId="2D8670AD">
            <w:pPr>
              <w:rPr>
                <w:rFonts w:ascii="Arial"/>
                <w:color w:val="auto"/>
                <w:sz w:val="21"/>
                <w:highlight w:val="none"/>
              </w:rPr>
            </w:pPr>
          </w:p>
        </w:tc>
        <w:tc>
          <w:tcPr>
            <w:tcW w:w="851" w:type="dxa"/>
            <w:vAlign w:val="top"/>
          </w:tcPr>
          <w:p w14:paraId="2E89A634">
            <w:pPr>
              <w:rPr>
                <w:rFonts w:ascii="Arial"/>
                <w:color w:val="auto"/>
                <w:sz w:val="21"/>
                <w:highlight w:val="none"/>
              </w:rPr>
            </w:pPr>
          </w:p>
        </w:tc>
        <w:tc>
          <w:tcPr>
            <w:tcW w:w="707" w:type="dxa"/>
            <w:vAlign w:val="top"/>
          </w:tcPr>
          <w:p w14:paraId="4C1711B5">
            <w:pPr>
              <w:rPr>
                <w:rFonts w:ascii="Arial"/>
                <w:color w:val="auto"/>
                <w:sz w:val="21"/>
                <w:highlight w:val="none"/>
              </w:rPr>
            </w:pPr>
          </w:p>
        </w:tc>
        <w:tc>
          <w:tcPr>
            <w:tcW w:w="850" w:type="dxa"/>
            <w:vAlign w:val="top"/>
          </w:tcPr>
          <w:p w14:paraId="4F45839D">
            <w:pPr>
              <w:rPr>
                <w:rFonts w:ascii="Arial"/>
                <w:color w:val="auto"/>
                <w:sz w:val="21"/>
                <w:highlight w:val="none"/>
              </w:rPr>
            </w:pPr>
          </w:p>
        </w:tc>
        <w:tc>
          <w:tcPr>
            <w:tcW w:w="848" w:type="dxa"/>
            <w:vAlign w:val="top"/>
          </w:tcPr>
          <w:p w14:paraId="516EF68D">
            <w:pPr>
              <w:rPr>
                <w:rFonts w:ascii="Arial"/>
                <w:color w:val="auto"/>
                <w:sz w:val="21"/>
                <w:highlight w:val="none"/>
              </w:rPr>
            </w:pPr>
          </w:p>
        </w:tc>
        <w:tc>
          <w:tcPr>
            <w:tcW w:w="1131" w:type="dxa"/>
            <w:vAlign w:val="top"/>
          </w:tcPr>
          <w:p w14:paraId="5D024419">
            <w:pPr>
              <w:rPr>
                <w:rFonts w:ascii="Arial"/>
                <w:color w:val="auto"/>
                <w:sz w:val="21"/>
                <w:highlight w:val="none"/>
              </w:rPr>
            </w:pPr>
          </w:p>
        </w:tc>
        <w:tc>
          <w:tcPr>
            <w:tcW w:w="992" w:type="dxa"/>
            <w:vAlign w:val="top"/>
          </w:tcPr>
          <w:p w14:paraId="7811548B">
            <w:pPr>
              <w:rPr>
                <w:rFonts w:ascii="Arial"/>
                <w:color w:val="auto"/>
                <w:sz w:val="21"/>
                <w:highlight w:val="none"/>
              </w:rPr>
            </w:pPr>
          </w:p>
        </w:tc>
        <w:tc>
          <w:tcPr>
            <w:tcW w:w="1107" w:type="dxa"/>
            <w:tcBorders>
              <w:right w:val="single" w:color="000000" w:sz="6" w:space="0"/>
            </w:tcBorders>
            <w:vAlign w:val="top"/>
          </w:tcPr>
          <w:p w14:paraId="280346EF">
            <w:pPr>
              <w:rPr>
                <w:rFonts w:ascii="Arial"/>
                <w:color w:val="auto"/>
                <w:sz w:val="21"/>
                <w:highlight w:val="none"/>
              </w:rPr>
            </w:pPr>
          </w:p>
        </w:tc>
      </w:tr>
      <w:tr w14:paraId="4155D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5F6E190E">
            <w:pPr>
              <w:rPr>
                <w:rFonts w:ascii="Arial"/>
                <w:color w:val="auto"/>
                <w:sz w:val="21"/>
                <w:highlight w:val="none"/>
              </w:rPr>
            </w:pPr>
          </w:p>
        </w:tc>
        <w:tc>
          <w:tcPr>
            <w:tcW w:w="1696" w:type="dxa"/>
            <w:vAlign w:val="top"/>
          </w:tcPr>
          <w:p w14:paraId="15C93E1C">
            <w:pPr>
              <w:rPr>
                <w:rFonts w:ascii="Arial"/>
                <w:color w:val="auto"/>
                <w:sz w:val="21"/>
                <w:highlight w:val="none"/>
              </w:rPr>
            </w:pPr>
          </w:p>
        </w:tc>
        <w:tc>
          <w:tcPr>
            <w:tcW w:w="851" w:type="dxa"/>
            <w:vAlign w:val="top"/>
          </w:tcPr>
          <w:p w14:paraId="0346B175">
            <w:pPr>
              <w:rPr>
                <w:rFonts w:ascii="Arial"/>
                <w:color w:val="auto"/>
                <w:sz w:val="21"/>
                <w:highlight w:val="none"/>
              </w:rPr>
            </w:pPr>
          </w:p>
        </w:tc>
        <w:tc>
          <w:tcPr>
            <w:tcW w:w="707" w:type="dxa"/>
            <w:vAlign w:val="top"/>
          </w:tcPr>
          <w:p w14:paraId="7765B383">
            <w:pPr>
              <w:rPr>
                <w:rFonts w:ascii="Arial"/>
                <w:color w:val="auto"/>
                <w:sz w:val="21"/>
                <w:highlight w:val="none"/>
              </w:rPr>
            </w:pPr>
          </w:p>
        </w:tc>
        <w:tc>
          <w:tcPr>
            <w:tcW w:w="850" w:type="dxa"/>
            <w:vAlign w:val="top"/>
          </w:tcPr>
          <w:p w14:paraId="1213B7D2">
            <w:pPr>
              <w:rPr>
                <w:rFonts w:ascii="Arial"/>
                <w:color w:val="auto"/>
                <w:sz w:val="21"/>
                <w:highlight w:val="none"/>
              </w:rPr>
            </w:pPr>
          </w:p>
        </w:tc>
        <w:tc>
          <w:tcPr>
            <w:tcW w:w="848" w:type="dxa"/>
            <w:vAlign w:val="top"/>
          </w:tcPr>
          <w:p w14:paraId="1F2853B2">
            <w:pPr>
              <w:rPr>
                <w:rFonts w:ascii="Arial"/>
                <w:color w:val="auto"/>
                <w:sz w:val="21"/>
                <w:highlight w:val="none"/>
              </w:rPr>
            </w:pPr>
          </w:p>
        </w:tc>
        <w:tc>
          <w:tcPr>
            <w:tcW w:w="1131" w:type="dxa"/>
            <w:vAlign w:val="top"/>
          </w:tcPr>
          <w:p w14:paraId="4B82ADAA">
            <w:pPr>
              <w:rPr>
                <w:rFonts w:ascii="Arial"/>
                <w:color w:val="auto"/>
                <w:sz w:val="21"/>
                <w:highlight w:val="none"/>
              </w:rPr>
            </w:pPr>
          </w:p>
        </w:tc>
        <w:tc>
          <w:tcPr>
            <w:tcW w:w="992" w:type="dxa"/>
            <w:vAlign w:val="top"/>
          </w:tcPr>
          <w:p w14:paraId="05EA9D3F">
            <w:pPr>
              <w:rPr>
                <w:rFonts w:ascii="Arial"/>
                <w:color w:val="auto"/>
                <w:sz w:val="21"/>
                <w:highlight w:val="none"/>
              </w:rPr>
            </w:pPr>
          </w:p>
        </w:tc>
        <w:tc>
          <w:tcPr>
            <w:tcW w:w="1107" w:type="dxa"/>
            <w:tcBorders>
              <w:right w:val="single" w:color="000000" w:sz="6" w:space="0"/>
            </w:tcBorders>
            <w:vAlign w:val="top"/>
          </w:tcPr>
          <w:p w14:paraId="35384D2A">
            <w:pPr>
              <w:rPr>
                <w:rFonts w:ascii="Arial"/>
                <w:color w:val="auto"/>
                <w:sz w:val="21"/>
                <w:highlight w:val="none"/>
              </w:rPr>
            </w:pPr>
          </w:p>
        </w:tc>
      </w:tr>
      <w:tr w14:paraId="578D3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4FA2836F">
            <w:pPr>
              <w:rPr>
                <w:rFonts w:ascii="Arial"/>
                <w:color w:val="auto"/>
                <w:sz w:val="21"/>
                <w:highlight w:val="none"/>
              </w:rPr>
            </w:pPr>
          </w:p>
        </w:tc>
        <w:tc>
          <w:tcPr>
            <w:tcW w:w="1696" w:type="dxa"/>
            <w:vAlign w:val="top"/>
          </w:tcPr>
          <w:p w14:paraId="7A6FCA45">
            <w:pPr>
              <w:rPr>
                <w:rFonts w:ascii="Arial"/>
                <w:color w:val="auto"/>
                <w:sz w:val="21"/>
                <w:highlight w:val="none"/>
              </w:rPr>
            </w:pPr>
          </w:p>
        </w:tc>
        <w:tc>
          <w:tcPr>
            <w:tcW w:w="851" w:type="dxa"/>
            <w:vAlign w:val="top"/>
          </w:tcPr>
          <w:p w14:paraId="7C7F0FF9">
            <w:pPr>
              <w:rPr>
                <w:rFonts w:ascii="Arial"/>
                <w:color w:val="auto"/>
                <w:sz w:val="21"/>
                <w:highlight w:val="none"/>
              </w:rPr>
            </w:pPr>
          </w:p>
        </w:tc>
        <w:tc>
          <w:tcPr>
            <w:tcW w:w="707" w:type="dxa"/>
            <w:vAlign w:val="top"/>
          </w:tcPr>
          <w:p w14:paraId="3FA07794">
            <w:pPr>
              <w:rPr>
                <w:rFonts w:ascii="Arial"/>
                <w:color w:val="auto"/>
                <w:sz w:val="21"/>
                <w:highlight w:val="none"/>
              </w:rPr>
            </w:pPr>
          </w:p>
        </w:tc>
        <w:tc>
          <w:tcPr>
            <w:tcW w:w="850" w:type="dxa"/>
            <w:vAlign w:val="top"/>
          </w:tcPr>
          <w:p w14:paraId="3AB38885">
            <w:pPr>
              <w:rPr>
                <w:rFonts w:ascii="Arial"/>
                <w:color w:val="auto"/>
                <w:sz w:val="21"/>
                <w:highlight w:val="none"/>
              </w:rPr>
            </w:pPr>
          </w:p>
        </w:tc>
        <w:tc>
          <w:tcPr>
            <w:tcW w:w="848" w:type="dxa"/>
            <w:vAlign w:val="top"/>
          </w:tcPr>
          <w:p w14:paraId="70CBA511">
            <w:pPr>
              <w:rPr>
                <w:rFonts w:ascii="Arial"/>
                <w:color w:val="auto"/>
                <w:sz w:val="21"/>
                <w:highlight w:val="none"/>
              </w:rPr>
            </w:pPr>
          </w:p>
        </w:tc>
        <w:tc>
          <w:tcPr>
            <w:tcW w:w="1131" w:type="dxa"/>
            <w:vAlign w:val="top"/>
          </w:tcPr>
          <w:p w14:paraId="03FA2AB9">
            <w:pPr>
              <w:rPr>
                <w:rFonts w:ascii="Arial"/>
                <w:color w:val="auto"/>
                <w:sz w:val="21"/>
                <w:highlight w:val="none"/>
              </w:rPr>
            </w:pPr>
          </w:p>
        </w:tc>
        <w:tc>
          <w:tcPr>
            <w:tcW w:w="992" w:type="dxa"/>
            <w:vAlign w:val="top"/>
          </w:tcPr>
          <w:p w14:paraId="169DD82A">
            <w:pPr>
              <w:rPr>
                <w:rFonts w:ascii="Arial"/>
                <w:color w:val="auto"/>
                <w:sz w:val="21"/>
                <w:highlight w:val="none"/>
              </w:rPr>
            </w:pPr>
          </w:p>
        </w:tc>
        <w:tc>
          <w:tcPr>
            <w:tcW w:w="1107" w:type="dxa"/>
            <w:tcBorders>
              <w:right w:val="single" w:color="000000" w:sz="6" w:space="0"/>
            </w:tcBorders>
            <w:vAlign w:val="top"/>
          </w:tcPr>
          <w:p w14:paraId="63098A8A">
            <w:pPr>
              <w:rPr>
                <w:rFonts w:ascii="Arial"/>
                <w:color w:val="auto"/>
                <w:sz w:val="21"/>
                <w:highlight w:val="none"/>
              </w:rPr>
            </w:pPr>
          </w:p>
        </w:tc>
      </w:tr>
      <w:tr w14:paraId="7E039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229C9E86">
            <w:pPr>
              <w:rPr>
                <w:rFonts w:ascii="Arial"/>
                <w:color w:val="auto"/>
                <w:sz w:val="21"/>
                <w:highlight w:val="none"/>
              </w:rPr>
            </w:pPr>
          </w:p>
        </w:tc>
        <w:tc>
          <w:tcPr>
            <w:tcW w:w="1696" w:type="dxa"/>
            <w:vAlign w:val="top"/>
          </w:tcPr>
          <w:p w14:paraId="200B6609">
            <w:pPr>
              <w:rPr>
                <w:rFonts w:ascii="Arial"/>
                <w:color w:val="auto"/>
                <w:sz w:val="21"/>
                <w:highlight w:val="none"/>
              </w:rPr>
            </w:pPr>
          </w:p>
        </w:tc>
        <w:tc>
          <w:tcPr>
            <w:tcW w:w="851" w:type="dxa"/>
            <w:vAlign w:val="top"/>
          </w:tcPr>
          <w:p w14:paraId="240ED609">
            <w:pPr>
              <w:rPr>
                <w:rFonts w:ascii="Arial"/>
                <w:color w:val="auto"/>
                <w:sz w:val="21"/>
                <w:highlight w:val="none"/>
              </w:rPr>
            </w:pPr>
          </w:p>
        </w:tc>
        <w:tc>
          <w:tcPr>
            <w:tcW w:w="707" w:type="dxa"/>
            <w:vAlign w:val="top"/>
          </w:tcPr>
          <w:p w14:paraId="303DACB0">
            <w:pPr>
              <w:rPr>
                <w:rFonts w:ascii="Arial"/>
                <w:color w:val="auto"/>
                <w:sz w:val="21"/>
                <w:highlight w:val="none"/>
              </w:rPr>
            </w:pPr>
          </w:p>
        </w:tc>
        <w:tc>
          <w:tcPr>
            <w:tcW w:w="850" w:type="dxa"/>
            <w:vAlign w:val="top"/>
          </w:tcPr>
          <w:p w14:paraId="0E5C43D7">
            <w:pPr>
              <w:rPr>
                <w:rFonts w:ascii="Arial"/>
                <w:color w:val="auto"/>
                <w:sz w:val="21"/>
                <w:highlight w:val="none"/>
              </w:rPr>
            </w:pPr>
          </w:p>
        </w:tc>
        <w:tc>
          <w:tcPr>
            <w:tcW w:w="848" w:type="dxa"/>
            <w:vAlign w:val="top"/>
          </w:tcPr>
          <w:p w14:paraId="644C1F45">
            <w:pPr>
              <w:rPr>
                <w:rFonts w:ascii="Arial"/>
                <w:color w:val="auto"/>
                <w:sz w:val="21"/>
                <w:highlight w:val="none"/>
              </w:rPr>
            </w:pPr>
          </w:p>
        </w:tc>
        <w:tc>
          <w:tcPr>
            <w:tcW w:w="1131" w:type="dxa"/>
            <w:vAlign w:val="top"/>
          </w:tcPr>
          <w:p w14:paraId="70E9ABD8">
            <w:pPr>
              <w:rPr>
                <w:rFonts w:ascii="Arial"/>
                <w:color w:val="auto"/>
                <w:sz w:val="21"/>
                <w:highlight w:val="none"/>
              </w:rPr>
            </w:pPr>
          </w:p>
        </w:tc>
        <w:tc>
          <w:tcPr>
            <w:tcW w:w="992" w:type="dxa"/>
            <w:vAlign w:val="top"/>
          </w:tcPr>
          <w:p w14:paraId="7467D108">
            <w:pPr>
              <w:rPr>
                <w:rFonts w:ascii="Arial"/>
                <w:color w:val="auto"/>
                <w:sz w:val="21"/>
                <w:highlight w:val="none"/>
              </w:rPr>
            </w:pPr>
          </w:p>
        </w:tc>
        <w:tc>
          <w:tcPr>
            <w:tcW w:w="1107" w:type="dxa"/>
            <w:tcBorders>
              <w:right w:val="single" w:color="000000" w:sz="6" w:space="0"/>
            </w:tcBorders>
            <w:vAlign w:val="top"/>
          </w:tcPr>
          <w:p w14:paraId="7705C5C0">
            <w:pPr>
              <w:rPr>
                <w:rFonts w:ascii="Arial"/>
                <w:color w:val="auto"/>
                <w:sz w:val="21"/>
                <w:highlight w:val="none"/>
              </w:rPr>
            </w:pPr>
          </w:p>
        </w:tc>
      </w:tr>
      <w:tr w14:paraId="61655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0ED5ADE2">
            <w:pPr>
              <w:rPr>
                <w:rFonts w:ascii="Arial"/>
                <w:color w:val="auto"/>
                <w:sz w:val="21"/>
                <w:highlight w:val="none"/>
              </w:rPr>
            </w:pPr>
          </w:p>
        </w:tc>
        <w:tc>
          <w:tcPr>
            <w:tcW w:w="1696" w:type="dxa"/>
            <w:vAlign w:val="top"/>
          </w:tcPr>
          <w:p w14:paraId="67219DFC">
            <w:pPr>
              <w:rPr>
                <w:rFonts w:ascii="Arial"/>
                <w:color w:val="auto"/>
                <w:sz w:val="21"/>
                <w:highlight w:val="none"/>
              </w:rPr>
            </w:pPr>
          </w:p>
        </w:tc>
        <w:tc>
          <w:tcPr>
            <w:tcW w:w="851" w:type="dxa"/>
            <w:vAlign w:val="top"/>
          </w:tcPr>
          <w:p w14:paraId="7D796871">
            <w:pPr>
              <w:rPr>
                <w:rFonts w:ascii="Arial"/>
                <w:color w:val="auto"/>
                <w:sz w:val="21"/>
                <w:highlight w:val="none"/>
              </w:rPr>
            </w:pPr>
          </w:p>
        </w:tc>
        <w:tc>
          <w:tcPr>
            <w:tcW w:w="707" w:type="dxa"/>
            <w:vAlign w:val="top"/>
          </w:tcPr>
          <w:p w14:paraId="12E9837B">
            <w:pPr>
              <w:rPr>
                <w:rFonts w:ascii="Arial"/>
                <w:color w:val="auto"/>
                <w:sz w:val="21"/>
                <w:highlight w:val="none"/>
              </w:rPr>
            </w:pPr>
          </w:p>
        </w:tc>
        <w:tc>
          <w:tcPr>
            <w:tcW w:w="850" w:type="dxa"/>
            <w:vAlign w:val="top"/>
          </w:tcPr>
          <w:p w14:paraId="1FD20BF2">
            <w:pPr>
              <w:rPr>
                <w:rFonts w:ascii="Arial"/>
                <w:color w:val="auto"/>
                <w:sz w:val="21"/>
                <w:highlight w:val="none"/>
              </w:rPr>
            </w:pPr>
          </w:p>
        </w:tc>
        <w:tc>
          <w:tcPr>
            <w:tcW w:w="848" w:type="dxa"/>
            <w:vAlign w:val="top"/>
          </w:tcPr>
          <w:p w14:paraId="3AE04CD9">
            <w:pPr>
              <w:rPr>
                <w:rFonts w:ascii="Arial"/>
                <w:color w:val="auto"/>
                <w:sz w:val="21"/>
                <w:highlight w:val="none"/>
              </w:rPr>
            </w:pPr>
          </w:p>
        </w:tc>
        <w:tc>
          <w:tcPr>
            <w:tcW w:w="1131" w:type="dxa"/>
            <w:vAlign w:val="top"/>
          </w:tcPr>
          <w:p w14:paraId="2974D0F6">
            <w:pPr>
              <w:rPr>
                <w:rFonts w:ascii="Arial"/>
                <w:color w:val="auto"/>
                <w:sz w:val="21"/>
                <w:highlight w:val="none"/>
              </w:rPr>
            </w:pPr>
          </w:p>
        </w:tc>
        <w:tc>
          <w:tcPr>
            <w:tcW w:w="992" w:type="dxa"/>
            <w:vAlign w:val="top"/>
          </w:tcPr>
          <w:p w14:paraId="4EA75296">
            <w:pPr>
              <w:rPr>
                <w:rFonts w:ascii="Arial"/>
                <w:color w:val="auto"/>
                <w:sz w:val="21"/>
                <w:highlight w:val="none"/>
              </w:rPr>
            </w:pPr>
          </w:p>
        </w:tc>
        <w:tc>
          <w:tcPr>
            <w:tcW w:w="1107" w:type="dxa"/>
            <w:tcBorders>
              <w:right w:val="single" w:color="000000" w:sz="6" w:space="0"/>
            </w:tcBorders>
            <w:vAlign w:val="top"/>
          </w:tcPr>
          <w:p w14:paraId="6084F6EB">
            <w:pPr>
              <w:rPr>
                <w:rFonts w:ascii="Arial"/>
                <w:color w:val="auto"/>
                <w:sz w:val="21"/>
                <w:highlight w:val="none"/>
              </w:rPr>
            </w:pPr>
          </w:p>
        </w:tc>
      </w:tr>
      <w:tr w14:paraId="54333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17AF1911">
            <w:pPr>
              <w:rPr>
                <w:rFonts w:ascii="Arial"/>
                <w:color w:val="auto"/>
                <w:sz w:val="21"/>
                <w:highlight w:val="none"/>
              </w:rPr>
            </w:pPr>
          </w:p>
        </w:tc>
        <w:tc>
          <w:tcPr>
            <w:tcW w:w="1696" w:type="dxa"/>
            <w:vAlign w:val="top"/>
          </w:tcPr>
          <w:p w14:paraId="7157868F">
            <w:pPr>
              <w:rPr>
                <w:rFonts w:ascii="Arial"/>
                <w:color w:val="auto"/>
                <w:sz w:val="21"/>
                <w:highlight w:val="none"/>
              </w:rPr>
            </w:pPr>
          </w:p>
        </w:tc>
        <w:tc>
          <w:tcPr>
            <w:tcW w:w="851" w:type="dxa"/>
            <w:vAlign w:val="top"/>
          </w:tcPr>
          <w:p w14:paraId="5B946768">
            <w:pPr>
              <w:rPr>
                <w:rFonts w:ascii="Arial"/>
                <w:color w:val="auto"/>
                <w:sz w:val="21"/>
                <w:highlight w:val="none"/>
              </w:rPr>
            </w:pPr>
          </w:p>
        </w:tc>
        <w:tc>
          <w:tcPr>
            <w:tcW w:w="707" w:type="dxa"/>
            <w:vAlign w:val="top"/>
          </w:tcPr>
          <w:p w14:paraId="485A37DD">
            <w:pPr>
              <w:rPr>
                <w:rFonts w:ascii="Arial"/>
                <w:color w:val="auto"/>
                <w:sz w:val="21"/>
                <w:highlight w:val="none"/>
              </w:rPr>
            </w:pPr>
          </w:p>
        </w:tc>
        <w:tc>
          <w:tcPr>
            <w:tcW w:w="850" w:type="dxa"/>
            <w:vAlign w:val="top"/>
          </w:tcPr>
          <w:p w14:paraId="7328843B">
            <w:pPr>
              <w:rPr>
                <w:rFonts w:ascii="Arial"/>
                <w:color w:val="auto"/>
                <w:sz w:val="21"/>
                <w:highlight w:val="none"/>
              </w:rPr>
            </w:pPr>
          </w:p>
        </w:tc>
        <w:tc>
          <w:tcPr>
            <w:tcW w:w="848" w:type="dxa"/>
            <w:vAlign w:val="top"/>
          </w:tcPr>
          <w:p w14:paraId="63A04979">
            <w:pPr>
              <w:rPr>
                <w:rFonts w:ascii="Arial"/>
                <w:color w:val="auto"/>
                <w:sz w:val="21"/>
                <w:highlight w:val="none"/>
              </w:rPr>
            </w:pPr>
          </w:p>
        </w:tc>
        <w:tc>
          <w:tcPr>
            <w:tcW w:w="1131" w:type="dxa"/>
            <w:vAlign w:val="top"/>
          </w:tcPr>
          <w:p w14:paraId="2F0BE37A">
            <w:pPr>
              <w:rPr>
                <w:rFonts w:ascii="Arial"/>
                <w:color w:val="auto"/>
                <w:sz w:val="21"/>
                <w:highlight w:val="none"/>
              </w:rPr>
            </w:pPr>
          </w:p>
        </w:tc>
        <w:tc>
          <w:tcPr>
            <w:tcW w:w="992" w:type="dxa"/>
            <w:vAlign w:val="top"/>
          </w:tcPr>
          <w:p w14:paraId="163B4937">
            <w:pPr>
              <w:rPr>
                <w:rFonts w:ascii="Arial"/>
                <w:color w:val="auto"/>
                <w:sz w:val="21"/>
                <w:highlight w:val="none"/>
              </w:rPr>
            </w:pPr>
          </w:p>
        </w:tc>
        <w:tc>
          <w:tcPr>
            <w:tcW w:w="1107" w:type="dxa"/>
            <w:tcBorders>
              <w:right w:val="single" w:color="000000" w:sz="6" w:space="0"/>
            </w:tcBorders>
            <w:vAlign w:val="top"/>
          </w:tcPr>
          <w:p w14:paraId="5E5DFA52">
            <w:pPr>
              <w:rPr>
                <w:rFonts w:ascii="Arial"/>
                <w:color w:val="auto"/>
                <w:sz w:val="21"/>
                <w:highlight w:val="none"/>
              </w:rPr>
            </w:pPr>
          </w:p>
        </w:tc>
      </w:tr>
      <w:tr w14:paraId="495F5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52897266">
            <w:pPr>
              <w:rPr>
                <w:rFonts w:ascii="Arial"/>
                <w:color w:val="auto"/>
                <w:sz w:val="21"/>
                <w:highlight w:val="none"/>
              </w:rPr>
            </w:pPr>
          </w:p>
        </w:tc>
        <w:tc>
          <w:tcPr>
            <w:tcW w:w="1696" w:type="dxa"/>
            <w:vAlign w:val="top"/>
          </w:tcPr>
          <w:p w14:paraId="47622F26">
            <w:pPr>
              <w:rPr>
                <w:rFonts w:ascii="Arial"/>
                <w:color w:val="auto"/>
                <w:sz w:val="21"/>
                <w:highlight w:val="none"/>
              </w:rPr>
            </w:pPr>
          </w:p>
        </w:tc>
        <w:tc>
          <w:tcPr>
            <w:tcW w:w="851" w:type="dxa"/>
            <w:vAlign w:val="top"/>
          </w:tcPr>
          <w:p w14:paraId="073ED01A">
            <w:pPr>
              <w:rPr>
                <w:rFonts w:ascii="Arial"/>
                <w:color w:val="auto"/>
                <w:sz w:val="21"/>
                <w:highlight w:val="none"/>
              </w:rPr>
            </w:pPr>
          </w:p>
        </w:tc>
        <w:tc>
          <w:tcPr>
            <w:tcW w:w="707" w:type="dxa"/>
            <w:vAlign w:val="top"/>
          </w:tcPr>
          <w:p w14:paraId="745903D9">
            <w:pPr>
              <w:rPr>
                <w:rFonts w:ascii="Arial"/>
                <w:color w:val="auto"/>
                <w:sz w:val="21"/>
                <w:highlight w:val="none"/>
              </w:rPr>
            </w:pPr>
          </w:p>
        </w:tc>
        <w:tc>
          <w:tcPr>
            <w:tcW w:w="850" w:type="dxa"/>
            <w:vAlign w:val="top"/>
          </w:tcPr>
          <w:p w14:paraId="7CAC7DD7">
            <w:pPr>
              <w:rPr>
                <w:rFonts w:ascii="Arial"/>
                <w:color w:val="auto"/>
                <w:sz w:val="21"/>
                <w:highlight w:val="none"/>
              </w:rPr>
            </w:pPr>
          </w:p>
        </w:tc>
        <w:tc>
          <w:tcPr>
            <w:tcW w:w="848" w:type="dxa"/>
            <w:vAlign w:val="top"/>
          </w:tcPr>
          <w:p w14:paraId="00DC2845">
            <w:pPr>
              <w:rPr>
                <w:rFonts w:ascii="Arial"/>
                <w:color w:val="auto"/>
                <w:sz w:val="21"/>
                <w:highlight w:val="none"/>
              </w:rPr>
            </w:pPr>
          </w:p>
        </w:tc>
        <w:tc>
          <w:tcPr>
            <w:tcW w:w="1131" w:type="dxa"/>
            <w:vAlign w:val="top"/>
          </w:tcPr>
          <w:p w14:paraId="0C822D43">
            <w:pPr>
              <w:rPr>
                <w:rFonts w:ascii="Arial"/>
                <w:color w:val="auto"/>
                <w:sz w:val="21"/>
                <w:highlight w:val="none"/>
              </w:rPr>
            </w:pPr>
          </w:p>
        </w:tc>
        <w:tc>
          <w:tcPr>
            <w:tcW w:w="992" w:type="dxa"/>
            <w:vAlign w:val="top"/>
          </w:tcPr>
          <w:p w14:paraId="30D7510E">
            <w:pPr>
              <w:rPr>
                <w:rFonts w:ascii="Arial"/>
                <w:color w:val="auto"/>
                <w:sz w:val="21"/>
                <w:highlight w:val="none"/>
              </w:rPr>
            </w:pPr>
          </w:p>
        </w:tc>
        <w:tc>
          <w:tcPr>
            <w:tcW w:w="1107" w:type="dxa"/>
            <w:tcBorders>
              <w:right w:val="single" w:color="000000" w:sz="6" w:space="0"/>
            </w:tcBorders>
            <w:vAlign w:val="top"/>
          </w:tcPr>
          <w:p w14:paraId="7D69A21B">
            <w:pPr>
              <w:rPr>
                <w:rFonts w:ascii="Arial"/>
                <w:color w:val="auto"/>
                <w:sz w:val="21"/>
                <w:highlight w:val="none"/>
              </w:rPr>
            </w:pPr>
          </w:p>
        </w:tc>
      </w:tr>
      <w:tr w14:paraId="5ABB9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15B9BD42">
            <w:pPr>
              <w:rPr>
                <w:rFonts w:ascii="Arial"/>
                <w:color w:val="auto"/>
                <w:sz w:val="21"/>
                <w:highlight w:val="none"/>
              </w:rPr>
            </w:pPr>
          </w:p>
        </w:tc>
        <w:tc>
          <w:tcPr>
            <w:tcW w:w="1696" w:type="dxa"/>
            <w:vAlign w:val="top"/>
          </w:tcPr>
          <w:p w14:paraId="53D65A08">
            <w:pPr>
              <w:rPr>
                <w:rFonts w:ascii="Arial"/>
                <w:color w:val="auto"/>
                <w:sz w:val="21"/>
                <w:highlight w:val="none"/>
              </w:rPr>
            </w:pPr>
          </w:p>
        </w:tc>
        <w:tc>
          <w:tcPr>
            <w:tcW w:w="851" w:type="dxa"/>
            <w:vAlign w:val="top"/>
          </w:tcPr>
          <w:p w14:paraId="7EB5CB4E">
            <w:pPr>
              <w:rPr>
                <w:rFonts w:ascii="Arial"/>
                <w:color w:val="auto"/>
                <w:sz w:val="21"/>
                <w:highlight w:val="none"/>
              </w:rPr>
            </w:pPr>
          </w:p>
        </w:tc>
        <w:tc>
          <w:tcPr>
            <w:tcW w:w="707" w:type="dxa"/>
            <w:vAlign w:val="top"/>
          </w:tcPr>
          <w:p w14:paraId="3DAB580D">
            <w:pPr>
              <w:rPr>
                <w:rFonts w:ascii="Arial"/>
                <w:color w:val="auto"/>
                <w:sz w:val="21"/>
                <w:highlight w:val="none"/>
              </w:rPr>
            </w:pPr>
          </w:p>
        </w:tc>
        <w:tc>
          <w:tcPr>
            <w:tcW w:w="850" w:type="dxa"/>
            <w:vAlign w:val="top"/>
          </w:tcPr>
          <w:p w14:paraId="089F5E30">
            <w:pPr>
              <w:rPr>
                <w:rFonts w:ascii="Arial"/>
                <w:color w:val="auto"/>
                <w:sz w:val="21"/>
                <w:highlight w:val="none"/>
              </w:rPr>
            </w:pPr>
          </w:p>
        </w:tc>
        <w:tc>
          <w:tcPr>
            <w:tcW w:w="848" w:type="dxa"/>
            <w:vAlign w:val="top"/>
          </w:tcPr>
          <w:p w14:paraId="0D5D63EE">
            <w:pPr>
              <w:rPr>
                <w:rFonts w:ascii="Arial"/>
                <w:color w:val="auto"/>
                <w:sz w:val="21"/>
                <w:highlight w:val="none"/>
              </w:rPr>
            </w:pPr>
          </w:p>
        </w:tc>
        <w:tc>
          <w:tcPr>
            <w:tcW w:w="1131" w:type="dxa"/>
            <w:vAlign w:val="top"/>
          </w:tcPr>
          <w:p w14:paraId="35B9A046">
            <w:pPr>
              <w:rPr>
                <w:rFonts w:ascii="Arial"/>
                <w:color w:val="auto"/>
                <w:sz w:val="21"/>
                <w:highlight w:val="none"/>
              </w:rPr>
            </w:pPr>
          </w:p>
        </w:tc>
        <w:tc>
          <w:tcPr>
            <w:tcW w:w="992" w:type="dxa"/>
            <w:vAlign w:val="top"/>
          </w:tcPr>
          <w:p w14:paraId="51277CBD">
            <w:pPr>
              <w:rPr>
                <w:rFonts w:ascii="Arial"/>
                <w:color w:val="auto"/>
                <w:sz w:val="21"/>
                <w:highlight w:val="none"/>
              </w:rPr>
            </w:pPr>
          </w:p>
        </w:tc>
        <w:tc>
          <w:tcPr>
            <w:tcW w:w="1107" w:type="dxa"/>
            <w:tcBorders>
              <w:right w:val="single" w:color="000000" w:sz="6" w:space="0"/>
            </w:tcBorders>
            <w:vAlign w:val="top"/>
          </w:tcPr>
          <w:p w14:paraId="68B74C4E">
            <w:pPr>
              <w:rPr>
                <w:rFonts w:ascii="Arial"/>
                <w:color w:val="auto"/>
                <w:sz w:val="21"/>
                <w:highlight w:val="none"/>
              </w:rPr>
            </w:pPr>
          </w:p>
        </w:tc>
      </w:tr>
      <w:tr w14:paraId="23486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46FBFC69">
            <w:pPr>
              <w:rPr>
                <w:rFonts w:ascii="Arial"/>
                <w:color w:val="auto"/>
                <w:sz w:val="21"/>
                <w:highlight w:val="none"/>
              </w:rPr>
            </w:pPr>
          </w:p>
        </w:tc>
        <w:tc>
          <w:tcPr>
            <w:tcW w:w="1696" w:type="dxa"/>
            <w:vAlign w:val="top"/>
          </w:tcPr>
          <w:p w14:paraId="6F5A15E3">
            <w:pPr>
              <w:rPr>
                <w:rFonts w:ascii="Arial"/>
                <w:color w:val="auto"/>
                <w:sz w:val="21"/>
                <w:highlight w:val="none"/>
              </w:rPr>
            </w:pPr>
          </w:p>
        </w:tc>
        <w:tc>
          <w:tcPr>
            <w:tcW w:w="851" w:type="dxa"/>
            <w:vAlign w:val="top"/>
          </w:tcPr>
          <w:p w14:paraId="1C81B300">
            <w:pPr>
              <w:rPr>
                <w:rFonts w:ascii="Arial"/>
                <w:color w:val="auto"/>
                <w:sz w:val="21"/>
                <w:highlight w:val="none"/>
              </w:rPr>
            </w:pPr>
          </w:p>
        </w:tc>
        <w:tc>
          <w:tcPr>
            <w:tcW w:w="707" w:type="dxa"/>
            <w:vAlign w:val="top"/>
          </w:tcPr>
          <w:p w14:paraId="0F3FC6A6">
            <w:pPr>
              <w:rPr>
                <w:rFonts w:ascii="Arial"/>
                <w:color w:val="auto"/>
                <w:sz w:val="21"/>
                <w:highlight w:val="none"/>
              </w:rPr>
            </w:pPr>
          </w:p>
        </w:tc>
        <w:tc>
          <w:tcPr>
            <w:tcW w:w="850" w:type="dxa"/>
            <w:vAlign w:val="top"/>
          </w:tcPr>
          <w:p w14:paraId="12BEC6FB">
            <w:pPr>
              <w:rPr>
                <w:rFonts w:ascii="Arial"/>
                <w:color w:val="auto"/>
                <w:sz w:val="21"/>
                <w:highlight w:val="none"/>
              </w:rPr>
            </w:pPr>
          </w:p>
        </w:tc>
        <w:tc>
          <w:tcPr>
            <w:tcW w:w="848" w:type="dxa"/>
            <w:vAlign w:val="top"/>
          </w:tcPr>
          <w:p w14:paraId="1F43B6BB">
            <w:pPr>
              <w:rPr>
                <w:rFonts w:ascii="Arial"/>
                <w:color w:val="auto"/>
                <w:sz w:val="21"/>
                <w:highlight w:val="none"/>
              </w:rPr>
            </w:pPr>
          </w:p>
        </w:tc>
        <w:tc>
          <w:tcPr>
            <w:tcW w:w="1131" w:type="dxa"/>
            <w:vAlign w:val="top"/>
          </w:tcPr>
          <w:p w14:paraId="4ED02F90">
            <w:pPr>
              <w:rPr>
                <w:rFonts w:ascii="Arial"/>
                <w:color w:val="auto"/>
                <w:sz w:val="21"/>
                <w:highlight w:val="none"/>
              </w:rPr>
            </w:pPr>
          </w:p>
        </w:tc>
        <w:tc>
          <w:tcPr>
            <w:tcW w:w="992" w:type="dxa"/>
            <w:vAlign w:val="top"/>
          </w:tcPr>
          <w:p w14:paraId="03AE8EDF">
            <w:pPr>
              <w:rPr>
                <w:rFonts w:ascii="Arial"/>
                <w:color w:val="auto"/>
                <w:sz w:val="21"/>
                <w:highlight w:val="none"/>
              </w:rPr>
            </w:pPr>
          </w:p>
        </w:tc>
        <w:tc>
          <w:tcPr>
            <w:tcW w:w="1107" w:type="dxa"/>
            <w:tcBorders>
              <w:right w:val="single" w:color="000000" w:sz="6" w:space="0"/>
            </w:tcBorders>
            <w:vAlign w:val="top"/>
          </w:tcPr>
          <w:p w14:paraId="4AD7B186">
            <w:pPr>
              <w:rPr>
                <w:rFonts w:ascii="Arial"/>
                <w:color w:val="auto"/>
                <w:sz w:val="21"/>
                <w:highlight w:val="none"/>
              </w:rPr>
            </w:pPr>
          </w:p>
        </w:tc>
      </w:tr>
      <w:tr w14:paraId="14B92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54361767">
            <w:pPr>
              <w:rPr>
                <w:rFonts w:ascii="Arial"/>
                <w:color w:val="auto"/>
                <w:sz w:val="21"/>
                <w:highlight w:val="none"/>
              </w:rPr>
            </w:pPr>
          </w:p>
        </w:tc>
        <w:tc>
          <w:tcPr>
            <w:tcW w:w="1696" w:type="dxa"/>
            <w:vAlign w:val="top"/>
          </w:tcPr>
          <w:p w14:paraId="05C20B76">
            <w:pPr>
              <w:rPr>
                <w:rFonts w:ascii="Arial"/>
                <w:color w:val="auto"/>
                <w:sz w:val="21"/>
                <w:highlight w:val="none"/>
              </w:rPr>
            </w:pPr>
          </w:p>
        </w:tc>
        <w:tc>
          <w:tcPr>
            <w:tcW w:w="851" w:type="dxa"/>
            <w:vAlign w:val="top"/>
          </w:tcPr>
          <w:p w14:paraId="0FE6F45D">
            <w:pPr>
              <w:rPr>
                <w:rFonts w:ascii="Arial"/>
                <w:color w:val="auto"/>
                <w:sz w:val="21"/>
                <w:highlight w:val="none"/>
              </w:rPr>
            </w:pPr>
          </w:p>
        </w:tc>
        <w:tc>
          <w:tcPr>
            <w:tcW w:w="707" w:type="dxa"/>
            <w:vAlign w:val="top"/>
          </w:tcPr>
          <w:p w14:paraId="02DFF27D">
            <w:pPr>
              <w:rPr>
                <w:rFonts w:ascii="Arial"/>
                <w:color w:val="auto"/>
                <w:sz w:val="21"/>
                <w:highlight w:val="none"/>
              </w:rPr>
            </w:pPr>
          </w:p>
        </w:tc>
        <w:tc>
          <w:tcPr>
            <w:tcW w:w="850" w:type="dxa"/>
            <w:vAlign w:val="top"/>
          </w:tcPr>
          <w:p w14:paraId="2355BCF0">
            <w:pPr>
              <w:rPr>
                <w:rFonts w:ascii="Arial"/>
                <w:color w:val="auto"/>
                <w:sz w:val="21"/>
                <w:highlight w:val="none"/>
              </w:rPr>
            </w:pPr>
          </w:p>
        </w:tc>
        <w:tc>
          <w:tcPr>
            <w:tcW w:w="848" w:type="dxa"/>
            <w:vAlign w:val="top"/>
          </w:tcPr>
          <w:p w14:paraId="6EF97E0E">
            <w:pPr>
              <w:rPr>
                <w:rFonts w:ascii="Arial"/>
                <w:color w:val="auto"/>
                <w:sz w:val="21"/>
                <w:highlight w:val="none"/>
              </w:rPr>
            </w:pPr>
          </w:p>
        </w:tc>
        <w:tc>
          <w:tcPr>
            <w:tcW w:w="1131" w:type="dxa"/>
            <w:vAlign w:val="top"/>
          </w:tcPr>
          <w:p w14:paraId="0183E4ED">
            <w:pPr>
              <w:rPr>
                <w:rFonts w:ascii="Arial"/>
                <w:color w:val="auto"/>
                <w:sz w:val="21"/>
                <w:highlight w:val="none"/>
              </w:rPr>
            </w:pPr>
          </w:p>
        </w:tc>
        <w:tc>
          <w:tcPr>
            <w:tcW w:w="992" w:type="dxa"/>
            <w:vAlign w:val="top"/>
          </w:tcPr>
          <w:p w14:paraId="4C5B3A97">
            <w:pPr>
              <w:rPr>
                <w:rFonts w:ascii="Arial"/>
                <w:color w:val="auto"/>
                <w:sz w:val="21"/>
                <w:highlight w:val="none"/>
              </w:rPr>
            </w:pPr>
          </w:p>
        </w:tc>
        <w:tc>
          <w:tcPr>
            <w:tcW w:w="1107" w:type="dxa"/>
            <w:tcBorders>
              <w:right w:val="single" w:color="000000" w:sz="6" w:space="0"/>
            </w:tcBorders>
            <w:vAlign w:val="top"/>
          </w:tcPr>
          <w:p w14:paraId="1CD23C4C">
            <w:pPr>
              <w:rPr>
                <w:rFonts w:ascii="Arial"/>
                <w:color w:val="auto"/>
                <w:sz w:val="21"/>
                <w:highlight w:val="none"/>
              </w:rPr>
            </w:pPr>
          </w:p>
        </w:tc>
      </w:tr>
      <w:tr w14:paraId="33922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2C9D9A05">
            <w:pPr>
              <w:rPr>
                <w:rFonts w:ascii="Arial"/>
                <w:color w:val="auto"/>
                <w:sz w:val="21"/>
                <w:highlight w:val="none"/>
              </w:rPr>
            </w:pPr>
          </w:p>
        </w:tc>
        <w:tc>
          <w:tcPr>
            <w:tcW w:w="1696" w:type="dxa"/>
            <w:vAlign w:val="top"/>
          </w:tcPr>
          <w:p w14:paraId="0A3BA22B">
            <w:pPr>
              <w:rPr>
                <w:rFonts w:ascii="Arial"/>
                <w:color w:val="auto"/>
                <w:sz w:val="21"/>
                <w:highlight w:val="none"/>
              </w:rPr>
            </w:pPr>
          </w:p>
        </w:tc>
        <w:tc>
          <w:tcPr>
            <w:tcW w:w="851" w:type="dxa"/>
            <w:vAlign w:val="top"/>
          </w:tcPr>
          <w:p w14:paraId="6EB609F5">
            <w:pPr>
              <w:rPr>
                <w:rFonts w:ascii="Arial"/>
                <w:color w:val="auto"/>
                <w:sz w:val="21"/>
                <w:highlight w:val="none"/>
              </w:rPr>
            </w:pPr>
          </w:p>
        </w:tc>
        <w:tc>
          <w:tcPr>
            <w:tcW w:w="707" w:type="dxa"/>
            <w:vAlign w:val="top"/>
          </w:tcPr>
          <w:p w14:paraId="45317CBF">
            <w:pPr>
              <w:rPr>
                <w:rFonts w:ascii="Arial"/>
                <w:color w:val="auto"/>
                <w:sz w:val="21"/>
                <w:highlight w:val="none"/>
              </w:rPr>
            </w:pPr>
          </w:p>
        </w:tc>
        <w:tc>
          <w:tcPr>
            <w:tcW w:w="850" w:type="dxa"/>
            <w:vAlign w:val="top"/>
          </w:tcPr>
          <w:p w14:paraId="618DE5CF">
            <w:pPr>
              <w:rPr>
                <w:rFonts w:ascii="Arial"/>
                <w:color w:val="auto"/>
                <w:sz w:val="21"/>
                <w:highlight w:val="none"/>
              </w:rPr>
            </w:pPr>
          </w:p>
        </w:tc>
        <w:tc>
          <w:tcPr>
            <w:tcW w:w="848" w:type="dxa"/>
            <w:vAlign w:val="top"/>
          </w:tcPr>
          <w:p w14:paraId="59F0E316">
            <w:pPr>
              <w:rPr>
                <w:rFonts w:ascii="Arial"/>
                <w:color w:val="auto"/>
                <w:sz w:val="21"/>
                <w:highlight w:val="none"/>
              </w:rPr>
            </w:pPr>
          </w:p>
        </w:tc>
        <w:tc>
          <w:tcPr>
            <w:tcW w:w="1131" w:type="dxa"/>
            <w:vAlign w:val="top"/>
          </w:tcPr>
          <w:p w14:paraId="1EE09635">
            <w:pPr>
              <w:rPr>
                <w:rFonts w:ascii="Arial"/>
                <w:color w:val="auto"/>
                <w:sz w:val="21"/>
                <w:highlight w:val="none"/>
              </w:rPr>
            </w:pPr>
          </w:p>
        </w:tc>
        <w:tc>
          <w:tcPr>
            <w:tcW w:w="992" w:type="dxa"/>
            <w:vAlign w:val="top"/>
          </w:tcPr>
          <w:p w14:paraId="553D0A16">
            <w:pPr>
              <w:rPr>
                <w:rFonts w:ascii="Arial"/>
                <w:color w:val="auto"/>
                <w:sz w:val="21"/>
                <w:highlight w:val="none"/>
              </w:rPr>
            </w:pPr>
          </w:p>
        </w:tc>
        <w:tc>
          <w:tcPr>
            <w:tcW w:w="1107" w:type="dxa"/>
            <w:tcBorders>
              <w:right w:val="single" w:color="000000" w:sz="6" w:space="0"/>
            </w:tcBorders>
            <w:vAlign w:val="top"/>
          </w:tcPr>
          <w:p w14:paraId="381503F1">
            <w:pPr>
              <w:rPr>
                <w:rFonts w:ascii="Arial"/>
                <w:color w:val="auto"/>
                <w:sz w:val="21"/>
                <w:highlight w:val="none"/>
              </w:rPr>
            </w:pPr>
          </w:p>
        </w:tc>
      </w:tr>
      <w:tr w14:paraId="36CE4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827" w:type="dxa"/>
            <w:tcBorders>
              <w:left w:val="single" w:color="000000" w:sz="6" w:space="0"/>
            </w:tcBorders>
            <w:vAlign w:val="top"/>
          </w:tcPr>
          <w:p w14:paraId="4848B5F7">
            <w:pPr>
              <w:rPr>
                <w:rFonts w:ascii="Arial"/>
                <w:color w:val="auto"/>
                <w:sz w:val="21"/>
                <w:highlight w:val="none"/>
              </w:rPr>
            </w:pPr>
          </w:p>
        </w:tc>
        <w:tc>
          <w:tcPr>
            <w:tcW w:w="1696" w:type="dxa"/>
            <w:vAlign w:val="top"/>
          </w:tcPr>
          <w:p w14:paraId="4241268B">
            <w:pPr>
              <w:rPr>
                <w:rFonts w:ascii="Arial"/>
                <w:color w:val="auto"/>
                <w:sz w:val="21"/>
                <w:highlight w:val="none"/>
              </w:rPr>
            </w:pPr>
          </w:p>
        </w:tc>
        <w:tc>
          <w:tcPr>
            <w:tcW w:w="851" w:type="dxa"/>
            <w:vAlign w:val="top"/>
          </w:tcPr>
          <w:p w14:paraId="4DA9C9A3">
            <w:pPr>
              <w:rPr>
                <w:rFonts w:ascii="Arial"/>
                <w:color w:val="auto"/>
                <w:sz w:val="21"/>
                <w:highlight w:val="none"/>
              </w:rPr>
            </w:pPr>
          </w:p>
        </w:tc>
        <w:tc>
          <w:tcPr>
            <w:tcW w:w="707" w:type="dxa"/>
            <w:vAlign w:val="top"/>
          </w:tcPr>
          <w:p w14:paraId="2655C6EE">
            <w:pPr>
              <w:rPr>
                <w:rFonts w:ascii="Arial"/>
                <w:color w:val="auto"/>
                <w:sz w:val="21"/>
                <w:highlight w:val="none"/>
              </w:rPr>
            </w:pPr>
          </w:p>
        </w:tc>
        <w:tc>
          <w:tcPr>
            <w:tcW w:w="850" w:type="dxa"/>
            <w:vAlign w:val="top"/>
          </w:tcPr>
          <w:p w14:paraId="26065188">
            <w:pPr>
              <w:rPr>
                <w:rFonts w:ascii="Arial"/>
                <w:color w:val="auto"/>
                <w:sz w:val="21"/>
                <w:highlight w:val="none"/>
              </w:rPr>
            </w:pPr>
          </w:p>
        </w:tc>
        <w:tc>
          <w:tcPr>
            <w:tcW w:w="848" w:type="dxa"/>
            <w:vAlign w:val="top"/>
          </w:tcPr>
          <w:p w14:paraId="502FC0FE">
            <w:pPr>
              <w:rPr>
                <w:rFonts w:ascii="Arial"/>
                <w:color w:val="auto"/>
                <w:sz w:val="21"/>
                <w:highlight w:val="none"/>
              </w:rPr>
            </w:pPr>
          </w:p>
        </w:tc>
        <w:tc>
          <w:tcPr>
            <w:tcW w:w="1131" w:type="dxa"/>
            <w:vAlign w:val="top"/>
          </w:tcPr>
          <w:p w14:paraId="67216E41">
            <w:pPr>
              <w:rPr>
                <w:rFonts w:ascii="Arial"/>
                <w:color w:val="auto"/>
                <w:sz w:val="21"/>
                <w:highlight w:val="none"/>
              </w:rPr>
            </w:pPr>
          </w:p>
        </w:tc>
        <w:tc>
          <w:tcPr>
            <w:tcW w:w="992" w:type="dxa"/>
            <w:vAlign w:val="top"/>
          </w:tcPr>
          <w:p w14:paraId="03D18873">
            <w:pPr>
              <w:rPr>
                <w:rFonts w:ascii="Arial"/>
                <w:color w:val="auto"/>
                <w:sz w:val="21"/>
                <w:highlight w:val="none"/>
              </w:rPr>
            </w:pPr>
          </w:p>
        </w:tc>
        <w:tc>
          <w:tcPr>
            <w:tcW w:w="1107" w:type="dxa"/>
            <w:tcBorders>
              <w:right w:val="single" w:color="000000" w:sz="6" w:space="0"/>
            </w:tcBorders>
            <w:vAlign w:val="top"/>
          </w:tcPr>
          <w:p w14:paraId="2F8C50F7">
            <w:pPr>
              <w:rPr>
                <w:rFonts w:ascii="Arial"/>
                <w:color w:val="auto"/>
                <w:sz w:val="21"/>
                <w:highlight w:val="none"/>
              </w:rPr>
            </w:pPr>
          </w:p>
        </w:tc>
      </w:tr>
      <w:tr w14:paraId="251BA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5787B500">
            <w:pPr>
              <w:rPr>
                <w:rFonts w:ascii="Arial"/>
                <w:color w:val="auto"/>
                <w:sz w:val="21"/>
                <w:highlight w:val="none"/>
              </w:rPr>
            </w:pPr>
          </w:p>
        </w:tc>
        <w:tc>
          <w:tcPr>
            <w:tcW w:w="1696" w:type="dxa"/>
            <w:vAlign w:val="top"/>
          </w:tcPr>
          <w:p w14:paraId="3E7961B8">
            <w:pPr>
              <w:rPr>
                <w:rFonts w:ascii="Arial"/>
                <w:color w:val="auto"/>
                <w:sz w:val="21"/>
                <w:highlight w:val="none"/>
              </w:rPr>
            </w:pPr>
          </w:p>
        </w:tc>
        <w:tc>
          <w:tcPr>
            <w:tcW w:w="851" w:type="dxa"/>
            <w:vAlign w:val="top"/>
          </w:tcPr>
          <w:p w14:paraId="460AFCC6">
            <w:pPr>
              <w:rPr>
                <w:rFonts w:ascii="Arial"/>
                <w:color w:val="auto"/>
                <w:sz w:val="21"/>
                <w:highlight w:val="none"/>
              </w:rPr>
            </w:pPr>
          </w:p>
        </w:tc>
        <w:tc>
          <w:tcPr>
            <w:tcW w:w="707" w:type="dxa"/>
            <w:vAlign w:val="top"/>
          </w:tcPr>
          <w:p w14:paraId="3B3A7FE4">
            <w:pPr>
              <w:rPr>
                <w:rFonts w:ascii="Arial"/>
                <w:color w:val="auto"/>
                <w:sz w:val="21"/>
                <w:highlight w:val="none"/>
              </w:rPr>
            </w:pPr>
          </w:p>
        </w:tc>
        <w:tc>
          <w:tcPr>
            <w:tcW w:w="850" w:type="dxa"/>
            <w:vAlign w:val="top"/>
          </w:tcPr>
          <w:p w14:paraId="16E28BF9">
            <w:pPr>
              <w:rPr>
                <w:rFonts w:ascii="Arial"/>
                <w:color w:val="auto"/>
                <w:sz w:val="21"/>
                <w:highlight w:val="none"/>
              </w:rPr>
            </w:pPr>
          </w:p>
        </w:tc>
        <w:tc>
          <w:tcPr>
            <w:tcW w:w="848" w:type="dxa"/>
            <w:vAlign w:val="top"/>
          </w:tcPr>
          <w:p w14:paraId="558EE96A">
            <w:pPr>
              <w:rPr>
                <w:rFonts w:ascii="Arial"/>
                <w:color w:val="auto"/>
                <w:sz w:val="21"/>
                <w:highlight w:val="none"/>
              </w:rPr>
            </w:pPr>
          </w:p>
        </w:tc>
        <w:tc>
          <w:tcPr>
            <w:tcW w:w="1131" w:type="dxa"/>
            <w:vAlign w:val="top"/>
          </w:tcPr>
          <w:p w14:paraId="5A35A646">
            <w:pPr>
              <w:rPr>
                <w:rFonts w:ascii="Arial"/>
                <w:color w:val="auto"/>
                <w:sz w:val="21"/>
                <w:highlight w:val="none"/>
              </w:rPr>
            </w:pPr>
          </w:p>
        </w:tc>
        <w:tc>
          <w:tcPr>
            <w:tcW w:w="992" w:type="dxa"/>
            <w:vAlign w:val="top"/>
          </w:tcPr>
          <w:p w14:paraId="66589053">
            <w:pPr>
              <w:rPr>
                <w:rFonts w:ascii="Arial"/>
                <w:color w:val="auto"/>
                <w:sz w:val="21"/>
                <w:highlight w:val="none"/>
              </w:rPr>
            </w:pPr>
          </w:p>
        </w:tc>
        <w:tc>
          <w:tcPr>
            <w:tcW w:w="1107" w:type="dxa"/>
            <w:tcBorders>
              <w:right w:val="single" w:color="000000" w:sz="6" w:space="0"/>
            </w:tcBorders>
            <w:vAlign w:val="top"/>
          </w:tcPr>
          <w:p w14:paraId="45176624">
            <w:pPr>
              <w:rPr>
                <w:rFonts w:ascii="Arial"/>
                <w:color w:val="auto"/>
                <w:sz w:val="21"/>
                <w:highlight w:val="none"/>
              </w:rPr>
            </w:pPr>
          </w:p>
        </w:tc>
      </w:tr>
      <w:tr w14:paraId="1E2F4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27" w:type="dxa"/>
            <w:tcBorders>
              <w:left w:val="single" w:color="000000" w:sz="6" w:space="0"/>
            </w:tcBorders>
            <w:vAlign w:val="top"/>
          </w:tcPr>
          <w:p w14:paraId="094A8D0D">
            <w:pPr>
              <w:rPr>
                <w:rFonts w:ascii="Arial"/>
                <w:color w:val="auto"/>
                <w:sz w:val="21"/>
                <w:highlight w:val="none"/>
              </w:rPr>
            </w:pPr>
          </w:p>
        </w:tc>
        <w:tc>
          <w:tcPr>
            <w:tcW w:w="1696" w:type="dxa"/>
            <w:vAlign w:val="top"/>
          </w:tcPr>
          <w:p w14:paraId="18D23E3C">
            <w:pPr>
              <w:rPr>
                <w:rFonts w:ascii="Arial"/>
                <w:color w:val="auto"/>
                <w:sz w:val="21"/>
                <w:highlight w:val="none"/>
              </w:rPr>
            </w:pPr>
          </w:p>
        </w:tc>
        <w:tc>
          <w:tcPr>
            <w:tcW w:w="851" w:type="dxa"/>
            <w:vAlign w:val="top"/>
          </w:tcPr>
          <w:p w14:paraId="61E956B3">
            <w:pPr>
              <w:rPr>
                <w:rFonts w:ascii="Arial"/>
                <w:color w:val="auto"/>
                <w:sz w:val="21"/>
                <w:highlight w:val="none"/>
              </w:rPr>
            </w:pPr>
          </w:p>
        </w:tc>
        <w:tc>
          <w:tcPr>
            <w:tcW w:w="707" w:type="dxa"/>
            <w:vAlign w:val="top"/>
          </w:tcPr>
          <w:p w14:paraId="47E72A9A">
            <w:pPr>
              <w:rPr>
                <w:rFonts w:ascii="Arial"/>
                <w:color w:val="auto"/>
                <w:sz w:val="21"/>
                <w:highlight w:val="none"/>
              </w:rPr>
            </w:pPr>
          </w:p>
        </w:tc>
        <w:tc>
          <w:tcPr>
            <w:tcW w:w="850" w:type="dxa"/>
            <w:vAlign w:val="top"/>
          </w:tcPr>
          <w:p w14:paraId="4766A7EA">
            <w:pPr>
              <w:rPr>
                <w:rFonts w:ascii="Arial"/>
                <w:color w:val="auto"/>
                <w:sz w:val="21"/>
                <w:highlight w:val="none"/>
              </w:rPr>
            </w:pPr>
          </w:p>
        </w:tc>
        <w:tc>
          <w:tcPr>
            <w:tcW w:w="848" w:type="dxa"/>
            <w:vAlign w:val="top"/>
          </w:tcPr>
          <w:p w14:paraId="57652C5C">
            <w:pPr>
              <w:rPr>
                <w:rFonts w:ascii="Arial"/>
                <w:color w:val="auto"/>
                <w:sz w:val="21"/>
                <w:highlight w:val="none"/>
              </w:rPr>
            </w:pPr>
          </w:p>
        </w:tc>
        <w:tc>
          <w:tcPr>
            <w:tcW w:w="1131" w:type="dxa"/>
            <w:vAlign w:val="top"/>
          </w:tcPr>
          <w:p w14:paraId="7FAE69BB">
            <w:pPr>
              <w:rPr>
                <w:rFonts w:ascii="Arial"/>
                <w:color w:val="auto"/>
                <w:sz w:val="21"/>
                <w:highlight w:val="none"/>
              </w:rPr>
            </w:pPr>
          </w:p>
        </w:tc>
        <w:tc>
          <w:tcPr>
            <w:tcW w:w="992" w:type="dxa"/>
            <w:vAlign w:val="top"/>
          </w:tcPr>
          <w:p w14:paraId="5489B488">
            <w:pPr>
              <w:rPr>
                <w:rFonts w:ascii="Arial"/>
                <w:color w:val="auto"/>
                <w:sz w:val="21"/>
                <w:highlight w:val="none"/>
              </w:rPr>
            </w:pPr>
          </w:p>
        </w:tc>
        <w:tc>
          <w:tcPr>
            <w:tcW w:w="1107" w:type="dxa"/>
            <w:tcBorders>
              <w:right w:val="single" w:color="000000" w:sz="6" w:space="0"/>
            </w:tcBorders>
            <w:vAlign w:val="top"/>
          </w:tcPr>
          <w:p w14:paraId="23A08658">
            <w:pPr>
              <w:rPr>
                <w:rFonts w:ascii="Arial"/>
                <w:color w:val="auto"/>
                <w:sz w:val="21"/>
                <w:highlight w:val="none"/>
              </w:rPr>
            </w:pPr>
          </w:p>
        </w:tc>
      </w:tr>
      <w:tr w14:paraId="76CCC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827" w:type="dxa"/>
            <w:tcBorders>
              <w:left w:val="single" w:color="000000" w:sz="6" w:space="0"/>
              <w:bottom w:val="single" w:color="000000" w:sz="6" w:space="0"/>
            </w:tcBorders>
            <w:vAlign w:val="top"/>
          </w:tcPr>
          <w:p w14:paraId="101CD1C7">
            <w:pPr>
              <w:rPr>
                <w:rFonts w:ascii="Arial"/>
                <w:color w:val="auto"/>
                <w:sz w:val="21"/>
                <w:highlight w:val="none"/>
              </w:rPr>
            </w:pPr>
          </w:p>
        </w:tc>
        <w:tc>
          <w:tcPr>
            <w:tcW w:w="1696" w:type="dxa"/>
            <w:tcBorders>
              <w:bottom w:val="single" w:color="000000" w:sz="6" w:space="0"/>
            </w:tcBorders>
            <w:vAlign w:val="top"/>
          </w:tcPr>
          <w:p w14:paraId="0E905282">
            <w:pPr>
              <w:rPr>
                <w:rFonts w:ascii="Arial"/>
                <w:color w:val="auto"/>
                <w:sz w:val="21"/>
                <w:highlight w:val="none"/>
              </w:rPr>
            </w:pPr>
          </w:p>
        </w:tc>
        <w:tc>
          <w:tcPr>
            <w:tcW w:w="851" w:type="dxa"/>
            <w:tcBorders>
              <w:bottom w:val="single" w:color="000000" w:sz="6" w:space="0"/>
            </w:tcBorders>
            <w:vAlign w:val="top"/>
          </w:tcPr>
          <w:p w14:paraId="6A05D3C0">
            <w:pPr>
              <w:rPr>
                <w:rFonts w:ascii="Arial"/>
                <w:color w:val="auto"/>
                <w:sz w:val="21"/>
                <w:highlight w:val="none"/>
              </w:rPr>
            </w:pPr>
          </w:p>
        </w:tc>
        <w:tc>
          <w:tcPr>
            <w:tcW w:w="707" w:type="dxa"/>
            <w:tcBorders>
              <w:bottom w:val="single" w:color="000000" w:sz="6" w:space="0"/>
            </w:tcBorders>
            <w:vAlign w:val="top"/>
          </w:tcPr>
          <w:p w14:paraId="69219E5A">
            <w:pPr>
              <w:rPr>
                <w:rFonts w:ascii="Arial"/>
                <w:color w:val="auto"/>
                <w:sz w:val="21"/>
                <w:highlight w:val="none"/>
              </w:rPr>
            </w:pPr>
          </w:p>
        </w:tc>
        <w:tc>
          <w:tcPr>
            <w:tcW w:w="850" w:type="dxa"/>
            <w:tcBorders>
              <w:bottom w:val="single" w:color="000000" w:sz="6" w:space="0"/>
            </w:tcBorders>
            <w:vAlign w:val="top"/>
          </w:tcPr>
          <w:p w14:paraId="0FEE528E">
            <w:pPr>
              <w:rPr>
                <w:rFonts w:ascii="Arial"/>
                <w:color w:val="auto"/>
                <w:sz w:val="21"/>
                <w:highlight w:val="none"/>
              </w:rPr>
            </w:pPr>
          </w:p>
        </w:tc>
        <w:tc>
          <w:tcPr>
            <w:tcW w:w="848" w:type="dxa"/>
            <w:tcBorders>
              <w:bottom w:val="single" w:color="000000" w:sz="6" w:space="0"/>
            </w:tcBorders>
            <w:vAlign w:val="top"/>
          </w:tcPr>
          <w:p w14:paraId="7E6387BA">
            <w:pPr>
              <w:rPr>
                <w:rFonts w:ascii="Arial"/>
                <w:color w:val="auto"/>
                <w:sz w:val="21"/>
                <w:highlight w:val="none"/>
              </w:rPr>
            </w:pPr>
          </w:p>
        </w:tc>
        <w:tc>
          <w:tcPr>
            <w:tcW w:w="1131" w:type="dxa"/>
            <w:tcBorders>
              <w:bottom w:val="single" w:color="000000" w:sz="6" w:space="0"/>
            </w:tcBorders>
            <w:vAlign w:val="top"/>
          </w:tcPr>
          <w:p w14:paraId="5912AA17">
            <w:pPr>
              <w:rPr>
                <w:rFonts w:ascii="Arial"/>
                <w:color w:val="auto"/>
                <w:sz w:val="21"/>
                <w:highlight w:val="none"/>
              </w:rPr>
            </w:pPr>
          </w:p>
        </w:tc>
        <w:tc>
          <w:tcPr>
            <w:tcW w:w="992" w:type="dxa"/>
            <w:tcBorders>
              <w:bottom w:val="single" w:color="000000" w:sz="6" w:space="0"/>
            </w:tcBorders>
            <w:vAlign w:val="top"/>
          </w:tcPr>
          <w:p w14:paraId="2BA27050">
            <w:pPr>
              <w:rPr>
                <w:rFonts w:ascii="Arial"/>
                <w:color w:val="auto"/>
                <w:sz w:val="21"/>
                <w:highlight w:val="none"/>
              </w:rPr>
            </w:pPr>
          </w:p>
        </w:tc>
        <w:tc>
          <w:tcPr>
            <w:tcW w:w="1107" w:type="dxa"/>
            <w:tcBorders>
              <w:bottom w:val="single" w:color="000000" w:sz="6" w:space="0"/>
              <w:right w:val="single" w:color="000000" w:sz="6" w:space="0"/>
            </w:tcBorders>
            <w:vAlign w:val="top"/>
          </w:tcPr>
          <w:p w14:paraId="0410D4CD">
            <w:pPr>
              <w:rPr>
                <w:rFonts w:ascii="Arial"/>
                <w:color w:val="auto"/>
                <w:sz w:val="21"/>
                <w:highlight w:val="none"/>
              </w:rPr>
            </w:pPr>
          </w:p>
        </w:tc>
      </w:tr>
    </w:tbl>
    <w:p w14:paraId="4429F549">
      <w:pPr>
        <w:pStyle w:val="3"/>
        <w:rPr>
          <w:color w:val="auto"/>
          <w:highlight w:val="none"/>
        </w:rPr>
      </w:pPr>
    </w:p>
    <w:p w14:paraId="44102E08">
      <w:pPr>
        <w:rPr>
          <w:color w:val="auto"/>
          <w:highlight w:val="none"/>
        </w:rPr>
        <w:sectPr>
          <w:footerReference r:id="rId117" w:type="default"/>
          <w:pgSz w:w="11907" w:h="16841"/>
          <w:pgMar w:top="400" w:right="1293" w:bottom="1254" w:left="1588" w:header="0" w:footer="1093" w:gutter="0"/>
          <w:pgNumType w:fmt="decimal"/>
          <w:cols w:space="720" w:num="1"/>
        </w:sectPr>
      </w:pPr>
    </w:p>
    <w:p w14:paraId="02A4DF92">
      <w:pPr>
        <w:pStyle w:val="3"/>
        <w:spacing w:line="247" w:lineRule="auto"/>
        <w:rPr>
          <w:color w:val="auto"/>
          <w:highlight w:val="none"/>
        </w:rPr>
      </w:pPr>
    </w:p>
    <w:p w14:paraId="604E266E">
      <w:pPr>
        <w:pStyle w:val="3"/>
        <w:spacing w:line="248" w:lineRule="auto"/>
        <w:rPr>
          <w:color w:val="auto"/>
          <w:highlight w:val="none"/>
        </w:rPr>
      </w:pPr>
    </w:p>
    <w:p w14:paraId="23CDCBFC">
      <w:pPr>
        <w:pStyle w:val="3"/>
        <w:spacing w:line="248" w:lineRule="auto"/>
        <w:rPr>
          <w:color w:val="auto"/>
          <w:highlight w:val="none"/>
        </w:rPr>
      </w:pPr>
    </w:p>
    <w:p w14:paraId="1B301257">
      <w:pPr>
        <w:pStyle w:val="3"/>
        <w:spacing w:line="248" w:lineRule="auto"/>
        <w:rPr>
          <w:color w:val="auto"/>
          <w:highlight w:val="none"/>
        </w:rPr>
      </w:pPr>
    </w:p>
    <w:p w14:paraId="2A4B3982">
      <w:pPr>
        <w:spacing w:before="78" w:line="219" w:lineRule="auto"/>
        <w:ind w:left="28"/>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rPr>
        <w:t>附件三：</w:t>
      </w:r>
    </w:p>
    <w:p w14:paraId="116FEDF7">
      <w:pPr>
        <w:spacing w:before="183" w:line="219" w:lineRule="auto"/>
        <w:ind w:left="283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拟投入本标段的劳动力计划表</w:t>
      </w:r>
    </w:p>
    <w:p w14:paraId="52931E7B">
      <w:pPr>
        <w:spacing w:before="181" w:line="220" w:lineRule="auto"/>
        <w:ind w:left="745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单位：人</w:t>
      </w:r>
    </w:p>
    <w:p w14:paraId="162DAC1E">
      <w:pPr>
        <w:spacing w:line="145" w:lineRule="exact"/>
        <w:rPr>
          <w:color w:val="auto"/>
          <w:highlight w:val="none"/>
        </w:rPr>
      </w:pPr>
    </w:p>
    <w:tbl>
      <w:tblPr>
        <w:tblStyle w:val="16"/>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2"/>
        <w:gridCol w:w="1001"/>
        <w:gridCol w:w="1002"/>
        <w:gridCol w:w="1004"/>
        <w:gridCol w:w="997"/>
        <w:gridCol w:w="1126"/>
        <w:gridCol w:w="1124"/>
        <w:gridCol w:w="1133"/>
      </w:tblGrid>
      <w:tr w14:paraId="518DF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622" w:type="dxa"/>
            <w:tcBorders>
              <w:top w:val="single" w:color="000000" w:sz="6" w:space="0"/>
              <w:left w:val="single" w:color="000000" w:sz="6" w:space="0"/>
            </w:tcBorders>
            <w:vAlign w:val="top"/>
          </w:tcPr>
          <w:p w14:paraId="0788252D">
            <w:pPr>
              <w:pStyle w:val="17"/>
              <w:spacing w:before="167" w:line="220" w:lineRule="auto"/>
              <w:ind w:left="513"/>
              <w:rPr>
                <w:color w:val="auto"/>
                <w:sz w:val="24"/>
                <w:szCs w:val="24"/>
                <w:highlight w:val="none"/>
              </w:rPr>
            </w:pPr>
            <w:r>
              <w:rPr>
                <w:color w:val="auto"/>
                <w:spacing w:val="-7"/>
                <w:sz w:val="24"/>
                <w:szCs w:val="24"/>
                <w:highlight w:val="none"/>
              </w:rPr>
              <w:t>工</w:t>
            </w:r>
            <w:r>
              <w:rPr>
                <w:color w:val="auto"/>
                <w:spacing w:val="10"/>
                <w:sz w:val="24"/>
                <w:szCs w:val="24"/>
                <w:highlight w:val="none"/>
              </w:rPr>
              <w:t xml:space="preserve"> </w:t>
            </w:r>
            <w:r>
              <w:rPr>
                <w:color w:val="auto"/>
                <w:spacing w:val="-7"/>
                <w:sz w:val="24"/>
                <w:szCs w:val="24"/>
                <w:highlight w:val="none"/>
              </w:rPr>
              <w:t>种</w:t>
            </w:r>
          </w:p>
        </w:tc>
        <w:tc>
          <w:tcPr>
            <w:tcW w:w="7387" w:type="dxa"/>
            <w:gridSpan w:val="7"/>
            <w:tcBorders>
              <w:top w:val="single" w:color="000000" w:sz="6" w:space="0"/>
              <w:right w:val="single" w:color="000000" w:sz="6" w:space="0"/>
            </w:tcBorders>
            <w:vAlign w:val="top"/>
          </w:tcPr>
          <w:p w14:paraId="73EC426B">
            <w:pPr>
              <w:pStyle w:val="17"/>
              <w:spacing w:before="166" w:line="220" w:lineRule="auto"/>
              <w:ind w:left="2034"/>
              <w:rPr>
                <w:color w:val="auto"/>
                <w:sz w:val="24"/>
                <w:szCs w:val="24"/>
                <w:highlight w:val="none"/>
              </w:rPr>
            </w:pPr>
            <w:r>
              <w:rPr>
                <w:color w:val="auto"/>
                <w:spacing w:val="-1"/>
                <w:sz w:val="24"/>
                <w:szCs w:val="24"/>
                <w:highlight w:val="none"/>
              </w:rPr>
              <w:t>按工程施工阶段投入劳动力情况</w:t>
            </w:r>
          </w:p>
        </w:tc>
      </w:tr>
      <w:tr w14:paraId="1E089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6C192E90">
            <w:pPr>
              <w:rPr>
                <w:rFonts w:ascii="Arial"/>
                <w:color w:val="auto"/>
                <w:sz w:val="21"/>
                <w:highlight w:val="none"/>
              </w:rPr>
            </w:pPr>
          </w:p>
        </w:tc>
        <w:tc>
          <w:tcPr>
            <w:tcW w:w="1001" w:type="dxa"/>
            <w:vAlign w:val="top"/>
          </w:tcPr>
          <w:p w14:paraId="3658F68B">
            <w:pPr>
              <w:rPr>
                <w:rFonts w:ascii="Arial"/>
                <w:color w:val="auto"/>
                <w:sz w:val="21"/>
                <w:highlight w:val="none"/>
              </w:rPr>
            </w:pPr>
          </w:p>
        </w:tc>
        <w:tc>
          <w:tcPr>
            <w:tcW w:w="1002" w:type="dxa"/>
            <w:vAlign w:val="top"/>
          </w:tcPr>
          <w:p w14:paraId="7AF6A8E2">
            <w:pPr>
              <w:rPr>
                <w:rFonts w:ascii="Arial"/>
                <w:color w:val="auto"/>
                <w:sz w:val="21"/>
                <w:highlight w:val="none"/>
              </w:rPr>
            </w:pPr>
          </w:p>
        </w:tc>
        <w:tc>
          <w:tcPr>
            <w:tcW w:w="1004" w:type="dxa"/>
            <w:vAlign w:val="top"/>
          </w:tcPr>
          <w:p w14:paraId="2119AEC1">
            <w:pPr>
              <w:rPr>
                <w:rFonts w:ascii="Arial"/>
                <w:color w:val="auto"/>
                <w:sz w:val="21"/>
                <w:highlight w:val="none"/>
              </w:rPr>
            </w:pPr>
          </w:p>
        </w:tc>
        <w:tc>
          <w:tcPr>
            <w:tcW w:w="997" w:type="dxa"/>
            <w:vAlign w:val="top"/>
          </w:tcPr>
          <w:p w14:paraId="37C8CD90">
            <w:pPr>
              <w:rPr>
                <w:rFonts w:ascii="Arial"/>
                <w:color w:val="auto"/>
                <w:sz w:val="21"/>
                <w:highlight w:val="none"/>
              </w:rPr>
            </w:pPr>
          </w:p>
        </w:tc>
        <w:tc>
          <w:tcPr>
            <w:tcW w:w="1126" w:type="dxa"/>
            <w:vAlign w:val="top"/>
          </w:tcPr>
          <w:p w14:paraId="1E3DEF3E">
            <w:pPr>
              <w:rPr>
                <w:rFonts w:ascii="Arial"/>
                <w:color w:val="auto"/>
                <w:sz w:val="21"/>
                <w:highlight w:val="none"/>
              </w:rPr>
            </w:pPr>
          </w:p>
        </w:tc>
        <w:tc>
          <w:tcPr>
            <w:tcW w:w="1124" w:type="dxa"/>
            <w:vAlign w:val="top"/>
          </w:tcPr>
          <w:p w14:paraId="2E83466F">
            <w:pPr>
              <w:rPr>
                <w:rFonts w:ascii="Arial"/>
                <w:color w:val="auto"/>
                <w:sz w:val="21"/>
                <w:highlight w:val="none"/>
              </w:rPr>
            </w:pPr>
          </w:p>
        </w:tc>
        <w:tc>
          <w:tcPr>
            <w:tcW w:w="1133" w:type="dxa"/>
            <w:tcBorders>
              <w:right w:val="single" w:color="000000" w:sz="6" w:space="0"/>
            </w:tcBorders>
            <w:vAlign w:val="top"/>
          </w:tcPr>
          <w:p w14:paraId="59BBCE42">
            <w:pPr>
              <w:rPr>
                <w:rFonts w:ascii="Arial"/>
                <w:color w:val="auto"/>
                <w:sz w:val="21"/>
                <w:highlight w:val="none"/>
              </w:rPr>
            </w:pPr>
          </w:p>
        </w:tc>
      </w:tr>
      <w:tr w14:paraId="7C723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711B63CF">
            <w:pPr>
              <w:rPr>
                <w:rFonts w:ascii="Arial"/>
                <w:color w:val="auto"/>
                <w:sz w:val="21"/>
                <w:highlight w:val="none"/>
              </w:rPr>
            </w:pPr>
          </w:p>
        </w:tc>
        <w:tc>
          <w:tcPr>
            <w:tcW w:w="1001" w:type="dxa"/>
            <w:vAlign w:val="top"/>
          </w:tcPr>
          <w:p w14:paraId="74471158">
            <w:pPr>
              <w:rPr>
                <w:rFonts w:ascii="Arial"/>
                <w:color w:val="auto"/>
                <w:sz w:val="21"/>
                <w:highlight w:val="none"/>
              </w:rPr>
            </w:pPr>
          </w:p>
        </w:tc>
        <w:tc>
          <w:tcPr>
            <w:tcW w:w="1002" w:type="dxa"/>
            <w:vAlign w:val="top"/>
          </w:tcPr>
          <w:p w14:paraId="0E06CB55">
            <w:pPr>
              <w:rPr>
                <w:rFonts w:ascii="Arial"/>
                <w:color w:val="auto"/>
                <w:sz w:val="21"/>
                <w:highlight w:val="none"/>
              </w:rPr>
            </w:pPr>
          </w:p>
        </w:tc>
        <w:tc>
          <w:tcPr>
            <w:tcW w:w="1004" w:type="dxa"/>
            <w:vAlign w:val="top"/>
          </w:tcPr>
          <w:p w14:paraId="47990BB9">
            <w:pPr>
              <w:rPr>
                <w:rFonts w:ascii="Arial"/>
                <w:color w:val="auto"/>
                <w:sz w:val="21"/>
                <w:highlight w:val="none"/>
              </w:rPr>
            </w:pPr>
          </w:p>
        </w:tc>
        <w:tc>
          <w:tcPr>
            <w:tcW w:w="997" w:type="dxa"/>
            <w:vAlign w:val="top"/>
          </w:tcPr>
          <w:p w14:paraId="100F5423">
            <w:pPr>
              <w:rPr>
                <w:rFonts w:ascii="Arial"/>
                <w:color w:val="auto"/>
                <w:sz w:val="21"/>
                <w:highlight w:val="none"/>
              </w:rPr>
            </w:pPr>
          </w:p>
        </w:tc>
        <w:tc>
          <w:tcPr>
            <w:tcW w:w="1126" w:type="dxa"/>
            <w:vAlign w:val="top"/>
          </w:tcPr>
          <w:p w14:paraId="1BCAB275">
            <w:pPr>
              <w:rPr>
                <w:rFonts w:ascii="Arial"/>
                <w:color w:val="auto"/>
                <w:sz w:val="21"/>
                <w:highlight w:val="none"/>
              </w:rPr>
            </w:pPr>
          </w:p>
        </w:tc>
        <w:tc>
          <w:tcPr>
            <w:tcW w:w="1124" w:type="dxa"/>
            <w:vAlign w:val="top"/>
          </w:tcPr>
          <w:p w14:paraId="18F930D4">
            <w:pPr>
              <w:rPr>
                <w:rFonts w:ascii="Arial"/>
                <w:color w:val="auto"/>
                <w:sz w:val="21"/>
                <w:highlight w:val="none"/>
              </w:rPr>
            </w:pPr>
          </w:p>
        </w:tc>
        <w:tc>
          <w:tcPr>
            <w:tcW w:w="1133" w:type="dxa"/>
            <w:tcBorders>
              <w:right w:val="single" w:color="000000" w:sz="6" w:space="0"/>
            </w:tcBorders>
            <w:vAlign w:val="top"/>
          </w:tcPr>
          <w:p w14:paraId="0FCEB1F1">
            <w:pPr>
              <w:rPr>
                <w:rFonts w:ascii="Arial"/>
                <w:color w:val="auto"/>
                <w:sz w:val="21"/>
                <w:highlight w:val="none"/>
              </w:rPr>
            </w:pPr>
          </w:p>
        </w:tc>
      </w:tr>
      <w:tr w14:paraId="1D616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7F637721">
            <w:pPr>
              <w:rPr>
                <w:rFonts w:ascii="Arial"/>
                <w:color w:val="auto"/>
                <w:sz w:val="21"/>
                <w:highlight w:val="none"/>
              </w:rPr>
            </w:pPr>
          </w:p>
        </w:tc>
        <w:tc>
          <w:tcPr>
            <w:tcW w:w="1001" w:type="dxa"/>
            <w:vAlign w:val="top"/>
          </w:tcPr>
          <w:p w14:paraId="332CAB72">
            <w:pPr>
              <w:rPr>
                <w:rFonts w:ascii="Arial"/>
                <w:color w:val="auto"/>
                <w:sz w:val="21"/>
                <w:highlight w:val="none"/>
              </w:rPr>
            </w:pPr>
          </w:p>
        </w:tc>
        <w:tc>
          <w:tcPr>
            <w:tcW w:w="1002" w:type="dxa"/>
            <w:vAlign w:val="top"/>
          </w:tcPr>
          <w:p w14:paraId="3700B774">
            <w:pPr>
              <w:rPr>
                <w:rFonts w:ascii="Arial"/>
                <w:color w:val="auto"/>
                <w:sz w:val="21"/>
                <w:highlight w:val="none"/>
              </w:rPr>
            </w:pPr>
          </w:p>
        </w:tc>
        <w:tc>
          <w:tcPr>
            <w:tcW w:w="1004" w:type="dxa"/>
            <w:vAlign w:val="top"/>
          </w:tcPr>
          <w:p w14:paraId="0E6787EA">
            <w:pPr>
              <w:rPr>
                <w:rFonts w:ascii="Arial"/>
                <w:color w:val="auto"/>
                <w:sz w:val="21"/>
                <w:highlight w:val="none"/>
              </w:rPr>
            </w:pPr>
          </w:p>
        </w:tc>
        <w:tc>
          <w:tcPr>
            <w:tcW w:w="997" w:type="dxa"/>
            <w:vAlign w:val="top"/>
          </w:tcPr>
          <w:p w14:paraId="48A63F5C">
            <w:pPr>
              <w:rPr>
                <w:rFonts w:ascii="Arial"/>
                <w:color w:val="auto"/>
                <w:sz w:val="21"/>
                <w:highlight w:val="none"/>
              </w:rPr>
            </w:pPr>
          </w:p>
        </w:tc>
        <w:tc>
          <w:tcPr>
            <w:tcW w:w="1126" w:type="dxa"/>
            <w:vAlign w:val="top"/>
          </w:tcPr>
          <w:p w14:paraId="78A70AB9">
            <w:pPr>
              <w:rPr>
                <w:rFonts w:ascii="Arial"/>
                <w:color w:val="auto"/>
                <w:sz w:val="21"/>
                <w:highlight w:val="none"/>
              </w:rPr>
            </w:pPr>
          </w:p>
        </w:tc>
        <w:tc>
          <w:tcPr>
            <w:tcW w:w="1124" w:type="dxa"/>
            <w:vAlign w:val="top"/>
          </w:tcPr>
          <w:p w14:paraId="1CD57F64">
            <w:pPr>
              <w:rPr>
                <w:rFonts w:ascii="Arial"/>
                <w:color w:val="auto"/>
                <w:sz w:val="21"/>
                <w:highlight w:val="none"/>
              </w:rPr>
            </w:pPr>
          </w:p>
        </w:tc>
        <w:tc>
          <w:tcPr>
            <w:tcW w:w="1133" w:type="dxa"/>
            <w:tcBorders>
              <w:right w:val="single" w:color="000000" w:sz="6" w:space="0"/>
            </w:tcBorders>
            <w:vAlign w:val="top"/>
          </w:tcPr>
          <w:p w14:paraId="225D419A">
            <w:pPr>
              <w:rPr>
                <w:rFonts w:ascii="Arial"/>
                <w:color w:val="auto"/>
                <w:sz w:val="21"/>
                <w:highlight w:val="none"/>
              </w:rPr>
            </w:pPr>
          </w:p>
        </w:tc>
      </w:tr>
      <w:tr w14:paraId="3F143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1D2D0C71">
            <w:pPr>
              <w:rPr>
                <w:rFonts w:ascii="Arial"/>
                <w:color w:val="auto"/>
                <w:sz w:val="21"/>
                <w:highlight w:val="none"/>
              </w:rPr>
            </w:pPr>
          </w:p>
        </w:tc>
        <w:tc>
          <w:tcPr>
            <w:tcW w:w="1001" w:type="dxa"/>
            <w:vAlign w:val="top"/>
          </w:tcPr>
          <w:p w14:paraId="54E1A1FF">
            <w:pPr>
              <w:rPr>
                <w:rFonts w:ascii="Arial"/>
                <w:color w:val="auto"/>
                <w:sz w:val="21"/>
                <w:highlight w:val="none"/>
              </w:rPr>
            </w:pPr>
          </w:p>
        </w:tc>
        <w:tc>
          <w:tcPr>
            <w:tcW w:w="1002" w:type="dxa"/>
            <w:vAlign w:val="top"/>
          </w:tcPr>
          <w:p w14:paraId="2F5E7EE9">
            <w:pPr>
              <w:rPr>
                <w:rFonts w:ascii="Arial"/>
                <w:color w:val="auto"/>
                <w:sz w:val="21"/>
                <w:highlight w:val="none"/>
              </w:rPr>
            </w:pPr>
          </w:p>
        </w:tc>
        <w:tc>
          <w:tcPr>
            <w:tcW w:w="1004" w:type="dxa"/>
            <w:vAlign w:val="top"/>
          </w:tcPr>
          <w:p w14:paraId="2C9D3870">
            <w:pPr>
              <w:rPr>
                <w:rFonts w:ascii="Arial"/>
                <w:color w:val="auto"/>
                <w:sz w:val="21"/>
                <w:highlight w:val="none"/>
              </w:rPr>
            </w:pPr>
          </w:p>
        </w:tc>
        <w:tc>
          <w:tcPr>
            <w:tcW w:w="997" w:type="dxa"/>
            <w:vAlign w:val="top"/>
          </w:tcPr>
          <w:p w14:paraId="3B1725FD">
            <w:pPr>
              <w:rPr>
                <w:rFonts w:ascii="Arial"/>
                <w:color w:val="auto"/>
                <w:sz w:val="21"/>
                <w:highlight w:val="none"/>
              </w:rPr>
            </w:pPr>
          </w:p>
        </w:tc>
        <w:tc>
          <w:tcPr>
            <w:tcW w:w="1126" w:type="dxa"/>
            <w:vAlign w:val="top"/>
          </w:tcPr>
          <w:p w14:paraId="4ABD2647">
            <w:pPr>
              <w:rPr>
                <w:rFonts w:ascii="Arial"/>
                <w:color w:val="auto"/>
                <w:sz w:val="21"/>
                <w:highlight w:val="none"/>
              </w:rPr>
            </w:pPr>
          </w:p>
        </w:tc>
        <w:tc>
          <w:tcPr>
            <w:tcW w:w="1124" w:type="dxa"/>
            <w:vAlign w:val="top"/>
          </w:tcPr>
          <w:p w14:paraId="439977B5">
            <w:pPr>
              <w:rPr>
                <w:rFonts w:ascii="Arial"/>
                <w:color w:val="auto"/>
                <w:sz w:val="21"/>
                <w:highlight w:val="none"/>
              </w:rPr>
            </w:pPr>
          </w:p>
        </w:tc>
        <w:tc>
          <w:tcPr>
            <w:tcW w:w="1133" w:type="dxa"/>
            <w:tcBorders>
              <w:right w:val="single" w:color="000000" w:sz="6" w:space="0"/>
            </w:tcBorders>
            <w:vAlign w:val="top"/>
          </w:tcPr>
          <w:p w14:paraId="260B908C">
            <w:pPr>
              <w:rPr>
                <w:rFonts w:ascii="Arial"/>
                <w:color w:val="auto"/>
                <w:sz w:val="21"/>
                <w:highlight w:val="none"/>
              </w:rPr>
            </w:pPr>
          </w:p>
        </w:tc>
      </w:tr>
      <w:tr w14:paraId="0E59D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4AFA8979">
            <w:pPr>
              <w:rPr>
                <w:rFonts w:ascii="Arial"/>
                <w:color w:val="auto"/>
                <w:sz w:val="21"/>
                <w:highlight w:val="none"/>
              </w:rPr>
            </w:pPr>
          </w:p>
        </w:tc>
        <w:tc>
          <w:tcPr>
            <w:tcW w:w="1001" w:type="dxa"/>
            <w:vAlign w:val="top"/>
          </w:tcPr>
          <w:p w14:paraId="71E61C98">
            <w:pPr>
              <w:rPr>
                <w:rFonts w:ascii="Arial"/>
                <w:color w:val="auto"/>
                <w:sz w:val="21"/>
                <w:highlight w:val="none"/>
              </w:rPr>
            </w:pPr>
          </w:p>
        </w:tc>
        <w:tc>
          <w:tcPr>
            <w:tcW w:w="1002" w:type="dxa"/>
            <w:vAlign w:val="top"/>
          </w:tcPr>
          <w:p w14:paraId="4FD0B49E">
            <w:pPr>
              <w:rPr>
                <w:rFonts w:ascii="Arial"/>
                <w:color w:val="auto"/>
                <w:sz w:val="21"/>
                <w:highlight w:val="none"/>
              </w:rPr>
            </w:pPr>
          </w:p>
        </w:tc>
        <w:tc>
          <w:tcPr>
            <w:tcW w:w="1004" w:type="dxa"/>
            <w:vAlign w:val="top"/>
          </w:tcPr>
          <w:p w14:paraId="7FE80E41">
            <w:pPr>
              <w:rPr>
                <w:rFonts w:ascii="Arial"/>
                <w:color w:val="auto"/>
                <w:sz w:val="21"/>
                <w:highlight w:val="none"/>
              </w:rPr>
            </w:pPr>
          </w:p>
        </w:tc>
        <w:tc>
          <w:tcPr>
            <w:tcW w:w="997" w:type="dxa"/>
            <w:vAlign w:val="top"/>
          </w:tcPr>
          <w:p w14:paraId="2AA0EC59">
            <w:pPr>
              <w:rPr>
                <w:rFonts w:ascii="Arial"/>
                <w:color w:val="auto"/>
                <w:sz w:val="21"/>
                <w:highlight w:val="none"/>
              </w:rPr>
            </w:pPr>
          </w:p>
        </w:tc>
        <w:tc>
          <w:tcPr>
            <w:tcW w:w="1126" w:type="dxa"/>
            <w:vAlign w:val="top"/>
          </w:tcPr>
          <w:p w14:paraId="574B2B96">
            <w:pPr>
              <w:rPr>
                <w:rFonts w:ascii="Arial"/>
                <w:color w:val="auto"/>
                <w:sz w:val="21"/>
                <w:highlight w:val="none"/>
              </w:rPr>
            </w:pPr>
          </w:p>
        </w:tc>
        <w:tc>
          <w:tcPr>
            <w:tcW w:w="1124" w:type="dxa"/>
            <w:vAlign w:val="top"/>
          </w:tcPr>
          <w:p w14:paraId="33A3EF9A">
            <w:pPr>
              <w:rPr>
                <w:rFonts w:ascii="Arial"/>
                <w:color w:val="auto"/>
                <w:sz w:val="21"/>
                <w:highlight w:val="none"/>
              </w:rPr>
            </w:pPr>
          </w:p>
        </w:tc>
        <w:tc>
          <w:tcPr>
            <w:tcW w:w="1133" w:type="dxa"/>
            <w:tcBorders>
              <w:right w:val="single" w:color="000000" w:sz="6" w:space="0"/>
            </w:tcBorders>
            <w:vAlign w:val="top"/>
          </w:tcPr>
          <w:p w14:paraId="2C72AC97">
            <w:pPr>
              <w:rPr>
                <w:rFonts w:ascii="Arial"/>
                <w:color w:val="auto"/>
                <w:sz w:val="21"/>
                <w:highlight w:val="none"/>
              </w:rPr>
            </w:pPr>
          </w:p>
        </w:tc>
      </w:tr>
      <w:tr w14:paraId="16AB9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32082A06">
            <w:pPr>
              <w:rPr>
                <w:rFonts w:ascii="Arial"/>
                <w:color w:val="auto"/>
                <w:sz w:val="21"/>
                <w:highlight w:val="none"/>
              </w:rPr>
            </w:pPr>
          </w:p>
        </w:tc>
        <w:tc>
          <w:tcPr>
            <w:tcW w:w="1001" w:type="dxa"/>
            <w:vAlign w:val="top"/>
          </w:tcPr>
          <w:p w14:paraId="27AC1796">
            <w:pPr>
              <w:rPr>
                <w:rFonts w:ascii="Arial"/>
                <w:color w:val="auto"/>
                <w:sz w:val="21"/>
                <w:highlight w:val="none"/>
              </w:rPr>
            </w:pPr>
          </w:p>
        </w:tc>
        <w:tc>
          <w:tcPr>
            <w:tcW w:w="1002" w:type="dxa"/>
            <w:vAlign w:val="top"/>
          </w:tcPr>
          <w:p w14:paraId="4E35DC7A">
            <w:pPr>
              <w:rPr>
                <w:rFonts w:ascii="Arial"/>
                <w:color w:val="auto"/>
                <w:sz w:val="21"/>
                <w:highlight w:val="none"/>
              </w:rPr>
            </w:pPr>
          </w:p>
        </w:tc>
        <w:tc>
          <w:tcPr>
            <w:tcW w:w="1004" w:type="dxa"/>
            <w:vAlign w:val="top"/>
          </w:tcPr>
          <w:p w14:paraId="760702B4">
            <w:pPr>
              <w:rPr>
                <w:rFonts w:ascii="Arial"/>
                <w:color w:val="auto"/>
                <w:sz w:val="21"/>
                <w:highlight w:val="none"/>
              </w:rPr>
            </w:pPr>
          </w:p>
        </w:tc>
        <w:tc>
          <w:tcPr>
            <w:tcW w:w="997" w:type="dxa"/>
            <w:vAlign w:val="top"/>
          </w:tcPr>
          <w:p w14:paraId="3DD4FC1D">
            <w:pPr>
              <w:rPr>
                <w:rFonts w:ascii="Arial"/>
                <w:color w:val="auto"/>
                <w:sz w:val="21"/>
                <w:highlight w:val="none"/>
              </w:rPr>
            </w:pPr>
          </w:p>
        </w:tc>
        <w:tc>
          <w:tcPr>
            <w:tcW w:w="1126" w:type="dxa"/>
            <w:vAlign w:val="top"/>
          </w:tcPr>
          <w:p w14:paraId="125DF754">
            <w:pPr>
              <w:rPr>
                <w:rFonts w:ascii="Arial"/>
                <w:color w:val="auto"/>
                <w:sz w:val="21"/>
                <w:highlight w:val="none"/>
              </w:rPr>
            </w:pPr>
          </w:p>
        </w:tc>
        <w:tc>
          <w:tcPr>
            <w:tcW w:w="1124" w:type="dxa"/>
            <w:vAlign w:val="top"/>
          </w:tcPr>
          <w:p w14:paraId="0917D4EE">
            <w:pPr>
              <w:rPr>
                <w:rFonts w:ascii="Arial"/>
                <w:color w:val="auto"/>
                <w:sz w:val="21"/>
                <w:highlight w:val="none"/>
              </w:rPr>
            </w:pPr>
          </w:p>
        </w:tc>
        <w:tc>
          <w:tcPr>
            <w:tcW w:w="1133" w:type="dxa"/>
            <w:tcBorders>
              <w:right w:val="single" w:color="000000" w:sz="6" w:space="0"/>
            </w:tcBorders>
            <w:vAlign w:val="top"/>
          </w:tcPr>
          <w:p w14:paraId="016940FD">
            <w:pPr>
              <w:rPr>
                <w:rFonts w:ascii="Arial"/>
                <w:color w:val="auto"/>
                <w:sz w:val="21"/>
                <w:highlight w:val="none"/>
              </w:rPr>
            </w:pPr>
          </w:p>
        </w:tc>
      </w:tr>
      <w:tr w14:paraId="584E6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0" w:hRule="atLeast"/>
        </w:trPr>
        <w:tc>
          <w:tcPr>
            <w:tcW w:w="1622" w:type="dxa"/>
            <w:tcBorders>
              <w:left w:val="single" w:color="000000" w:sz="6" w:space="0"/>
            </w:tcBorders>
            <w:vAlign w:val="top"/>
          </w:tcPr>
          <w:p w14:paraId="580E5EA0">
            <w:pPr>
              <w:rPr>
                <w:rFonts w:ascii="Arial"/>
                <w:color w:val="auto"/>
                <w:sz w:val="21"/>
                <w:highlight w:val="none"/>
              </w:rPr>
            </w:pPr>
          </w:p>
        </w:tc>
        <w:tc>
          <w:tcPr>
            <w:tcW w:w="1001" w:type="dxa"/>
            <w:vAlign w:val="top"/>
          </w:tcPr>
          <w:p w14:paraId="40F60A77">
            <w:pPr>
              <w:rPr>
                <w:rFonts w:ascii="Arial"/>
                <w:color w:val="auto"/>
                <w:sz w:val="21"/>
                <w:highlight w:val="none"/>
              </w:rPr>
            </w:pPr>
          </w:p>
        </w:tc>
        <w:tc>
          <w:tcPr>
            <w:tcW w:w="1002" w:type="dxa"/>
            <w:vAlign w:val="top"/>
          </w:tcPr>
          <w:p w14:paraId="6EB6D129">
            <w:pPr>
              <w:rPr>
                <w:rFonts w:ascii="Arial"/>
                <w:color w:val="auto"/>
                <w:sz w:val="21"/>
                <w:highlight w:val="none"/>
              </w:rPr>
            </w:pPr>
          </w:p>
        </w:tc>
        <w:tc>
          <w:tcPr>
            <w:tcW w:w="1004" w:type="dxa"/>
            <w:vAlign w:val="top"/>
          </w:tcPr>
          <w:p w14:paraId="4A6DBE15">
            <w:pPr>
              <w:rPr>
                <w:rFonts w:ascii="Arial"/>
                <w:color w:val="auto"/>
                <w:sz w:val="21"/>
                <w:highlight w:val="none"/>
              </w:rPr>
            </w:pPr>
          </w:p>
        </w:tc>
        <w:tc>
          <w:tcPr>
            <w:tcW w:w="997" w:type="dxa"/>
            <w:vAlign w:val="top"/>
          </w:tcPr>
          <w:p w14:paraId="53909F74">
            <w:pPr>
              <w:rPr>
                <w:rFonts w:ascii="Arial"/>
                <w:color w:val="auto"/>
                <w:sz w:val="21"/>
                <w:highlight w:val="none"/>
              </w:rPr>
            </w:pPr>
          </w:p>
        </w:tc>
        <w:tc>
          <w:tcPr>
            <w:tcW w:w="1126" w:type="dxa"/>
            <w:vAlign w:val="top"/>
          </w:tcPr>
          <w:p w14:paraId="2EC1A8A7">
            <w:pPr>
              <w:rPr>
                <w:rFonts w:ascii="Arial"/>
                <w:color w:val="auto"/>
                <w:sz w:val="21"/>
                <w:highlight w:val="none"/>
              </w:rPr>
            </w:pPr>
          </w:p>
        </w:tc>
        <w:tc>
          <w:tcPr>
            <w:tcW w:w="1124" w:type="dxa"/>
            <w:vAlign w:val="top"/>
          </w:tcPr>
          <w:p w14:paraId="1E0DCF17">
            <w:pPr>
              <w:rPr>
                <w:rFonts w:ascii="Arial"/>
                <w:color w:val="auto"/>
                <w:sz w:val="21"/>
                <w:highlight w:val="none"/>
              </w:rPr>
            </w:pPr>
          </w:p>
        </w:tc>
        <w:tc>
          <w:tcPr>
            <w:tcW w:w="1133" w:type="dxa"/>
            <w:tcBorders>
              <w:right w:val="single" w:color="000000" w:sz="6" w:space="0"/>
            </w:tcBorders>
            <w:vAlign w:val="top"/>
          </w:tcPr>
          <w:p w14:paraId="3C555C6F">
            <w:pPr>
              <w:rPr>
                <w:rFonts w:ascii="Arial"/>
                <w:color w:val="auto"/>
                <w:sz w:val="21"/>
                <w:highlight w:val="none"/>
              </w:rPr>
            </w:pPr>
          </w:p>
        </w:tc>
      </w:tr>
      <w:tr w14:paraId="58AD3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62195315">
            <w:pPr>
              <w:rPr>
                <w:rFonts w:ascii="Arial"/>
                <w:color w:val="auto"/>
                <w:sz w:val="21"/>
                <w:highlight w:val="none"/>
              </w:rPr>
            </w:pPr>
          </w:p>
        </w:tc>
        <w:tc>
          <w:tcPr>
            <w:tcW w:w="1001" w:type="dxa"/>
            <w:vAlign w:val="top"/>
          </w:tcPr>
          <w:p w14:paraId="6C1E283B">
            <w:pPr>
              <w:rPr>
                <w:rFonts w:ascii="Arial"/>
                <w:color w:val="auto"/>
                <w:sz w:val="21"/>
                <w:highlight w:val="none"/>
              </w:rPr>
            </w:pPr>
          </w:p>
        </w:tc>
        <w:tc>
          <w:tcPr>
            <w:tcW w:w="1002" w:type="dxa"/>
            <w:vAlign w:val="top"/>
          </w:tcPr>
          <w:p w14:paraId="366BD072">
            <w:pPr>
              <w:rPr>
                <w:rFonts w:ascii="Arial"/>
                <w:color w:val="auto"/>
                <w:sz w:val="21"/>
                <w:highlight w:val="none"/>
              </w:rPr>
            </w:pPr>
          </w:p>
        </w:tc>
        <w:tc>
          <w:tcPr>
            <w:tcW w:w="1004" w:type="dxa"/>
            <w:vAlign w:val="top"/>
          </w:tcPr>
          <w:p w14:paraId="325E9CEA">
            <w:pPr>
              <w:rPr>
                <w:rFonts w:ascii="Arial"/>
                <w:color w:val="auto"/>
                <w:sz w:val="21"/>
                <w:highlight w:val="none"/>
              </w:rPr>
            </w:pPr>
          </w:p>
        </w:tc>
        <w:tc>
          <w:tcPr>
            <w:tcW w:w="997" w:type="dxa"/>
            <w:vAlign w:val="top"/>
          </w:tcPr>
          <w:p w14:paraId="1341D95C">
            <w:pPr>
              <w:rPr>
                <w:rFonts w:ascii="Arial"/>
                <w:color w:val="auto"/>
                <w:sz w:val="21"/>
                <w:highlight w:val="none"/>
              </w:rPr>
            </w:pPr>
          </w:p>
        </w:tc>
        <w:tc>
          <w:tcPr>
            <w:tcW w:w="1126" w:type="dxa"/>
            <w:vAlign w:val="top"/>
          </w:tcPr>
          <w:p w14:paraId="330A37EA">
            <w:pPr>
              <w:rPr>
                <w:rFonts w:ascii="Arial"/>
                <w:color w:val="auto"/>
                <w:sz w:val="21"/>
                <w:highlight w:val="none"/>
              </w:rPr>
            </w:pPr>
          </w:p>
        </w:tc>
        <w:tc>
          <w:tcPr>
            <w:tcW w:w="1124" w:type="dxa"/>
            <w:vAlign w:val="top"/>
          </w:tcPr>
          <w:p w14:paraId="4670541C">
            <w:pPr>
              <w:rPr>
                <w:rFonts w:ascii="Arial"/>
                <w:color w:val="auto"/>
                <w:sz w:val="21"/>
                <w:highlight w:val="none"/>
              </w:rPr>
            </w:pPr>
          </w:p>
        </w:tc>
        <w:tc>
          <w:tcPr>
            <w:tcW w:w="1133" w:type="dxa"/>
            <w:tcBorders>
              <w:right w:val="single" w:color="000000" w:sz="6" w:space="0"/>
            </w:tcBorders>
            <w:vAlign w:val="top"/>
          </w:tcPr>
          <w:p w14:paraId="7E934746">
            <w:pPr>
              <w:rPr>
                <w:rFonts w:ascii="Arial"/>
                <w:color w:val="auto"/>
                <w:sz w:val="21"/>
                <w:highlight w:val="none"/>
              </w:rPr>
            </w:pPr>
          </w:p>
        </w:tc>
      </w:tr>
      <w:tr w14:paraId="15985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18C515DD">
            <w:pPr>
              <w:rPr>
                <w:rFonts w:ascii="Arial"/>
                <w:color w:val="auto"/>
                <w:sz w:val="21"/>
                <w:highlight w:val="none"/>
              </w:rPr>
            </w:pPr>
          </w:p>
        </w:tc>
        <w:tc>
          <w:tcPr>
            <w:tcW w:w="1001" w:type="dxa"/>
            <w:vAlign w:val="top"/>
          </w:tcPr>
          <w:p w14:paraId="546290D6">
            <w:pPr>
              <w:rPr>
                <w:rFonts w:ascii="Arial"/>
                <w:color w:val="auto"/>
                <w:sz w:val="21"/>
                <w:highlight w:val="none"/>
              </w:rPr>
            </w:pPr>
          </w:p>
        </w:tc>
        <w:tc>
          <w:tcPr>
            <w:tcW w:w="1002" w:type="dxa"/>
            <w:vAlign w:val="top"/>
          </w:tcPr>
          <w:p w14:paraId="265D07AE">
            <w:pPr>
              <w:rPr>
                <w:rFonts w:ascii="Arial"/>
                <w:color w:val="auto"/>
                <w:sz w:val="21"/>
                <w:highlight w:val="none"/>
              </w:rPr>
            </w:pPr>
          </w:p>
        </w:tc>
        <w:tc>
          <w:tcPr>
            <w:tcW w:w="1004" w:type="dxa"/>
            <w:vAlign w:val="top"/>
          </w:tcPr>
          <w:p w14:paraId="01D171DF">
            <w:pPr>
              <w:rPr>
                <w:rFonts w:ascii="Arial"/>
                <w:color w:val="auto"/>
                <w:sz w:val="21"/>
                <w:highlight w:val="none"/>
              </w:rPr>
            </w:pPr>
          </w:p>
        </w:tc>
        <w:tc>
          <w:tcPr>
            <w:tcW w:w="997" w:type="dxa"/>
            <w:vAlign w:val="top"/>
          </w:tcPr>
          <w:p w14:paraId="33DC049B">
            <w:pPr>
              <w:rPr>
                <w:rFonts w:ascii="Arial"/>
                <w:color w:val="auto"/>
                <w:sz w:val="21"/>
                <w:highlight w:val="none"/>
              </w:rPr>
            </w:pPr>
          </w:p>
        </w:tc>
        <w:tc>
          <w:tcPr>
            <w:tcW w:w="1126" w:type="dxa"/>
            <w:vAlign w:val="top"/>
          </w:tcPr>
          <w:p w14:paraId="77190E36">
            <w:pPr>
              <w:rPr>
                <w:rFonts w:ascii="Arial"/>
                <w:color w:val="auto"/>
                <w:sz w:val="21"/>
                <w:highlight w:val="none"/>
              </w:rPr>
            </w:pPr>
          </w:p>
        </w:tc>
        <w:tc>
          <w:tcPr>
            <w:tcW w:w="1124" w:type="dxa"/>
            <w:vAlign w:val="top"/>
          </w:tcPr>
          <w:p w14:paraId="36A95F3B">
            <w:pPr>
              <w:rPr>
                <w:rFonts w:ascii="Arial"/>
                <w:color w:val="auto"/>
                <w:sz w:val="21"/>
                <w:highlight w:val="none"/>
              </w:rPr>
            </w:pPr>
          </w:p>
        </w:tc>
        <w:tc>
          <w:tcPr>
            <w:tcW w:w="1133" w:type="dxa"/>
            <w:tcBorders>
              <w:right w:val="single" w:color="000000" w:sz="6" w:space="0"/>
            </w:tcBorders>
            <w:vAlign w:val="top"/>
          </w:tcPr>
          <w:p w14:paraId="65AEE65A">
            <w:pPr>
              <w:rPr>
                <w:rFonts w:ascii="Arial"/>
                <w:color w:val="auto"/>
                <w:sz w:val="21"/>
                <w:highlight w:val="none"/>
              </w:rPr>
            </w:pPr>
          </w:p>
        </w:tc>
      </w:tr>
      <w:tr w14:paraId="578D2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081B8D26">
            <w:pPr>
              <w:rPr>
                <w:rFonts w:ascii="Arial"/>
                <w:color w:val="auto"/>
                <w:sz w:val="21"/>
                <w:highlight w:val="none"/>
              </w:rPr>
            </w:pPr>
          </w:p>
        </w:tc>
        <w:tc>
          <w:tcPr>
            <w:tcW w:w="1001" w:type="dxa"/>
            <w:vAlign w:val="top"/>
          </w:tcPr>
          <w:p w14:paraId="3AE24533">
            <w:pPr>
              <w:rPr>
                <w:rFonts w:ascii="Arial"/>
                <w:color w:val="auto"/>
                <w:sz w:val="21"/>
                <w:highlight w:val="none"/>
              </w:rPr>
            </w:pPr>
          </w:p>
        </w:tc>
        <w:tc>
          <w:tcPr>
            <w:tcW w:w="1002" w:type="dxa"/>
            <w:vAlign w:val="top"/>
          </w:tcPr>
          <w:p w14:paraId="5F405AAA">
            <w:pPr>
              <w:rPr>
                <w:rFonts w:ascii="Arial"/>
                <w:color w:val="auto"/>
                <w:sz w:val="21"/>
                <w:highlight w:val="none"/>
              </w:rPr>
            </w:pPr>
          </w:p>
        </w:tc>
        <w:tc>
          <w:tcPr>
            <w:tcW w:w="1004" w:type="dxa"/>
            <w:vAlign w:val="top"/>
          </w:tcPr>
          <w:p w14:paraId="69BC0714">
            <w:pPr>
              <w:rPr>
                <w:rFonts w:ascii="Arial"/>
                <w:color w:val="auto"/>
                <w:sz w:val="21"/>
                <w:highlight w:val="none"/>
              </w:rPr>
            </w:pPr>
          </w:p>
        </w:tc>
        <w:tc>
          <w:tcPr>
            <w:tcW w:w="997" w:type="dxa"/>
            <w:vAlign w:val="top"/>
          </w:tcPr>
          <w:p w14:paraId="317E0F17">
            <w:pPr>
              <w:rPr>
                <w:rFonts w:ascii="Arial"/>
                <w:color w:val="auto"/>
                <w:sz w:val="21"/>
                <w:highlight w:val="none"/>
              </w:rPr>
            </w:pPr>
          </w:p>
        </w:tc>
        <w:tc>
          <w:tcPr>
            <w:tcW w:w="1126" w:type="dxa"/>
            <w:vAlign w:val="top"/>
          </w:tcPr>
          <w:p w14:paraId="3D9F5FE5">
            <w:pPr>
              <w:rPr>
                <w:rFonts w:ascii="Arial"/>
                <w:color w:val="auto"/>
                <w:sz w:val="21"/>
                <w:highlight w:val="none"/>
              </w:rPr>
            </w:pPr>
          </w:p>
        </w:tc>
        <w:tc>
          <w:tcPr>
            <w:tcW w:w="1124" w:type="dxa"/>
            <w:vAlign w:val="top"/>
          </w:tcPr>
          <w:p w14:paraId="3C78D181">
            <w:pPr>
              <w:rPr>
                <w:rFonts w:ascii="Arial"/>
                <w:color w:val="auto"/>
                <w:sz w:val="21"/>
                <w:highlight w:val="none"/>
              </w:rPr>
            </w:pPr>
          </w:p>
        </w:tc>
        <w:tc>
          <w:tcPr>
            <w:tcW w:w="1133" w:type="dxa"/>
            <w:tcBorders>
              <w:right w:val="single" w:color="000000" w:sz="6" w:space="0"/>
            </w:tcBorders>
            <w:vAlign w:val="top"/>
          </w:tcPr>
          <w:p w14:paraId="58B6732E">
            <w:pPr>
              <w:rPr>
                <w:rFonts w:ascii="Arial"/>
                <w:color w:val="auto"/>
                <w:sz w:val="21"/>
                <w:highlight w:val="none"/>
              </w:rPr>
            </w:pPr>
          </w:p>
        </w:tc>
      </w:tr>
      <w:tr w14:paraId="33700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1FBEDC4A">
            <w:pPr>
              <w:rPr>
                <w:rFonts w:ascii="Arial"/>
                <w:color w:val="auto"/>
                <w:sz w:val="21"/>
                <w:highlight w:val="none"/>
              </w:rPr>
            </w:pPr>
          </w:p>
        </w:tc>
        <w:tc>
          <w:tcPr>
            <w:tcW w:w="1001" w:type="dxa"/>
            <w:vAlign w:val="top"/>
          </w:tcPr>
          <w:p w14:paraId="2FC3080B">
            <w:pPr>
              <w:rPr>
                <w:rFonts w:ascii="Arial"/>
                <w:color w:val="auto"/>
                <w:sz w:val="21"/>
                <w:highlight w:val="none"/>
              </w:rPr>
            </w:pPr>
          </w:p>
        </w:tc>
        <w:tc>
          <w:tcPr>
            <w:tcW w:w="1002" w:type="dxa"/>
            <w:vAlign w:val="top"/>
          </w:tcPr>
          <w:p w14:paraId="3DB591DB">
            <w:pPr>
              <w:rPr>
                <w:rFonts w:ascii="Arial"/>
                <w:color w:val="auto"/>
                <w:sz w:val="21"/>
                <w:highlight w:val="none"/>
              </w:rPr>
            </w:pPr>
          </w:p>
        </w:tc>
        <w:tc>
          <w:tcPr>
            <w:tcW w:w="1004" w:type="dxa"/>
            <w:vAlign w:val="top"/>
          </w:tcPr>
          <w:p w14:paraId="762A730D">
            <w:pPr>
              <w:rPr>
                <w:rFonts w:ascii="Arial"/>
                <w:color w:val="auto"/>
                <w:sz w:val="21"/>
                <w:highlight w:val="none"/>
              </w:rPr>
            </w:pPr>
          </w:p>
        </w:tc>
        <w:tc>
          <w:tcPr>
            <w:tcW w:w="997" w:type="dxa"/>
            <w:vAlign w:val="top"/>
          </w:tcPr>
          <w:p w14:paraId="4E2FF742">
            <w:pPr>
              <w:rPr>
                <w:rFonts w:ascii="Arial"/>
                <w:color w:val="auto"/>
                <w:sz w:val="21"/>
                <w:highlight w:val="none"/>
              </w:rPr>
            </w:pPr>
          </w:p>
        </w:tc>
        <w:tc>
          <w:tcPr>
            <w:tcW w:w="1126" w:type="dxa"/>
            <w:vAlign w:val="top"/>
          </w:tcPr>
          <w:p w14:paraId="5542637C">
            <w:pPr>
              <w:rPr>
                <w:rFonts w:ascii="Arial"/>
                <w:color w:val="auto"/>
                <w:sz w:val="21"/>
                <w:highlight w:val="none"/>
              </w:rPr>
            </w:pPr>
          </w:p>
        </w:tc>
        <w:tc>
          <w:tcPr>
            <w:tcW w:w="1124" w:type="dxa"/>
            <w:vAlign w:val="top"/>
          </w:tcPr>
          <w:p w14:paraId="5838B25F">
            <w:pPr>
              <w:rPr>
                <w:rFonts w:ascii="Arial"/>
                <w:color w:val="auto"/>
                <w:sz w:val="21"/>
                <w:highlight w:val="none"/>
              </w:rPr>
            </w:pPr>
          </w:p>
        </w:tc>
        <w:tc>
          <w:tcPr>
            <w:tcW w:w="1133" w:type="dxa"/>
            <w:tcBorders>
              <w:right w:val="single" w:color="000000" w:sz="6" w:space="0"/>
            </w:tcBorders>
            <w:vAlign w:val="top"/>
          </w:tcPr>
          <w:p w14:paraId="11D8AB8B">
            <w:pPr>
              <w:rPr>
                <w:rFonts w:ascii="Arial"/>
                <w:color w:val="auto"/>
                <w:sz w:val="21"/>
                <w:highlight w:val="none"/>
              </w:rPr>
            </w:pPr>
          </w:p>
        </w:tc>
      </w:tr>
      <w:tr w14:paraId="0D687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28E3603E">
            <w:pPr>
              <w:rPr>
                <w:rFonts w:ascii="Arial"/>
                <w:color w:val="auto"/>
                <w:sz w:val="21"/>
                <w:highlight w:val="none"/>
              </w:rPr>
            </w:pPr>
          </w:p>
        </w:tc>
        <w:tc>
          <w:tcPr>
            <w:tcW w:w="1001" w:type="dxa"/>
            <w:vAlign w:val="top"/>
          </w:tcPr>
          <w:p w14:paraId="655E6F46">
            <w:pPr>
              <w:rPr>
                <w:rFonts w:ascii="Arial"/>
                <w:color w:val="auto"/>
                <w:sz w:val="21"/>
                <w:highlight w:val="none"/>
              </w:rPr>
            </w:pPr>
          </w:p>
        </w:tc>
        <w:tc>
          <w:tcPr>
            <w:tcW w:w="1002" w:type="dxa"/>
            <w:vAlign w:val="top"/>
          </w:tcPr>
          <w:p w14:paraId="7D09D25F">
            <w:pPr>
              <w:rPr>
                <w:rFonts w:ascii="Arial"/>
                <w:color w:val="auto"/>
                <w:sz w:val="21"/>
                <w:highlight w:val="none"/>
              </w:rPr>
            </w:pPr>
          </w:p>
        </w:tc>
        <w:tc>
          <w:tcPr>
            <w:tcW w:w="1004" w:type="dxa"/>
            <w:vAlign w:val="top"/>
          </w:tcPr>
          <w:p w14:paraId="3A4EC75F">
            <w:pPr>
              <w:rPr>
                <w:rFonts w:ascii="Arial"/>
                <w:color w:val="auto"/>
                <w:sz w:val="21"/>
                <w:highlight w:val="none"/>
              </w:rPr>
            </w:pPr>
          </w:p>
        </w:tc>
        <w:tc>
          <w:tcPr>
            <w:tcW w:w="997" w:type="dxa"/>
            <w:vAlign w:val="top"/>
          </w:tcPr>
          <w:p w14:paraId="2ABF7DE2">
            <w:pPr>
              <w:rPr>
                <w:rFonts w:ascii="Arial"/>
                <w:color w:val="auto"/>
                <w:sz w:val="21"/>
                <w:highlight w:val="none"/>
              </w:rPr>
            </w:pPr>
          </w:p>
        </w:tc>
        <w:tc>
          <w:tcPr>
            <w:tcW w:w="1126" w:type="dxa"/>
            <w:vAlign w:val="top"/>
          </w:tcPr>
          <w:p w14:paraId="70A4AABB">
            <w:pPr>
              <w:rPr>
                <w:rFonts w:ascii="Arial"/>
                <w:color w:val="auto"/>
                <w:sz w:val="21"/>
                <w:highlight w:val="none"/>
              </w:rPr>
            </w:pPr>
          </w:p>
        </w:tc>
        <w:tc>
          <w:tcPr>
            <w:tcW w:w="1124" w:type="dxa"/>
            <w:vAlign w:val="top"/>
          </w:tcPr>
          <w:p w14:paraId="55E08A5D">
            <w:pPr>
              <w:rPr>
                <w:rFonts w:ascii="Arial"/>
                <w:color w:val="auto"/>
                <w:sz w:val="21"/>
                <w:highlight w:val="none"/>
              </w:rPr>
            </w:pPr>
          </w:p>
        </w:tc>
        <w:tc>
          <w:tcPr>
            <w:tcW w:w="1133" w:type="dxa"/>
            <w:tcBorders>
              <w:right w:val="single" w:color="000000" w:sz="6" w:space="0"/>
            </w:tcBorders>
            <w:vAlign w:val="top"/>
          </w:tcPr>
          <w:p w14:paraId="71D97E05">
            <w:pPr>
              <w:rPr>
                <w:rFonts w:ascii="Arial"/>
                <w:color w:val="auto"/>
                <w:sz w:val="21"/>
                <w:highlight w:val="none"/>
              </w:rPr>
            </w:pPr>
          </w:p>
        </w:tc>
      </w:tr>
      <w:tr w14:paraId="516FA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6C8008EE">
            <w:pPr>
              <w:rPr>
                <w:rFonts w:ascii="Arial"/>
                <w:color w:val="auto"/>
                <w:sz w:val="21"/>
                <w:highlight w:val="none"/>
              </w:rPr>
            </w:pPr>
          </w:p>
        </w:tc>
        <w:tc>
          <w:tcPr>
            <w:tcW w:w="1001" w:type="dxa"/>
            <w:vAlign w:val="top"/>
          </w:tcPr>
          <w:p w14:paraId="7EFB0C2F">
            <w:pPr>
              <w:rPr>
                <w:rFonts w:ascii="Arial"/>
                <w:color w:val="auto"/>
                <w:sz w:val="21"/>
                <w:highlight w:val="none"/>
              </w:rPr>
            </w:pPr>
          </w:p>
        </w:tc>
        <w:tc>
          <w:tcPr>
            <w:tcW w:w="1002" w:type="dxa"/>
            <w:vAlign w:val="top"/>
          </w:tcPr>
          <w:p w14:paraId="3BD448BA">
            <w:pPr>
              <w:rPr>
                <w:rFonts w:ascii="Arial"/>
                <w:color w:val="auto"/>
                <w:sz w:val="21"/>
                <w:highlight w:val="none"/>
              </w:rPr>
            </w:pPr>
          </w:p>
        </w:tc>
        <w:tc>
          <w:tcPr>
            <w:tcW w:w="1004" w:type="dxa"/>
            <w:vAlign w:val="top"/>
          </w:tcPr>
          <w:p w14:paraId="40F3BAC2">
            <w:pPr>
              <w:rPr>
                <w:rFonts w:ascii="Arial"/>
                <w:color w:val="auto"/>
                <w:sz w:val="21"/>
                <w:highlight w:val="none"/>
              </w:rPr>
            </w:pPr>
          </w:p>
        </w:tc>
        <w:tc>
          <w:tcPr>
            <w:tcW w:w="997" w:type="dxa"/>
            <w:vAlign w:val="top"/>
          </w:tcPr>
          <w:p w14:paraId="48D4CF16">
            <w:pPr>
              <w:rPr>
                <w:rFonts w:ascii="Arial"/>
                <w:color w:val="auto"/>
                <w:sz w:val="21"/>
                <w:highlight w:val="none"/>
              </w:rPr>
            </w:pPr>
          </w:p>
        </w:tc>
        <w:tc>
          <w:tcPr>
            <w:tcW w:w="1126" w:type="dxa"/>
            <w:vAlign w:val="top"/>
          </w:tcPr>
          <w:p w14:paraId="24688075">
            <w:pPr>
              <w:rPr>
                <w:rFonts w:ascii="Arial"/>
                <w:color w:val="auto"/>
                <w:sz w:val="21"/>
                <w:highlight w:val="none"/>
              </w:rPr>
            </w:pPr>
          </w:p>
        </w:tc>
        <w:tc>
          <w:tcPr>
            <w:tcW w:w="1124" w:type="dxa"/>
            <w:vAlign w:val="top"/>
          </w:tcPr>
          <w:p w14:paraId="6EA1B05A">
            <w:pPr>
              <w:rPr>
                <w:rFonts w:ascii="Arial"/>
                <w:color w:val="auto"/>
                <w:sz w:val="21"/>
                <w:highlight w:val="none"/>
              </w:rPr>
            </w:pPr>
          </w:p>
        </w:tc>
        <w:tc>
          <w:tcPr>
            <w:tcW w:w="1133" w:type="dxa"/>
            <w:tcBorders>
              <w:right w:val="single" w:color="000000" w:sz="6" w:space="0"/>
            </w:tcBorders>
            <w:vAlign w:val="top"/>
          </w:tcPr>
          <w:p w14:paraId="2258DF7B">
            <w:pPr>
              <w:rPr>
                <w:rFonts w:ascii="Arial"/>
                <w:color w:val="auto"/>
                <w:sz w:val="21"/>
                <w:highlight w:val="none"/>
              </w:rPr>
            </w:pPr>
          </w:p>
        </w:tc>
      </w:tr>
      <w:tr w14:paraId="647A1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42036606">
            <w:pPr>
              <w:rPr>
                <w:rFonts w:ascii="Arial"/>
                <w:color w:val="auto"/>
                <w:sz w:val="21"/>
                <w:highlight w:val="none"/>
              </w:rPr>
            </w:pPr>
          </w:p>
        </w:tc>
        <w:tc>
          <w:tcPr>
            <w:tcW w:w="1001" w:type="dxa"/>
            <w:vAlign w:val="top"/>
          </w:tcPr>
          <w:p w14:paraId="1B473A1F">
            <w:pPr>
              <w:rPr>
                <w:rFonts w:ascii="Arial"/>
                <w:color w:val="auto"/>
                <w:sz w:val="21"/>
                <w:highlight w:val="none"/>
              </w:rPr>
            </w:pPr>
          </w:p>
        </w:tc>
        <w:tc>
          <w:tcPr>
            <w:tcW w:w="1002" w:type="dxa"/>
            <w:vAlign w:val="top"/>
          </w:tcPr>
          <w:p w14:paraId="2F983A92">
            <w:pPr>
              <w:rPr>
                <w:rFonts w:ascii="Arial"/>
                <w:color w:val="auto"/>
                <w:sz w:val="21"/>
                <w:highlight w:val="none"/>
              </w:rPr>
            </w:pPr>
          </w:p>
        </w:tc>
        <w:tc>
          <w:tcPr>
            <w:tcW w:w="1004" w:type="dxa"/>
            <w:vAlign w:val="top"/>
          </w:tcPr>
          <w:p w14:paraId="54FCFE04">
            <w:pPr>
              <w:rPr>
                <w:rFonts w:ascii="Arial"/>
                <w:color w:val="auto"/>
                <w:sz w:val="21"/>
                <w:highlight w:val="none"/>
              </w:rPr>
            </w:pPr>
          </w:p>
        </w:tc>
        <w:tc>
          <w:tcPr>
            <w:tcW w:w="997" w:type="dxa"/>
            <w:vAlign w:val="top"/>
          </w:tcPr>
          <w:p w14:paraId="01CB2478">
            <w:pPr>
              <w:rPr>
                <w:rFonts w:ascii="Arial"/>
                <w:color w:val="auto"/>
                <w:sz w:val="21"/>
                <w:highlight w:val="none"/>
              </w:rPr>
            </w:pPr>
          </w:p>
        </w:tc>
        <w:tc>
          <w:tcPr>
            <w:tcW w:w="1126" w:type="dxa"/>
            <w:vAlign w:val="top"/>
          </w:tcPr>
          <w:p w14:paraId="76777226">
            <w:pPr>
              <w:rPr>
                <w:rFonts w:ascii="Arial"/>
                <w:color w:val="auto"/>
                <w:sz w:val="21"/>
                <w:highlight w:val="none"/>
              </w:rPr>
            </w:pPr>
          </w:p>
        </w:tc>
        <w:tc>
          <w:tcPr>
            <w:tcW w:w="1124" w:type="dxa"/>
            <w:vAlign w:val="top"/>
          </w:tcPr>
          <w:p w14:paraId="75643453">
            <w:pPr>
              <w:rPr>
                <w:rFonts w:ascii="Arial"/>
                <w:color w:val="auto"/>
                <w:sz w:val="21"/>
                <w:highlight w:val="none"/>
              </w:rPr>
            </w:pPr>
          </w:p>
        </w:tc>
        <w:tc>
          <w:tcPr>
            <w:tcW w:w="1133" w:type="dxa"/>
            <w:tcBorders>
              <w:right w:val="single" w:color="000000" w:sz="6" w:space="0"/>
            </w:tcBorders>
            <w:vAlign w:val="top"/>
          </w:tcPr>
          <w:p w14:paraId="3515A7BC">
            <w:pPr>
              <w:rPr>
                <w:rFonts w:ascii="Arial"/>
                <w:color w:val="auto"/>
                <w:sz w:val="21"/>
                <w:highlight w:val="none"/>
              </w:rPr>
            </w:pPr>
          </w:p>
        </w:tc>
      </w:tr>
      <w:tr w14:paraId="3DD95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6ED26713">
            <w:pPr>
              <w:rPr>
                <w:rFonts w:ascii="Arial"/>
                <w:color w:val="auto"/>
                <w:sz w:val="21"/>
                <w:highlight w:val="none"/>
              </w:rPr>
            </w:pPr>
          </w:p>
        </w:tc>
        <w:tc>
          <w:tcPr>
            <w:tcW w:w="1001" w:type="dxa"/>
            <w:vAlign w:val="top"/>
          </w:tcPr>
          <w:p w14:paraId="265B6596">
            <w:pPr>
              <w:rPr>
                <w:rFonts w:ascii="Arial"/>
                <w:color w:val="auto"/>
                <w:sz w:val="21"/>
                <w:highlight w:val="none"/>
              </w:rPr>
            </w:pPr>
          </w:p>
        </w:tc>
        <w:tc>
          <w:tcPr>
            <w:tcW w:w="1002" w:type="dxa"/>
            <w:vAlign w:val="top"/>
          </w:tcPr>
          <w:p w14:paraId="027D24F1">
            <w:pPr>
              <w:rPr>
                <w:rFonts w:ascii="Arial"/>
                <w:color w:val="auto"/>
                <w:sz w:val="21"/>
                <w:highlight w:val="none"/>
              </w:rPr>
            </w:pPr>
          </w:p>
        </w:tc>
        <w:tc>
          <w:tcPr>
            <w:tcW w:w="1004" w:type="dxa"/>
            <w:vAlign w:val="top"/>
          </w:tcPr>
          <w:p w14:paraId="4AA160AC">
            <w:pPr>
              <w:rPr>
                <w:rFonts w:ascii="Arial"/>
                <w:color w:val="auto"/>
                <w:sz w:val="21"/>
                <w:highlight w:val="none"/>
              </w:rPr>
            </w:pPr>
          </w:p>
        </w:tc>
        <w:tc>
          <w:tcPr>
            <w:tcW w:w="997" w:type="dxa"/>
            <w:vAlign w:val="top"/>
          </w:tcPr>
          <w:p w14:paraId="1E31F628">
            <w:pPr>
              <w:rPr>
                <w:rFonts w:ascii="Arial"/>
                <w:color w:val="auto"/>
                <w:sz w:val="21"/>
                <w:highlight w:val="none"/>
              </w:rPr>
            </w:pPr>
          </w:p>
        </w:tc>
        <w:tc>
          <w:tcPr>
            <w:tcW w:w="1126" w:type="dxa"/>
            <w:vAlign w:val="top"/>
          </w:tcPr>
          <w:p w14:paraId="52B595F2">
            <w:pPr>
              <w:rPr>
                <w:rFonts w:ascii="Arial"/>
                <w:color w:val="auto"/>
                <w:sz w:val="21"/>
                <w:highlight w:val="none"/>
              </w:rPr>
            </w:pPr>
          </w:p>
        </w:tc>
        <w:tc>
          <w:tcPr>
            <w:tcW w:w="1124" w:type="dxa"/>
            <w:vAlign w:val="top"/>
          </w:tcPr>
          <w:p w14:paraId="31F84CBB">
            <w:pPr>
              <w:rPr>
                <w:rFonts w:ascii="Arial"/>
                <w:color w:val="auto"/>
                <w:sz w:val="21"/>
                <w:highlight w:val="none"/>
              </w:rPr>
            </w:pPr>
          </w:p>
        </w:tc>
        <w:tc>
          <w:tcPr>
            <w:tcW w:w="1133" w:type="dxa"/>
            <w:tcBorders>
              <w:right w:val="single" w:color="000000" w:sz="6" w:space="0"/>
            </w:tcBorders>
            <w:vAlign w:val="top"/>
          </w:tcPr>
          <w:p w14:paraId="2D0F247A">
            <w:pPr>
              <w:rPr>
                <w:rFonts w:ascii="Arial"/>
                <w:color w:val="auto"/>
                <w:sz w:val="21"/>
                <w:highlight w:val="none"/>
              </w:rPr>
            </w:pPr>
          </w:p>
        </w:tc>
      </w:tr>
      <w:tr w14:paraId="72B42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45A32A34">
            <w:pPr>
              <w:rPr>
                <w:rFonts w:ascii="Arial"/>
                <w:color w:val="auto"/>
                <w:sz w:val="21"/>
                <w:highlight w:val="none"/>
              </w:rPr>
            </w:pPr>
          </w:p>
        </w:tc>
        <w:tc>
          <w:tcPr>
            <w:tcW w:w="1001" w:type="dxa"/>
            <w:vAlign w:val="top"/>
          </w:tcPr>
          <w:p w14:paraId="5B14C795">
            <w:pPr>
              <w:rPr>
                <w:rFonts w:ascii="Arial"/>
                <w:color w:val="auto"/>
                <w:sz w:val="21"/>
                <w:highlight w:val="none"/>
              </w:rPr>
            </w:pPr>
          </w:p>
        </w:tc>
        <w:tc>
          <w:tcPr>
            <w:tcW w:w="1002" w:type="dxa"/>
            <w:vAlign w:val="top"/>
          </w:tcPr>
          <w:p w14:paraId="146E48E3">
            <w:pPr>
              <w:rPr>
                <w:rFonts w:ascii="Arial"/>
                <w:color w:val="auto"/>
                <w:sz w:val="21"/>
                <w:highlight w:val="none"/>
              </w:rPr>
            </w:pPr>
          </w:p>
        </w:tc>
        <w:tc>
          <w:tcPr>
            <w:tcW w:w="1004" w:type="dxa"/>
            <w:vAlign w:val="top"/>
          </w:tcPr>
          <w:p w14:paraId="298CCB23">
            <w:pPr>
              <w:rPr>
                <w:rFonts w:ascii="Arial"/>
                <w:color w:val="auto"/>
                <w:sz w:val="21"/>
                <w:highlight w:val="none"/>
              </w:rPr>
            </w:pPr>
          </w:p>
        </w:tc>
        <w:tc>
          <w:tcPr>
            <w:tcW w:w="997" w:type="dxa"/>
            <w:vAlign w:val="top"/>
          </w:tcPr>
          <w:p w14:paraId="17876519">
            <w:pPr>
              <w:rPr>
                <w:rFonts w:ascii="Arial"/>
                <w:color w:val="auto"/>
                <w:sz w:val="21"/>
                <w:highlight w:val="none"/>
              </w:rPr>
            </w:pPr>
          </w:p>
        </w:tc>
        <w:tc>
          <w:tcPr>
            <w:tcW w:w="1126" w:type="dxa"/>
            <w:vAlign w:val="top"/>
          </w:tcPr>
          <w:p w14:paraId="2E33CD14">
            <w:pPr>
              <w:rPr>
                <w:rFonts w:ascii="Arial"/>
                <w:color w:val="auto"/>
                <w:sz w:val="21"/>
                <w:highlight w:val="none"/>
              </w:rPr>
            </w:pPr>
          </w:p>
        </w:tc>
        <w:tc>
          <w:tcPr>
            <w:tcW w:w="1124" w:type="dxa"/>
            <w:vAlign w:val="top"/>
          </w:tcPr>
          <w:p w14:paraId="0FB8F97F">
            <w:pPr>
              <w:rPr>
                <w:rFonts w:ascii="Arial"/>
                <w:color w:val="auto"/>
                <w:sz w:val="21"/>
                <w:highlight w:val="none"/>
              </w:rPr>
            </w:pPr>
          </w:p>
        </w:tc>
        <w:tc>
          <w:tcPr>
            <w:tcW w:w="1133" w:type="dxa"/>
            <w:tcBorders>
              <w:right w:val="single" w:color="000000" w:sz="6" w:space="0"/>
            </w:tcBorders>
            <w:vAlign w:val="top"/>
          </w:tcPr>
          <w:p w14:paraId="37975A78">
            <w:pPr>
              <w:rPr>
                <w:rFonts w:ascii="Arial"/>
                <w:color w:val="auto"/>
                <w:sz w:val="21"/>
                <w:highlight w:val="none"/>
              </w:rPr>
            </w:pPr>
          </w:p>
        </w:tc>
      </w:tr>
      <w:tr w14:paraId="0F3A8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2" w:type="dxa"/>
            <w:tcBorders>
              <w:left w:val="single" w:color="000000" w:sz="6" w:space="0"/>
            </w:tcBorders>
            <w:vAlign w:val="top"/>
          </w:tcPr>
          <w:p w14:paraId="10FD9769">
            <w:pPr>
              <w:rPr>
                <w:rFonts w:ascii="Arial"/>
                <w:color w:val="auto"/>
                <w:sz w:val="21"/>
                <w:highlight w:val="none"/>
              </w:rPr>
            </w:pPr>
          </w:p>
        </w:tc>
        <w:tc>
          <w:tcPr>
            <w:tcW w:w="1001" w:type="dxa"/>
            <w:vAlign w:val="top"/>
          </w:tcPr>
          <w:p w14:paraId="45C64FAB">
            <w:pPr>
              <w:rPr>
                <w:rFonts w:ascii="Arial"/>
                <w:color w:val="auto"/>
                <w:sz w:val="21"/>
                <w:highlight w:val="none"/>
              </w:rPr>
            </w:pPr>
          </w:p>
        </w:tc>
        <w:tc>
          <w:tcPr>
            <w:tcW w:w="1002" w:type="dxa"/>
            <w:vAlign w:val="top"/>
          </w:tcPr>
          <w:p w14:paraId="0269B486">
            <w:pPr>
              <w:rPr>
                <w:rFonts w:ascii="Arial"/>
                <w:color w:val="auto"/>
                <w:sz w:val="21"/>
                <w:highlight w:val="none"/>
              </w:rPr>
            </w:pPr>
          </w:p>
        </w:tc>
        <w:tc>
          <w:tcPr>
            <w:tcW w:w="1004" w:type="dxa"/>
            <w:vAlign w:val="top"/>
          </w:tcPr>
          <w:p w14:paraId="1A5594D3">
            <w:pPr>
              <w:rPr>
                <w:rFonts w:ascii="Arial"/>
                <w:color w:val="auto"/>
                <w:sz w:val="21"/>
                <w:highlight w:val="none"/>
              </w:rPr>
            </w:pPr>
          </w:p>
        </w:tc>
        <w:tc>
          <w:tcPr>
            <w:tcW w:w="997" w:type="dxa"/>
            <w:vAlign w:val="top"/>
          </w:tcPr>
          <w:p w14:paraId="726A3AF6">
            <w:pPr>
              <w:rPr>
                <w:rFonts w:ascii="Arial"/>
                <w:color w:val="auto"/>
                <w:sz w:val="21"/>
                <w:highlight w:val="none"/>
              </w:rPr>
            </w:pPr>
          </w:p>
        </w:tc>
        <w:tc>
          <w:tcPr>
            <w:tcW w:w="1126" w:type="dxa"/>
            <w:vAlign w:val="top"/>
          </w:tcPr>
          <w:p w14:paraId="0CE9F8E3">
            <w:pPr>
              <w:rPr>
                <w:rFonts w:ascii="Arial"/>
                <w:color w:val="auto"/>
                <w:sz w:val="21"/>
                <w:highlight w:val="none"/>
              </w:rPr>
            </w:pPr>
          </w:p>
        </w:tc>
        <w:tc>
          <w:tcPr>
            <w:tcW w:w="1124" w:type="dxa"/>
            <w:vAlign w:val="top"/>
          </w:tcPr>
          <w:p w14:paraId="560845A0">
            <w:pPr>
              <w:rPr>
                <w:rFonts w:ascii="Arial"/>
                <w:color w:val="auto"/>
                <w:sz w:val="21"/>
                <w:highlight w:val="none"/>
              </w:rPr>
            </w:pPr>
          </w:p>
        </w:tc>
        <w:tc>
          <w:tcPr>
            <w:tcW w:w="1133" w:type="dxa"/>
            <w:tcBorders>
              <w:right w:val="single" w:color="000000" w:sz="6" w:space="0"/>
            </w:tcBorders>
            <w:vAlign w:val="top"/>
          </w:tcPr>
          <w:p w14:paraId="63BED0C9">
            <w:pPr>
              <w:rPr>
                <w:rFonts w:ascii="Arial"/>
                <w:color w:val="auto"/>
                <w:sz w:val="21"/>
                <w:highlight w:val="none"/>
              </w:rPr>
            </w:pPr>
          </w:p>
        </w:tc>
      </w:tr>
      <w:tr w14:paraId="0BF18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622" w:type="dxa"/>
            <w:tcBorders>
              <w:left w:val="single" w:color="000000" w:sz="6" w:space="0"/>
            </w:tcBorders>
            <w:vAlign w:val="top"/>
          </w:tcPr>
          <w:p w14:paraId="6ABC6FE0">
            <w:pPr>
              <w:rPr>
                <w:rFonts w:ascii="Arial"/>
                <w:color w:val="auto"/>
                <w:sz w:val="21"/>
                <w:highlight w:val="none"/>
              </w:rPr>
            </w:pPr>
          </w:p>
        </w:tc>
        <w:tc>
          <w:tcPr>
            <w:tcW w:w="1001" w:type="dxa"/>
            <w:vAlign w:val="top"/>
          </w:tcPr>
          <w:p w14:paraId="6F070F93">
            <w:pPr>
              <w:rPr>
                <w:rFonts w:ascii="Arial"/>
                <w:color w:val="auto"/>
                <w:sz w:val="21"/>
                <w:highlight w:val="none"/>
              </w:rPr>
            </w:pPr>
          </w:p>
        </w:tc>
        <w:tc>
          <w:tcPr>
            <w:tcW w:w="1002" w:type="dxa"/>
            <w:vAlign w:val="top"/>
          </w:tcPr>
          <w:p w14:paraId="45281D27">
            <w:pPr>
              <w:rPr>
                <w:rFonts w:ascii="Arial"/>
                <w:color w:val="auto"/>
                <w:sz w:val="21"/>
                <w:highlight w:val="none"/>
              </w:rPr>
            </w:pPr>
          </w:p>
        </w:tc>
        <w:tc>
          <w:tcPr>
            <w:tcW w:w="1004" w:type="dxa"/>
            <w:vAlign w:val="top"/>
          </w:tcPr>
          <w:p w14:paraId="55F7B4DC">
            <w:pPr>
              <w:rPr>
                <w:rFonts w:ascii="Arial"/>
                <w:color w:val="auto"/>
                <w:sz w:val="21"/>
                <w:highlight w:val="none"/>
              </w:rPr>
            </w:pPr>
          </w:p>
        </w:tc>
        <w:tc>
          <w:tcPr>
            <w:tcW w:w="997" w:type="dxa"/>
            <w:vAlign w:val="top"/>
          </w:tcPr>
          <w:p w14:paraId="25302444">
            <w:pPr>
              <w:rPr>
                <w:rFonts w:ascii="Arial"/>
                <w:color w:val="auto"/>
                <w:sz w:val="21"/>
                <w:highlight w:val="none"/>
              </w:rPr>
            </w:pPr>
          </w:p>
        </w:tc>
        <w:tc>
          <w:tcPr>
            <w:tcW w:w="1126" w:type="dxa"/>
            <w:vAlign w:val="top"/>
          </w:tcPr>
          <w:p w14:paraId="4A8D7447">
            <w:pPr>
              <w:rPr>
                <w:rFonts w:ascii="Arial"/>
                <w:color w:val="auto"/>
                <w:sz w:val="21"/>
                <w:highlight w:val="none"/>
              </w:rPr>
            </w:pPr>
          </w:p>
        </w:tc>
        <w:tc>
          <w:tcPr>
            <w:tcW w:w="1124" w:type="dxa"/>
            <w:vAlign w:val="top"/>
          </w:tcPr>
          <w:p w14:paraId="213A3041">
            <w:pPr>
              <w:rPr>
                <w:rFonts w:ascii="Arial"/>
                <w:color w:val="auto"/>
                <w:sz w:val="21"/>
                <w:highlight w:val="none"/>
              </w:rPr>
            </w:pPr>
          </w:p>
        </w:tc>
        <w:tc>
          <w:tcPr>
            <w:tcW w:w="1133" w:type="dxa"/>
            <w:tcBorders>
              <w:right w:val="single" w:color="000000" w:sz="6" w:space="0"/>
            </w:tcBorders>
            <w:vAlign w:val="top"/>
          </w:tcPr>
          <w:p w14:paraId="36143F7F">
            <w:pPr>
              <w:rPr>
                <w:rFonts w:ascii="Arial"/>
                <w:color w:val="auto"/>
                <w:sz w:val="21"/>
                <w:highlight w:val="none"/>
              </w:rPr>
            </w:pPr>
          </w:p>
        </w:tc>
      </w:tr>
      <w:tr w14:paraId="68B3B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622" w:type="dxa"/>
            <w:tcBorders>
              <w:left w:val="single" w:color="000000" w:sz="6" w:space="0"/>
              <w:bottom w:val="single" w:color="000000" w:sz="6" w:space="0"/>
            </w:tcBorders>
            <w:vAlign w:val="top"/>
          </w:tcPr>
          <w:p w14:paraId="42E249F2">
            <w:pPr>
              <w:rPr>
                <w:rFonts w:ascii="Arial"/>
                <w:color w:val="auto"/>
                <w:sz w:val="21"/>
                <w:highlight w:val="none"/>
              </w:rPr>
            </w:pPr>
          </w:p>
        </w:tc>
        <w:tc>
          <w:tcPr>
            <w:tcW w:w="1001" w:type="dxa"/>
            <w:tcBorders>
              <w:bottom w:val="single" w:color="000000" w:sz="6" w:space="0"/>
            </w:tcBorders>
            <w:vAlign w:val="top"/>
          </w:tcPr>
          <w:p w14:paraId="47F66D7E">
            <w:pPr>
              <w:rPr>
                <w:rFonts w:ascii="Arial"/>
                <w:color w:val="auto"/>
                <w:sz w:val="21"/>
                <w:highlight w:val="none"/>
              </w:rPr>
            </w:pPr>
          </w:p>
        </w:tc>
        <w:tc>
          <w:tcPr>
            <w:tcW w:w="1002" w:type="dxa"/>
            <w:tcBorders>
              <w:bottom w:val="single" w:color="000000" w:sz="6" w:space="0"/>
            </w:tcBorders>
            <w:vAlign w:val="top"/>
          </w:tcPr>
          <w:p w14:paraId="67CBEE8F">
            <w:pPr>
              <w:rPr>
                <w:rFonts w:ascii="Arial"/>
                <w:color w:val="auto"/>
                <w:sz w:val="21"/>
                <w:highlight w:val="none"/>
              </w:rPr>
            </w:pPr>
          </w:p>
        </w:tc>
        <w:tc>
          <w:tcPr>
            <w:tcW w:w="1004" w:type="dxa"/>
            <w:tcBorders>
              <w:bottom w:val="single" w:color="000000" w:sz="6" w:space="0"/>
            </w:tcBorders>
            <w:vAlign w:val="top"/>
          </w:tcPr>
          <w:p w14:paraId="750EEB22">
            <w:pPr>
              <w:rPr>
                <w:rFonts w:ascii="Arial"/>
                <w:color w:val="auto"/>
                <w:sz w:val="21"/>
                <w:highlight w:val="none"/>
              </w:rPr>
            </w:pPr>
          </w:p>
        </w:tc>
        <w:tc>
          <w:tcPr>
            <w:tcW w:w="997" w:type="dxa"/>
            <w:tcBorders>
              <w:bottom w:val="single" w:color="000000" w:sz="6" w:space="0"/>
            </w:tcBorders>
            <w:vAlign w:val="top"/>
          </w:tcPr>
          <w:p w14:paraId="4EB96472">
            <w:pPr>
              <w:rPr>
                <w:rFonts w:ascii="Arial"/>
                <w:color w:val="auto"/>
                <w:sz w:val="21"/>
                <w:highlight w:val="none"/>
              </w:rPr>
            </w:pPr>
          </w:p>
        </w:tc>
        <w:tc>
          <w:tcPr>
            <w:tcW w:w="1126" w:type="dxa"/>
            <w:tcBorders>
              <w:bottom w:val="single" w:color="000000" w:sz="6" w:space="0"/>
            </w:tcBorders>
            <w:vAlign w:val="top"/>
          </w:tcPr>
          <w:p w14:paraId="64109A29">
            <w:pPr>
              <w:rPr>
                <w:rFonts w:ascii="Arial"/>
                <w:color w:val="auto"/>
                <w:sz w:val="21"/>
                <w:highlight w:val="none"/>
              </w:rPr>
            </w:pPr>
          </w:p>
        </w:tc>
        <w:tc>
          <w:tcPr>
            <w:tcW w:w="1124" w:type="dxa"/>
            <w:tcBorders>
              <w:bottom w:val="single" w:color="000000" w:sz="6" w:space="0"/>
            </w:tcBorders>
            <w:vAlign w:val="top"/>
          </w:tcPr>
          <w:p w14:paraId="184DBF1A">
            <w:pPr>
              <w:rPr>
                <w:rFonts w:ascii="Arial"/>
                <w:color w:val="auto"/>
                <w:sz w:val="21"/>
                <w:highlight w:val="none"/>
              </w:rPr>
            </w:pPr>
          </w:p>
        </w:tc>
        <w:tc>
          <w:tcPr>
            <w:tcW w:w="1133" w:type="dxa"/>
            <w:tcBorders>
              <w:bottom w:val="single" w:color="000000" w:sz="6" w:space="0"/>
              <w:right w:val="single" w:color="000000" w:sz="6" w:space="0"/>
            </w:tcBorders>
            <w:vAlign w:val="top"/>
          </w:tcPr>
          <w:p w14:paraId="0458EACE">
            <w:pPr>
              <w:rPr>
                <w:rFonts w:ascii="Arial"/>
                <w:color w:val="auto"/>
                <w:sz w:val="21"/>
                <w:highlight w:val="none"/>
              </w:rPr>
            </w:pPr>
          </w:p>
        </w:tc>
      </w:tr>
    </w:tbl>
    <w:p w14:paraId="749266CD">
      <w:pPr>
        <w:pStyle w:val="3"/>
        <w:rPr>
          <w:color w:val="auto"/>
          <w:highlight w:val="none"/>
        </w:rPr>
      </w:pPr>
    </w:p>
    <w:p w14:paraId="3848E4D9">
      <w:pPr>
        <w:rPr>
          <w:color w:val="auto"/>
          <w:highlight w:val="none"/>
        </w:rPr>
        <w:sectPr>
          <w:footerReference r:id="rId118" w:type="default"/>
          <w:pgSz w:w="11907" w:h="16841"/>
          <w:pgMar w:top="400" w:right="1293" w:bottom="1254" w:left="1588" w:header="0" w:footer="1093" w:gutter="0"/>
          <w:pgNumType w:fmt="decimal"/>
          <w:cols w:space="720" w:num="1"/>
        </w:sectPr>
      </w:pPr>
    </w:p>
    <w:p w14:paraId="2F78A624">
      <w:pPr>
        <w:pStyle w:val="3"/>
        <w:spacing w:line="247" w:lineRule="auto"/>
        <w:rPr>
          <w:color w:val="auto"/>
          <w:highlight w:val="none"/>
        </w:rPr>
      </w:pPr>
    </w:p>
    <w:p w14:paraId="1F7C5DB7">
      <w:pPr>
        <w:pStyle w:val="3"/>
        <w:spacing w:line="248" w:lineRule="auto"/>
        <w:rPr>
          <w:color w:val="auto"/>
          <w:highlight w:val="none"/>
        </w:rPr>
      </w:pPr>
    </w:p>
    <w:p w14:paraId="7CE6578F">
      <w:pPr>
        <w:pStyle w:val="3"/>
        <w:spacing w:line="248" w:lineRule="auto"/>
        <w:rPr>
          <w:color w:val="auto"/>
          <w:highlight w:val="none"/>
        </w:rPr>
      </w:pPr>
    </w:p>
    <w:p w14:paraId="57924074">
      <w:pPr>
        <w:pStyle w:val="3"/>
        <w:spacing w:line="248" w:lineRule="auto"/>
        <w:rPr>
          <w:color w:val="auto"/>
          <w:highlight w:val="none"/>
        </w:rPr>
      </w:pPr>
    </w:p>
    <w:p w14:paraId="27F32580">
      <w:pPr>
        <w:spacing w:before="78" w:line="219" w:lineRule="auto"/>
        <w:ind w:left="14"/>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rPr>
        <w:t>附件四：</w:t>
      </w:r>
    </w:p>
    <w:p w14:paraId="020B6F62">
      <w:pPr>
        <w:spacing w:before="182" w:line="220" w:lineRule="auto"/>
        <w:ind w:left="2340"/>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计划开工日期、完工日期和施工进度表</w:t>
      </w:r>
    </w:p>
    <w:p w14:paraId="272D0073">
      <w:pPr>
        <w:pStyle w:val="3"/>
        <w:spacing w:line="257" w:lineRule="auto"/>
        <w:rPr>
          <w:color w:val="auto"/>
          <w:highlight w:val="none"/>
        </w:rPr>
      </w:pPr>
    </w:p>
    <w:p w14:paraId="02125ACF">
      <w:pPr>
        <w:pStyle w:val="3"/>
        <w:spacing w:line="257" w:lineRule="auto"/>
        <w:rPr>
          <w:color w:val="auto"/>
          <w:highlight w:val="none"/>
        </w:rPr>
      </w:pPr>
    </w:p>
    <w:p w14:paraId="4F10402E">
      <w:pPr>
        <w:spacing w:before="78" w:line="289" w:lineRule="auto"/>
        <w:ind w:right="1" w:firstLine="494"/>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1.  </w:t>
      </w:r>
      <w:r>
        <w:rPr>
          <w:rFonts w:ascii="宋体" w:hAnsi="宋体" w:eastAsia="宋体" w:cs="宋体"/>
          <w:color w:val="auto"/>
          <w:spacing w:val="2"/>
          <w:sz w:val="24"/>
          <w:szCs w:val="24"/>
          <w:highlight w:val="none"/>
        </w:rPr>
        <w:t>投标人应递交施工进度表，说明按招标文</w:t>
      </w:r>
      <w:r>
        <w:rPr>
          <w:rFonts w:ascii="宋体" w:hAnsi="宋体" w:eastAsia="宋体" w:cs="宋体"/>
          <w:color w:val="auto"/>
          <w:spacing w:val="1"/>
          <w:sz w:val="24"/>
          <w:szCs w:val="24"/>
          <w:highlight w:val="none"/>
        </w:rPr>
        <w:t>件要求的计划工期进行施工的各个</w:t>
      </w:r>
      <w:r>
        <w:rPr>
          <w:rFonts w:ascii="宋体" w:hAnsi="宋体" w:eastAsia="宋体" w:cs="宋体"/>
          <w:color w:val="auto"/>
          <w:spacing w:val="-8"/>
          <w:sz w:val="24"/>
          <w:szCs w:val="24"/>
          <w:highlight w:val="none"/>
        </w:rPr>
        <w:t>关键日期。</w:t>
      </w:r>
    </w:p>
    <w:p w14:paraId="4313EDDD">
      <w:pPr>
        <w:spacing w:before="181" w:line="219" w:lineRule="auto"/>
        <w:ind w:left="471"/>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2.  </w:t>
      </w:r>
      <w:r>
        <w:rPr>
          <w:rFonts w:ascii="宋体" w:hAnsi="宋体" w:eastAsia="宋体" w:cs="宋体"/>
          <w:color w:val="auto"/>
          <w:spacing w:val="-2"/>
          <w:sz w:val="24"/>
          <w:szCs w:val="24"/>
          <w:highlight w:val="none"/>
        </w:rPr>
        <w:t>施工进度表可采用网络图（或横道图）表示。</w:t>
      </w:r>
    </w:p>
    <w:p w14:paraId="1E3DF988">
      <w:pPr>
        <w:spacing w:line="219" w:lineRule="auto"/>
        <w:rPr>
          <w:rFonts w:ascii="宋体" w:hAnsi="宋体" w:eastAsia="宋体" w:cs="宋体"/>
          <w:color w:val="auto"/>
          <w:sz w:val="24"/>
          <w:szCs w:val="24"/>
          <w:highlight w:val="none"/>
        </w:rPr>
        <w:sectPr>
          <w:footerReference r:id="rId119" w:type="default"/>
          <w:pgSz w:w="11907" w:h="16841"/>
          <w:pgMar w:top="400" w:right="1527" w:bottom="1254" w:left="1601" w:header="0" w:footer="1093" w:gutter="0"/>
          <w:pgNumType w:fmt="decimal"/>
          <w:cols w:space="720" w:num="1"/>
        </w:sectPr>
      </w:pPr>
    </w:p>
    <w:p w14:paraId="517BBC4B">
      <w:pPr>
        <w:pStyle w:val="3"/>
        <w:spacing w:line="247" w:lineRule="auto"/>
        <w:rPr>
          <w:color w:val="auto"/>
          <w:highlight w:val="none"/>
        </w:rPr>
      </w:pPr>
    </w:p>
    <w:p w14:paraId="6EF54963">
      <w:pPr>
        <w:pStyle w:val="3"/>
        <w:spacing w:line="248" w:lineRule="auto"/>
        <w:rPr>
          <w:color w:val="auto"/>
          <w:highlight w:val="none"/>
        </w:rPr>
      </w:pPr>
    </w:p>
    <w:p w14:paraId="20B0180B">
      <w:pPr>
        <w:pStyle w:val="3"/>
        <w:spacing w:line="248" w:lineRule="auto"/>
        <w:rPr>
          <w:color w:val="auto"/>
          <w:highlight w:val="none"/>
        </w:rPr>
      </w:pPr>
    </w:p>
    <w:p w14:paraId="562E4DCD">
      <w:pPr>
        <w:pStyle w:val="3"/>
        <w:spacing w:line="248" w:lineRule="auto"/>
        <w:rPr>
          <w:color w:val="auto"/>
          <w:highlight w:val="none"/>
        </w:rPr>
      </w:pPr>
    </w:p>
    <w:p w14:paraId="3CE84F24">
      <w:pPr>
        <w:spacing w:before="78" w:line="219" w:lineRule="auto"/>
        <w:ind w:left="15"/>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rPr>
        <w:t>附件五：</w:t>
      </w:r>
    </w:p>
    <w:p w14:paraId="35860B03">
      <w:pPr>
        <w:spacing w:before="183" w:line="221" w:lineRule="auto"/>
        <w:ind w:left="3668"/>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施工总平面图</w:t>
      </w:r>
    </w:p>
    <w:p w14:paraId="7F9CE797">
      <w:pPr>
        <w:spacing w:before="179" w:line="360" w:lineRule="auto"/>
        <w:ind w:firstLine="48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投标人应递交一份施工总平面图，绘出现场临时设施布置图及表并附文字</w:t>
      </w:r>
      <w:r>
        <w:rPr>
          <w:rFonts w:ascii="宋体" w:hAnsi="宋体" w:eastAsia="宋体" w:cs="宋体"/>
          <w:color w:val="auto"/>
          <w:spacing w:val="-2"/>
          <w:sz w:val="24"/>
          <w:szCs w:val="24"/>
          <w:highlight w:val="none"/>
        </w:rPr>
        <w:t>说明，</w:t>
      </w:r>
      <w:r>
        <w:rPr>
          <w:rFonts w:ascii="宋体" w:hAnsi="宋体" w:eastAsia="宋体" w:cs="宋体"/>
          <w:color w:val="auto"/>
          <w:spacing w:val="-10"/>
          <w:sz w:val="24"/>
          <w:szCs w:val="24"/>
          <w:highlight w:val="none"/>
        </w:rPr>
        <w:t>说明临时设施、加工车间、现场办公、设备及仓储、供电、供水、卫生、生活、道路、</w:t>
      </w:r>
      <w:r>
        <w:rPr>
          <w:rFonts w:ascii="宋体" w:hAnsi="宋体" w:eastAsia="宋体" w:cs="宋体"/>
          <w:color w:val="auto"/>
          <w:spacing w:val="-4"/>
          <w:sz w:val="24"/>
          <w:szCs w:val="24"/>
          <w:highlight w:val="none"/>
        </w:rPr>
        <w:t>消防等设施的情况和布置。</w:t>
      </w:r>
    </w:p>
    <w:p w14:paraId="46E9DD9B">
      <w:pPr>
        <w:spacing w:line="360" w:lineRule="auto"/>
        <w:rPr>
          <w:rFonts w:ascii="宋体" w:hAnsi="宋体" w:eastAsia="宋体" w:cs="宋体"/>
          <w:color w:val="auto"/>
          <w:sz w:val="24"/>
          <w:szCs w:val="24"/>
          <w:highlight w:val="none"/>
        </w:rPr>
        <w:sectPr>
          <w:footerReference r:id="rId120" w:type="default"/>
          <w:pgSz w:w="11907" w:h="16841"/>
          <w:pgMar w:top="400" w:right="1462" w:bottom="1254" w:left="1601" w:header="0" w:footer="1093" w:gutter="0"/>
          <w:pgNumType w:fmt="decimal"/>
          <w:cols w:space="720" w:num="1"/>
        </w:sectPr>
      </w:pPr>
    </w:p>
    <w:p w14:paraId="0EBAC6C2">
      <w:pPr>
        <w:pStyle w:val="3"/>
        <w:spacing w:line="247" w:lineRule="auto"/>
        <w:rPr>
          <w:color w:val="auto"/>
          <w:highlight w:val="none"/>
        </w:rPr>
      </w:pPr>
    </w:p>
    <w:p w14:paraId="25FAB59E">
      <w:pPr>
        <w:pStyle w:val="3"/>
        <w:spacing w:line="248" w:lineRule="auto"/>
        <w:rPr>
          <w:color w:val="auto"/>
          <w:highlight w:val="none"/>
        </w:rPr>
      </w:pPr>
    </w:p>
    <w:p w14:paraId="6348FC3A">
      <w:pPr>
        <w:pStyle w:val="3"/>
        <w:spacing w:line="248" w:lineRule="auto"/>
        <w:rPr>
          <w:color w:val="auto"/>
          <w:highlight w:val="none"/>
        </w:rPr>
      </w:pPr>
    </w:p>
    <w:p w14:paraId="057B445D">
      <w:pPr>
        <w:pStyle w:val="3"/>
        <w:spacing w:line="248" w:lineRule="auto"/>
        <w:rPr>
          <w:color w:val="auto"/>
          <w:highlight w:val="none"/>
        </w:rPr>
      </w:pPr>
    </w:p>
    <w:p w14:paraId="2854F99B">
      <w:pPr>
        <w:spacing w:before="78" w:line="219" w:lineRule="auto"/>
        <w:ind w:left="28"/>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rPr>
        <w:t>附件六：</w:t>
      </w:r>
    </w:p>
    <w:p w14:paraId="55542530">
      <w:pPr>
        <w:spacing w:before="182" w:line="220" w:lineRule="auto"/>
        <w:ind w:left="3814"/>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临时用地表</w:t>
      </w:r>
    </w:p>
    <w:p w14:paraId="40D2AFF3">
      <w:pPr>
        <w:spacing w:line="144" w:lineRule="exact"/>
        <w:rPr>
          <w:color w:val="auto"/>
          <w:highlight w:val="none"/>
        </w:rPr>
      </w:pPr>
    </w:p>
    <w:tbl>
      <w:tblPr>
        <w:tblStyle w:val="16"/>
        <w:tblW w:w="89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3"/>
        <w:gridCol w:w="2211"/>
        <w:gridCol w:w="2358"/>
        <w:gridCol w:w="2039"/>
      </w:tblGrid>
      <w:tr w14:paraId="7DCCF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2293" w:type="dxa"/>
            <w:tcBorders>
              <w:top w:val="single" w:color="000000" w:sz="6" w:space="0"/>
              <w:left w:val="single" w:color="000000" w:sz="6" w:space="0"/>
            </w:tcBorders>
            <w:vAlign w:val="top"/>
          </w:tcPr>
          <w:p w14:paraId="0B10026D">
            <w:pPr>
              <w:pStyle w:val="17"/>
              <w:spacing w:before="107" w:line="221" w:lineRule="auto"/>
              <w:ind w:left="728"/>
              <w:rPr>
                <w:color w:val="auto"/>
                <w:sz w:val="24"/>
                <w:szCs w:val="24"/>
                <w:highlight w:val="none"/>
              </w:rPr>
            </w:pPr>
            <w:r>
              <w:rPr>
                <w:color w:val="auto"/>
                <w:spacing w:val="-6"/>
                <w:sz w:val="24"/>
                <w:szCs w:val="24"/>
                <w:highlight w:val="none"/>
              </w:rPr>
              <w:t>用</w:t>
            </w:r>
            <w:r>
              <w:rPr>
                <w:color w:val="auto"/>
                <w:spacing w:val="3"/>
                <w:sz w:val="24"/>
                <w:szCs w:val="24"/>
                <w:highlight w:val="none"/>
              </w:rPr>
              <w:t xml:space="preserve">   </w:t>
            </w:r>
            <w:r>
              <w:rPr>
                <w:color w:val="auto"/>
                <w:spacing w:val="-6"/>
                <w:sz w:val="24"/>
                <w:szCs w:val="24"/>
                <w:highlight w:val="none"/>
              </w:rPr>
              <w:t>途</w:t>
            </w:r>
          </w:p>
        </w:tc>
        <w:tc>
          <w:tcPr>
            <w:tcW w:w="2211" w:type="dxa"/>
            <w:tcBorders>
              <w:top w:val="single" w:color="000000" w:sz="6" w:space="0"/>
            </w:tcBorders>
            <w:vAlign w:val="top"/>
          </w:tcPr>
          <w:p w14:paraId="4C286117">
            <w:pPr>
              <w:pStyle w:val="17"/>
              <w:spacing w:before="107" w:line="220" w:lineRule="auto"/>
              <w:ind w:left="496"/>
              <w:rPr>
                <w:color w:val="auto"/>
                <w:sz w:val="24"/>
                <w:szCs w:val="24"/>
                <w:highlight w:val="none"/>
              </w:rPr>
            </w:pPr>
            <w:r>
              <w:rPr>
                <w:color w:val="auto"/>
                <w:spacing w:val="-2"/>
                <w:sz w:val="24"/>
                <w:szCs w:val="24"/>
                <w:highlight w:val="none"/>
              </w:rPr>
              <w:t>面积（</w:t>
            </w:r>
            <w:r>
              <w:rPr>
                <w:rFonts w:ascii="Times New Roman" w:hAnsi="Times New Roman" w:eastAsia="Times New Roman" w:cs="Times New Roman"/>
                <w:color w:val="auto"/>
                <w:spacing w:val="-2"/>
                <w:sz w:val="24"/>
                <w:szCs w:val="24"/>
                <w:highlight w:val="none"/>
              </w:rPr>
              <w:t>m</w:t>
            </w:r>
            <w:r>
              <w:rPr>
                <w:rFonts w:ascii="Times New Roman" w:hAnsi="Times New Roman" w:eastAsia="Times New Roman" w:cs="Times New Roman"/>
                <w:color w:val="auto"/>
                <w:spacing w:val="-2"/>
                <w:position w:val="8"/>
                <w:sz w:val="16"/>
                <w:szCs w:val="16"/>
                <w:highlight w:val="none"/>
              </w:rPr>
              <w:t>2</w:t>
            </w:r>
            <w:r>
              <w:rPr>
                <w:color w:val="auto"/>
                <w:spacing w:val="-2"/>
                <w:sz w:val="24"/>
                <w:szCs w:val="24"/>
                <w:highlight w:val="none"/>
              </w:rPr>
              <w:t>）</w:t>
            </w:r>
          </w:p>
        </w:tc>
        <w:tc>
          <w:tcPr>
            <w:tcW w:w="2358" w:type="dxa"/>
            <w:tcBorders>
              <w:top w:val="single" w:color="000000" w:sz="6" w:space="0"/>
            </w:tcBorders>
            <w:vAlign w:val="top"/>
          </w:tcPr>
          <w:p w14:paraId="026953D6">
            <w:pPr>
              <w:pStyle w:val="17"/>
              <w:spacing w:before="107" w:line="221" w:lineRule="auto"/>
              <w:ind w:left="765"/>
              <w:rPr>
                <w:color w:val="auto"/>
                <w:sz w:val="24"/>
                <w:szCs w:val="24"/>
                <w:highlight w:val="none"/>
              </w:rPr>
            </w:pPr>
            <w:r>
              <w:rPr>
                <w:color w:val="auto"/>
                <w:spacing w:val="-5"/>
                <w:sz w:val="24"/>
                <w:szCs w:val="24"/>
                <w:highlight w:val="none"/>
              </w:rPr>
              <w:t>位</w:t>
            </w:r>
            <w:r>
              <w:rPr>
                <w:color w:val="auto"/>
                <w:spacing w:val="2"/>
                <w:sz w:val="24"/>
                <w:szCs w:val="24"/>
                <w:highlight w:val="none"/>
              </w:rPr>
              <w:t xml:space="preserve">   </w:t>
            </w:r>
            <w:r>
              <w:rPr>
                <w:color w:val="auto"/>
                <w:spacing w:val="-5"/>
                <w:sz w:val="24"/>
                <w:szCs w:val="24"/>
                <w:highlight w:val="none"/>
              </w:rPr>
              <w:t>置</w:t>
            </w:r>
          </w:p>
        </w:tc>
        <w:tc>
          <w:tcPr>
            <w:tcW w:w="2039" w:type="dxa"/>
            <w:tcBorders>
              <w:top w:val="single" w:color="000000" w:sz="6" w:space="0"/>
              <w:right w:val="single" w:color="000000" w:sz="6" w:space="0"/>
            </w:tcBorders>
            <w:vAlign w:val="top"/>
          </w:tcPr>
          <w:p w14:paraId="7D9B189A">
            <w:pPr>
              <w:pStyle w:val="17"/>
              <w:spacing w:before="107" w:line="220" w:lineRule="auto"/>
              <w:ind w:left="559"/>
              <w:rPr>
                <w:color w:val="auto"/>
                <w:sz w:val="24"/>
                <w:szCs w:val="24"/>
                <w:highlight w:val="none"/>
              </w:rPr>
            </w:pPr>
            <w:r>
              <w:rPr>
                <w:color w:val="auto"/>
                <w:spacing w:val="-5"/>
                <w:sz w:val="24"/>
                <w:szCs w:val="24"/>
                <w:highlight w:val="none"/>
              </w:rPr>
              <w:t>需用时间</w:t>
            </w:r>
          </w:p>
        </w:tc>
      </w:tr>
      <w:tr w14:paraId="133F6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293" w:type="dxa"/>
            <w:tcBorders>
              <w:left w:val="single" w:color="000000" w:sz="6" w:space="0"/>
            </w:tcBorders>
            <w:vAlign w:val="top"/>
          </w:tcPr>
          <w:p w14:paraId="4D913EED">
            <w:pPr>
              <w:rPr>
                <w:rFonts w:ascii="Arial"/>
                <w:color w:val="auto"/>
                <w:sz w:val="21"/>
                <w:highlight w:val="none"/>
              </w:rPr>
            </w:pPr>
          </w:p>
        </w:tc>
        <w:tc>
          <w:tcPr>
            <w:tcW w:w="2211" w:type="dxa"/>
            <w:vAlign w:val="top"/>
          </w:tcPr>
          <w:p w14:paraId="30D4C7D3">
            <w:pPr>
              <w:rPr>
                <w:rFonts w:ascii="Arial"/>
                <w:color w:val="auto"/>
                <w:sz w:val="21"/>
                <w:highlight w:val="none"/>
              </w:rPr>
            </w:pPr>
          </w:p>
        </w:tc>
        <w:tc>
          <w:tcPr>
            <w:tcW w:w="2358" w:type="dxa"/>
            <w:vAlign w:val="top"/>
          </w:tcPr>
          <w:p w14:paraId="5D9B66FC">
            <w:pPr>
              <w:rPr>
                <w:rFonts w:ascii="Arial"/>
                <w:color w:val="auto"/>
                <w:sz w:val="21"/>
                <w:highlight w:val="none"/>
              </w:rPr>
            </w:pPr>
          </w:p>
        </w:tc>
        <w:tc>
          <w:tcPr>
            <w:tcW w:w="2039" w:type="dxa"/>
            <w:tcBorders>
              <w:right w:val="single" w:color="000000" w:sz="6" w:space="0"/>
            </w:tcBorders>
            <w:vAlign w:val="top"/>
          </w:tcPr>
          <w:p w14:paraId="3297B806">
            <w:pPr>
              <w:rPr>
                <w:rFonts w:ascii="Arial"/>
                <w:color w:val="auto"/>
                <w:sz w:val="21"/>
                <w:highlight w:val="none"/>
              </w:rPr>
            </w:pPr>
          </w:p>
        </w:tc>
      </w:tr>
      <w:tr w14:paraId="75F72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34EBEFE0">
            <w:pPr>
              <w:rPr>
                <w:rFonts w:ascii="Arial"/>
                <w:color w:val="auto"/>
                <w:sz w:val="21"/>
                <w:highlight w:val="none"/>
              </w:rPr>
            </w:pPr>
          </w:p>
        </w:tc>
        <w:tc>
          <w:tcPr>
            <w:tcW w:w="2211" w:type="dxa"/>
            <w:vAlign w:val="top"/>
          </w:tcPr>
          <w:p w14:paraId="0457CF74">
            <w:pPr>
              <w:rPr>
                <w:rFonts w:ascii="Arial"/>
                <w:color w:val="auto"/>
                <w:sz w:val="21"/>
                <w:highlight w:val="none"/>
              </w:rPr>
            </w:pPr>
          </w:p>
        </w:tc>
        <w:tc>
          <w:tcPr>
            <w:tcW w:w="2358" w:type="dxa"/>
            <w:vAlign w:val="top"/>
          </w:tcPr>
          <w:p w14:paraId="00DCBF95">
            <w:pPr>
              <w:rPr>
                <w:rFonts w:ascii="Arial"/>
                <w:color w:val="auto"/>
                <w:sz w:val="21"/>
                <w:highlight w:val="none"/>
              </w:rPr>
            </w:pPr>
          </w:p>
        </w:tc>
        <w:tc>
          <w:tcPr>
            <w:tcW w:w="2039" w:type="dxa"/>
            <w:tcBorders>
              <w:right w:val="single" w:color="000000" w:sz="6" w:space="0"/>
            </w:tcBorders>
            <w:vAlign w:val="top"/>
          </w:tcPr>
          <w:p w14:paraId="11CC831E">
            <w:pPr>
              <w:rPr>
                <w:rFonts w:ascii="Arial"/>
                <w:color w:val="auto"/>
                <w:sz w:val="21"/>
                <w:highlight w:val="none"/>
              </w:rPr>
            </w:pPr>
          </w:p>
        </w:tc>
      </w:tr>
      <w:tr w14:paraId="068B2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78054AB6">
            <w:pPr>
              <w:rPr>
                <w:rFonts w:ascii="Arial"/>
                <w:color w:val="auto"/>
                <w:sz w:val="21"/>
                <w:highlight w:val="none"/>
              </w:rPr>
            </w:pPr>
          </w:p>
        </w:tc>
        <w:tc>
          <w:tcPr>
            <w:tcW w:w="2211" w:type="dxa"/>
            <w:vAlign w:val="top"/>
          </w:tcPr>
          <w:p w14:paraId="1E3F53F3">
            <w:pPr>
              <w:rPr>
                <w:rFonts w:ascii="Arial"/>
                <w:color w:val="auto"/>
                <w:sz w:val="21"/>
                <w:highlight w:val="none"/>
              </w:rPr>
            </w:pPr>
          </w:p>
        </w:tc>
        <w:tc>
          <w:tcPr>
            <w:tcW w:w="2358" w:type="dxa"/>
            <w:vAlign w:val="top"/>
          </w:tcPr>
          <w:p w14:paraId="5730061D">
            <w:pPr>
              <w:rPr>
                <w:rFonts w:ascii="Arial"/>
                <w:color w:val="auto"/>
                <w:sz w:val="21"/>
                <w:highlight w:val="none"/>
              </w:rPr>
            </w:pPr>
          </w:p>
        </w:tc>
        <w:tc>
          <w:tcPr>
            <w:tcW w:w="2039" w:type="dxa"/>
            <w:tcBorders>
              <w:right w:val="single" w:color="000000" w:sz="6" w:space="0"/>
            </w:tcBorders>
            <w:vAlign w:val="top"/>
          </w:tcPr>
          <w:p w14:paraId="3A2FEC09">
            <w:pPr>
              <w:rPr>
                <w:rFonts w:ascii="Arial"/>
                <w:color w:val="auto"/>
                <w:sz w:val="21"/>
                <w:highlight w:val="none"/>
              </w:rPr>
            </w:pPr>
          </w:p>
        </w:tc>
      </w:tr>
      <w:tr w14:paraId="1E534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061FED05">
            <w:pPr>
              <w:rPr>
                <w:rFonts w:ascii="Arial"/>
                <w:color w:val="auto"/>
                <w:sz w:val="21"/>
                <w:highlight w:val="none"/>
              </w:rPr>
            </w:pPr>
          </w:p>
        </w:tc>
        <w:tc>
          <w:tcPr>
            <w:tcW w:w="2211" w:type="dxa"/>
            <w:vAlign w:val="top"/>
          </w:tcPr>
          <w:p w14:paraId="0552D6F0">
            <w:pPr>
              <w:rPr>
                <w:rFonts w:ascii="Arial"/>
                <w:color w:val="auto"/>
                <w:sz w:val="21"/>
                <w:highlight w:val="none"/>
              </w:rPr>
            </w:pPr>
          </w:p>
        </w:tc>
        <w:tc>
          <w:tcPr>
            <w:tcW w:w="2358" w:type="dxa"/>
            <w:vAlign w:val="top"/>
          </w:tcPr>
          <w:p w14:paraId="48139CDD">
            <w:pPr>
              <w:rPr>
                <w:rFonts w:ascii="Arial"/>
                <w:color w:val="auto"/>
                <w:sz w:val="21"/>
                <w:highlight w:val="none"/>
              </w:rPr>
            </w:pPr>
          </w:p>
        </w:tc>
        <w:tc>
          <w:tcPr>
            <w:tcW w:w="2039" w:type="dxa"/>
            <w:tcBorders>
              <w:right w:val="single" w:color="000000" w:sz="6" w:space="0"/>
            </w:tcBorders>
            <w:vAlign w:val="top"/>
          </w:tcPr>
          <w:p w14:paraId="41DF7225">
            <w:pPr>
              <w:rPr>
                <w:rFonts w:ascii="Arial"/>
                <w:color w:val="auto"/>
                <w:sz w:val="21"/>
                <w:highlight w:val="none"/>
              </w:rPr>
            </w:pPr>
          </w:p>
        </w:tc>
      </w:tr>
      <w:tr w14:paraId="0C45E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2293" w:type="dxa"/>
            <w:tcBorders>
              <w:left w:val="single" w:color="000000" w:sz="6" w:space="0"/>
            </w:tcBorders>
            <w:vAlign w:val="top"/>
          </w:tcPr>
          <w:p w14:paraId="6368FC2E">
            <w:pPr>
              <w:rPr>
                <w:rFonts w:ascii="Arial"/>
                <w:color w:val="auto"/>
                <w:sz w:val="21"/>
                <w:highlight w:val="none"/>
              </w:rPr>
            </w:pPr>
          </w:p>
        </w:tc>
        <w:tc>
          <w:tcPr>
            <w:tcW w:w="2211" w:type="dxa"/>
            <w:vAlign w:val="top"/>
          </w:tcPr>
          <w:p w14:paraId="5AA5049A">
            <w:pPr>
              <w:rPr>
                <w:rFonts w:ascii="Arial"/>
                <w:color w:val="auto"/>
                <w:sz w:val="21"/>
                <w:highlight w:val="none"/>
              </w:rPr>
            </w:pPr>
          </w:p>
        </w:tc>
        <w:tc>
          <w:tcPr>
            <w:tcW w:w="2358" w:type="dxa"/>
            <w:vAlign w:val="top"/>
          </w:tcPr>
          <w:p w14:paraId="45E95A05">
            <w:pPr>
              <w:rPr>
                <w:rFonts w:ascii="Arial"/>
                <w:color w:val="auto"/>
                <w:sz w:val="21"/>
                <w:highlight w:val="none"/>
              </w:rPr>
            </w:pPr>
          </w:p>
        </w:tc>
        <w:tc>
          <w:tcPr>
            <w:tcW w:w="2039" w:type="dxa"/>
            <w:tcBorders>
              <w:right w:val="single" w:color="000000" w:sz="6" w:space="0"/>
            </w:tcBorders>
            <w:vAlign w:val="top"/>
          </w:tcPr>
          <w:p w14:paraId="13147231">
            <w:pPr>
              <w:rPr>
                <w:rFonts w:ascii="Arial"/>
                <w:color w:val="auto"/>
                <w:sz w:val="21"/>
                <w:highlight w:val="none"/>
              </w:rPr>
            </w:pPr>
          </w:p>
        </w:tc>
      </w:tr>
      <w:tr w14:paraId="0B0F8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67FC24A9">
            <w:pPr>
              <w:rPr>
                <w:rFonts w:ascii="Arial"/>
                <w:color w:val="auto"/>
                <w:sz w:val="21"/>
                <w:highlight w:val="none"/>
              </w:rPr>
            </w:pPr>
          </w:p>
        </w:tc>
        <w:tc>
          <w:tcPr>
            <w:tcW w:w="2211" w:type="dxa"/>
            <w:vAlign w:val="top"/>
          </w:tcPr>
          <w:p w14:paraId="4F6239E5">
            <w:pPr>
              <w:rPr>
                <w:rFonts w:ascii="Arial"/>
                <w:color w:val="auto"/>
                <w:sz w:val="21"/>
                <w:highlight w:val="none"/>
              </w:rPr>
            </w:pPr>
          </w:p>
        </w:tc>
        <w:tc>
          <w:tcPr>
            <w:tcW w:w="2358" w:type="dxa"/>
            <w:vAlign w:val="top"/>
          </w:tcPr>
          <w:p w14:paraId="5939D8BA">
            <w:pPr>
              <w:rPr>
                <w:rFonts w:ascii="Arial"/>
                <w:color w:val="auto"/>
                <w:sz w:val="21"/>
                <w:highlight w:val="none"/>
              </w:rPr>
            </w:pPr>
          </w:p>
        </w:tc>
        <w:tc>
          <w:tcPr>
            <w:tcW w:w="2039" w:type="dxa"/>
            <w:tcBorders>
              <w:right w:val="single" w:color="000000" w:sz="6" w:space="0"/>
            </w:tcBorders>
            <w:vAlign w:val="top"/>
          </w:tcPr>
          <w:p w14:paraId="225026F9">
            <w:pPr>
              <w:rPr>
                <w:rFonts w:ascii="Arial"/>
                <w:color w:val="auto"/>
                <w:sz w:val="21"/>
                <w:highlight w:val="none"/>
              </w:rPr>
            </w:pPr>
          </w:p>
        </w:tc>
      </w:tr>
      <w:tr w14:paraId="224AD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293" w:type="dxa"/>
            <w:tcBorders>
              <w:left w:val="single" w:color="000000" w:sz="6" w:space="0"/>
            </w:tcBorders>
            <w:vAlign w:val="top"/>
          </w:tcPr>
          <w:p w14:paraId="4C33D74D">
            <w:pPr>
              <w:rPr>
                <w:rFonts w:ascii="Arial"/>
                <w:color w:val="auto"/>
                <w:sz w:val="21"/>
                <w:highlight w:val="none"/>
              </w:rPr>
            </w:pPr>
          </w:p>
        </w:tc>
        <w:tc>
          <w:tcPr>
            <w:tcW w:w="2211" w:type="dxa"/>
            <w:vAlign w:val="top"/>
          </w:tcPr>
          <w:p w14:paraId="24950AE9">
            <w:pPr>
              <w:rPr>
                <w:rFonts w:ascii="Arial"/>
                <w:color w:val="auto"/>
                <w:sz w:val="21"/>
                <w:highlight w:val="none"/>
              </w:rPr>
            </w:pPr>
          </w:p>
        </w:tc>
        <w:tc>
          <w:tcPr>
            <w:tcW w:w="2358" w:type="dxa"/>
            <w:vAlign w:val="top"/>
          </w:tcPr>
          <w:p w14:paraId="151E981C">
            <w:pPr>
              <w:rPr>
                <w:rFonts w:ascii="Arial"/>
                <w:color w:val="auto"/>
                <w:sz w:val="21"/>
                <w:highlight w:val="none"/>
              </w:rPr>
            </w:pPr>
          </w:p>
        </w:tc>
        <w:tc>
          <w:tcPr>
            <w:tcW w:w="2039" w:type="dxa"/>
            <w:tcBorders>
              <w:right w:val="single" w:color="000000" w:sz="6" w:space="0"/>
            </w:tcBorders>
            <w:vAlign w:val="top"/>
          </w:tcPr>
          <w:p w14:paraId="460F1011">
            <w:pPr>
              <w:rPr>
                <w:rFonts w:ascii="Arial"/>
                <w:color w:val="auto"/>
                <w:sz w:val="21"/>
                <w:highlight w:val="none"/>
              </w:rPr>
            </w:pPr>
          </w:p>
        </w:tc>
      </w:tr>
      <w:tr w14:paraId="032E3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4D286F54">
            <w:pPr>
              <w:rPr>
                <w:rFonts w:ascii="Arial"/>
                <w:color w:val="auto"/>
                <w:sz w:val="21"/>
                <w:highlight w:val="none"/>
              </w:rPr>
            </w:pPr>
          </w:p>
        </w:tc>
        <w:tc>
          <w:tcPr>
            <w:tcW w:w="2211" w:type="dxa"/>
            <w:vAlign w:val="top"/>
          </w:tcPr>
          <w:p w14:paraId="0DCAACFE">
            <w:pPr>
              <w:rPr>
                <w:rFonts w:ascii="Arial"/>
                <w:color w:val="auto"/>
                <w:sz w:val="21"/>
                <w:highlight w:val="none"/>
              </w:rPr>
            </w:pPr>
          </w:p>
        </w:tc>
        <w:tc>
          <w:tcPr>
            <w:tcW w:w="2358" w:type="dxa"/>
            <w:vAlign w:val="top"/>
          </w:tcPr>
          <w:p w14:paraId="329E820E">
            <w:pPr>
              <w:rPr>
                <w:rFonts w:ascii="Arial"/>
                <w:color w:val="auto"/>
                <w:sz w:val="21"/>
                <w:highlight w:val="none"/>
              </w:rPr>
            </w:pPr>
          </w:p>
        </w:tc>
        <w:tc>
          <w:tcPr>
            <w:tcW w:w="2039" w:type="dxa"/>
            <w:tcBorders>
              <w:right w:val="single" w:color="000000" w:sz="6" w:space="0"/>
            </w:tcBorders>
            <w:vAlign w:val="top"/>
          </w:tcPr>
          <w:p w14:paraId="3EECAD77">
            <w:pPr>
              <w:rPr>
                <w:rFonts w:ascii="Arial"/>
                <w:color w:val="auto"/>
                <w:sz w:val="21"/>
                <w:highlight w:val="none"/>
              </w:rPr>
            </w:pPr>
          </w:p>
        </w:tc>
      </w:tr>
      <w:tr w14:paraId="0F209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367A9E4A">
            <w:pPr>
              <w:rPr>
                <w:rFonts w:ascii="Arial"/>
                <w:color w:val="auto"/>
                <w:sz w:val="21"/>
                <w:highlight w:val="none"/>
              </w:rPr>
            </w:pPr>
          </w:p>
        </w:tc>
        <w:tc>
          <w:tcPr>
            <w:tcW w:w="2211" w:type="dxa"/>
            <w:vAlign w:val="top"/>
          </w:tcPr>
          <w:p w14:paraId="409D2ECA">
            <w:pPr>
              <w:rPr>
                <w:rFonts w:ascii="Arial"/>
                <w:color w:val="auto"/>
                <w:sz w:val="21"/>
                <w:highlight w:val="none"/>
              </w:rPr>
            </w:pPr>
          </w:p>
        </w:tc>
        <w:tc>
          <w:tcPr>
            <w:tcW w:w="2358" w:type="dxa"/>
            <w:vAlign w:val="top"/>
          </w:tcPr>
          <w:p w14:paraId="75BCB840">
            <w:pPr>
              <w:rPr>
                <w:rFonts w:ascii="Arial"/>
                <w:color w:val="auto"/>
                <w:sz w:val="21"/>
                <w:highlight w:val="none"/>
              </w:rPr>
            </w:pPr>
          </w:p>
        </w:tc>
        <w:tc>
          <w:tcPr>
            <w:tcW w:w="2039" w:type="dxa"/>
            <w:tcBorders>
              <w:right w:val="single" w:color="000000" w:sz="6" w:space="0"/>
            </w:tcBorders>
            <w:vAlign w:val="top"/>
          </w:tcPr>
          <w:p w14:paraId="64FB5873">
            <w:pPr>
              <w:rPr>
                <w:rFonts w:ascii="Arial"/>
                <w:color w:val="auto"/>
                <w:sz w:val="21"/>
                <w:highlight w:val="none"/>
              </w:rPr>
            </w:pPr>
          </w:p>
        </w:tc>
      </w:tr>
      <w:tr w14:paraId="645C4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2B705D49">
            <w:pPr>
              <w:rPr>
                <w:rFonts w:ascii="Arial"/>
                <w:color w:val="auto"/>
                <w:sz w:val="21"/>
                <w:highlight w:val="none"/>
              </w:rPr>
            </w:pPr>
          </w:p>
        </w:tc>
        <w:tc>
          <w:tcPr>
            <w:tcW w:w="2211" w:type="dxa"/>
            <w:vAlign w:val="top"/>
          </w:tcPr>
          <w:p w14:paraId="04828BCD">
            <w:pPr>
              <w:rPr>
                <w:rFonts w:ascii="Arial"/>
                <w:color w:val="auto"/>
                <w:sz w:val="21"/>
                <w:highlight w:val="none"/>
              </w:rPr>
            </w:pPr>
          </w:p>
        </w:tc>
        <w:tc>
          <w:tcPr>
            <w:tcW w:w="2358" w:type="dxa"/>
            <w:vAlign w:val="top"/>
          </w:tcPr>
          <w:p w14:paraId="1654DBF9">
            <w:pPr>
              <w:rPr>
                <w:rFonts w:ascii="Arial"/>
                <w:color w:val="auto"/>
                <w:sz w:val="21"/>
                <w:highlight w:val="none"/>
              </w:rPr>
            </w:pPr>
          </w:p>
        </w:tc>
        <w:tc>
          <w:tcPr>
            <w:tcW w:w="2039" w:type="dxa"/>
            <w:tcBorders>
              <w:right w:val="single" w:color="000000" w:sz="6" w:space="0"/>
            </w:tcBorders>
            <w:vAlign w:val="top"/>
          </w:tcPr>
          <w:p w14:paraId="22139980">
            <w:pPr>
              <w:rPr>
                <w:rFonts w:ascii="Arial"/>
                <w:color w:val="auto"/>
                <w:sz w:val="21"/>
                <w:highlight w:val="none"/>
              </w:rPr>
            </w:pPr>
          </w:p>
        </w:tc>
      </w:tr>
      <w:tr w14:paraId="2548E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32282B58">
            <w:pPr>
              <w:rPr>
                <w:rFonts w:ascii="Arial"/>
                <w:color w:val="auto"/>
                <w:sz w:val="21"/>
                <w:highlight w:val="none"/>
              </w:rPr>
            </w:pPr>
          </w:p>
        </w:tc>
        <w:tc>
          <w:tcPr>
            <w:tcW w:w="2211" w:type="dxa"/>
            <w:vAlign w:val="top"/>
          </w:tcPr>
          <w:p w14:paraId="6A681057">
            <w:pPr>
              <w:rPr>
                <w:rFonts w:ascii="Arial"/>
                <w:color w:val="auto"/>
                <w:sz w:val="21"/>
                <w:highlight w:val="none"/>
              </w:rPr>
            </w:pPr>
          </w:p>
        </w:tc>
        <w:tc>
          <w:tcPr>
            <w:tcW w:w="2358" w:type="dxa"/>
            <w:vAlign w:val="top"/>
          </w:tcPr>
          <w:p w14:paraId="1E8A938F">
            <w:pPr>
              <w:rPr>
                <w:rFonts w:ascii="Arial"/>
                <w:color w:val="auto"/>
                <w:sz w:val="21"/>
                <w:highlight w:val="none"/>
              </w:rPr>
            </w:pPr>
          </w:p>
        </w:tc>
        <w:tc>
          <w:tcPr>
            <w:tcW w:w="2039" w:type="dxa"/>
            <w:tcBorders>
              <w:right w:val="single" w:color="000000" w:sz="6" w:space="0"/>
            </w:tcBorders>
            <w:vAlign w:val="top"/>
          </w:tcPr>
          <w:p w14:paraId="4A73C4EF">
            <w:pPr>
              <w:rPr>
                <w:rFonts w:ascii="Arial"/>
                <w:color w:val="auto"/>
                <w:sz w:val="21"/>
                <w:highlight w:val="none"/>
              </w:rPr>
            </w:pPr>
          </w:p>
        </w:tc>
      </w:tr>
      <w:tr w14:paraId="29583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054AFBAC">
            <w:pPr>
              <w:rPr>
                <w:rFonts w:ascii="Arial"/>
                <w:color w:val="auto"/>
                <w:sz w:val="21"/>
                <w:highlight w:val="none"/>
              </w:rPr>
            </w:pPr>
          </w:p>
        </w:tc>
        <w:tc>
          <w:tcPr>
            <w:tcW w:w="2211" w:type="dxa"/>
            <w:vAlign w:val="top"/>
          </w:tcPr>
          <w:p w14:paraId="566A5A26">
            <w:pPr>
              <w:rPr>
                <w:rFonts w:ascii="Arial"/>
                <w:color w:val="auto"/>
                <w:sz w:val="21"/>
                <w:highlight w:val="none"/>
              </w:rPr>
            </w:pPr>
          </w:p>
        </w:tc>
        <w:tc>
          <w:tcPr>
            <w:tcW w:w="2358" w:type="dxa"/>
            <w:vAlign w:val="top"/>
          </w:tcPr>
          <w:p w14:paraId="7B03B9C6">
            <w:pPr>
              <w:rPr>
                <w:rFonts w:ascii="Arial"/>
                <w:color w:val="auto"/>
                <w:sz w:val="21"/>
                <w:highlight w:val="none"/>
              </w:rPr>
            </w:pPr>
          </w:p>
        </w:tc>
        <w:tc>
          <w:tcPr>
            <w:tcW w:w="2039" w:type="dxa"/>
            <w:tcBorders>
              <w:right w:val="single" w:color="000000" w:sz="6" w:space="0"/>
            </w:tcBorders>
            <w:vAlign w:val="top"/>
          </w:tcPr>
          <w:p w14:paraId="57F793A4">
            <w:pPr>
              <w:rPr>
                <w:rFonts w:ascii="Arial"/>
                <w:color w:val="auto"/>
                <w:sz w:val="21"/>
                <w:highlight w:val="none"/>
              </w:rPr>
            </w:pPr>
          </w:p>
        </w:tc>
      </w:tr>
      <w:tr w14:paraId="34CD5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2293" w:type="dxa"/>
            <w:tcBorders>
              <w:left w:val="single" w:color="000000" w:sz="6" w:space="0"/>
            </w:tcBorders>
            <w:vAlign w:val="top"/>
          </w:tcPr>
          <w:p w14:paraId="28DDD38D">
            <w:pPr>
              <w:rPr>
                <w:rFonts w:ascii="Arial"/>
                <w:color w:val="auto"/>
                <w:sz w:val="21"/>
                <w:highlight w:val="none"/>
              </w:rPr>
            </w:pPr>
          </w:p>
        </w:tc>
        <w:tc>
          <w:tcPr>
            <w:tcW w:w="2211" w:type="dxa"/>
            <w:vAlign w:val="top"/>
          </w:tcPr>
          <w:p w14:paraId="4174555F">
            <w:pPr>
              <w:rPr>
                <w:rFonts w:ascii="Arial"/>
                <w:color w:val="auto"/>
                <w:sz w:val="21"/>
                <w:highlight w:val="none"/>
              </w:rPr>
            </w:pPr>
          </w:p>
        </w:tc>
        <w:tc>
          <w:tcPr>
            <w:tcW w:w="2358" w:type="dxa"/>
            <w:vAlign w:val="top"/>
          </w:tcPr>
          <w:p w14:paraId="02501A21">
            <w:pPr>
              <w:rPr>
                <w:rFonts w:ascii="Arial"/>
                <w:color w:val="auto"/>
                <w:sz w:val="21"/>
                <w:highlight w:val="none"/>
              </w:rPr>
            </w:pPr>
          </w:p>
        </w:tc>
        <w:tc>
          <w:tcPr>
            <w:tcW w:w="2039" w:type="dxa"/>
            <w:tcBorders>
              <w:right w:val="single" w:color="000000" w:sz="6" w:space="0"/>
            </w:tcBorders>
            <w:vAlign w:val="top"/>
          </w:tcPr>
          <w:p w14:paraId="4794B909">
            <w:pPr>
              <w:rPr>
                <w:rFonts w:ascii="Arial"/>
                <w:color w:val="auto"/>
                <w:sz w:val="21"/>
                <w:highlight w:val="none"/>
              </w:rPr>
            </w:pPr>
          </w:p>
        </w:tc>
      </w:tr>
      <w:tr w14:paraId="313D5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6812CA1C">
            <w:pPr>
              <w:rPr>
                <w:rFonts w:ascii="Arial"/>
                <w:color w:val="auto"/>
                <w:sz w:val="21"/>
                <w:highlight w:val="none"/>
              </w:rPr>
            </w:pPr>
          </w:p>
        </w:tc>
        <w:tc>
          <w:tcPr>
            <w:tcW w:w="2211" w:type="dxa"/>
            <w:vAlign w:val="top"/>
          </w:tcPr>
          <w:p w14:paraId="41DAB4AC">
            <w:pPr>
              <w:rPr>
                <w:rFonts w:ascii="Arial"/>
                <w:color w:val="auto"/>
                <w:sz w:val="21"/>
                <w:highlight w:val="none"/>
              </w:rPr>
            </w:pPr>
          </w:p>
        </w:tc>
        <w:tc>
          <w:tcPr>
            <w:tcW w:w="2358" w:type="dxa"/>
            <w:vAlign w:val="top"/>
          </w:tcPr>
          <w:p w14:paraId="2A210F4A">
            <w:pPr>
              <w:rPr>
                <w:rFonts w:ascii="Arial"/>
                <w:color w:val="auto"/>
                <w:sz w:val="21"/>
                <w:highlight w:val="none"/>
              </w:rPr>
            </w:pPr>
          </w:p>
        </w:tc>
        <w:tc>
          <w:tcPr>
            <w:tcW w:w="2039" w:type="dxa"/>
            <w:tcBorders>
              <w:right w:val="single" w:color="000000" w:sz="6" w:space="0"/>
            </w:tcBorders>
            <w:vAlign w:val="top"/>
          </w:tcPr>
          <w:p w14:paraId="79D2FB7A">
            <w:pPr>
              <w:rPr>
                <w:rFonts w:ascii="Arial"/>
                <w:color w:val="auto"/>
                <w:sz w:val="21"/>
                <w:highlight w:val="none"/>
              </w:rPr>
            </w:pPr>
          </w:p>
        </w:tc>
      </w:tr>
      <w:tr w14:paraId="2CFEF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7A477928">
            <w:pPr>
              <w:rPr>
                <w:rFonts w:ascii="Arial"/>
                <w:color w:val="auto"/>
                <w:sz w:val="21"/>
                <w:highlight w:val="none"/>
              </w:rPr>
            </w:pPr>
          </w:p>
        </w:tc>
        <w:tc>
          <w:tcPr>
            <w:tcW w:w="2211" w:type="dxa"/>
            <w:vAlign w:val="top"/>
          </w:tcPr>
          <w:p w14:paraId="66FB09A2">
            <w:pPr>
              <w:rPr>
                <w:rFonts w:ascii="Arial"/>
                <w:color w:val="auto"/>
                <w:sz w:val="21"/>
                <w:highlight w:val="none"/>
              </w:rPr>
            </w:pPr>
          </w:p>
        </w:tc>
        <w:tc>
          <w:tcPr>
            <w:tcW w:w="2358" w:type="dxa"/>
            <w:vAlign w:val="top"/>
          </w:tcPr>
          <w:p w14:paraId="3B97CA91">
            <w:pPr>
              <w:rPr>
                <w:rFonts w:ascii="Arial"/>
                <w:color w:val="auto"/>
                <w:sz w:val="21"/>
                <w:highlight w:val="none"/>
              </w:rPr>
            </w:pPr>
          </w:p>
        </w:tc>
        <w:tc>
          <w:tcPr>
            <w:tcW w:w="2039" w:type="dxa"/>
            <w:tcBorders>
              <w:right w:val="single" w:color="000000" w:sz="6" w:space="0"/>
            </w:tcBorders>
            <w:vAlign w:val="top"/>
          </w:tcPr>
          <w:p w14:paraId="3C6ECEFC">
            <w:pPr>
              <w:rPr>
                <w:rFonts w:ascii="Arial"/>
                <w:color w:val="auto"/>
                <w:sz w:val="21"/>
                <w:highlight w:val="none"/>
              </w:rPr>
            </w:pPr>
          </w:p>
        </w:tc>
      </w:tr>
      <w:tr w14:paraId="23AA2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0AAE0C50">
            <w:pPr>
              <w:rPr>
                <w:rFonts w:ascii="Arial"/>
                <w:color w:val="auto"/>
                <w:sz w:val="21"/>
                <w:highlight w:val="none"/>
              </w:rPr>
            </w:pPr>
          </w:p>
        </w:tc>
        <w:tc>
          <w:tcPr>
            <w:tcW w:w="2211" w:type="dxa"/>
            <w:vAlign w:val="top"/>
          </w:tcPr>
          <w:p w14:paraId="594A9DE8">
            <w:pPr>
              <w:rPr>
                <w:rFonts w:ascii="Arial"/>
                <w:color w:val="auto"/>
                <w:sz w:val="21"/>
                <w:highlight w:val="none"/>
              </w:rPr>
            </w:pPr>
          </w:p>
        </w:tc>
        <w:tc>
          <w:tcPr>
            <w:tcW w:w="2358" w:type="dxa"/>
            <w:vAlign w:val="top"/>
          </w:tcPr>
          <w:p w14:paraId="6E1BE8BD">
            <w:pPr>
              <w:rPr>
                <w:rFonts w:ascii="Arial"/>
                <w:color w:val="auto"/>
                <w:sz w:val="21"/>
                <w:highlight w:val="none"/>
              </w:rPr>
            </w:pPr>
          </w:p>
        </w:tc>
        <w:tc>
          <w:tcPr>
            <w:tcW w:w="2039" w:type="dxa"/>
            <w:tcBorders>
              <w:right w:val="single" w:color="000000" w:sz="6" w:space="0"/>
            </w:tcBorders>
            <w:vAlign w:val="top"/>
          </w:tcPr>
          <w:p w14:paraId="65716388">
            <w:pPr>
              <w:rPr>
                <w:rFonts w:ascii="Arial"/>
                <w:color w:val="auto"/>
                <w:sz w:val="21"/>
                <w:highlight w:val="none"/>
              </w:rPr>
            </w:pPr>
          </w:p>
        </w:tc>
      </w:tr>
      <w:tr w14:paraId="28426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5C04C25E">
            <w:pPr>
              <w:rPr>
                <w:rFonts w:ascii="Arial"/>
                <w:color w:val="auto"/>
                <w:sz w:val="21"/>
                <w:highlight w:val="none"/>
              </w:rPr>
            </w:pPr>
          </w:p>
        </w:tc>
        <w:tc>
          <w:tcPr>
            <w:tcW w:w="2211" w:type="dxa"/>
            <w:vAlign w:val="top"/>
          </w:tcPr>
          <w:p w14:paraId="68920A36">
            <w:pPr>
              <w:rPr>
                <w:rFonts w:ascii="Arial"/>
                <w:color w:val="auto"/>
                <w:sz w:val="21"/>
                <w:highlight w:val="none"/>
              </w:rPr>
            </w:pPr>
          </w:p>
        </w:tc>
        <w:tc>
          <w:tcPr>
            <w:tcW w:w="2358" w:type="dxa"/>
            <w:vAlign w:val="top"/>
          </w:tcPr>
          <w:p w14:paraId="7D53E7E8">
            <w:pPr>
              <w:rPr>
                <w:rFonts w:ascii="Arial"/>
                <w:color w:val="auto"/>
                <w:sz w:val="21"/>
                <w:highlight w:val="none"/>
              </w:rPr>
            </w:pPr>
          </w:p>
        </w:tc>
        <w:tc>
          <w:tcPr>
            <w:tcW w:w="2039" w:type="dxa"/>
            <w:tcBorders>
              <w:right w:val="single" w:color="000000" w:sz="6" w:space="0"/>
            </w:tcBorders>
            <w:vAlign w:val="top"/>
          </w:tcPr>
          <w:p w14:paraId="7565D162">
            <w:pPr>
              <w:rPr>
                <w:rFonts w:ascii="Arial"/>
                <w:color w:val="auto"/>
                <w:sz w:val="21"/>
                <w:highlight w:val="none"/>
              </w:rPr>
            </w:pPr>
          </w:p>
        </w:tc>
      </w:tr>
      <w:tr w14:paraId="323C2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293" w:type="dxa"/>
            <w:tcBorders>
              <w:left w:val="single" w:color="000000" w:sz="6" w:space="0"/>
            </w:tcBorders>
            <w:vAlign w:val="top"/>
          </w:tcPr>
          <w:p w14:paraId="7B121449">
            <w:pPr>
              <w:rPr>
                <w:rFonts w:ascii="Arial"/>
                <w:color w:val="auto"/>
                <w:sz w:val="21"/>
                <w:highlight w:val="none"/>
              </w:rPr>
            </w:pPr>
          </w:p>
        </w:tc>
        <w:tc>
          <w:tcPr>
            <w:tcW w:w="2211" w:type="dxa"/>
            <w:vAlign w:val="top"/>
          </w:tcPr>
          <w:p w14:paraId="5FEF8ECF">
            <w:pPr>
              <w:rPr>
                <w:rFonts w:ascii="Arial"/>
                <w:color w:val="auto"/>
                <w:sz w:val="21"/>
                <w:highlight w:val="none"/>
              </w:rPr>
            </w:pPr>
          </w:p>
        </w:tc>
        <w:tc>
          <w:tcPr>
            <w:tcW w:w="2358" w:type="dxa"/>
            <w:vAlign w:val="top"/>
          </w:tcPr>
          <w:p w14:paraId="5CDDDE7C">
            <w:pPr>
              <w:rPr>
                <w:rFonts w:ascii="Arial"/>
                <w:color w:val="auto"/>
                <w:sz w:val="21"/>
                <w:highlight w:val="none"/>
              </w:rPr>
            </w:pPr>
          </w:p>
        </w:tc>
        <w:tc>
          <w:tcPr>
            <w:tcW w:w="2039" w:type="dxa"/>
            <w:tcBorders>
              <w:right w:val="single" w:color="000000" w:sz="6" w:space="0"/>
            </w:tcBorders>
            <w:vAlign w:val="top"/>
          </w:tcPr>
          <w:p w14:paraId="0CFDE39D">
            <w:pPr>
              <w:rPr>
                <w:rFonts w:ascii="Arial"/>
                <w:color w:val="auto"/>
                <w:sz w:val="21"/>
                <w:highlight w:val="none"/>
              </w:rPr>
            </w:pPr>
          </w:p>
        </w:tc>
      </w:tr>
      <w:tr w14:paraId="0549E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293" w:type="dxa"/>
            <w:tcBorders>
              <w:left w:val="single" w:color="000000" w:sz="6" w:space="0"/>
              <w:bottom w:val="single" w:color="000000" w:sz="6" w:space="0"/>
            </w:tcBorders>
            <w:vAlign w:val="top"/>
          </w:tcPr>
          <w:p w14:paraId="0563E107">
            <w:pPr>
              <w:rPr>
                <w:rFonts w:ascii="Arial"/>
                <w:color w:val="auto"/>
                <w:sz w:val="21"/>
                <w:highlight w:val="none"/>
              </w:rPr>
            </w:pPr>
          </w:p>
        </w:tc>
        <w:tc>
          <w:tcPr>
            <w:tcW w:w="2211" w:type="dxa"/>
            <w:tcBorders>
              <w:bottom w:val="single" w:color="000000" w:sz="6" w:space="0"/>
            </w:tcBorders>
            <w:vAlign w:val="top"/>
          </w:tcPr>
          <w:p w14:paraId="469A500E">
            <w:pPr>
              <w:rPr>
                <w:rFonts w:ascii="Arial"/>
                <w:color w:val="auto"/>
                <w:sz w:val="21"/>
                <w:highlight w:val="none"/>
              </w:rPr>
            </w:pPr>
          </w:p>
        </w:tc>
        <w:tc>
          <w:tcPr>
            <w:tcW w:w="2358" w:type="dxa"/>
            <w:tcBorders>
              <w:bottom w:val="single" w:color="000000" w:sz="6" w:space="0"/>
            </w:tcBorders>
            <w:vAlign w:val="top"/>
          </w:tcPr>
          <w:p w14:paraId="5281B714">
            <w:pPr>
              <w:rPr>
                <w:rFonts w:ascii="Arial"/>
                <w:color w:val="auto"/>
                <w:sz w:val="21"/>
                <w:highlight w:val="none"/>
              </w:rPr>
            </w:pPr>
          </w:p>
        </w:tc>
        <w:tc>
          <w:tcPr>
            <w:tcW w:w="2039" w:type="dxa"/>
            <w:tcBorders>
              <w:bottom w:val="single" w:color="000000" w:sz="6" w:space="0"/>
              <w:right w:val="single" w:color="000000" w:sz="6" w:space="0"/>
            </w:tcBorders>
            <w:vAlign w:val="top"/>
          </w:tcPr>
          <w:p w14:paraId="1E46A7C7">
            <w:pPr>
              <w:rPr>
                <w:rFonts w:ascii="Arial"/>
                <w:color w:val="auto"/>
                <w:sz w:val="21"/>
                <w:highlight w:val="none"/>
              </w:rPr>
            </w:pPr>
          </w:p>
        </w:tc>
      </w:tr>
    </w:tbl>
    <w:p w14:paraId="793DDAE0">
      <w:pPr>
        <w:pStyle w:val="3"/>
        <w:rPr>
          <w:color w:val="auto"/>
          <w:highlight w:val="none"/>
        </w:rPr>
      </w:pPr>
    </w:p>
    <w:p w14:paraId="5424304E">
      <w:pPr>
        <w:rPr>
          <w:color w:val="auto"/>
          <w:highlight w:val="none"/>
        </w:rPr>
        <w:sectPr>
          <w:footerReference r:id="rId121" w:type="default"/>
          <w:pgSz w:w="11907" w:h="16841"/>
          <w:pgMar w:top="400" w:right="1401" w:bottom="1254" w:left="1588" w:header="0" w:footer="1093" w:gutter="0"/>
          <w:pgNumType w:fmt="decimal"/>
          <w:cols w:space="720" w:num="1"/>
        </w:sectPr>
      </w:pPr>
    </w:p>
    <w:p w14:paraId="2B501FF2">
      <w:pPr>
        <w:pStyle w:val="3"/>
        <w:spacing w:line="288" w:lineRule="auto"/>
        <w:rPr>
          <w:color w:val="auto"/>
          <w:highlight w:val="none"/>
        </w:rPr>
      </w:pPr>
    </w:p>
    <w:p w14:paraId="5D86C5AA">
      <w:pPr>
        <w:pStyle w:val="3"/>
        <w:spacing w:line="289" w:lineRule="auto"/>
        <w:rPr>
          <w:color w:val="auto"/>
          <w:highlight w:val="none"/>
        </w:rPr>
      </w:pPr>
    </w:p>
    <w:p w14:paraId="64DD2360">
      <w:pPr>
        <w:pStyle w:val="3"/>
        <w:spacing w:line="289" w:lineRule="auto"/>
        <w:rPr>
          <w:color w:val="auto"/>
          <w:highlight w:val="none"/>
        </w:rPr>
      </w:pPr>
    </w:p>
    <w:p w14:paraId="7E175BC7">
      <w:pPr>
        <w:spacing w:before="91" w:line="219" w:lineRule="auto"/>
        <w:ind w:left="3003"/>
        <w:outlineLvl w:val="1"/>
        <w:rPr>
          <w:rFonts w:ascii="宋体" w:hAnsi="宋体" w:eastAsia="宋体" w:cs="宋体"/>
          <w:color w:val="auto"/>
          <w:sz w:val="28"/>
          <w:szCs w:val="28"/>
          <w:highlight w:val="none"/>
        </w:rPr>
      </w:pPr>
      <w:bookmarkStart w:id="1100" w:name="bookmark651"/>
      <w:bookmarkEnd w:id="1100"/>
      <w:bookmarkStart w:id="1101" w:name="_Toc2265"/>
      <w:bookmarkStart w:id="1102" w:name="_Toc31084"/>
      <w:r>
        <w:rPr>
          <w:rFonts w:ascii="宋体" w:hAnsi="宋体" w:eastAsia="宋体" w:cs="宋体"/>
          <w:b/>
          <w:bCs/>
          <w:color w:val="auto"/>
          <w:spacing w:val="-5"/>
          <w:sz w:val="28"/>
          <w:szCs w:val="28"/>
          <w:highlight w:val="none"/>
        </w:rPr>
        <w:t>五、拟分包项目情况表</w:t>
      </w:r>
      <w:bookmarkEnd w:id="1101"/>
      <w:bookmarkEnd w:id="1102"/>
    </w:p>
    <w:p w14:paraId="291301ED">
      <w:pPr>
        <w:spacing w:before="48"/>
        <w:rPr>
          <w:color w:val="auto"/>
          <w:highlight w:val="none"/>
        </w:rPr>
      </w:pPr>
    </w:p>
    <w:tbl>
      <w:tblPr>
        <w:tblStyle w:val="16"/>
        <w:tblW w:w="89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9"/>
        <w:gridCol w:w="2547"/>
        <w:gridCol w:w="2971"/>
        <w:gridCol w:w="2274"/>
      </w:tblGrid>
      <w:tr w14:paraId="35FB8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109" w:type="dxa"/>
            <w:tcBorders>
              <w:top w:val="single" w:color="000000" w:sz="6" w:space="0"/>
              <w:left w:val="single" w:color="000000" w:sz="6" w:space="0"/>
            </w:tcBorders>
            <w:vAlign w:val="top"/>
          </w:tcPr>
          <w:p w14:paraId="224AC625">
            <w:pPr>
              <w:pStyle w:val="17"/>
              <w:spacing w:before="121" w:line="221" w:lineRule="auto"/>
              <w:ind w:left="312"/>
              <w:rPr>
                <w:color w:val="auto"/>
                <w:sz w:val="24"/>
                <w:szCs w:val="24"/>
                <w:highlight w:val="none"/>
              </w:rPr>
            </w:pPr>
            <w:r>
              <w:rPr>
                <w:color w:val="auto"/>
                <w:spacing w:val="-3"/>
                <w:sz w:val="24"/>
                <w:szCs w:val="24"/>
                <w:highlight w:val="none"/>
              </w:rPr>
              <w:t>序号</w:t>
            </w:r>
          </w:p>
        </w:tc>
        <w:tc>
          <w:tcPr>
            <w:tcW w:w="2547" w:type="dxa"/>
            <w:tcBorders>
              <w:top w:val="single" w:color="000000" w:sz="6" w:space="0"/>
            </w:tcBorders>
            <w:vAlign w:val="top"/>
          </w:tcPr>
          <w:p w14:paraId="425F3A6E">
            <w:pPr>
              <w:pStyle w:val="17"/>
              <w:spacing w:before="121" w:line="219" w:lineRule="auto"/>
              <w:ind w:left="315"/>
              <w:rPr>
                <w:color w:val="auto"/>
                <w:sz w:val="24"/>
                <w:szCs w:val="24"/>
                <w:highlight w:val="none"/>
              </w:rPr>
            </w:pPr>
            <w:r>
              <w:rPr>
                <w:color w:val="auto"/>
                <w:spacing w:val="-2"/>
                <w:sz w:val="24"/>
                <w:szCs w:val="24"/>
                <w:highlight w:val="none"/>
              </w:rPr>
              <w:t>拟分包的工程项目</w:t>
            </w:r>
          </w:p>
        </w:tc>
        <w:tc>
          <w:tcPr>
            <w:tcW w:w="2971" w:type="dxa"/>
            <w:tcBorders>
              <w:top w:val="single" w:color="000000" w:sz="6" w:space="0"/>
            </w:tcBorders>
            <w:vAlign w:val="top"/>
          </w:tcPr>
          <w:p w14:paraId="23071A66">
            <w:pPr>
              <w:pStyle w:val="17"/>
              <w:spacing w:before="121" w:line="220" w:lineRule="auto"/>
              <w:ind w:left="1013"/>
              <w:rPr>
                <w:color w:val="auto"/>
                <w:sz w:val="24"/>
                <w:szCs w:val="24"/>
                <w:highlight w:val="none"/>
              </w:rPr>
            </w:pPr>
            <w:r>
              <w:rPr>
                <w:color w:val="auto"/>
                <w:spacing w:val="-3"/>
                <w:sz w:val="24"/>
                <w:szCs w:val="24"/>
                <w:highlight w:val="none"/>
              </w:rPr>
              <w:t>主要内容</w:t>
            </w:r>
          </w:p>
        </w:tc>
        <w:tc>
          <w:tcPr>
            <w:tcW w:w="2274" w:type="dxa"/>
            <w:tcBorders>
              <w:top w:val="single" w:color="000000" w:sz="6" w:space="0"/>
              <w:right w:val="single" w:color="000000" w:sz="6" w:space="0"/>
            </w:tcBorders>
            <w:vAlign w:val="top"/>
          </w:tcPr>
          <w:p w14:paraId="60827347">
            <w:pPr>
              <w:pStyle w:val="17"/>
              <w:spacing w:before="122" w:line="218" w:lineRule="auto"/>
              <w:ind w:left="185"/>
              <w:rPr>
                <w:color w:val="auto"/>
                <w:sz w:val="24"/>
                <w:szCs w:val="24"/>
                <w:highlight w:val="none"/>
              </w:rPr>
            </w:pPr>
            <w:r>
              <w:rPr>
                <w:color w:val="auto"/>
                <w:spacing w:val="-3"/>
                <w:sz w:val="24"/>
                <w:szCs w:val="24"/>
                <w:highlight w:val="none"/>
              </w:rPr>
              <w:t>预计造价（万元）</w:t>
            </w:r>
          </w:p>
        </w:tc>
      </w:tr>
      <w:tr w14:paraId="38753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513B7A58">
            <w:pPr>
              <w:rPr>
                <w:rFonts w:ascii="Arial"/>
                <w:color w:val="auto"/>
                <w:sz w:val="21"/>
                <w:highlight w:val="none"/>
              </w:rPr>
            </w:pPr>
          </w:p>
        </w:tc>
        <w:tc>
          <w:tcPr>
            <w:tcW w:w="2547" w:type="dxa"/>
            <w:vAlign w:val="top"/>
          </w:tcPr>
          <w:p w14:paraId="78C5BF0B">
            <w:pPr>
              <w:rPr>
                <w:rFonts w:ascii="Arial"/>
                <w:color w:val="auto"/>
                <w:sz w:val="21"/>
                <w:highlight w:val="none"/>
              </w:rPr>
            </w:pPr>
          </w:p>
        </w:tc>
        <w:tc>
          <w:tcPr>
            <w:tcW w:w="2971" w:type="dxa"/>
            <w:vAlign w:val="top"/>
          </w:tcPr>
          <w:p w14:paraId="1A6C16E2">
            <w:pPr>
              <w:rPr>
                <w:rFonts w:ascii="Arial"/>
                <w:color w:val="auto"/>
                <w:sz w:val="21"/>
                <w:highlight w:val="none"/>
              </w:rPr>
            </w:pPr>
          </w:p>
        </w:tc>
        <w:tc>
          <w:tcPr>
            <w:tcW w:w="2274" w:type="dxa"/>
            <w:tcBorders>
              <w:right w:val="single" w:color="000000" w:sz="6" w:space="0"/>
            </w:tcBorders>
            <w:vAlign w:val="top"/>
          </w:tcPr>
          <w:p w14:paraId="0F70D5E0">
            <w:pPr>
              <w:rPr>
                <w:rFonts w:ascii="Arial"/>
                <w:color w:val="auto"/>
                <w:sz w:val="21"/>
                <w:highlight w:val="none"/>
              </w:rPr>
            </w:pPr>
          </w:p>
        </w:tc>
      </w:tr>
      <w:tr w14:paraId="36A21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1D72A106">
            <w:pPr>
              <w:rPr>
                <w:rFonts w:ascii="Arial"/>
                <w:color w:val="auto"/>
                <w:sz w:val="21"/>
                <w:highlight w:val="none"/>
              </w:rPr>
            </w:pPr>
          </w:p>
        </w:tc>
        <w:tc>
          <w:tcPr>
            <w:tcW w:w="2547" w:type="dxa"/>
            <w:vAlign w:val="top"/>
          </w:tcPr>
          <w:p w14:paraId="022E0B1C">
            <w:pPr>
              <w:rPr>
                <w:rFonts w:ascii="Arial"/>
                <w:color w:val="auto"/>
                <w:sz w:val="21"/>
                <w:highlight w:val="none"/>
              </w:rPr>
            </w:pPr>
          </w:p>
        </w:tc>
        <w:tc>
          <w:tcPr>
            <w:tcW w:w="2971" w:type="dxa"/>
            <w:vAlign w:val="top"/>
          </w:tcPr>
          <w:p w14:paraId="5F91BA9B">
            <w:pPr>
              <w:rPr>
                <w:rFonts w:ascii="Arial"/>
                <w:color w:val="auto"/>
                <w:sz w:val="21"/>
                <w:highlight w:val="none"/>
              </w:rPr>
            </w:pPr>
          </w:p>
        </w:tc>
        <w:tc>
          <w:tcPr>
            <w:tcW w:w="2274" w:type="dxa"/>
            <w:tcBorders>
              <w:right w:val="single" w:color="000000" w:sz="6" w:space="0"/>
            </w:tcBorders>
            <w:vAlign w:val="top"/>
          </w:tcPr>
          <w:p w14:paraId="099899EC">
            <w:pPr>
              <w:rPr>
                <w:rFonts w:ascii="Arial"/>
                <w:color w:val="auto"/>
                <w:sz w:val="21"/>
                <w:highlight w:val="none"/>
              </w:rPr>
            </w:pPr>
          </w:p>
        </w:tc>
      </w:tr>
      <w:tr w14:paraId="75F2D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2FE79EFE">
            <w:pPr>
              <w:rPr>
                <w:rFonts w:ascii="Arial"/>
                <w:color w:val="auto"/>
                <w:sz w:val="21"/>
                <w:highlight w:val="none"/>
              </w:rPr>
            </w:pPr>
          </w:p>
        </w:tc>
        <w:tc>
          <w:tcPr>
            <w:tcW w:w="2547" w:type="dxa"/>
            <w:vAlign w:val="top"/>
          </w:tcPr>
          <w:p w14:paraId="27299134">
            <w:pPr>
              <w:rPr>
                <w:rFonts w:ascii="Arial"/>
                <w:color w:val="auto"/>
                <w:sz w:val="21"/>
                <w:highlight w:val="none"/>
              </w:rPr>
            </w:pPr>
          </w:p>
        </w:tc>
        <w:tc>
          <w:tcPr>
            <w:tcW w:w="2971" w:type="dxa"/>
            <w:vAlign w:val="top"/>
          </w:tcPr>
          <w:p w14:paraId="237FDCBF">
            <w:pPr>
              <w:rPr>
                <w:rFonts w:ascii="Arial"/>
                <w:color w:val="auto"/>
                <w:sz w:val="21"/>
                <w:highlight w:val="none"/>
              </w:rPr>
            </w:pPr>
          </w:p>
        </w:tc>
        <w:tc>
          <w:tcPr>
            <w:tcW w:w="2274" w:type="dxa"/>
            <w:tcBorders>
              <w:right w:val="single" w:color="000000" w:sz="6" w:space="0"/>
            </w:tcBorders>
            <w:vAlign w:val="top"/>
          </w:tcPr>
          <w:p w14:paraId="0FCE0F6F">
            <w:pPr>
              <w:rPr>
                <w:rFonts w:ascii="Arial"/>
                <w:color w:val="auto"/>
                <w:sz w:val="21"/>
                <w:highlight w:val="none"/>
              </w:rPr>
            </w:pPr>
          </w:p>
        </w:tc>
      </w:tr>
      <w:tr w14:paraId="3F027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097C04DE">
            <w:pPr>
              <w:rPr>
                <w:rFonts w:ascii="Arial"/>
                <w:color w:val="auto"/>
                <w:sz w:val="21"/>
                <w:highlight w:val="none"/>
              </w:rPr>
            </w:pPr>
          </w:p>
        </w:tc>
        <w:tc>
          <w:tcPr>
            <w:tcW w:w="2547" w:type="dxa"/>
            <w:vAlign w:val="top"/>
          </w:tcPr>
          <w:p w14:paraId="7A243971">
            <w:pPr>
              <w:rPr>
                <w:rFonts w:ascii="Arial"/>
                <w:color w:val="auto"/>
                <w:sz w:val="21"/>
                <w:highlight w:val="none"/>
              </w:rPr>
            </w:pPr>
          </w:p>
        </w:tc>
        <w:tc>
          <w:tcPr>
            <w:tcW w:w="2971" w:type="dxa"/>
            <w:vAlign w:val="top"/>
          </w:tcPr>
          <w:p w14:paraId="1BB36CEB">
            <w:pPr>
              <w:rPr>
                <w:rFonts w:ascii="Arial"/>
                <w:color w:val="auto"/>
                <w:sz w:val="21"/>
                <w:highlight w:val="none"/>
              </w:rPr>
            </w:pPr>
          </w:p>
        </w:tc>
        <w:tc>
          <w:tcPr>
            <w:tcW w:w="2274" w:type="dxa"/>
            <w:tcBorders>
              <w:right w:val="single" w:color="000000" w:sz="6" w:space="0"/>
            </w:tcBorders>
            <w:vAlign w:val="top"/>
          </w:tcPr>
          <w:p w14:paraId="78CB79BD">
            <w:pPr>
              <w:rPr>
                <w:rFonts w:ascii="Arial"/>
                <w:color w:val="auto"/>
                <w:sz w:val="21"/>
                <w:highlight w:val="none"/>
              </w:rPr>
            </w:pPr>
          </w:p>
        </w:tc>
      </w:tr>
      <w:tr w14:paraId="34725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4CB8456F">
            <w:pPr>
              <w:rPr>
                <w:rFonts w:ascii="Arial"/>
                <w:color w:val="auto"/>
                <w:sz w:val="21"/>
                <w:highlight w:val="none"/>
              </w:rPr>
            </w:pPr>
          </w:p>
        </w:tc>
        <w:tc>
          <w:tcPr>
            <w:tcW w:w="2547" w:type="dxa"/>
            <w:vAlign w:val="top"/>
          </w:tcPr>
          <w:p w14:paraId="4AC54932">
            <w:pPr>
              <w:rPr>
                <w:rFonts w:ascii="Arial"/>
                <w:color w:val="auto"/>
                <w:sz w:val="21"/>
                <w:highlight w:val="none"/>
              </w:rPr>
            </w:pPr>
          </w:p>
        </w:tc>
        <w:tc>
          <w:tcPr>
            <w:tcW w:w="2971" w:type="dxa"/>
            <w:vAlign w:val="top"/>
          </w:tcPr>
          <w:p w14:paraId="73FFF47D">
            <w:pPr>
              <w:rPr>
                <w:rFonts w:ascii="Arial"/>
                <w:color w:val="auto"/>
                <w:sz w:val="21"/>
                <w:highlight w:val="none"/>
              </w:rPr>
            </w:pPr>
          </w:p>
        </w:tc>
        <w:tc>
          <w:tcPr>
            <w:tcW w:w="2274" w:type="dxa"/>
            <w:tcBorders>
              <w:right w:val="single" w:color="000000" w:sz="6" w:space="0"/>
            </w:tcBorders>
            <w:vAlign w:val="top"/>
          </w:tcPr>
          <w:p w14:paraId="63D8CE5E">
            <w:pPr>
              <w:rPr>
                <w:rFonts w:ascii="Arial"/>
                <w:color w:val="auto"/>
                <w:sz w:val="21"/>
                <w:highlight w:val="none"/>
              </w:rPr>
            </w:pPr>
          </w:p>
        </w:tc>
      </w:tr>
      <w:tr w14:paraId="03E16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00F73625">
            <w:pPr>
              <w:rPr>
                <w:rFonts w:ascii="Arial"/>
                <w:color w:val="auto"/>
                <w:sz w:val="21"/>
                <w:highlight w:val="none"/>
              </w:rPr>
            </w:pPr>
          </w:p>
        </w:tc>
        <w:tc>
          <w:tcPr>
            <w:tcW w:w="2547" w:type="dxa"/>
            <w:vAlign w:val="top"/>
          </w:tcPr>
          <w:p w14:paraId="669EC481">
            <w:pPr>
              <w:rPr>
                <w:rFonts w:ascii="Arial"/>
                <w:color w:val="auto"/>
                <w:sz w:val="21"/>
                <w:highlight w:val="none"/>
              </w:rPr>
            </w:pPr>
          </w:p>
        </w:tc>
        <w:tc>
          <w:tcPr>
            <w:tcW w:w="2971" w:type="dxa"/>
            <w:vAlign w:val="top"/>
          </w:tcPr>
          <w:p w14:paraId="55B4F07B">
            <w:pPr>
              <w:rPr>
                <w:rFonts w:ascii="Arial"/>
                <w:color w:val="auto"/>
                <w:sz w:val="21"/>
                <w:highlight w:val="none"/>
              </w:rPr>
            </w:pPr>
          </w:p>
        </w:tc>
        <w:tc>
          <w:tcPr>
            <w:tcW w:w="2274" w:type="dxa"/>
            <w:tcBorders>
              <w:right w:val="single" w:color="000000" w:sz="6" w:space="0"/>
            </w:tcBorders>
            <w:vAlign w:val="top"/>
          </w:tcPr>
          <w:p w14:paraId="5FC9A022">
            <w:pPr>
              <w:rPr>
                <w:rFonts w:ascii="Arial"/>
                <w:color w:val="auto"/>
                <w:sz w:val="21"/>
                <w:highlight w:val="none"/>
              </w:rPr>
            </w:pPr>
          </w:p>
        </w:tc>
      </w:tr>
      <w:tr w14:paraId="14FBC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4BB342AE">
            <w:pPr>
              <w:rPr>
                <w:rFonts w:ascii="Arial"/>
                <w:color w:val="auto"/>
                <w:sz w:val="21"/>
                <w:highlight w:val="none"/>
              </w:rPr>
            </w:pPr>
          </w:p>
        </w:tc>
        <w:tc>
          <w:tcPr>
            <w:tcW w:w="2547" w:type="dxa"/>
            <w:vAlign w:val="top"/>
          </w:tcPr>
          <w:p w14:paraId="4BE0F37D">
            <w:pPr>
              <w:rPr>
                <w:rFonts w:ascii="Arial"/>
                <w:color w:val="auto"/>
                <w:sz w:val="21"/>
                <w:highlight w:val="none"/>
              </w:rPr>
            </w:pPr>
          </w:p>
        </w:tc>
        <w:tc>
          <w:tcPr>
            <w:tcW w:w="2971" w:type="dxa"/>
            <w:vAlign w:val="top"/>
          </w:tcPr>
          <w:p w14:paraId="0810D944">
            <w:pPr>
              <w:rPr>
                <w:rFonts w:ascii="Arial"/>
                <w:color w:val="auto"/>
                <w:sz w:val="21"/>
                <w:highlight w:val="none"/>
              </w:rPr>
            </w:pPr>
          </w:p>
        </w:tc>
        <w:tc>
          <w:tcPr>
            <w:tcW w:w="2274" w:type="dxa"/>
            <w:tcBorders>
              <w:right w:val="single" w:color="000000" w:sz="6" w:space="0"/>
            </w:tcBorders>
            <w:vAlign w:val="top"/>
          </w:tcPr>
          <w:p w14:paraId="2E7F2040">
            <w:pPr>
              <w:rPr>
                <w:rFonts w:ascii="Arial"/>
                <w:color w:val="auto"/>
                <w:sz w:val="21"/>
                <w:highlight w:val="none"/>
              </w:rPr>
            </w:pPr>
          </w:p>
        </w:tc>
      </w:tr>
      <w:tr w14:paraId="58D91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62923495">
            <w:pPr>
              <w:rPr>
                <w:rFonts w:ascii="Arial"/>
                <w:color w:val="auto"/>
                <w:sz w:val="21"/>
                <w:highlight w:val="none"/>
              </w:rPr>
            </w:pPr>
          </w:p>
        </w:tc>
        <w:tc>
          <w:tcPr>
            <w:tcW w:w="2547" w:type="dxa"/>
            <w:vAlign w:val="top"/>
          </w:tcPr>
          <w:p w14:paraId="0A12F2C5">
            <w:pPr>
              <w:rPr>
                <w:rFonts w:ascii="Arial"/>
                <w:color w:val="auto"/>
                <w:sz w:val="21"/>
                <w:highlight w:val="none"/>
              </w:rPr>
            </w:pPr>
          </w:p>
        </w:tc>
        <w:tc>
          <w:tcPr>
            <w:tcW w:w="2971" w:type="dxa"/>
            <w:vAlign w:val="top"/>
          </w:tcPr>
          <w:p w14:paraId="64B95099">
            <w:pPr>
              <w:rPr>
                <w:rFonts w:ascii="Arial"/>
                <w:color w:val="auto"/>
                <w:sz w:val="21"/>
                <w:highlight w:val="none"/>
              </w:rPr>
            </w:pPr>
          </w:p>
        </w:tc>
        <w:tc>
          <w:tcPr>
            <w:tcW w:w="2274" w:type="dxa"/>
            <w:tcBorders>
              <w:right w:val="single" w:color="000000" w:sz="6" w:space="0"/>
            </w:tcBorders>
            <w:vAlign w:val="top"/>
          </w:tcPr>
          <w:p w14:paraId="6F8D0FB6">
            <w:pPr>
              <w:rPr>
                <w:rFonts w:ascii="Arial"/>
                <w:color w:val="auto"/>
                <w:sz w:val="21"/>
                <w:highlight w:val="none"/>
              </w:rPr>
            </w:pPr>
          </w:p>
        </w:tc>
      </w:tr>
      <w:tr w14:paraId="47B45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7C080320">
            <w:pPr>
              <w:rPr>
                <w:rFonts w:ascii="Arial"/>
                <w:color w:val="auto"/>
                <w:sz w:val="21"/>
                <w:highlight w:val="none"/>
              </w:rPr>
            </w:pPr>
          </w:p>
        </w:tc>
        <w:tc>
          <w:tcPr>
            <w:tcW w:w="2547" w:type="dxa"/>
            <w:vAlign w:val="top"/>
          </w:tcPr>
          <w:p w14:paraId="2C4D7F37">
            <w:pPr>
              <w:rPr>
                <w:rFonts w:ascii="Arial"/>
                <w:color w:val="auto"/>
                <w:sz w:val="21"/>
                <w:highlight w:val="none"/>
              </w:rPr>
            </w:pPr>
          </w:p>
        </w:tc>
        <w:tc>
          <w:tcPr>
            <w:tcW w:w="2971" w:type="dxa"/>
            <w:vAlign w:val="top"/>
          </w:tcPr>
          <w:p w14:paraId="6C471BD6">
            <w:pPr>
              <w:rPr>
                <w:rFonts w:ascii="Arial"/>
                <w:color w:val="auto"/>
                <w:sz w:val="21"/>
                <w:highlight w:val="none"/>
              </w:rPr>
            </w:pPr>
          </w:p>
        </w:tc>
        <w:tc>
          <w:tcPr>
            <w:tcW w:w="2274" w:type="dxa"/>
            <w:tcBorders>
              <w:right w:val="single" w:color="000000" w:sz="6" w:space="0"/>
            </w:tcBorders>
            <w:vAlign w:val="top"/>
          </w:tcPr>
          <w:p w14:paraId="78254D28">
            <w:pPr>
              <w:rPr>
                <w:rFonts w:ascii="Arial"/>
                <w:color w:val="auto"/>
                <w:sz w:val="21"/>
                <w:highlight w:val="none"/>
              </w:rPr>
            </w:pPr>
          </w:p>
        </w:tc>
      </w:tr>
      <w:tr w14:paraId="43B67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7B9D50BC">
            <w:pPr>
              <w:rPr>
                <w:rFonts w:ascii="Arial"/>
                <w:color w:val="auto"/>
                <w:sz w:val="21"/>
                <w:highlight w:val="none"/>
              </w:rPr>
            </w:pPr>
          </w:p>
        </w:tc>
        <w:tc>
          <w:tcPr>
            <w:tcW w:w="2547" w:type="dxa"/>
            <w:vAlign w:val="top"/>
          </w:tcPr>
          <w:p w14:paraId="365FDFA2">
            <w:pPr>
              <w:rPr>
                <w:rFonts w:ascii="Arial"/>
                <w:color w:val="auto"/>
                <w:sz w:val="21"/>
                <w:highlight w:val="none"/>
              </w:rPr>
            </w:pPr>
          </w:p>
        </w:tc>
        <w:tc>
          <w:tcPr>
            <w:tcW w:w="2971" w:type="dxa"/>
            <w:vAlign w:val="top"/>
          </w:tcPr>
          <w:p w14:paraId="44E5DC3D">
            <w:pPr>
              <w:rPr>
                <w:rFonts w:ascii="Arial"/>
                <w:color w:val="auto"/>
                <w:sz w:val="21"/>
                <w:highlight w:val="none"/>
              </w:rPr>
            </w:pPr>
          </w:p>
        </w:tc>
        <w:tc>
          <w:tcPr>
            <w:tcW w:w="2274" w:type="dxa"/>
            <w:tcBorders>
              <w:right w:val="single" w:color="000000" w:sz="6" w:space="0"/>
            </w:tcBorders>
            <w:vAlign w:val="top"/>
          </w:tcPr>
          <w:p w14:paraId="7885B040">
            <w:pPr>
              <w:rPr>
                <w:rFonts w:ascii="Arial"/>
                <w:color w:val="auto"/>
                <w:sz w:val="21"/>
                <w:highlight w:val="none"/>
              </w:rPr>
            </w:pPr>
          </w:p>
        </w:tc>
      </w:tr>
      <w:tr w14:paraId="10F74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05D7EAA6">
            <w:pPr>
              <w:rPr>
                <w:rFonts w:ascii="Arial"/>
                <w:color w:val="auto"/>
                <w:sz w:val="21"/>
                <w:highlight w:val="none"/>
              </w:rPr>
            </w:pPr>
          </w:p>
        </w:tc>
        <w:tc>
          <w:tcPr>
            <w:tcW w:w="2547" w:type="dxa"/>
            <w:vAlign w:val="top"/>
          </w:tcPr>
          <w:p w14:paraId="15B3A687">
            <w:pPr>
              <w:rPr>
                <w:rFonts w:ascii="Arial"/>
                <w:color w:val="auto"/>
                <w:sz w:val="21"/>
                <w:highlight w:val="none"/>
              </w:rPr>
            </w:pPr>
          </w:p>
        </w:tc>
        <w:tc>
          <w:tcPr>
            <w:tcW w:w="2971" w:type="dxa"/>
            <w:vAlign w:val="top"/>
          </w:tcPr>
          <w:p w14:paraId="6C7E12FA">
            <w:pPr>
              <w:rPr>
                <w:rFonts w:ascii="Arial"/>
                <w:color w:val="auto"/>
                <w:sz w:val="21"/>
                <w:highlight w:val="none"/>
              </w:rPr>
            </w:pPr>
          </w:p>
        </w:tc>
        <w:tc>
          <w:tcPr>
            <w:tcW w:w="2274" w:type="dxa"/>
            <w:tcBorders>
              <w:right w:val="single" w:color="000000" w:sz="6" w:space="0"/>
            </w:tcBorders>
            <w:vAlign w:val="top"/>
          </w:tcPr>
          <w:p w14:paraId="1762A0F8">
            <w:pPr>
              <w:rPr>
                <w:rFonts w:ascii="Arial"/>
                <w:color w:val="auto"/>
                <w:sz w:val="21"/>
                <w:highlight w:val="none"/>
              </w:rPr>
            </w:pPr>
          </w:p>
        </w:tc>
      </w:tr>
      <w:tr w14:paraId="124CE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109" w:type="dxa"/>
            <w:tcBorders>
              <w:left w:val="single" w:color="000000" w:sz="6" w:space="0"/>
            </w:tcBorders>
            <w:vAlign w:val="top"/>
          </w:tcPr>
          <w:p w14:paraId="1E91ECD1">
            <w:pPr>
              <w:rPr>
                <w:rFonts w:ascii="Arial"/>
                <w:color w:val="auto"/>
                <w:sz w:val="21"/>
                <w:highlight w:val="none"/>
              </w:rPr>
            </w:pPr>
          </w:p>
        </w:tc>
        <w:tc>
          <w:tcPr>
            <w:tcW w:w="2547" w:type="dxa"/>
            <w:vAlign w:val="top"/>
          </w:tcPr>
          <w:p w14:paraId="10544717">
            <w:pPr>
              <w:rPr>
                <w:rFonts w:ascii="Arial"/>
                <w:color w:val="auto"/>
                <w:sz w:val="21"/>
                <w:highlight w:val="none"/>
              </w:rPr>
            </w:pPr>
          </w:p>
        </w:tc>
        <w:tc>
          <w:tcPr>
            <w:tcW w:w="2971" w:type="dxa"/>
            <w:vAlign w:val="top"/>
          </w:tcPr>
          <w:p w14:paraId="38968781">
            <w:pPr>
              <w:rPr>
                <w:rFonts w:ascii="Arial"/>
                <w:color w:val="auto"/>
                <w:sz w:val="21"/>
                <w:highlight w:val="none"/>
              </w:rPr>
            </w:pPr>
          </w:p>
        </w:tc>
        <w:tc>
          <w:tcPr>
            <w:tcW w:w="2274" w:type="dxa"/>
            <w:tcBorders>
              <w:right w:val="single" w:color="000000" w:sz="6" w:space="0"/>
            </w:tcBorders>
            <w:vAlign w:val="top"/>
          </w:tcPr>
          <w:p w14:paraId="7E3815DD">
            <w:pPr>
              <w:rPr>
                <w:rFonts w:ascii="Arial"/>
                <w:color w:val="auto"/>
                <w:sz w:val="21"/>
                <w:highlight w:val="none"/>
              </w:rPr>
            </w:pPr>
          </w:p>
        </w:tc>
      </w:tr>
      <w:tr w14:paraId="23306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109" w:type="dxa"/>
            <w:tcBorders>
              <w:left w:val="single" w:color="000000" w:sz="6" w:space="0"/>
            </w:tcBorders>
            <w:vAlign w:val="top"/>
          </w:tcPr>
          <w:p w14:paraId="735785D5">
            <w:pPr>
              <w:rPr>
                <w:rFonts w:ascii="Arial"/>
                <w:color w:val="auto"/>
                <w:sz w:val="21"/>
                <w:highlight w:val="none"/>
              </w:rPr>
            </w:pPr>
          </w:p>
        </w:tc>
        <w:tc>
          <w:tcPr>
            <w:tcW w:w="2547" w:type="dxa"/>
            <w:vAlign w:val="top"/>
          </w:tcPr>
          <w:p w14:paraId="5825F8C7">
            <w:pPr>
              <w:rPr>
                <w:rFonts w:ascii="Arial"/>
                <w:color w:val="auto"/>
                <w:sz w:val="21"/>
                <w:highlight w:val="none"/>
              </w:rPr>
            </w:pPr>
          </w:p>
        </w:tc>
        <w:tc>
          <w:tcPr>
            <w:tcW w:w="2971" w:type="dxa"/>
            <w:vAlign w:val="top"/>
          </w:tcPr>
          <w:p w14:paraId="413CF138">
            <w:pPr>
              <w:rPr>
                <w:rFonts w:ascii="Arial"/>
                <w:color w:val="auto"/>
                <w:sz w:val="21"/>
                <w:highlight w:val="none"/>
              </w:rPr>
            </w:pPr>
          </w:p>
        </w:tc>
        <w:tc>
          <w:tcPr>
            <w:tcW w:w="2274" w:type="dxa"/>
            <w:tcBorders>
              <w:right w:val="single" w:color="000000" w:sz="6" w:space="0"/>
            </w:tcBorders>
            <w:vAlign w:val="top"/>
          </w:tcPr>
          <w:p w14:paraId="1F73801C">
            <w:pPr>
              <w:rPr>
                <w:rFonts w:ascii="Arial"/>
                <w:color w:val="auto"/>
                <w:sz w:val="21"/>
                <w:highlight w:val="none"/>
              </w:rPr>
            </w:pPr>
          </w:p>
        </w:tc>
      </w:tr>
      <w:tr w14:paraId="11E03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109" w:type="dxa"/>
            <w:tcBorders>
              <w:left w:val="single" w:color="000000" w:sz="6" w:space="0"/>
              <w:bottom w:val="single" w:color="000000" w:sz="6" w:space="0"/>
            </w:tcBorders>
            <w:vAlign w:val="top"/>
          </w:tcPr>
          <w:p w14:paraId="30A5E4A0">
            <w:pPr>
              <w:rPr>
                <w:rFonts w:ascii="Arial"/>
                <w:color w:val="auto"/>
                <w:sz w:val="21"/>
                <w:highlight w:val="none"/>
              </w:rPr>
            </w:pPr>
          </w:p>
        </w:tc>
        <w:tc>
          <w:tcPr>
            <w:tcW w:w="2547" w:type="dxa"/>
            <w:tcBorders>
              <w:bottom w:val="single" w:color="000000" w:sz="6" w:space="0"/>
            </w:tcBorders>
            <w:vAlign w:val="top"/>
          </w:tcPr>
          <w:p w14:paraId="69A5422A">
            <w:pPr>
              <w:rPr>
                <w:rFonts w:ascii="Arial"/>
                <w:color w:val="auto"/>
                <w:sz w:val="21"/>
                <w:highlight w:val="none"/>
              </w:rPr>
            </w:pPr>
          </w:p>
        </w:tc>
        <w:tc>
          <w:tcPr>
            <w:tcW w:w="2971" w:type="dxa"/>
            <w:tcBorders>
              <w:bottom w:val="single" w:color="000000" w:sz="6" w:space="0"/>
            </w:tcBorders>
            <w:vAlign w:val="top"/>
          </w:tcPr>
          <w:p w14:paraId="37955EE0">
            <w:pPr>
              <w:rPr>
                <w:rFonts w:ascii="Arial"/>
                <w:color w:val="auto"/>
                <w:sz w:val="21"/>
                <w:highlight w:val="none"/>
              </w:rPr>
            </w:pPr>
          </w:p>
        </w:tc>
        <w:tc>
          <w:tcPr>
            <w:tcW w:w="2274" w:type="dxa"/>
            <w:tcBorders>
              <w:bottom w:val="single" w:color="000000" w:sz="6" w:space="0"/>
              <w:right w:val="single" w:color="000000" w:sz="6" w:space="0"/>
            </w:tcBorders>
            <w:vAlign w:val="top"/>
          </w:tcPr>
          <w:p w14:paraId="46F8591D">
            <w:pPr>
              <w:rPr>
                <w:rFonts w:ascii="Arial"/>
                <w:color w:val="auto"/>
                <w:sz w:val="21"/>
                <w:highlight w:val="none"/>
              </w:rPr>
            </w:pPr>
          </w:p>
        </w:tc>
      </w:tr>
    </w:tbl>
    <w:p w14:paraId="60E7D42D">
      <w:pPr>
        <w:pStyle w:val="3"/>
        <w:rPr>
          <w:color w:val="auto"/>
          <w:highlight w:val="none"/>
        </w:rPr>
      </w:pPr>
    </w:p>
    <w:p w14:paraId="61C1D722">
      <w:pPr>
        <w:rPr>
          <w:color w:val="auto"/>
          <w:highlight w:val="none"/>
        </w:rPr>
        <w:sectPr>
          <w:footerReference r:id="rId122" w:type="default"/>
          <w:pgSz w:w="11907" w:h="16841"/>
          <w:pgMar w:top="400" w:right="1401" w:bottom="1254" w:left="1588" w:header="0" w:footer="1093" w:gutter="0"/>
          <w:pgNumType w:fmt="decimal"/>
          <w:cols w:space="720" w:num="1"/>
        </w:sectPr>
      </w:pPr>
    </w:p>
    <w:p w14:paraId="5B2F6230">
      <w:pPr>
        <w:pStyle w:val="3"/>
        <w:spacing w:line="246" w:lineRule="auto"/>
        <w:rPr>
          <w:color w:val="auto"/>
          <w:highlight w:val="none"/>
        </w:rPr>
      </w:pPr>
    </w:p>
    <w:p w14:paraId="4534DB3E">
      <w:pPr>
        <w:pStyle w:val="3"/>
        <w:spacing w:line="246" w:lineRule="auto"/>
        <w:rPr>
          <w:color w:val="auto"/>
          <w:highlight w:val="none"/>
        </w:rPr>
      </w:pPr>
    </w:p>
    <w:p w14:paraId="6EB28BC3">
      <w:pPr>
        <w:pStyle w:val="3"/>
        <w:spacing w:line="246" w:lineRule="auto"/>
        <w:rPr>
          <w:color w:val="auto"/>
          <w:highlight w:val="none"/>
        </w:rPr>
      </w:pPr>
    </w:p>
    <w:p w14:paraId="275078E5">
      <w:pPr>
        <w:pStyle w:val="3"/>
        <w:spacing w:line="246" w:lineRule="auto"/>
        <w:rPr>
          <w:color w:val="auto"/>
          <w:highlight w:val="none"/>
        </w:rPr>
      </w:pPr>
    </w:p>
    <w:p w14:paraId="3208B8B2">
      <w:pPr>
        <w:spacing w:before="91" w:line="220" w:lineRule="auto"/>
        <w:ind w:left="3084"/>
        <w:outlineLvl w:val="1"/>
        <w:rPr>
          <w:rFonts w:ascii="宋体" w:hAnsi="宋体" w:eastAsia="宋体" w:cs="宋体"/>
          <w:color w:val="auto"/>
          <w:sz w:val="28"/>
          <w:szCs w:val="28"/>
          <w:highlight w:val="none"/>
        </w:rPr>
      </w:pPr>
      <w:bookmarkStart w:id="1103" w:name="bookmark652"/>
      <w:bookmarkEnd w:id="1103"/>
      <w:bookmarkStart w:id="1104" w:name="_Toc5280"/>
      <w:bookmarkStart w:id="1105" w:name="_Toc15653"/>
      <w:r>
        <w:rPr>
          <w:rFonts w:ascii="宋体" w:hAnsi="宋体" w:eastAsia="宋体" w:cs="宋体"/>
          <w:b/>
          <w:bCs/>
          <w:color w:val="auto"/>
          <w:spacing w:val="-5"/>
          <w:sz w:val="28"/>
          <w:szCs w:val="28"/>
          <w:highlight w:val="none"/>
        </w:rPr>
        <w:t>六、资格审查资料</w:t>
      </w:r>
      <w:bookmarkEnd w:id="1104"/>
      <w:bookmarkEnd w:id="1105"/>
    </w:p>
    <w:p w14:paraId="20FA33E3">
      <w:pPr>
        <w:spacing w:line="220" w:lineRule="auto"/>
        <w:rPr>
          <w:rFonts w:ascii="宋体" w:hAnsi="宋体" w:eastAsia="宋体" w:cs="宋体"/>
          <w:color w:val="auto"/>
          <w:sz w:val="28"/>
          <w:szCs w:val="28"/>
          <w:highlight w:val="none"/>
        </w:rPr>
        <w:sectPr>
          <w:footerReference r:id="rId123" w:type="default"/>
          <w:pgSz w:w="11907" w:h="16841"/>
          <w:pgMar w:top="400" w:right="1527" w:bottom="1254" w:left="1785" w:header="0" w:footer="1093" w:gutter="0"/>
          <w:pgNumType w:fmt="decimal"/>
          <w:cols w:space="720" w:num="1"/>
        </w:sectPr>
      </w:pPr>
    </w:p>
    <w:p w14:paraId="11489D51">
      <w:pPr>
        <w:pStyle w:val="3"/>
        <w:spacing w:line="247" w:lineRule="auto"/>
        <w:rPr>
          <w:color w:val="auto"/>
          <w:highlight w:val="none"/>
        </w:rPr>
      </w:pPr>
    </w:p>
    <w:p w14:paraId="47DCA9CA">
      <w:pPr>
        <w:pStyle w:val="3"/>
        <w:spacing w:line="248" w:lineRule="auto"/>
        <w:rPr>
          <w:color w:val="auto"/>
          <w:highlight w:val="none"/>
        </w:rPr>
      </w:pPr>
    </w:p>
    <w:p w14:paraId="4EF43BA9">
      <w:pPr>
        <w:pStyle w:val="3"/>
        <w:spacing w:line="248" w:lineRule="auto"/>
        <w:rPr>
          <w:color w:val="auto"/>
          <w:highlight w:val="none"/>
        </w:rPr>
      </w:pPr>
    </w:p>
    <w:p w14:paraId="769F110B">
      <w:pPr>
        <w:pStyle w:val="3"/>
        <w:spacing w:line="248" w:lineRule="auto"/>
        <w:rPr>
          <w:color w:val="auto"/>
          <w:highlight w:val="none"/>
        </w:rPr>
      </w:pPr>
    </w:p>
    <w:p w14:paraId="106D97FD">
      <w:pPr>
        <w:spacing w:before="78" w:line="220" w:lineRule="auto"/>
        <w:ind w:left="3590"/>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资格审查自审表</w:t>
      </w:r>
    </w:p>
    <w:p w14:paraId="05D2B080">
      <w:pPr>
        <w:spacing w:line="146" w:lineRule="exact"/>
        <w:rPr>
          <w:color w:val="auto"/>
          <w:highlight w:val="none"/>
        </w:rPr>
      </w:pPr>
    </w:p>
    <w:tbl>
      <w:tblPr>
        <w:tblStyle w:val="16"/>
        <w:tblW w:w="88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4742"/>
        <w:gridCol w:w="968"/>
        <w:gridCol w:w="970"/>
        <w:gridCol w:w="1521"/>
      </w:tblGrid>
      <w:tr w14:paraId="4FB37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11" w:type="dxa"/>
            <w:tcBorders>
              <w:top w:val="single" w:color="000000" w:sz="6" w:space="0"/>
              <w:left w:val="single" w:color="000000" w:sz="6" w:space="0"/>
            </w:tcBorders>
            <w:vAlign w:val="top"/>
          </w:tcPr>
          <w:p w14:paraId="41FBC975">
            <w:pPr>
              <w:pStyle w:val="17"/>
              <w:spacing w:before="193" w:line="221" w:lineRule="auto"/>
              <w:ind w:left="67"/>
              <w:rPr>
                <w:color w:val="auto"/>
                <w:sz w:val="24"/>
                <w:szCs w:val="24"/>
                <w:highlight w:val="none"/>
              </w:rPr>
            </w:pPr>
            <w:r>
              <w:rPr>
                <w:color w:val="auto"/>
                <w:spacing w:val="-3"/>
                <w:sz w:val="24"/>
                <w:szCs w:val="24"/>
                <w:highlight w:val="none"/>
              </w:rPr>
              <w:t>序号</w:t>
            </w:r>
          </w:p>
        </w:tc>
        <w:tc>
          <w:tcPr>
            <w:tcW w:w="4742" w:type="dxa"/>
            <w:tcBorders>
              <w:top w:val="single" w:color="000000" w:sz="6" w:space="0"/>
            </w:tcBorders>
            <w:vAlign w:val="top"/>
          </w:tcPr>
          <w:p w14:paraId="2A168531">
            <w:pPr>
              <w:pStyle w:val="17"/>
              <w:spacing w:before="193" w:line="220" w:lineRule="auto"/>
              <w:ind w:left="1546"/>
              <w:rPr>
                <w:color w:val="auto"/>
                <w:sz w:val="24"/>
                <w:szCs w:val="24"/>
                <w:highlight w:val="none"/>
              </w:rPr>
            </w:pPr>
            <w:r>
              <w:rPr>
                <w:color w:val="auto"/>
                <w:spacing w:val="-16"/>
                <w:sz w:val="24"/>
                <w:szCs w:val="24"/>
                <w:highlight w:val="none"/>
              </w:rPr>
              <w:t>审</w:t>
            </w:r>
            <w:r>
              <w:rPr>
                <w:color w:val="auto"/>
                <w:spacing w:val="6"/>
                <w:sz w:val="24"/>
                <w:szCs w:val="24"/>
                <w:highlight w:val="none"/>
              </w:rPr>
              <w:t xml:space="preserve">  </w:t>
            </w:r>
            <w:r>
              <w:rPr>
                <w:color w:val="auto"/>
                <w:spacing w:val="-16"/>
                <w:sz w:val="24"/>
                <w:szCs w:val="24"/>
                <w:highlight w:val="none"/>
              </w:rPr>
              <w:t>查</w:t>
            </w:r>
            <w:r>
              <w:rPr>
                <w:color w:val="auto"/>
                <w:spacing w:val="14"/>
                <w:sz w:val="24"/>
                <w:szCs w:val="24"/>
                <w:highlight w:val="none"/>
              </w:rPr>
              <w:t xml:space="preserve">  </w:t>
            </w:r>
            <w:r>
              <w:rPr>
                <w:color w:val="auto"/>
                <w:spacing w:val="-16"/>
                <w:sz w:val="24"/>
                <w:szCs w:val="24"/>
                <w:highlight w:val="none"/>
              </w:rPr>
              <w:t>因</w:t>
            </w:r>
            <w:r>
              <w:rPr>
                <w:color w:val="auto"/>
                <w:spacing w:val="6"/>
                <w:sz w:val="24"/>
                <w:szCs w:val="24"/>
                <w:highlight w:val="none"/>
              </w:rPr>
              <w:t xml:space="preserve">  </w:t>
            </w:r>
            <w:r>
              <w:rPr>
                <w:color w:val="auto"/>
                <w:spacing w:val="-16"/>
                <w:sz w:val="24"/>
                <w:szCs w:val="24"/>
                <w:highlight w:val="none"/>
              </w:rPr>
              <w:t>素</w:t>
            </w:r>
          </w:p>
        </w:tc>
        <w:tc>
          <w:tcPr>
            <w:tcW w:w="968" w:type="dxa"/>
            <w:tcBorders>
              <w:top w:val="single" w:color="000000" w:sz="6" w:space="0"/>
            </w:tcBorders>
            <w:vAlign w:val="top"/>
          </w:tcPr>
          <w:p w14:paraId="7171A242">
            <w:pPr>
              <w:pStyle w:val="17"/>
              <w:spacing w:before="40" w:line="220" w:lineRule="auto"/>
              <w:ind w:left="264"/>
              <w:rPr>
                <w:color w:val="auto"/>
                <w:sz w:val="24"/>
                <w:szCs w:val="24"/>
                <w:highlight w:val="none"/>
              </w:rPr>
            </w:pPr>
            <w:r>
              <w:rPr>
                <w:color w:val="auto"/>
                <w:spacing w:val="-6"/>
                <w:sz w:val="24"/>
                <w:szCs w:val="24"/>
                <w:highlight w:val="none"/>
              </w:rPr>
              <w:t>审查</w:t>
            </w:r>
          </w:p>
          <w:p w14:paraId="3029BE92">
            <w:pPr>
              <w:pStyle w:val="17"/>
              <w:spacing w:before="22" w:line="208" w:lineRule="auto"/>
              <w:ind w:left="253"/>
              <w:rPr>
                <w:color w:val="auto"/>
                <w:sz w:val="24"/>
                <w:szCs w:val="24"/>
                <w:highlight w:val="none"/>
              </w:rPr>
            </w:pPr>
            <w:r>
              <w:rPr>
                <w:color w:val="auto"/>
                <w:spacing w:val="-3"/>
                <w:sz w:val="24"/>
                <w:szCs w:val="24"/>
                <w:highlight w:val="none"/>
              </w:rPr>
              <w:t>标准</w:t>
            </w:r>
          </w:p>
        </w:tc>
        <w:tc>
          <w:tcPr>
            <w:tcW w:w="970" w:type="dxa"/>
            <w:tcBorders>
              <w:top w:val="single" w:color="000000" w:sz="6" w:space="0"/>
            </w:tcBorders>
            <w:vAlign w:val="top"/>
          </w:tcPr>
          <w:p w14:paraId="193C83FB">
            <w:pPr>
              <w:pStyle w:val="17"/>
              <w:spacing w:before="40" w:line="220" w:lineRule="auto"/>
              <w:ind w:left="268"/>
              <w:rPr>
                <w:color w:val="auto"/>
                <w:sz w:val="24"/>
                <w:szCs w:val="24"/>
                <w:highlight w:val="none"/>
              </w:rPr>
            </w:pPr>
            <w:r>
              <w:rPr>
                <w:color w:val="auto"/>
                <w:spacing w:val="-6"/>
                <w:sz w:val="24"/>
                <w:szCs w:val="24"/>
                <w:highlight w:val="none"/>
              </w:rPr>
              <w:t>审查</w:t>
            </w:r>
          </w:p>
          <w:p w14:paraId="62C7E577">
            <w:pPr>
              <w:pStyle w:val="17"/>
              <w:spacing w:before="22" w:line="208" w:lineRule="auto"/>
              <w:ind w:left="262"/>
              <w:rPr>
                <w:color w:val="auto"/>
                <w:sz w:val="24"/>
                <w:szCs w:val="24"/>
                <w:highlight w:val="none"/>
              </w:rPr>
            </w:pPr>
            <w:r>
              <w:rPr>
                <w:color w:val="auto"/>
                <w:spacing w:val="-4"/>
                <w:sz w:val="24"/>
                <w:szCs w:val="24"/>
                <w:highlight w:val="none"/>
              </w:rPr>
              <w:t>结果</w:t>
            </w:r>
          </w:p>
        </w:tc>
        <w:tc>
          <w:tcPr>
            <w:tcW w:w="1521" w:type="dxa"/>
            <w:tcBorders>
              <w:top w:val="single" w:color="000000" w:sz="6" w:space="0"/>
              <w:right w:val="single" w:color="000000" w:sz="6" w:space="0"/>
            </w:tcBorders>
            <w:vAlign w:val="top"/>
          </w:tcPr>
          <w:p w14:paraId="46DDEFBE">
            <w:pPr>
              <w:pStyle w:val="17"/>
              <w:spacing w:before="40" w:line="223" w:lineRule="auto"/>
              <w:ind w:left="164" w:right="35" w:hanging="102"/>
              <w:rPr>
                <w:color w:val="auto"/>
                <w:sz w:val="24"/>
                <w:szCs w:val="24"/>
                <w:highlight w:val="none"/>
              </w:rPr>
            </w:pPr>
            <w:r>
              <w:rPr>
                <w:color w:val="auto"/>
                <w:spacing w:val="-5"/>
                <w:sz w:val="24"/>
                <w:szCs w:val="24"/>
                <w:highlight w:val="none"/>
              </w:rPr>
              <w:t>引用的证明材</w:t>
            </w:r>
            <w:r>
              <w:rPr>
                <w:color w:val="auto"/>
                <w:spacing w:val="-2"/>
                <w:sz w:val="24"/>
                <w:szCs w:val="24"/>
                <w:highlight w:val="none"/>
              </w:rPr>
              <w:t>料对应页码</w:t>
            </w:r>
          </w:p>
        </w:tc>
      </w:tr>
      <w:tr w14:paraId="490BD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710B2916">
            <w:pPr>
              <w:spacing w:before="203" w:line="186" w:lineRule="auto"/>
              <w:ind w:left="255"/>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bCs/>
                <w:color w:val="auto"/>
                <w:sz w:val="24"/>
                <w:szCs w:val="24"/>
                <w:highlight w:val="none"/>
              </w:rPr>
              <w:t>1</w:t>
            </w:r>
          </w:p>
        </w:tc>
        <w:tc>
          <w:tcPr>
            <w:tcW w:w="4742" w:type="dxa"/>
            <w:vAlign w:val="top"/>
          </w:tcPr>
          <w:p w14:paraId="1CE7C9E7">
            <w:pPr>
              <w:pStyle w:val="17"/>
              <w:spacing w:before="158" w:line="230" w:lineRule="auto"/>
              <w:ind w:left="8"/>
              <w:rPr>
                <w:color w:val="auto"/>
                <w:sz w:val="24"/>
                <w:szCs w:val="24"/>
                <w:highlight w:val="none"/>
              </w:rPr>
            </w:pPr>
            <w:r>
              <w:rPr>
                <w:b/>
                <w:bCs/>
                <w:color w:val="auto"/>
                <w:spacing w:val="-6"/>
                <w:sz w:val="24"/>
                <w:szCs w:val="24"/>
                <w:highlight w:val="none"/>
              </w:rPr>
              <w:t>企业</w:t>
            </w:r>
          </w:p>
        </w:tc>
        <w:tc>
          <w:tcPr>
            <w:tcW w:w="968" w:type="dxa"/>
            <w:vAlign w:val="top"/>
          </w:tcPr>
          <w:p w14:paraId="48E1A55D">
            <w:pPr>
              <w:rPr>
                <w:rFonts w:ascii="Arial"/>
                <w:color w:val="auto"/>
                <w:sz w:val="21"/>
                <w:highlight w:val="none"/>
              </w:rPr>
            </w:pPr>
          </w:p>
        </w:tc>
        <w:tc>
          <w:tcPr>
            <w:tcW w:w="970" w:type="dxa"/>
            <w:vAlign w:val="top"/>
          </w:tcPr>
          <w:p w14:paraId="58688E6D">
            <w:pPr>
              <w:rPr>
                <w:rFonts w:ascii="Arial"/>
                <w:color w:val="auto"/>
                <w:sz w:val="21"/>
                <w:highlight w:val="none"/>
              </w:rPr>
            </w:pPr>
          </w:p>
        </w:tc>
        <w:tc>
          <w:tcPr>
            <w:tcW w:w="1521" w:type="dxa"/>
            <w:tcBorders>
              <w:right w:val="single" w:color="000000" w:sz="6" w:space="0"/>
            </w:tcBorders>
            <w:vAlign w:val="top"/>
          </w:tcPr>
          <w:p w14:paraId="252924F8">
            <w:pPr>
              <w:rPr>
                <w:rFonts w:ascii="Arial"/>
                <w:color w:val="auto"/>
                <w:sz w:val="21"/>
                <w:highlight w:val="none"/>
              </w:rPr>
            </w:pPr>
          </w:p>
        </w:tc>
      </w:tr>
      <w:tr w14:paraId="7166C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39E406C9">
            <w:pPr>
              <w:rPr>
                <w:rFonts w:ascii="Arial"/>
                <w:color w:val="auto"/>
                <w:sz w:val="21"/>
                <w:highlight w:val="none"/>
              </w:rPr>
            </w:pPr>
          </w:p>
        </w:tc>
        <w:tc>
          <w:tcPr>
            <w:tcW w:w="4742" w:type="dxa"/>
            <w:vAlign w:val="top"/>
          </w:tcPr>
          <w:p w14:paraId="08BC7785">
            <w:pPr>
              <w:rPr>
                <w:rFonts w:ascii="Arial"/>
                <w:color w:val="auto"/>
                <w:sz w:val="21"/>
                <w:highlight w:val="none"/>
              </w:rPr>
            </w:pPr>
          </w:p>
        </w:tc>
        <w:tc>
          <w:tcPr>
            <w:tcW w:w="968" w:type="dxa"/>
            <w:vAlign w:val="top"/>
          </w:tcPr>
          <w:p w14:paraId="7B415F2E">
            <w:pPr>
              <w:rPr>
                <w:rFonts w:ascii="Arial"/>
                <w:color w:val="auto"/>
                <w:sz w:val="21"/>
                <w:highlight w:val="none"/>
              </w:rPr>
            </w:pPr>
          </w:p>
        </w:tc>
        <w:tc>
          <w:tcPr>
            <w:tcW w:w="970" w:type="dxa"/>
            <w:vAlign w:val="top"/>
          </w:tcPr>
          <w:p w14:paraId="0B6969AB">
            <w:pPr>
              <w:rPr>
                <w:rFonts w:ascii="Arial"/>
                <w:color w:val="auto"/>
                <w:sz w:val="21"/>
                <w:highlight w:val="none"/>
              </w:rPr>
            </w:pPr>
          </w:p>
        </w:tc>
        <w:tc>
          <w:tcPr>
            <w:tcW w:w="1521" w:type="dxa"/>
            <w:tcBorders>
              <w:right w:val="single" w:color="000000" w:sz="6" w:space="0"/>
            </w:tcBorders>
            <w:vAlign w:val="top"/>
          </w:tcPr>
          <w:p w14:paraId="4C41552B">
            <w:pPr>
              <w:rPr>
                <w:rFonts w:ascii="Arial"/>
                <w:color w:val="auto"/>
                <w:sz w:val="21"/>
                <w:highlight w:val="none"/>
              </w:rPr>
            </w:pPr>
          </w:p>
        </w:tc>
      </w:tr>
      <w:tr w14:paraId="14770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64BCE118">
            <w:pPr>
              <w:rPr>
                <w:rFonts w:ascii="Arial"/>
                <w:color w:val="auto"/>
                <w:sz w:val="21"/>
                <w:highlight w:val="none"/>
              </w:rPr>
            </w:pPr>
          </w:p>
        </w:tc>
        <w:tc>
          <w:tcPr>
            <w:tcW w:w="4742" w:type="dxa"/>
            <w:vAlign w:val="top"/>
          </w:tcPr>
          <w:p w14:paraId="15E6A943">
            <w:pPr>
              <w:rPr>
                <w:rFonts w:ascii="Arial"/>
                <w:color w:val="auto"/>
                <w:sz w:val="21"/>
                <w:highlight w:val="none"/>
              </w:rPr>
            </w:pPr>
          </w:p>
        </w:tc>
        <w:tc>
          <w:tcPr>
            <w:tcW w:w="968" w:type="dxa"/>
            <w:vAlign w:val="top"/>
          </w:tcPr>
          <w:p w14:paraId="224BACA4">
            <w:pPr>
              <w:rPr>
                <w:rFonts w:ascii="Arial"/>
                <w:color w:val="auto"/>
                <w:sz w:val="21"/>
                <w:highlight w:val="none"/>
              </w:rPr>
            </w:pPr>
          </w:p>
        </w:tc>
        <w:tc>
          <w:tcPr>
            <w:tcW w:w="970" w:type="dxa"/>
            <w:vAlign w:val="top"/>
          </w:tcPr>
          <w:p w14:paraId="4A79D48E">
            <w:pPr>
              <w:rPr>
                <w:rFonts w:ascii="Arial"/>
                <w:color w:val="auto"/>
                <w:sz w:val="21"/>
                <w:highlight w:val="none"/>
              </w:rPr>
            </w:pPr>
          </w:p>
        </w:tc>
        <w:tc>
          <w:tcPr>
            <w:tcW w:w="1521" w:type="dxa"/>
            <w:tcBorders>
              <w:right w:val="single" w:color="000000" w:sz="6" w:space="0"/>
            </w:tcBorders>
            <w:vAlign w:val="top"/>
          </w:tcPr>
          <w:p w14:paraId="72EBCD58">
            <w:pPr>
              <w:rPr>
                <w:rFonts w:ascii="Arial"/>
                <w:color w:val="auto"/>
                <w:sz w:val="21"/>
                <w:highlight w:val="none"/>
              </w:rPr>
            </w:pPr>
          </w:p>
        </w:tc>
      </w:tr>
      <w:tr w14:paraId="2C7B1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2B48753F">
            <w:pPr>
              <w:rPr>
                <w:rFonts w:ascii="Arial"/>
                <w:color w:val="auto"/>
                <w:sz w:val="21"/>
                <w:highlight w:val="none"/>
              </w:rPr>
            </w:pPr>
          </w:p>
        </w:tc>
        <w:tc>
          <w:tcPr>
            <w:tcW w:w="4742" w:type="dxa"/>
            <w:vAlign w:val="top"/>
          </w:tcPr>
          <w:p w14:paraId="41BF1BD9">
            <w:pPr>
              <w:rPr>
                <w:rFonts w:ascii="Arial"/>
                <w:color w:val="auto"/>
                <w:sz w:val="21"/>
                <w:highlight w:val="none"/>
              </w:rPr>
            </w:pPr>
          </w:p>
        </w:tc>
        <w:tc>
          <w:tcPr>
            <w:tcW w:w="968" w:type="dxa"/>
            <w:vAlign w:val="top"/>
          </w:tcPr>
          <w:p w14:paraId="7CA7EB33">
            <w:pPr>
              <w:rPr>
                <w:rFonts w:ascii="Arial"/>
                <w:color w:val="auto"/>
                <w:sz w:val="21"/>
                <w:highlight w:val="none"/>
              </w:rPr>
            </w:pPr>
          </w:p>
        </w:tc>
        <w:tc>
          <w:tcPr>
            <w:tcW w:w="970" w:type="dxa"/>
            <w:vAlign w:val="top"/>
          </w:tcPr>
          <w:p w14:paraId="7A5AFFBD">
            <w:pPr>
              <w:rPr>
                <w:rFonts w:ascii="Arial"/>
                <w:color w:val="auto"/>
                <w:sz w:val="21"/>
                <w:highlight w:val="none"/>
              </w:rPr>
            </w:pPr>
          </w:p>
        </w:tc>
        <w:tc>
          <w:tcPr>
            <w:tcW w:w="1521" w:type="dxa"/>
            <w:tcBorders>
              <w:right w:val="single" w:color="000000" w:sz="6" w:space="0"/>
            </w:tcBorders>
            <w:vAlign w:val="top"/>
          </w:tcPr>
          <w:p w14:paraId="01413C15">
            <w:pPr>
              <w:rPr>
                <w:rFonts w:ascii="Arial"/>
                <w:color w:val="auto"/>
                <w:sz w:val="21"/>
                <w:highlight w:val="none"/>
              </w:rPr>
            </w:pPr>
          </w:p>
        </w:tc>
      </w:tr>
      <w:tr w14:paraId="680F6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2687ED79">
            <w:pPr>
              <w:spacing w:before="203" w:line="186" w:lineRule="auto"/>
              <w:ind w:left="245"/>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bCs/>
                <w:color w:val="auto"/>
                <w:sz w:val="24"/>
                <w:szCs w:val="24"/>
                <w:highlight w:val="none"/>
              </w:rPr>
              <w:t>2</w:t>
            </w:r>
          </w:p>
        </w:tc>
        <w:tc>
          <w:tcPr>
            <w:tcW w:w="4742" w:type="dxa"/>
            <w:vAlign w:val="top"/>
          </w:tcPr>
          <w:p w14:paraId="6DA6A648">
            <w:pPr>
              <w:pStyle w:val="17"/>
              <w:spacing w:before="161" w:line="219" w:lineRule="auto"/>
              <w:ind w:left="5"/>
              <w:rPr>
                <w:color w:val="auto"/>
                <w:sz w:val="24"/>
                <w:szCs w:val="24"/>
                <w:highlight w:val="none"/>
              </w:rPr>
            </w:pPr>
            <w:r>
              <w:rPr>
                <w:b/>
                <w:bCs/>
                <w:color w:val="auto"/>
                <w:spacing w:val="-3"/>
                <w:sz w:val="24"/>
                <w:szCs w:val="24"/>
                <w:highlight w:val="none"/>
              </w:rPr>
              <w:t>拟派项目组主要人员</w:t>
            </w:r>
          </w:p>
        </w:tc>
        <w:tc>
          <w:tcPr>
            <w:tcW w:w="968" w:type="dxa"/>
            <w:vAlign w:val="top"/>
          </w:tcPr>
          <w:p w14:paraId="7D66C5E0">
            <w:pPr>
              <w:rPr>
                <w:rFonts w:ascii="Arial"/>
                <w:color w:val="auto"/>
                <w:sz w:val="21"/>
                <w:highlight w:val="none"/>
              </w:rPr>
            </w:pPr>
          </w:p>
        </w:tc>
        <w:tc>
          <w:tcPr>
            <w:tcW w:w="970" w:type="dxa"/>
            <w:vAlign w:val="top"/>
          </w:tcPr>
          <w:p w14:paraId="68004994">
            <w:pPr>
              <w:rPr>
                <w:rFonts w:ascii="Arial"/>
                <w:color w:val="auto"/>
                <w:sz w:val="21"/>
                <w:highlight w:val="none"/>
              </w:rPr>
            </w:pPr>
          </w:p>
        </w:tc>
        <w:tc>
          <w:tcPr>
            <w:tcW w:w="1521" w:type="dxa"/>
            <w:tcBorders>
              <w:right w:val="single" w:color="000000" w:sz="6" w:space="0"/>
            </w:tcBorders>
            <w:vAlign w:val="top"/>
          </w:tcPr>
          <w:p w14:paraId="03A8C958">
            <w:pPr>
              <w:rPr>
                <w:rFonts w:ascii="Arial"/>
                <w:color w:val="auto"/>
                <w:sz w:val="21"/>
                <w:highlight w:val="none"/>
              </w:rPr>
            </w:pPr>
          </w:p>
        </w:tc>
      </w:tr>
      <w:tr w14:paraId="78BE5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0A64BB7D">
            <w:pPr>
              <w:rPr>
                <w:rFonts w:ascii="Arial"/>
                <w:color w:val="auto"/>
                <w:sz w:val="21"/>
                <w:highlight w:val="none"/>
              </w:rPr>
            </w:pPr>
          </w:p>
        </w:tc>
        <w:tc>
          <w:tcPr>
            <w:tcW w:w="4742" w:type="dxa"/>
            <w:vAlign w:val="top"/>
          </w:tcPr>
          <w:p w14:paraId="07826A97">
            <w:pPr>
              <w:rPr>
                <w:rFonts w:ascii="Arial"/>
                <w:color w:val="auto"/>
                <w:sz w:val="21"/>
                <w:highlight w:val="none"/>
              </w:rPr>
            </w:pPr>
          </w:p>
        </w:tc>
        <w:tc>
          <w:tcPr>
            <w:tcW w:w="968" w:type="dxa"/>
            <w:vAlign w:val="top"/>
          </w:tcPr>
          <w:p w14:paraId="0676D170">
            <w:pPr>
              <w:rPr>
                <w:rFonts w:ascii="Arial"/>
                <w:color w:val="auto"/>
                <w:sz w:val="21"/>
                <w:highlight w:val="none"/>
              </w:rPr>
            </w:pPr>
          </w:p>
        </w:tc>
        <w:tc>
          <w:tcPr>
            <w:tcW w:w="970" w:type="dxa"/>
            <w:vAlign w:val="top"/>
          </w:tcPr>
          <w:p w14:paraId="389CE8DE">
            <w:pPr>
              <w:rPr>
                <w:rFonts w:ascii="Arial"/>
                <w:color w:val="auto"/>
                <w:sz w:val="21"/>
                <w:highlight w:val="none"/>
              </w:rPr>
            </w:pPr>
          </w:p>
        </w:tc>
        <w:tc>
          <w:tcPr>
            <w:tcW w:w="1521" w:type="dxa"/>
            <w:tcBorders>
              <w:right w:val="single" w:color="000000" w:sz="6" w:space="0"/>
            </w:tcBorders>
            <w:vAlign w:val="top"/>
          </w:tcPr>
          <w:p w14:paraId="00CACEA6">
            <w:pPr>
              <w:rPr>
                <w:rFonts w:ascii="Arial"/>
                <w:color w:val="auto"/>
                <w:sz w:val="21"/>
                <w:highlight w:val="none"/>
              </w:rPr>
            </w:pPr>
          </w:p>
        </w:tc>
      </w:tr>
      <w:tr w14:paraId="66624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74C2CAC8">
            <w:pPr>
              <w:rPr>
                <w:rFonts w:ascii="Arial"/>
                <w:color w:val="auto"/>
                <w:sz w:val="21"/>
                <w:highlight w:val="none"/>
              </w:rPr>
            </w:pPr>
          </w:p>
        </w:tc>
        <w:tc>
          <w:tcPr>
            <w:tcW w:w="4742" w:type="dxa"/>
            <w:vAlign w:val="top"/>
          </w:tcPr>
          <w:p w14:paraId="53E6A74E">
            <w:pPr>
              <w:rPr>
                <w:rFonts w:ascii="Arial"/>
                <w:color w:val="auto"/>
                <w:sz w:val="21"/>
                <w:highlight w:val="none"/>
              </w:rPr>
            </w:pPr>
          </w:p>
        </w:tc>
        <w:tc>
          <w:tcPr>
            <w:tcW w:w="968" w:type="dxa"/>
            <w:vAlign w:val="top"/>
          </w:tcPr>
          <w:p w14:paraId="12978CAB">
            <w:pPr>
              <w:rPr>
                <w:rFonts w:ascii="Arial"/>
                <w:color w:val="auto"/>
                <w:sz w:val="21"/>
                <w:highlight w:val="none"/>
              </w:rPr>
            </w:pPr>
          </w:p>
        </w:tc>
        <w:tc>
          <w:tcPr>
            <w:tcW w:w="970" w:type="dxa"/>
            <w:vAlign w:val="top"/>
          </w:tcPr>
          <w:p w14:paraId="1CF95F9E">
            <w:pPr>
              <w:rPr>
                <w:rFonts w:ascii="Arial"/>
                <w:color w:val="auto"/>
                <w:sz w:val="21"/>
                <w:highlight w:val="none"/>
              </w:rPr>
            </w:pPr>
          </w:p>
        </w:tc>
        <w:tc>
          <w:tcPr>
            <w:tcW w:w="1521" w:type="dxa"/>
            <w:tcBorders>
              <w:right w:val="single" w:color="000000" w:sz="6" w:space="0"/>
            </w:tcBorders>
            <w:vAlign w:val="top"/>
          </w:tcPr>
          <w:p w14:paraId="54AA9ADC">
            <w:pPr>
              <w:rPr>
                <w:rFonts w:ascii="Arial"/>
                <w:color w:val="auto"/>
                <w:sz w:val="21"/>
                <w:highlight w:val="none"/>
              </w:rPr>
            </w:pPr>
          </w:p>
        </w:tc>
      </w:tr>
      <w:tr w14:paraId="5CCF3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3C077654">
            <w:pPr>
              <w:rPr>
                <w:rFonts w:ascii="Arial"/>
                <w:color w:val="auto"/>
                <w:sz w:val="21"/>
                <w:highlight w:val="none"/>
              </w:rPr>
            </w:pPr>
          </w:p>
        </w:tc>
        <w:tc>
          <w:tcPr>
            <w:tcW w:w="4742" w:type="dxa"/>
            <w:vAlign w:val="top"/>
          </w:tcPr>
          <w:p w14:paraId="51E98E63">
            <w:pPr>
              <w:rPr>
                <w:rFonts w:ascii="Arial"/>
                <w:color w:val="auto"/>
                <w:sz w:val="21"/>
                <w:highlight w:val="none"/>
              </w:rPr>
            </w:pPr>
          </w:p>
        </w:tc>
        <w:tc>
          <w:tcPr>
            <w:tcW w:w="968" w:type="dxa"/>
            <w:vAlign w:val="top"/>
          </w:tcPr>
          <w:p w14:paraId="5FB490B5">
            <w:pPr>
              <w:rPr>
                <w:rFonts w:ascii="Arial"/>
                <w:color w:val="auto"/>
                <w:sz w:val="21"/>
                <w:highlight w:val="none"/>
              </w:rPr>
            </w:pPr>
          </w:p>
        </w:tc>
        <w:tc>
          <w:tcPr>
            <w:tcW w:w="970" w:type="dxa"/>
            <w:vAlign w:val="top"/>
          </w:tcPr>
          <w:p w14:paraId="440B2101">
            <w:pPr>
              <w:rPr>
                <w:rFonts w:ascii="Arial"/>
                <w:color w:val="auto"/>
                <w:sz w:val="21"/>
                <w:highlight w:val="none"/>
              </w:rPr>
            </w:pPr>
          </w:p>
        </w:tc>
        <w:tc>
          <w:tcPr>
            <w:tcW w:w="1521" w:type="dxa"/>
            <w:tcBorders>
              <w:right w:val="single" w:color="000000" w:sz="6" w:space="0"/>
            </w:tcBorders>
            <w:vAlign w:val="top"/>
          </w:tcPr>
          <w:p w14:paraId="592ADD77">
            <w:pPr>
              <w:rPr>
                <w:rFonts w:ascii="Arial"/>
                <w:color w:val="auto"/>
                <w:sz w:val="21"/>
                <w:highlight w:val="none"/>
              </w:rPr>
            </w:pPr>
          </w:p>
        </w:tc>
      </w:tr>
      <w:tr w14:paraId="7EA7D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38A22718">
            <w:pPr>
              <w:spacing w:before="206" w:line="186" w:lineRule="auto"/>
              <w:ind w:left="243"/>
              <w:rPr>
                <w:rFonts w:ascii="Times New Roman" w:hAnsi="Times New Roman" w:eastAsia="Times New Roman" w:cs="Times New Roman"/>
                <w:color w:val="auto"/>
                <w:sz w:val="24"/>
                <w:szCs w:val="24"/>
                <w:highlight w:val="none"/>
              </w:rPr>
            </w:pPr>
            <w:r>
              <w:rPr>
                <w:rFonts w:ascii="Times New Roman" w:hAnsi="Times New Roman" w:eastAsia="Times New Roman" w:cs="Times New Roman"/>
                <w:b/>
                <w:bCs/>
                <w:color w:val="auto"/>
                <w:sz w:val="24"/>
                <w:szCs w:val="24"/>
                <w:highlight w:val="none"/>
              </w:rPr>
              <w:t>3</w:t>
            </w:r>
          </w:p>
        </w:tc>
        <w:tc>
          <w:tcPr>
            <w:tcW w:w="4742" w:type="dxa"/>
            <w:vAlign w:val="top"/>
          </w:tcPr>
          <w:p w14:paraId="61E9A676">
            <w:pPr>
              <w:pStyle w:val="17"/>
              <w:spacing w:before="162" w:line="220" w:lineRule="auto"/>
              <w:ind w:left="6"/>
              <w:rPr>
                <w:color w:val="auto"/>
                <w:sz w:val="24"/>
                <w:szCs w:val="24"/>
                <w:highlight w:val="none"/>
              </w:rPr>
            </w:pPr>
            <w:r>
              <w:rPr>
                <w:b/>
                <w:bCs/>
                <w:color w:val="auto"/>
                <w:spacing w:val="-5"/>
                <w:sz w:val="24"/>
                <w:szCs w:val="24"/>
                <w:highlight w:val="none"/>
              </w:rPr>
              <w:t>其他</w:t>
            </w:r>
          </w:p>
        </w:tc>
        <w:tc>
          <w:tcPr>
            <w:tcW w:w="968" w:type="dxa"/>
            <w:vAlign w:val="top"/>
          </w:tcPr>
          <w:p w14:paraId="4A998A1F">
            <w:pPr>
              <w:rPr>
                <w:rFonts w:ascii="Arial"/>
                <w:color w:val="auto"/>
                <w:sz w:val="21"/>
                <w:highlight w:val="none"/>
              </w:rPr>
            </w:pPr>
          </w:p>
        </w:tc>
        <w:tc>
          <w:tcPr>
            <w:tcW w:w="970" w:type="dxa"/>
            <w:vAlign w:val="top"/>
          </w:tcPr>
          <w:p w14:paraId="0753275F">
            <w:pPr>
              <w:rPr>
                <w:rFonts w:ascii="Arial"/>
                <w:color w:val="auto"/>
                <w:sz w:val="21"/>
                <w:highlight w:val="none"/>
              </w:rPr>
            </w:pPr>
          </w:p>
        </w:tc>
        <w:tc>
          <w:tcPr>
            <w:tcW w:w="1521" w:type="dxa"/>
            <w:tcBorders>
              <w:right w:val="single" w:color="000000" w:sz="6" w:space="0"/>
            </w:tcBorders>
            <w:vAlign w:val="top"/>
          </w:tcPr>
          <w:p w14:paraId="237730E8">
            <w:pPr>
              <w:rPr>
                <w:rFonts w:ascii="Arial"/>
                <w:color w:val="auto"/>
                <w:sz w:val="21"/>
                <w:highlight w:val="none"/>
              </w:rPr>
            </w:pPr>
          </w:p>
        </w:tc>
      </w:tr>
      <w:tr w14:paraId="39A46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3CA15700">
            <w:pPr>
              <w:rPr>
                <w:rFonts w:ascii="Arial"/>
                <w:color w:val="auto"/>
                <w:sz w:val="21"/>
                <w:highlight w:val="none"/>
              </w:rPr>
            </w:pPr>
          </w:p>
        </w:tc>
        <w:tc>
          <w:tcPr>
            <w:tcW w:w="4742" w:type="dxa"/>
            <w:vAlign w:val="top"/>
          </w:tcPr>
          <w:p w14:paraId="4D7BA462">
            <w:pPr>
              <w:rPr>
                <w:rFonts w:ascii="Arial"/>
                <w:color w:val="auto"/>
                <w:sz w:val="21"/>
                <w:highlight w:val="none"/>
              </w:rPr>
            </w:pPr>
          </w:p>
        </w:tc>
        <w:tc>
          <w:tcPr>
            <w:tcW w:w="968" w:type="dxa"/>
            <w:vAlign w:val="top"/>
          </w:tcPr>
          <w:p w14:paraId="0F3E7BE5">
            <w:pPr>
              <w:rPr>
                <w:rFonts w:ascii="Arial"/>
                <w:color w:val="auto"/>
                <w:sz w:val="21"/>
                <w:highlight w:val="none"/>
              </w:rPr>
            </w:pPr>
          </w:p>
        </w:tc>
        <w:tc>
          <w:tcPr>
            <w:tcW w:w="970" w:type="dxa"/>
            <w:vAlign w:val="top"/>
          </w:tcPr>
          <w:p w14:paraId="24F544CB">
            <w:pPr>
              <w:rPr>
                <w:rFonts w:ascii="Arial"/>
                <w:color w:val="auto"/>
                <w:sz w:val="21"/>
                <w:highlight w:val="none"/>
              </w:rPr>
            </w:pPr>
          </w:p>
        </w:tc>
        <w:tc>
          <w:tcPr>
            <w:tcW w:w="1521" w:type="dxa"/>
            <w:tcBorders>
              <w:right w:val="single" w:color="000000" w:sz="6" w:space="0"/>
            </w:tcBorders>
            <w:vAlign w:val="top"/>
          </w:tcPr>
          <w:p w14:paraId="6341DB07">
            <w:pPr>
              <w:rPr>
                <w:rFonts w:ascii="Arial"/>
                <w:color w:val="auto"/>
                <w:sz w:val="21"/>
                <w:highlight w:val="none"/>
              </w:rPr>
            </w:pPr>
          </w:p>
        </w:tc>
      </w:tr>
      <w:tr w14:paraId="54157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7CC3AEEF">
            <w:pPr>
              <w:rPr>
                <w:rFonts w:ascii="Arial"/>
                <w:color w:val="auto"/>
                <w:sz w:val="21"/>
                <w:highlight w:val="none"/>
              </w:rPr>
            </w:pPr>
          </w:p>
        </w:tc>
        <w:tc>
          <w:tcPr>
            <w:tcW w:w="4742" w:type="dxa"/>
            <w:vAlign w:val="top"/>
          </w:tcPr>
          <w:p w14:paraId="0CAA2C32">
            <w:pPr>
              <w:rPr>
                <w:rFonts w:ascii="Arial"/>
                <w:color w:val="auto"/>
                <w:sz w:val="21"/>
                <w:highlight w:val="none"/>
              </w:rPr>
            </w:pPr>
          </w:p>
        </w:tc>
        <w:tc>
          <w:tcPr>
            <w:tcW w:w="968" w:type="dxa"/>
            <w:vAlign w:val="top"/>
          </w:tcPr>
          <w:p w14:paraId="4BC5E35A">
            <w:pPr>
              <w:rPr>
                <w:rFonts w:ascii="Arial"/>
                <w:color w:val="auto"/>
                <w:sz w:val="21"/>
                <w:highlight w:val="none"/>
              </w:rPr>
            </w:pPr>
          </w:p>
        </w:tc>
        <w:tc>
          <w:tcPr>
            <w:tcW w:w="970" w:type="dxa"/>
            <w:vAlign w:val="top"/>
          </w:tcPr>
          <w:p w14:paraId="0702802A">
            <w:pPr>
              <w:rPr>
                <w:rFonts w:ascii="Arial"/>
                <w:color w:val="auto"/>
                <w:sz w:val="21"/>
                <w:highlight w:val="none"/>
              </w:rPr>
            </w:pPr>
          </w:p>
        </w:tc>
        <w:tc>
          <w:tcPr>
            <w:tcW w:w="1521" w:type="dxa"/>
            <w:tcBorders>
              <w:right w:val="single" w:color="000000" w:sz="6" w:space="0"/>
            </w:tcBorders>
            <w:vAlign w:val="top"/>
          </w:tcPr>
          <w:p w14:paraId="1AFE76D4">
            <w:pPr>
              <w:rPr>
                <w:rFonts w:ascii="Arial"/>
                <w:color w:val="auto"/>
                <w:sz w:val="21"/>
                <w:highlight w:val="none"/>
              </w:rPr>
            </w:pPr>
          </w:p>
        </w:tc>
      </w:tr>
      <w:tr w14:paraId="670F8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7D6CCF42">
            <w:pPr>
              <w:rPr>
                <w:rFonts w:ascii="Arial"/>
                <w:color w:val="auto"/>
                <w:sz w:val="21"/>
                <w:highlight w:val="none"/>
              </w:rPr>
            </w:pPr>
          </w:p>
        </w:tc>
        <w:tc>
          <w:tcPr>
            <w:tcW w:w="4742" w:type="dxa"/>
            <w:vAlign w:val="top"/>
          </w:tcPr>
          <w:p w14:paraId="57CFFF7B">
            <w:pPr>
              <w:rPr>
                <w:rFonts w:ascii="Arial"/>
                <w:color w:val="auto"/>
                <w:sz w:val="21"/>
                <w:highlight w:val="none"/>
              </w:rPr>
            </w:pPr>
          </w:p>
        </w:tc>
        <w:tc>
          <w:tcPr>
            <w:tcW w:w="968" w:type="dxa"/>
            <w:vAlign w:val="top"/>
          </w:tcPr>
          <w:p w14:paraId="236252BA">
            <w:pPr>
              <w:rPr>
                <w:rFonts w:ascii="Arial"/>
                <w:color w:val="auto"/>
                <w:sz w:val="21"/>
                <w:highlight w:val="none"/>
              </w:rPr>
            </w:pPr>
          </w:p>
        </w:tc>
        <w:tc>
          <w:tcPr>
            <w:tcW w:w="970" w:type="dxa"/>
            <w:vAlign w:val="top"/>
          </w:tcPr>
          <w:p w14:paraId="3DEC6C8B">
            <w:pPr>
              <w:rPr>
                <w:rFonts w:ascii="Arial"/>
                <w:color w:val="auto"/>
                <w:sz w:val="21"/>
                <w:highlight w:val="none"/>
              </w:rPr>
            </w:pPr>
          </w:p>
        </w:tc>
        <w:tc>
          <w:tcPr>
            <w:tcW w:w="1521" w:type="dxa"/>
            <w:tcBorders>
              <w:right w:val="single" w:color="000000" w:sz="6" w:space="0"/>
            </w:tcBorders>
            <w:vAlign w:val="top"/>
          </w:tcPr>
          <w:p w14:paraId="409CF373">
            <w:pPr>
              <w:rPr>
                <w:rFonts w:ascii="Arial"/>
                <w:color w:val="auto"/>
                <w:sz w:val="21"/>
                <w:highlight w:val="none"/>
              </w:rPr>
            </w:pPr>
          </w:p>
        </w:tc>
      </w:tr>
      <w:tr w14:paraId="176CB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5B195C89">
            <w:pPr>
              <w:rPr>
                <w:rFonts w:ascii="Arial"/>
                <w:color w:val="auto"/>
                <w:sz w:val="21"/>
                <w:highlight w:val="none"/>
              </w:rPr>
            </w:pPr>
          </w:p>
        </w:tc>
        <w:tc>
          <w:tcPr>
            <w:tcW w:w="4742" w:type="dxa"/>
            <w:vAlign w:val="top"/>
          </w:tcPr>
          <w:p w14:paraId="48E33B36">
            <w:pPr>
              <w:rPr>
                <w:rFonts w:ascii="Arial"/>
                <w:color w:val="auto"/>
                <w:sz w:val="21"/>
                <w:highlight w:val="none"/>
              </w:rPr>
            </w:pPr>
          </w:p>
        </w:tc>
        <w:tc>
          <w:tcPr>
            <w:tcW w:w="968" w:type="dxa"/>
            <w:vAlign w:val="top"/>
          </w:tcPr>
          <w:p w14:paraId="50193641">
            <w:pPr>
              <w:rPr>
                <w:rFonts w:ascii="Arial"/>
                <w:color w:val="auto"/>
                <w:sz w:val="21"/>
                <w:highlight w:val="none"/>
              </w:rPr>
            </w:pPr>
          </w:p>
        </w:tc>
        <w:tc>
          <w:tcPr>
            <w:tcW w:w="970" w:type="dxa"/>
            <w:vAlign w:val="top"/>
          </w:tcPr>
          <w:p w14:paraId="4E19D0B5">
            <w:pPr>
              <w:rPr>
                <w:rFonts w:ascii="Arial"/>
                <w:color w:val="auto"/>
                <w:sz w:val="21"/>
                <w:highlight w:val="none"/>
              </w:rPr>
            </w:pPr>
          </w:p>
        </w:tc>
        <w:tc>
          <w:tcPr>
            <w:tcW w:w="1521" w:type="dxa"/>
            <w:tcBorders>
              <w:right w:val="single" w:color="000000" w:sz="6" w:space="0"/>
            </w:tcBorders>
            <w:vAlign w:val="top"/>
          </w:tcPr>
          <w:p w14:paraId="51253CEF">
            <w:pPr>
              <w:rPr>
                <w:rFonts w:ascii="Arial"/>
                <w:color w:val="auto"/>
                <w:sz w:val="21"/>
                <w:highlight w:val="none"/>
              </w:rPr>
            </w:pPr>
          </w:p>
        </w:tc>
      </w:tr>
      <w:tr w14:paraId="057E3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7EDCA03B">
            <w:pPr>
              <w:rPr>
                <w:rFonts w:ascii="Arial"/>
                <w:color w:val="auto"/>
                <w:sz w:val="21"/>
                <w:highlight w:val="none"/>
              </w:rPr>
            </w:pPr>
          </w:p>
        </w:tc>
        <w:tc>
          <w:tcPr>
            <w:tcW w:w="4742" w:type="dxa"/>
            <w:vAlign w:val="top"/>
          </w:tcPr>
          <w:p w14:paraId="53B8F433">
            <w:pPr>
              <w:rPr>
                <w:rFonts w:ascii="Arial"/>
                <w:color w:val="auto"/>
                <w:sz w:val="21"/>
                <w:highlight w:val="none"/>
              </w:rPr>
            </w:pPr>
          </w:p>
        </w:tc>
        <w:tc>
          <w:tcPr>
            <w:tcW w:w="968" w:type="dxa"/>
            <w:vAlign w:val="top"/>
          </w:tcPr>
          <w:p w14:paraId="5602D95A">
            <w:pPr>
              <w:rPr>
                <w:rFonts w:ascii="Arial"/>
                <w:color w:val="auto"/>
                <w:sz w:val="21"/>
                <w:highlight w:val="none"/>
              </w:rPr>
            </w:pPr>
          </w:p>
        </w:tc>
        <w:tc>
          <w:tcPr>
            <w:tcW w:w="970" w:type="dxa"/>
            <w:vAlign w:val="top"/>
          </w:tcPr>
          <w:p w14:paraId="612B1707">
            <w:pPr>
              <w:rPr>
                <w:rFonts w:ascii="Arial"/>
                <w:color w:val="auto"/>
                <w:sz w:val="21"/>
                <w:highlight w:val="none"/>
              </w:rPr>
            </w:pPr>
          </w:p>
        </w:tc>
        <w:tc>
          <w:tcPr>
            <w:tcW w:w="1521" w:type="dxa"/>
            <w:tcBorders>
              <w:right w:val="single" w:color="000000" w:sz="6" w:space="0"/>
            </w:tcBorders>
            <w:vAlign w:val="top"/>
          </w:tcPr>
          <w:p w14:paraId="0D4C55B5">
            <w:pPr>
              <w:rPr>
                <w:rFonts w:ascii="Arial"/>
                <w:color w:val="auto"/>
                <w:sz w:val="21"/>
                <w:highlight w:val="none"/>
              </w:rPr>
            </w:pPr>
          </w:p>
        </w:tc>
      </w:tr>
      <w:tr w14:paraId="5355B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455FB55C">
            <w:pPr>
              <w:rPr>
                <w:rFonts w:ascii="Arial"/>
                <w:color w:val="auto"/>
                <w:sz w:val="21"/>
                <w:highlight w:val="none"/>
              </w:rPr>
            </w:pPr>
          </w:p>
        </w:tc>
        <w:tc>
          <w:tcPr>
            <w:tcW w:w="4742" w:type="dxa"/>
            <w:vAlign w:val="top"/>
          </w:tcPr>
          <w:p w14:paraId="408045C7">
            <w:pPr>
              <w:rPr>
                <w:rFonts w:ascii="Arial"/>
                <w:color w:val="auto"/>
                <w:sz w:val="21"/>
                <w:highlight w:val="none"/>
              </w:rPr>
            </w:pPr>
          </w:p>
        </w:tc>
        <w:tc>
          <w:tcPr>
            <w:tcW w:w="968" w:type="dxa"/>
            <w:vAlign w:val="top"/>
          </w:tcPr>
          <w:p w14:paraId="471D37D7">
            <w:pPr>
              <w:rPr>
                <w:rFonts w:ascii="Arial"/>
                <w:color w:val="auto"/>
                <w:sz w:val="21"/>
                <w:highlight w:val="none"/>
              </w:rPr>
            </w:pPr>
          </w:p>
        </w:tc>
        <w:tc>
          <w:tcPr>
            <w:tcW w:w="970" w:type="dxa"/>
            <w:vAlign w:val="top"/>
          </w:tcPr>
          <w:p w14:paraId="727E473C">
            <w:pPr>
              <w:rPr>
                <w:rFonts w:ascii="Arial"/>
                <w:color w:val="auto"/>
                <w:sz w:val="21"/>
                <w:highlight w:val="none"/>
              </w:rPr>
            </w:pPr>
          </w:p>
        </w:tc>
        <w:tc>
          <w:tcPr>
            <w:tcW w:w="1521" w:type="dxa"/>
            <w:tcBorders>
              <w:right w:val="single" w:color="000000" w:sz="6" w:space="0"/>
            </w:tcBorders>
            <w:vAlign w:val="top"/>
          </w:tcPr>
          <w:p w14:paraId="1951D7E8">
            <w:pPr>
              <w:rPr>
                <w:rFonts w:ascii="Arial"/>
                <w:color w:val="auto"/>
                <w:sz w:val="21"/>
                <w:highlight w:val="none"/>
              </w:rPr>
            </w:pPr>
          </w:p>
        </w:tc>
      </w:tr>
      <w:tr w14:paraId="06913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1E06B36B">
            <w:pPr>
              <w:rPr>
                <w:rFonts w:ascii="Arial"/>
                <w:color w:val="auto"/>
                <w:sz w:val="21"/>
                <w:highlight w:val="none"/>
              </w:rPr>
            </w:pPr>
          </w:p>
        </w:tc>
        <w:tc>
          <w:tcPr>
            <w:tcW w:w="4742" w:type="dxa"/>
            <w:vAlign w:val="top"/>
          </w:tcPr>
          <w:p w14:paraId="5BFA840E">
            <w:pPr>
              <w:rPr>
                <w:rFonts w:ascii="Arial"/>
                <w:color w:val="auto"/>
                <w:sz w:val="21"/>
                <w:highlight w:val="none"/>
              </w:rPr>
            </w:pPr>
          </w:p>
        </w:tc>
        <w:tc>
          <w:tcPr>
            <w:tcW w:w="968" w:type="dxa"/>
            <w:vAlign w:val="top"/>
          </w:tcPr>
          <w:p w14:paraId="6C476FB6">
            <w:pPr>
              <w:rPr>
                <w:rFonts w:ascii="Arial"/>
                <w:color w:val="auto"/>
                <w:sz w:val="21"/>
                <w:highlight w:val="none"/>
              </w:rPr>
            </w:pPr>
          </w:p>
        </w:tc>
        <w:tc>
          <w:tcPr>
            <w:tcW w:w="970" w:type="dxa"/>
            <w:vAlign w:val="top"/>
          </w:tcPr>
          <w:p w14:paraId="25860F8E">
            <w:pPr>
              <w:rPr>
                <w:rFonts w:ascii="Arial"/>
                <w:color w:val="auto"/>
                <w:sz w:val="21"/>
                <w:highlight w:val="none"/>
              </w:rPr>
            </w:pPr>
          </w:p>
        </w:tc>
        <w:tc>
          <w:tcPr>
            <w:tcW w:w="1521" w:type="dxa"/>
            <w:tcBorders>
              <w:right w:val="single" w:color="000000" w:sz="6" w:space="0"/>
            </w:tcBorders>
            <w:vAlign w:val="top"/>
          </w:tcPr>
          <w:p w14:paraId="41280746">
            <w:pPr>
              <w:rPr>
                <w:rFonts w:ascii="Arial"/>
                <w:color w:val="auto"/>
                <w:sz w:val="21"/>
                <w:highlight w:val="none"/>
              </w:rPr>
            </w:pPr>
          </w:p>
        </w:tc>
      </w:tr>
      <w:tr w14:paraId="1EFF5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0A29B65C">
            <w:pPr>
              <w:rPr>
                <w:rFonts w:ascii="Arial"/>
                <w:color w:val="auto"/>
                <w:sz w:val="21"/>
                <w:highlight w:val="none"/>
              </w:rPr>
            </w:pPr>
          </w:p>
        </w:tc>
        <w:tc>
          <w:tcPr>
            <w:tcW w:w="4742" w:type="dxa"/>
            <w:vAlign w:val="top"/>
          </w:tcPr>
          <w:p w14:paraId="57055CC3">
            <w:pPr>
              <w:rPr>
                <w:rFonts w:ascii="Arial"/>
                <w:color w:val="auto"/>
                <w:sz w:val="21"/>
                <w:highlight w:val="none"/>
              </w:rPr>
            </w:pPr>
          </w:p>
        </w:tc>
        <w:tc>
          <w:tcPr>
            <w:tcW w:w="968" w:type="dxa"/>
            <w:vAlign w:val="top"/>
          </w:tcPr>
          <w:p w14:paraId="771D9AC4">
            <w:pPr>
              <w:rPr>
                <w:rFonts w:ascii="Arial"/>
                <w:color w:val="auto"/>
                <w:sz w:val="21"/>
                <w:highlight w:val="none"/>
              </w:rPr>
            </w:pPr>
          </w:p>
        </w:tc>
        <w:tc>
          <w:tcPr>
            <w:tcW w:w="970" w:type="dxa"/>
            <w:vAlign w:val="top"/>
          </w:tcPr>
          <w:p w14:paraId="59429E43">
            <w:pPr>
              <w:rPr>
                <w:rFonts w:ascii="Arial"/>
                <w:color w:val="auto"/>
                <w:sz w:val="21"/>
                <w:highlight w:val="none"/>
              </w:rPr>
            </w:pPr>
          </w:p>
        </w:tc>
        <w:tc>
          <w:tcPr>
            <w:tcW w:w="1521" w:type="dxa"/>
            <w:tcBorders>
              <w:right w:val="single" w:color="000000" w:sz="6" w:space="0"/>
            </w:tcBorders>
            <w:vAlign w:val="top"/>
          </w:tcPr>
          <w:p w14:paraId="1E50E820">
            <w:pPr>
              <w:rPr>
                <w:rFonts w:ascii="Arial"/>
                <w:color w:val="auto"/>
                <w:sz w:val="21"/>
                <w:highlight w:val="none"/>
              </w:rPr>
            </w:pPr>
          </w:p>
        </w:tc>
      </w:tr>
      <w:tr w14:paraId="04E57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11" w:type="dxa"/>
            <w:tcBorders>
              <w:left w:val="single" w:color="000000" w:sz="6" w:space="0"/>
            </w:tcBorders>
            <w:vAlign w:val="top"/>
          </w:tcPr>
          <w:p w14:paraId="2BB95812">
            <w:pPr>
              <w:rPr>
                <w:rFonts w:ascii="Arial"/>
                <w:color w:val="auto"/>
                <w:sz w:val="21"/>
                <w:highlight w:val="none"/>
              </w:rPr>
            </w:pPr>
          </w:p>
        </w:tc>
        <w:tc>
          <w:tcPr>
            <w:tcW w:w="4742" w:type="dxa"/>
            <w:vAlign w:val="top"/>
          </w:tcPr>
          <w:p w14:paraId="79797DE9">
            <w:pPr>
              <w:rPr>
                <w:rFonts w:ascii="Arial"/>
                <w:color w:val="auto"/>
                <w:sz w:val="21"/>
                <w:highlight w:val="none"/>
              </w:rPr>
            </w:pPr>
          </w:p>
        </w:tc>
        <w:tc>
          <w:tcPr>
            <w:tcW w:w="968" w:type="dxa"/>
            <w:vAlign w:val="top"/>
          </w:tcPr>
          <w:p w14:paraId="3A1B302D">
            <w:pPr>
              <w:rPr>
                <w:rFonts w:ascii="Arial"/>
                <w:color w:val="auto"/>
                <w:sz w:val="21"/>
                <w:highlight w:val="none"/>
              </w:rPr>
            </w:pPr>
          </w:p>
        </w:tc>
        <w:tc>
          <w:tcPr>
            <w:tcW w:w="970" w:type="dxa"/>
            <w:vAlign w:val="top"/>
          </w:tcPr>
          <w:p w14:paraId="3CB0DC3D">
            <w:pPr>
              <w:rPr>
                <w:rFonts w:ascii="Arial"/>
                <w:color w:val="auto"/>
                <w:sz w:val="21"/>
                <w:highlight w:val="none"/>
              </w:rPr>
            </w:pPr>
          </w:p>
        </w:tc>
        <w:tc>
          <w:tcPr>
            <w:tcW w:w="1521" w:type="dxa"/>
            <w:tcBorders>
              <w:right w:val="single" w:color="000000" w:sz="6" w:space="0"/>
            </w:tcBorders>
            <w:vAlign w:val="top"/>
          </w:tcPr>
          <w:p w14:paraId="0C989DD8">
            <w:pPr>
              <w:rPr>
                <w:rFonts w:ascii="Arial"/>
                <w:color w:val="auto"/>
                <w:sz w:val="21"/>
                <w:highlight w:val="none"/>
              </w:rPr>
            </w:pPr>
          </w:p>
        </w:tc>
      </w:tr>
      <w:tr w14:paraId="306E9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611" w:type="dxa"/>
            <w:tcBorders>
              <w:left w:val="single" w:color="000000" w:sz="6" w:space="0"/>
            </w:tcBorders>
            <w:vAlign w:val="top"/>
          </w:tcPr>
          <w:p w14:paraId="23334393">
            <w:pPr>
              <w:rPr>
                <w:rFonts w:ascii="Arial"/>
                <w:color w:val="auto"/>
                <w:sz w:val="21"/>
                <w:highlight w:val="none"/>
              </w:rPr>
            </w:pPr>
          </w:p>
        </w:tc>
        <w:tc>
          <w:tcPr>
            <w:tcW w:w="4742" w:type="dxa"/>
            <w:vAlign w:val="top"/>
          </w:tcPr>
          <w:p w14:paraId="6D91DD1F">
            <w:pPr>
              <w:rPr>
                <w:rFonts w:ascii="Arial"/>
                <w:color w:val="auto"/>
                <w:sz w:val="21"/>
                <w:highlight w:val="none"/>
              </w:rPr>
            </w:pPr>
          </w:p>
        </w:tc>
        <w:tc>
          <w:tcPr>
            <w:tcW w:w="968" w:type="dxa"/>
            <w:vAlign w:val="top"/>
          </w:tcPr>
          <w:p w14:paraId="4F90E010">
            <w:pPr>
              <w:rPr>
                <w:rFonts w:ascii="Arial"/>
                <w:color w:val="auto"/>
                <w:sz w:val="21"/>
                <w:highlight w:val="none"/>
              </w:rPr>
            </w:pPr>
          </w:p>
        </w:tc>
        <w:tc>
          <w:tcPr>
            <w:tcW w:w="970" w:type="dxa"/>
            <w:vAlign w:val="top"/>
          </w:tcPr>
          <w:p w14:paraId="31EDA4E4">
            <w:pPr>
              <w:rPr>
                <w:rFonts w:ascii="Arial"/>
                <w:color w:val="auto"/>
                <w:sz w:val="21"/>
                <w:highlight w:val="none"/>
              </w:rPr>
            </w:pPr>
          </w:p>
        </w:tc>
        <w:tc>
          <w:tcPr>
            <w:tcW w:w="1521" w:type="dxa"/>
            <w:tcBorders>
              <w:right w:val="single" w:color="000000" w:sz="6" w:space="0"/>
            </w:tcBorders>
            <w:vAlign w:val="top"/>
          </w:tcPr>
          <w:p w14:paraId="5E9684DD">
            <w:pPr>
              <w:rPr>
                <w:rFonts w:ascii="Arial"/>
                <w:color w:val="auto"/>
                <w:sz w:val="21"/>
                <w:highlight w:val="none"/>
              </w:rPr>
            </w:pPr>
          </w:p>
        </w:tc>
      </w:tr>
      <w:tr w14:paraId="32DFD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11" w:type="dxa"/>
            <w:tcBorders>
              <w:left w:val="single" w:color="000000" w:sz="6" w:space="0"/>
              <w:bottom w:val="single" w:color="000000" w:sz="6" w:space="0"/>
            </w:tcBorders>
            <w:vAlign w:val="top"/>
          </w:tcPr>
          <w:p w14:paraId="3425D7D3">
            <w:pPr>
              <w:rPr>
                <w:rFonts w:ascii="Arial"/>
                <w:color w:val="auto"/>
                <w:sz w:val="21"/>
                <w:highlight w:val="none"/>
              </w:rPr>
            </w:pPr>
          </w:p>
        </w:tc>
        <w:tc>
          <w:tcPr>
            <w:tcW w:w="4742" w:type="dxa"/>
            <w:tcBorders>
              <w:bottom w:val="single" w:color="000000" w:sz="6" w:space="0"/>
            </w:tcBorders>
            <w:vAlign w:val="top"/>
          </w:tcPr>
          <w:p w14:paraId="53E231D6">
            <w:pPr>
              <w:rPr>
                <w:rFonts w:ascii="Arial"/>
                <w:color w:val="auto"/>
                <w:sz w:val="21"/>
                <w:highlight w:val="none"/>
              </w:rPr>
            </w:pPr>
          </w:p>
        </w:tc>
        <w:tc>
          <w:tcPr>
            <w:tcW w:w="968" w:type="dxa"/>
            <w:tcBorders>
              <w:bottom w:val="single" w:color="000000" w:sz="6" w:space="0"/>
            </w:tcBorders>
            <w:vAlign w:val="top"/>
          </w:tcPr>
          <w:p w14:paraId="0D56F3EF">
            <w:pPr>
              <w:rPr>
                <w:rFonts w:ascii="Arial"/>
                <w:color w:val="auto"/>
                <w:sz w:val="21"/>
                <w:highlight w:val="none"/>
              </w:rPr>
            </w:pPr>
          </w:p>
        </w:tc>
        <w:tc>
          <w:tcPr>
            <w:tcW w:w="970" w:type="dxa"/>
            <w:tcBorders>
              <w:bottom w:val="single" w:color="000000" w:sz="6" w:space="0"/>
            </w:tcBorders>
            <w:vAlign w:val="top"/>
          </w:tcPr>
          <w:p w14:paraId="7780EE28">
            <w:pPr>
              <w:rPr>
                <w:rFonts w:ascii="Arial"/>
                <w:color w:val="auto"/>
                <w:sz w:val="21"/>
                <w:highlight w:val="none"/>
              </w:rPr>
            </w:pPr>
          </w:p>
        </w:tc>
        <w:tc>
          <w:tcPr>
            <w:tcW w:w="1521" w:type="dxa"/>
            <w:tcBorders>
              <w:bottom w:val="single" w:color="000000" w:sz="6" w:space="0"/>
              <w:right w:val="single" w:color="000000" w:sz="6" w:space="0"/>
            </w:tcBorders>
            <w:vAlign w:val="top"/>
          </w:tcPr>
          <w:p w14:paraId="1E98911F">
            <w:pPr>
              <w:rPr>
                <w:rFonts w:ascii="Arial"/>
                <w:color w:val="auto"/>
                <w:sz w:val="21"/>
                <w:highlight w:val="none"/>
              </w:rPr>
            </w:pPr>
          </w:p>
        </w:tc>
      </w:tr>
    </w:tbl>
    <w:p w14:paraId="6C8ED965">
      <w:pPr>
        <w:pStyle w:val="3"/>
        <w:rPr>
          <w:color w:val="auto"/>
          <w:highlight w:val="none"/>
        </w:rPr>
      </w:pPr>
    </w:p>
    <w:p w14:paraId="63029C85">
      <w:pPr>
        <w:rPr>
          <w:color w:val="auto"/>
          <w:highlight w:val="none"/>
        </w:rPr>
        <w:sectPr>
          <w:footerReference r:id="rId124" w:type="default"/>
          <w:pgSz w:w="11907" w:h="16841"/>
          <w:pgMar w:top="400" w:right="1511" w:bottom="1254" w:left="1567" w:header="0" w:footer="1093" w:gutter="0"/>
          <w:pgNumType w:fmt="decimal"/>
          <w:cols w:space="720" w:num="1"/>
        </w:sectPr>
      </w:pPr>
    </w:p>
    <w:p w14:paraId="203AF4FC">
      <w:pPr>
        <w:pStyle w:val="3"/>
        <w:spacing w:line="247" w:lineRule="auto"/>
        <w:rPr>
          <w:color w:val="auto"/>
          <w:highlight w:val="none"/>
        </w:rPr>
      </w:pPr>
    </w:p>
    <w:p w14:paraId="1690B2A6">
      <w:pPr>
        <w:pStyle w:val="3"/>
        <w:spacing w:line="248" w:lineRule="auto"/>
        <w:rPr>
          <w:color w:val="auto"/>
          <w:highlight w:val="none"/>
        </w:rPr>
      </w:pPr>
    </w:p>
    <w:p w14:paraId="0105444C">
      <w:pPr>
        <w:pStyle w:val="3"/>
        <w:spacing w:line="248" w:lineRule="auto"/>
        <w:rPr>
          <w:color w:val="auto"/>
          <w:highlight w:val="none"/>
        </w:rPr>
      </w:pPr>
    </w:p>
    <w:p w14:paraId="62749630">
      <w:pPr>
        <w:pStyle w:val="3"/>
        <w:spacing w:line="248" w:lineRule="auto"/>
        <w:rPr>
          <w:color w:val="auto"/>
          <w:highlight w:val="none"/>
        </w:rPr>
      </w:pPr>
    </w:p>
    <w:p w14:paraId="62892E9D">
      <w:pPr>
        <w:spacing w:before="78" w:line="219" w:lineRule="auto"/>
        <w:ind w:left="15"/>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（一）投标人基本情况表</w:t>
      </w:r>
    </w:p>
    <w:p w14:paraId="2B2BD930">
      <w:pPr>
        <w:spacing w:line="147" w:lineRule="exact"/>
        <w:rPr>
          <w:color w:val="auto"/>
          <w:highlight w:val="none"/>
        </w:rPr>
      </w:pPr>
    </w:p>
    <w:tbl>
      <w:tblPr>
        <w:tblStyle w:val="16"/>
        <w:tblW w:w="882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2"/>
        <w:gridCol w:w="283"/>
        <w:gridCol w:w="642"/>
        <w:gridCol w:w="1090"/>
        <w:gridCol w:w="1176"/>
        <w:gridCol w:w="783"/>
        <w:gridCol w:w="829"/>
        <w:gridCol w:w="970"/>
        <w:gridCol w:w="875"/>
        <w:gridCol w:w="738"/>
      </w:tblGrid>
      <w:tr w14:paraId="71298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442" w:type="dxa"/>
            <w:tcBorders>
              <w:top w:val="single" w:color="000000" w:sz="6" w:space="0"/>
              <w:left w:val="single" w:color="000000" w:sz="6" w:space="0"/>
            </w:tcBorders>
            <w:vAlign w:val="top"/>
          </w:tcPr>
          <w:p w14:paraId="2067A94D">
            <w:pPr>
              <w:pStyle w:val="17"/>
              <w:spacing w:before="62" w:line="220" w:lineRule="auto"/>
              <w:ind w:left="126"/>
              <w:rPr>
                <w:color w:val="auto"/>
                <w:sz w:val="24"/>
                <w:szCs w:val="24"/>
                <w:highlight w:val="none"/>
              </w:rPr>
            </w:pPr>
            <w:r>
              <w:rPr>
                <w:color w:val="auto"/>
                <w:spacing w:val="-2"/>
                <w:sz w:val="24"/>
                <w:szCs w:val="24"/>
                <w:highlight w:val="none"/>
              </w:rPr>
              <w:t>投标人名称</w:t>
            </w:r>
          </w:p>
        </w:tc>
        <w:tc>
          <w:tcPr>
            <w:tcW w:w="7386" w:type="dxa"/>
            <w:gridSpan w:val="9"/>
            <w:tcBorders>
              <w:top w:val="single" w:color="000000" w:sz="6" w:space="0"/>
              <w:right w:val="single" w:color="000000" w:sz="6" w:space="0"/>
            </w:tcBorders>
            <w:vAlign w:val="top"/>
          </w:tcPr>
          <w:p w14:paraId="1A8DCCA3">
            <w:pPr>
              <w:rPr>
                <w:rFonts w:ascii="Arial"/>
                <w:color w:val="auto"/>
                <w:sz w:val="21"/>
                <w:highlight w:val="none"/>
              </w:rPr>
            </w:pPr>
          </w:p>
        </w:tc>
      </w:tr>
      <w:tr w14:paraId="254E8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tcBorders>
              <w:left w:val="single" w:color="000000" w:sz="6" w:space="0"/>
            </w:tcBorders>
            <w:vAlign w:val="top"/>
          </w:tcPr>
          <w:p w14:paraId="2EE65E06">
            <w:pPr>
              <w:pStyle w:val="17"/>
              <w:spacing w:before="60" w:line="221" w:lineRule="auto"/>
              <w:ind w:left="243"/>
              <w:rPr>
                <w:color w:val="auto"/>
                <w:sz w:val="24"/>
                <w:szCs w:val="24"/>
                <w:highlight w:val="none"/>
              </w:rPr>
            </w:pPr>
            <w:r>
              <w:rPr>
                <w:color w:val="auto"/>
                <w:spacing w:val="-2"/>
                <w:sz w:val="24"/>
                <w:szCs w:val="24"/>
                <w:highlight w:val="none"/>
              </w:rPr>
              <w:t>注册地址</w:t>
            </w:r>
          </w:p>
        </w:tc>
        <w:tc>
          <w:tcPr>
            <w:tcW w:w="3191" w:type="dxa"/>
            <w:gridSpan w:val="4"/>
            <w:vAlign w:val="top"/>
          </w:tcPr>
          <w:p w14:paraId="6740B218">
            <w:pPr>
              <w:rPr>
                <w:rFonts w:ascii="Arial"/>
                <w:color w:val="auto"/>
                <w:sz w:val="21"/>
                <w:highlight w:val="none"/>
              </w:rPr>
            </w:pPr>
          </w:p>
        </w:tc>
        <w:tc>
          <w:tcPr>
            <w:tcW w:w="1612" w:type="dxa"/>
            <w:gridSpan w:val="2"/>
            <w:vAlign w:val="top"/>
          </w:tcPr>
          <w:p w14:paraId="6119E51F">
            <w:pPr>
              <w:pStyle w:val="17"/>
              <w:spacing w:before="60" w:line="220" w:lineRule="auto"/>
              <w:ind w:left="349"/>
              <w:rPr>
                <w:color w:val="auto"/>
                <w:sz w:val="24"/>
                <w:szCs w:val="24"/>
                <w:highlight w:val="none"/>
              </w:rPr>
            </w:pPr>
            <w:r>
              <w:rPr>
                <w:color w:val="auto"/>
                <w:spacing w:val="-6"/>
                <w:sz w:val="24"/>
                <w:szCs w:val="24"/>
                <w:highlight w:val="none"/>
              </w:rPr>
              <w:t>邮政编码</w:t>
            </w:r>
          </w:p>
        </w:tc>
        <w:tc>
          <w:tcPr>
            <w:tcW w:w="2583" w:type="dxa"/>
            <w:gridSpan w:val="3"/>
            <w:tcBorders>
              <w:right w:val="single" w:color="000000" w:sz="6" w:space="0"/>
            </w:tcBorders>
            <w:vAlign w:val="top"/>
          </w:tcPr>
          <w:p w14:paraId="06271B83">
            <w:pPr>
              <w:rPr>
                <w:rFonts w:ascii="Arial"/>
                <w:color w:val="auto"/>
                <w:sz w:val="21"/>
                <w:highlight w:val="none"/>
              </w:rPr>
            </w:pPr>
          </w:p>
        </w:tc>
      </w:tr>
      <w:tr w14:paraId="1C2FE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vMerge w:val="restart"/>
            <w:tcBorders>
              <w:left w:val="single" w:color="000000" w:sz="6" w:space="0"/>
              <w:bottom w:val="nil"/>
            </w:tcBorders>
            <w:vAlign w:val="top"/>
          </w:tcPr>
          <w:p w14:paraId="2033962A">
            <w:pPr>
              <w:spacing w:line="241" w:lineRule="auto"/>
              <w:rPr>
                <w:rFonts w:ascii="Arial"/>
                <w:color w:val="auto"/>
                <w:sz w:val="21"/>
                <w:highlight w:val="none"/>
              </w:rPr>
            </w:pPr>
          </w:p>
          <w:p w14:paraId="286646B9">
            <w:pPr>
              <w:pStyle w:val="17"/>
              <w:spacing w:before="78" w:line="221" w:lineRule="auto"/>
              <w:ind w:left="244"/>
              <w:rPr>
                <w:color w:val="auto"/>
                <w:sz w:val="24"/>
                <w:szCs w:val="24"/>
                <w:highlight w:val="none"/>
              </w:rPr>
            </w:pPr>
            <w:r>
              <w:rPr>
                <w:color w:val="auto"/>
                <w:spacing w:val="-2"/>
                <w:sz w:val="24"/>
                <w:szCs w:val="24"/>
                <w:highlight w:val="none"/>
              </w:rPr>
              <w:t>联系方式</w:t>
            </w:r>
          </w:p>
        </w:tc>
        <w:tc>
          <w:tcPr>
            <w:tcW w:w="925" w:type="dxa"/>
            <w:gridSpan w:val="2"/>
            <w:vAlign w:val="top"/>
          </w:tcPr>
          <w:p w14:paraId="5E45F73F">
            <w:pPr>
              <w:pStyle w:val="17"/>
              <w:spacing w:before="58" w:line="222" w:lineRule="auto"/>
              <w:ind w:left="106"/>
              <w:rPr>
                <w:color w:val="auto"/>
                <w:sz w:val="24"/>
                <w:szCs w:val="24"/>
                <w:highlight w:val="none"/>
              </w:rPr>
            </w:pPr>
            <w:r>
              <w:rPr>
                <w:color w:val="auto"/>
                <w:spacing w:val="-3"/>
                <w:sz w:val="24"/>
                <w:szCs w:val="24"/>
                <w:highlight w:val="none"/>
              </w:rPr>
              <w:t>联系人</w:t>
            </w:r>
          </w:p>
        </w:tc>
        <w:tc>
          <w:tcPr>
            <w:tcW w:w="2266" w:type="dxa"/>
            <w:gridSpan w:val="2"/>
            <w:vAlign w:val="top"/>
          </w:tcPr>
          <w:p w14:paraId="36095224">
            <w:pPr>
              <w:rPr>
                <w:rFonts w:ascii="Arial"/>
                <w:color w:val="auto"/>
                <w:sz w:val="21"/>
                <w:highlight w:val="none"/>
              </w:rPr>
            </w:pPr>
          </w:p>
        </w:tc>
        <w:tc>
          <w:tcPr>
            <w:tcW w:w="1612" w:type="dxa"/>
            <w:gridSpan w:val="2"/>
            <w:vAlign w:val="top"/>
          </w:tcPr>
          <w:p w14:paraId="335CF8CD">
            <w:pPr>
              <w:pStyle w:val="17"/>
              <w:spacing w:before="58" w:line="222" w:lineRule="auto"/>
              <w:ind w:left="480"/>
              <w:rPr>
                <w:color w:val="auto"/>
                <w:sz w:val="24"/>
                <w:szCs w:val="24"/>
                <w:highlight w:val="none"/>
              </w:rPr>
            </w:pPr>
            <w:r>
              <w:rPr>
                <w:color w:val="auto"/>
                <w:spacing w:val="-19"/>
                <w:sz w:val="24"/>
                <w:szCs w:val="24"/>
                <w:highlight w:val="none"/>
              </w:rPr>
              <w:t>电</w:t>
            </w:r>
            <w:r>
              <w:rPr>
                <w:color w:val="auto"/>
                <w:spacing w:val="4"/>
                <w:sz w:val="24"/>
                <w:szCs w:val="24"/>
                <w:highlight w:val="none"/>
              </w:rPr>
              <w:t xml:space="preserve">  </w:t>
            </w:r>
            <w:r>
              <w:rPr>
                <w:color w:val="auto"/>
                <w:spacing w:val="-19"/>
                <w:sz w:val="24"/>
                <w:szCs w:val="24"/>
                <w:highlight w:val="none"/>
              </w:rPr>
              <w:t>话</w:t>
            </w:r>
          </w:p>
        </w:tc>
        <w:tc>
          <w:tcPr>
            <w:tcW w:w="2583" w:type="dxa"/>
            <w:gridSpan w:val="3"/>
            <w:tcBorders>
              <w:right w:val="single" w:color="000000" w:sz="6" w:space="0"/>
            </w:tcBorders>
            <w:vAlign w:val="top"/>
          </w:tcPr>
          <w:p w14:paraId="5E1A579E">
            <w:pPr>
              <w:rPr>
                <w:rFonts w:ascii="Arial"/>
                <w:color w:val="auto"/>
                <w:sz w:val="21"/>
                <w:highlight w:val="none"/>
              </w:rPr>
            </w:pPr>
          </w:p>
        </w:tc>
      </w:tr>
      <w:tr w14:paraId="1C696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1442" w:type="dxa"/>
            <w:vMerge w:val="continue"/>
            <w:tcBorders>
              <w:top w:val="nil"/>
              <w:left w:val="single" w:color="000000" w:sz="6" w:space="0"/>
            </w:tcBorders>
            <w:vAlign w:val="top"/>
          </w:tcPr>
          <w:p w14:paraId="620AB5FE">
            <w:pPr>
              <w:rPr>
                <w:rFonts w:ascii="Arial"/>
                <w:color w:val="auto"/>
                <w:sz w:val="21"/>
                <w:highlight w:val="none"/>
              </w:rPr>
            </w:pPr>
          </w:p>
        </w:tc>
        <w:tc>
          <w:tcPr>
            <w:tcW w:w="925" w:type="dxa"/>
            <w:gridSpan w:val="2"/>
            <w:vAlign w:val="top"/>
          </w:tcPr>
          <w:p w14:paraId="7054A9C2">
            <w:pPr>
              <w:pStyle w:val="17"/>
              <w:spacing w:before="59" w:line="219" w:lineRule="auto"/>
              <w:ind w:left="163"/>
              <w:rPr>
                <w:color w:val="auto"/>
                <w:sz w:val="24"/>
                <w:szCs w:val="24"/>
                <w:highlight w:val="none"/>
              </w:rPr>
            </w:pPr>
            <w:r>
              <w:rPr>
                <w:color w:val="auto"/>
                <w:spacing w:val="-4"/>
                <w:sz w:val="24"/>
                <w:szCs w:val="24"/>
                <w:highlight w:val="none"/>
              </w:rPr>
              <w:t>传</w:t>
            </w:r>
            <w:r>
              <w:rPr>
                <w:color w:val="auto"/>
                <w:spacing w:val="12"/>
                <w:sz w:val="24"/>
                <w:szCs w:val="24"/>
                <w:highlight w:val="none"/>
              </w:rPr>
              <w:t xml:space="preserve"> </w:t>
            </w:r>
            <w:r>
              <w:rPr>
                <w:color w:val="auto"/>
                <w:spacing w:val="-4"/>
                <w:sz w:val="24"/>
                <w:szCs w:val="24"/>
                <w:highlight w:val="none"/>
              </w:rPr>
              <w:t>真</w:t>
            </w:r>
          </w:p>
        </w:tc>
        <w:tc>
          <w:tcPr>
            <w:tcW w:w="2266" w:type="dxa"/>
            <w:gridSpan w:val="2"/>
            <w:vAlign w:val="top"/>
          </w:tcPr>
          <w:p w14:paraId="526D8F65">
            <w:pPr>
              <w:rPr>
                <w:rFonts w:ascii="Arial"/>
                <w:color w:val="auto"/>
                <w:sz w:val="21"/>
                <w:highlight w:val="none"/>
              </w:rPr>
            </w:pPr>
          </w:p>
        </w:tc>
        <w:tc>
          <w:tcPr>
            <w:tcW w:w="1612" w:type="dxa"/>
            <w:gridSpan w:val="2"/>
            <w:vAlign w:val="top"/>
          </w:tcPr>
          <w:p w14:paraId="206485AC">
            <w:pPr>
              <w:pStyle w:val="17"/>
              <w:spacing w:before="59" w:line="220" w:lineRule="auto"/>
              <w:ind w:left="360"/>
              <w:rPr>
                <w:color w:val="auto"/>
                <w:sz w:val="24"/>
                <w:szCs w:val="24"/>
                <w:highlight w:val="none"/>
              </w:rPr>
            </w:pPr>
            <w:r>
              <w:rPr>
                <w:color w:val="auto"/>
                <w:spacing w:val="-8"/>
                <w:sz w:val="24"/>
                <w:szCs w:val="24"/>
                <w:highlight w:val="none"/>
              </w:rPr>
              <w:t>电子信箱</w:t>
            </w:r>
          </w:p>
        </w:tc>
        <w:tc>
          <w:tcPr>
            <w:tcW w:w="2583" w:type="dxa"/>
            <w:gridSpan w:val="3"/>
            <w:tcBorders>
              <w:right w:val="single" w:color="000000" w:sz="6" w:space="0"/>
            </w:tcBorders>
            <w:vAlign w:val="top"/>
          </w:tcPr>
          <w:p w14:paraId="7205B5C3">
            <w:pPr>
              <w:rPr>
                <w:rFonts w:ascii="Arial"/>
                <w:color w:val="auto"/>
                <w:sz w:val="21"/>
                <w:highlight w:val="none"/>
              </w:rPr>
            </w:pPr>
          </w:p>
        </w:tc>
      </w:tr>
      <w:tr w14:paraId="4950C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tcBorders>
              <w:left w:val="single" w:color="000000" w:sz="6" w:space="0"/>
            </w:tcBorders>
            <w:vAlign w:val="top"/>
          </w:tcPr>
          <w:p w14:paraId="195D45ED">
            <w:pPr>
              <w:pStyle w:val="17"/>
              <w:spacing w:before="64" w:line="220" w:lineRule="auto"/>
              <w:ind w:left="247"/>
              <w:rPr>
                <w:color w:val="auto"/>
                <w:sz w:val="24"/>
                <w:szCs w:val="24"/>
                <w:highlight w:val="none"/>
              </w:rPr>
            </w:pPr>
            <w:r>
              <w:rPr>
                <w:color w:val="auto"/>
                <w:spacing w:val="-3"/>
                <w:sz w:val="24"/>
                <w:szCs w:val="24"/>
                <w:highlight w:val="none"/>
              </w:rPr>
              <w:t>企业性质</w:t>
            </w:r>
          </w:p>
        </w:tc>
        <w:tc>
          <w:tcPr>
            <w:tcW w:w="2015" w:type="dxa"/>
            <w:gridSpan w:val="3"/>
            <w:vAlign w:val="top"/>
          </w:tcPr>
          <w:p w14:paraId="3F16C8E1">
            <w:pPr>
              <w:rPr>
                <w:rFonts w:ascii="Arial"/>
                <w:color w:val="auto"/>
                <w:sz w:val="21"/>
                <w:highlight w:val="none"/>
              </w:rPr>
            </w:pPr>
          </w:p>
        </w:tc>
        <w:tc>
          <w:tcPr>
            <w:tcW w:w="2788" w:type="dxa"/>
            <w:gridSpan w:val="3"/>
            <w:vAlign w:val="top"/>
          </w:tcPr>
          <w:p w14:paraId="447D595F">
            <w:pPr>
              <w:pStyle w:val="17"/>
              <w:spacing w:before="63" w:line="220" w:lineRule="auto"/>
              <w:ind w:left="684"/>
              <w:rPr>
                <w:color w:val="auto"/>
                <w:sz w:val="24"/>
                <w:szCs w:val="24"/>
                <w:highlight w:val="none"/>
              </w:rPr>
            </w:pPr>
            <w:r>
              <w:rPr>
                <w:color w:val="auto"/>
                <w:spacing w:val="-2"/>
                <w:sz w:val="24"/>
                <w:szCs w:val="24"/>
                <w:highlight w:val="none"/>
              </w:rPr>
              <w:t>上级主管单位</w:t>
            </w:r>
          </w:p>
        </w:tc>
        <w:tc>
          <w:tcPr>
            <w:tcW w:w="2583" w:type="dxa"/>
            <w:gridSpan w:val="3"/>
            <w:tcBorders>
              <w:right w:val="single" w:color="000000" w:sz="6" w:space="0"/>
            </w:tcBorders>
            <w:vAlign w:val="top"/>
          </w:tcPr>
          <w:p w14:paraId="776F1AEA">
            <w:pPr>
              <w:rPr>
                <w:rFonts w:ascii="Arial"/>
                <w:color w:val="auto"/>
                <w:sz w:val="21"/>
                <w:highlight w:val="none"/>
              </w:rPr>
            </w:pPr>
          </w:p>
        </w:tc>
      </w:tr>
      <w:tr w14:paraId="73FEE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442" w:type="dxa"/>
            <w:tcBorders>
              <w:left w:val="single" w:color="000000" w:sz="6" w:space="0"/>
            </w:tcBorders>
            <w:vAlign w:val="top"/>
          </w:tcPr>
          <w:p w14:paraId="269D1702">
            <w:pPr>
              <w:pStyle w:val="17"/>
              <w:spacing w:before="61" w:line="220" w:lineRule="auto"/>
              <w:ind w:left="124"/>
              <w:rPr>
                <w:color w:val="auto"/>
                <w:sz w:val="24"/>
                <w:szCs w:val="24"/>
                <w:highlight w:val="none"/>
              </w:rPr>
            </w:pPr>
            <w:r>
              <w:rPr>
                <w:color w:val="auto"/>
                <w:spacing w:val="-2"/>
                <w:sz w:val="24"/>
                <w:szCs w:val="24"/>
                <w:highlight w:val="none"/>
              </w:rPr>
              <w:t>法定代表人</w:t>
            </w:r>
          </w:p>
        </w:tc>
        <w:tc>
          <w:tcPr>
            <w:tcW w:w="925" w:type="dxa"/>
            <w:gridSpan w:val="2"/>
            <w:vAlign w:val="top"/>
          </w:tcPr>
          <w:p w14:paraId="4BF6C2E8">
            <w:pPr>
              <w:pStyle w:val="17"/>
              <w:spacing w:before="61" w:line="220" w:lineRule="auto"/>
              <w:ind w:left="225"/>
              <w:rPr>
                <w:color w:val="auto"/>
                <w:sz w:val="24"/>
                <w:szCs w:val="24"/>
                <w:highlight w:val="none"/>
              </w:rPr>
            </w:pPr>
            <w:r>
              <w:rPr>
                <w:color w:val="auto"/>
                <w:spacing w:val="-3"/>
                <w:sz w:val="24"/>
                <w:szCs w:val="24"/>
                <w:highlight w:val="none"/>
              </w:rPr>
              <w:t>姓名</w:t>
            </w:r>
          </w:p>
        </w:tc>
        <w:tc>
          <w:tcPr>
            <w:tcW w:w="1090" w:type="dxa"/>
            <w:vAlign w:val="top"/>
          </w:tcPr>
          <w:p w14:paraId="2D3ADA70">
            <w:pPr>
              <w:rPr>
                <w:rFonts w:ascii="Arial"/>
                <w:color w:val="auto"/>
                <w:sz w:val="21"/>
                <w:highlight w:val="none"/>
              </w:rPr>
            </w:pPr>
          </w:p>
        </w:tc>
        <w:tc>
          <w:tcPr>
            <w:tcW w:w="1176" w:type="dxa"/>
            <w:vAlign w:val="top"/>
          </w:tcPr>
          <w:p w14:paraId="3115C316">
            <w:pPr>
              <w:pStyle w:val="17"/>
              <w:spacing w:before="61" w:line="220" w:lineRule="auto"/>
              <w:ind w:left="114"/>
              <w:rPr>
                <w:color w:val="auto"/>
                <w:sz w:val="24"/>
                <w:szCs w:val="24"/>
                <w:highlight w:val="none"/>
              </w:rPr>
            </w:pPr>
            <w:r>
              <w:rPr>
                <w:color w:val="auto"/>
                <w:spacing w:val="-2"/>
                <w:sz w:val="24"/>
                <w:szCs w:val="24"/>
                <w:highlight w:val="none"/>
              </w:rPr>
              <w:t>技术职称</w:t>
            </w:r>
          </w:p>
        </w:tc>
        <w:tc>
          <w:tcPr>
            <w:tcW w:w="1612" w:type="dxa"/>
            <w:gridSpan w:val="2"/>
            <w:vAlign w:val="top"/>
          </w:tcPr>
          <w:p w14:paraId="5068D608">
            <w:pPr>
              <w:rPr>
                <w:rFonts w:ascii="Arial"/>
                <w:color w:val="auto"/>
                <w:sz w:val="21"/>
                <w:highlight w:val="none"/>
              </w:rPr>
            </w:pPr>
          </w:p>
        </w:tc>
        <w:tc>
          <w:tcPr>
            <w:tcW w:w="970" w:type="dxa"/>
            <w:vAlign w:val="top"/>
          </w:tcPr>
          <w:p w14:paraId="5129E096">
            <w:pPr>
              <w:pStyle w:val="17"/>
              <w:spacing w:before="61" w:line="222" w:lineRule="auto"/>
              <w:ind w:left="284"/>
              <w:rPr>
                <w:color w:val="auto"/>
                <w:sz w:val="24"/>
                <w:szCs w:val="24"/>
                <w:highlight w:val="none"/>
              </w:rPr>
            </w:pPr>
            <w:r>
              <w:rPr>
                <w:color w:val="auto"/>
                <w:spacing w:val="-10"/>
                <w:sz w:val="24"/>
                <w:szCs w:val="24"/>
                <w:highlight w:val="none"/>
              </w:rPr>
              <w:t>电话</w:t>
            </w:r>
          </w:p>
        </w:tc>
        <w:tc>
          <w:tcPr>
            <w:tcW w:w="1613" w:type="dxa"/>
            <w:gridSpan w:val="2"/>
            <w:tcBorders>
              <w:right w:val="single" w:color="000000" w:sz="6" w:space="0"/>
            </w:tcBorders>
            <w:vAlign w:val="top"/>
          </w:tcPr>
          <w:p w14:paraId="54E2FBE4">
            <w:pPr>
              <w:rPr>
                <w:rFonts w:ascii="Arial"/>
                <w:color w:val="auto"/>
                <w:sz w:val="21"/>
                <w:highlight w:val="none"/>
              </w:rPr>
            </w:pPr>
          </w:p>
        </w:tc>
      </w:tr>
      <w:tr w14:paraId="333AC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442" w:type="dxa"/>
            <w:tcBorders>
              <w:left w:val="single" w:color="000000" w:sz="6" w:space="0"/>
            </w:tcBorders>
            <w:vAlign w:val="top"/>
          </w:tcPr>
          <w:p w14:paraId="472DE4FE">
            <w:pPr>
              <w:pStyle w:val="17"/>
              <w:spacing w:before="62" w:line="220" w:lineRule="auto"/>
              <w:ind w:left="124"/>
              <w:rPr>
                <w:color w:val="auto"/>
                <w:sz w:val="24"/>
                <w:szCs w:val="24"/>
                <w:highlight w:val="none"/>
              </w:rPr>
            </w:pPr>
            <w:r>
              <w:rPr>
                <w:color w:val="auto"/>
                <w:spacing w:val="-2"/>
                <w:sz w:val="24"/>
                <w:szCs w:val="24"/>
                <w:highlight w:val="none"/>
              </w:rPr>
              <w:t>技术负责人</w:t>
            </w:r>
          </w:p>
        </w:tc>
        <w:tc>
          <w:tcPr>
            <w:tcW w:w="925" w:type="dxa"/>
            <w:gridSpan w:val="2"/>
            <w:vAlign w:val="top"/>
          </w:tcPr>
          <w:p w14:paraId="2033A33D">
            <w:pPr>
              <w:pStyle w:val="17"/>
              <w:spacing w:before="62" w:line="220" w:lineRule="auto"/>
              <w:ind w:left="225"/>
              <w:rPr>
                <w:color w:val="auto"/>
                <w:sz w:val="24"/>
                <w:szCs w:val="24"/>
                <w:highlight w:val="none"/>
              </w:rPr>
            </w:pPr>
            <w:r>
              <w:rPr>
                <w:color w:val="auto"/>
                <w:spacing w:val="-3"/>
                <w:sz w:val="24"/>
                <w:szCs w:val="24"/>
                <w:highlight w:val="none"/>
              </w:rPr>
              <w:t>姓名</w:t>
            </w:r>
          </w:p>
        </w:tc>
        <w:tc>
          <w:tcPr>
            <w:tcW w:w="1090" w:type="dxa"/>
            <w:vAlign w:val="top"/>
          </w:tcPr>
          <w:p w14:paraId="623A120F">
            <w:pPr>
              <w:rPr>
                <w:rFonts w:ascii="Arial"/>
                <w:color w:val="auto"/>
                <w:sz w:val="21"/>
                <w:highlight w:val="none"/>
              </w:rPr>
            </w:pPr>
          </w:p>
        </w:tc>
        <w:tc>
          <w:tcPr>
            <w:tcW w:w="1176" w:type="dxa"/>
            <w:vAlign w:val="top"/>
          </w:tcPr>
          <w:p w14:paraId="5FEAC787">
            <w:pPr>
              <w:pStyle w:val="17"/>
              <w:spacing w:before="62" w:line="220" w:lineRule="auto"/>
              <w:ind w:left="114"/>
              <w:rPr>
                <w:color w:val="auto"/>
                <w:sz w:val="24"/>
                <w:szCs w:val="24"/>
                <w:highlight w:val="none"/>
              </w:rPr>
            </w:pPr>
            <w:r>
              <w:rPr>
                <w:color w:val="auto"/>
                <w:spacing w:val="-2"/>
                <w:sz w:val="24"/>
                <w:szCs w:val="24"/>
                <w:highlight w:val="none"/>
              </w:rPr>
              <w:t>技术职称</w:t>
            </w:r>
          </w:p>
        </w:tc>
        <w:tc>
          <w:tcPr>
            <w:tcW w:w="1612" w:type="dxa"/>
            <w:gridSpan w:val="2"/>
            <w:vAlign w:val="top"/>
          </w:tcPr>
          <w:p w14:paraId="252C3E62">
            <w:pPr>
              <w:rPr>
                <w:rFonts w:ascii="Arial"/>
                <w:color w:val="auto"/>
                <w:sz w:val="21"/>
                <w:highlight w:val="none"/>
              </w:rPr>
            </w:pPr>
          </w:p>
        </w:tc>
        <w:tc>
          <w:tcPr>
            <w:tcW w:w="970" w:type="dxa"/>
            <w:vAlign w:val="top"/>
          </w:tcPr>
          <w:p w14:paraId="0D95B11D">
            <w:pPr>
              <w:pStyle w:val="17"/>
              <w:spacing w:before="62" w:line="222" w:lineRule="auto"/>
              <w:ind w:left="284"/>
              <w:rPr>
                <w:color w:val="auto"/>
                <w:sz w:val="24"/>
                <w:szCs w:val="24"/>
                <w:highlight w:val="none"/>
              </w:rPr>
            </w:pPr>
            <w:r>
              <w:rPr>
                <w:color w:val="auto"/>
                <w:spacing w:val="-10"/>
                <w:sz w:val="24"/>
                <w:szCs w:val="24"/>
                <w:highlight w:val="none"/>
              </w:rPr>
              <w:t>电话</w:t>
            </w:r>
          </w:p>
        </w:tc>
        <w:tc>
          <w:tcPr>
            <w:tcW w:w="1613" w:type="dxa"/>
            <w:gridSpan w:val="2"/>
            <w:tcBorders>
              <w:right w:val="single" w:color="000000" w:sz="6" w:space="0"/>
            </w:tcBorders>
            <w:vAlign w:val="top"/>
          </w:tcPr>
          <w:p w14:paraId="0F9CC2B4">
            <w:pPr>
              <w:rPr>
                <w:rFonts w:ascii="Arial"/>
                <w:color w:val="auto"/>
                <w:sz w:val="21"/>
                <w:highlight w:val="none"/>
              </w:rPr>
            </w:pPr>
          </w:p>
        </w:tc>
      </w:tr>
      <w:tr w14:paraId="59041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4E865C7F">
            <w:pPr>
              <w:pStyle w:val="17"/>
              <w:spacing w:before="65" w:line="221" w:lineRule="auto"/>
              <w:ind w:left="709"/>
              <w:rPr>
                <w:color w:val="auto"/>
                <w:sz w:val="24"/>
                <w:szCs w:val="24"/>
                <w:highlight w:val="none"/>
              </w:rPr>
            </w:pPr>
            <w:r>
              <w:rPr>
                <w:color w:val="auto"/>
                <w:spacing w:val="-3"/>
                <w:sz w:val="24"/>
                <w:szCs w:val="24"/>
                <w:highlight w:val="none"/>
              </w:rPr>
              <w:t>成立时间</w:t>
            </w:r>
          </w:p>
        </w:tc>
        <w:tc>
          <w:tcPr>
            <w:tcW w:w="2266" w:type="dxa"/>
            <w:gridSpan w:val="2"/>
            <w:vAlign w:val="top"/>
          </w:tcPr>
          <w:p w14:paraId="3157213F">
            <w:pPr>
              <w:rPr>
                <w:rFonts w:ascii="Arial"/>
                <w:color w:val="auto"/>
                <w:sz w:val="21"/>
                <w:highlight w:val="none"/>
              </w:rPr>
            </w:pPr>
          </w:p>
        </w:tc>
        <w:tc>
          <w:tcPr>
            <w:tcW w:w="3457" w:type="dxa"/>
            <w:gridSpan w:val="4"/>
            <w:vAlign w:val="top"/>
          </w:tcPr>
          <w:p w14:paraId="0D58B419">
            <w:pPr>
              <w:pStyle w:val="17"/>
              <w:spacing w:before="65" w:line="220" w:lineRule="auto"/>
              <w:ind w:left="785"/>
              <w:rPr>
                <w:color w:val="auto"/>
                <w:sz w:val="24"/>
                <w:szCs w:val="24"/>
                <w:highlight w:val="none"/>
              </w:rPr>
            </w:pPr>
            <w:r>
              <w:rPr>
                <w:color w:val="auto"/>
                <w:spacing w:val="-4"/>
                <w:sz w:val="24"/>
                <w:szCs w:val="24"/>
                <w:highlight w:val="none"/>
              </w:rPr>
              <w:t>员工总人数（人）</w:t>
            </w:r>
          </w:p>
        </w:tc>
        <w:tc>
          <w:tcPr>
            <w:tcW w:w="738" w:type="dxa"/>
            <w:tcBorders>
              <w:right w:val="single" w:color="000000" w:sz="6" w:space="0"/>
            </w:tcBorders>
            <w:vAlign w:val="top"/>
          </w:tcPr>
          <w:p w14:paraId="405E9588">
            <w:pPr>
              <w:rPr>
                <w:rFonts w:ascii="Arial"/>
                <w:color w:val="auto"/>
                <w:sz w:val="21"/>
                <w:highlight w:val="none"/>
              </w:rPr>
            </w:pPr>
          </w:p>
        </w:tc>
      </w:tr>
      <w:tr w14:paraId="72CBB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09D9A490">
            <w:pPr>
              <w:pStyle w:val="17"/>
              <w:spacing w:before="63" w:line="220" w:lineRule="auto"/>
              <w:ind w:left="471"/>
              <w:rPr>
                <w:color w:val="auto"/>
                <w:sz w:val="24"/>
                <w:szCs w:val="24"/>
                <w:highlight w:val="none"/>
              </w:rPr>
            </w:pPr>
            <w:r>
              <w:rPr>
                <w:color w:val="auto"/>
                <w:spacing w:val="-2"/>
                <w:sz w:val="24"/>
                <w:szCs w:val="24"/>
                <w:highlight w:val="none"/>
              </w:rPr>
              <w:t>企业资质等级</w:t>
            </w:r>
          </w:p>
        </w:tc>
        <w:tc>
          <w:tcPr>
            <w:tcW w:w="2266" w:type="dxa"/>
            <w:gridSpan w:val="2"/>
            <w:vAlign w:val="top"/>
          </w:tcPr>
          <w:p w14:paraId="066CD89F">
            <w:pPr>
              <w:rPr>
                <w:rFonts w:ascii="Arial"/>
                <w:color w:val="auto"/>
                <w:sz w:val="21"/>
                <w:highlight w:val="none"/>
              </w:rPr>
            </w:pPr>
          </w:p>
        </w:tc>
        <w:tc>
          <w:tcPr>
            <w:tcW w:w="783" w:type="dxa"/>
            <w:vMerge w:val="restart"/>
            <w:tcBorders>
              <w:bottom w:val="nil"/>
            </w:tcBorders>
            <w:vAlign w:val="top"/>
          </w:tcPr>
          <w:p w14:paraId="41791EA6">
            <w:pPr>
              <w:spacing w:line="255" w:lineRule="auto"/>
              <w:rPr>
                <w:rFonts w:ascii="Arial"/>
                <w:color w:val="auto"/>
                <w:sz w:val="21"/>
                <w:highlight w:val="none"/>
              </w:rPr>
            </w:pPr>
          </w:p>
          <w:p w14:paraId="221583A7">
            <w:pPr>
              <w:spacing w:line="255" w:lineRule="auto"/>
              <w:rPr>
                <w:rFonts w:ascii="Arial"/>
                <w:color w:val="auto"/>
                <w:sz w:val="21"/>
                <w:highlight w:val="none"/>
              </w:rPr>
            </w:pPr>
          </w:p>
          <w:p w14:paraId="12FA0AE1">
            <w:pPr>
              <w:spacing w:line="255" w:lineRule="auto"/>
              <w:rPr>
                <w:rFonts w:ascii="Arial"/>
                <w:color w:val="auto"/>
                <w:sz w:val="21"/>
                <w:highlight w:val="none"/>
              </w:rPr>
            </w:pPr>
          </w:p>
          <w:p w14:paraId="00919485">
            <w:pPr>
              <w:spacing w:line="256" w:lineRule="auto"/>
              <w:rPr>
                <w:rFonts w:ascii="Arial"/>
                <w:color w:val="auto"/>
                <w:sz w:val="21"/>
                <w:highlight w:val="none"/>
              </w:rPr>
            </w:pPr>
          </w:p>
          <w:p w14:paraId="09EE587F">
            <w:pPr>
              <w:pStyle w:val="17"/>
              <w:spacing w:before="78" w:line="220" w:lineRule="auto"/>
              <w:ind w:left="157"/>
              <w:rPr>
                <w:color w:val="auto"/>
                <w:sz w:val="24"/>
                <w:szCs w:val="24"/>
                <w:highlight w:val="none"/>
              </w:rPr>
            </w:pPr>
            <w:r>
              <w:rPr>
                <w:color w:val="auto"/>
                <w:spacing w:val="-3"/>
                <w:sz w:val="24"/>
                <w:szCs w:val="24"/>
                <w:highlight w:val="none"/>
              </w:rPr>
              <w:t>其中</w:t>
            </w:r>
          </w:p>
        </w:tc>
        <w:tc>
          <w:tcPr>
            <w:tcW w:w="2674" w:type="dxa"/>
            <w:gridSpan w:val="3"/>
            <w:vAlign w:val="top"/>
          </w:tcPr>
          <w:p w14:paraId="2399C104">
            <w:pPr>
              <w:pStyle w:val="17"/>
              <w:spacing w:before="63" w:line="220" w:lineRule="auto"/>
              <w:ind w:left="390"/>
              <w:rPr>
                <w:color w:val="auto"/>
                <w:sz w:val="24"/>
                <w:szCs w:val="24"/>
                <w:highlight w:val="none"/>
              </w:rPr>
            </w:pPr>
            <w:r>
              <w:rPr>
                <w:color w:val="auto"/>
                <w:spacing w:val="-4"/>
                <w:sz w:val="24"/>
                <w:szCs w:val="24"/>
                <w:highlight w:val="none"/>
              </w:rPr>
              <w:t>项目负责人（人）</w:t>
            </w:r>
          </w:p>
        </w:tc>
        <w:tc>
          <w:tcPr>
            <w:tcW w:w="738" w:type="dxa"/>
            <w:tcBorders>
              <w:right w:val="single" w:color="000000" w:sz="6" w:space="0"/>
            </w:tcBorders>
            <w:vAlign w:val="top"/>
          </w:tcPr>
          <w:p w14:paraId="776630BD">
            <w:pPr>
              <w:rPr>
                <w:rFonts w:ascii="Arial"/>
                <w:color w:val="auto"/>
                <w:sz w:val="21"/>
                <w:highlight w:val="none"/>
              </w:rPr>
            </w:pPr>
          </w:p>
        </w:tc>
      </w:tr>
      <w:tr w14:paraId="3C026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40F5174C">
            <w:pPr>
              <w:pStyle w:val="17"/>
              <w:spacing w:before="64" w:line="219" w:lineRule="auto"/>
              <w:ind w:left="232"/>
              <w:rPr>
                <w:color w:val="auto"/>
                <w:sz w:val="24"/>
                <w:szCs w:val="24"/>
                <w:highlight w:val="none"/>
              </w:rPr>
            </w:pPr>
            <w:r>
              <w:rPr>
                <w:color w:val="auto"/>
                <w:spacing w:val="-2"/>
                <w:sz w:val="24"/>
                <w:szCs w:val="24"/>
                <w:highlight w:val="none"/>
              </w:rPr>
              <w:t>统一社会信用代码</w:t>
            </w:r>
          </w:p>
        </w:tc>
        <w:tc>
          <w:tcPr>
            <w:tcW w:w="2266" w:type="dxa"/>
            <w:gridSpan w:val="2"/>
            <w:vAlign w:val="top"/>
          </w:tcPr>
          <w:p w14:paraId="36851402">
            <w:pPr>
              <w:rPr>
                <w:rFonts w:ascii="Arial"/>
                <w:color w:val="auto"/>
                <w:sz w:val="21"/>
                <w:highlight w:val="none"/>
              </w:rPr>
            </w:pPr>
          </w:p>
        </w:tc>
        <w:tc>
          <w:tcPr>
            <w:tcW w:w="783" w:type="dxa"/>
            <w:vMerge w:val="continue"/>
            <w:tcBorders>
              <w:top w:val="nil"/>
              <w:bottom w:val="nil"/>
            </w:tcBorders>
            <w:vAlign w:val="top"/>
          </w:tcPr>
          <w:p w14:paraId="4F2CC21C">
            <w:pPr>
              <w:rPr>
                <w:rFonts w:ascii="Arial"/>
                <w:color w:val="auto"/>
                <w:sz w:val="21"/>
                <w:highlight w:val="none"/>
              </w:rPr>
            </w:pPr>
          </w:p>
        </w:tc>
        <w:tc>
          <w:tcPr>
            <w:tcW w:w="2674" w:type="dxa"/>
            <w:gridSpan w:val="3"/>
            <w:vAlign w:val="top"/>
          </w:tcPr>
          <w:p w14:paraId="7A64D71E">
            <w:pPr>
              <w:pStyle w:val="17"/>
              <w:spacing w:before="64" w:line="220" w:lineRule="auto"/>
              <w:ind w:left="273"/>
              <w:rPr>
                <w:color w:val="auto"/>
                <w:sz w:val="24"/>
                <w:szCs w:val="24"/>
                <w:highlight w:val="none"/>
              </w:rPr>
            </w:pPr>
            <w:r>
              <w:rPr>
                <w:color w:val="auto"/>
                <w:spacing w:val="-4"/>
                <w:sz w:val="24"/>
                <w:szCs w:val="24"/>
                <w:highlight w:val="none"/>
              </w:rPr>
              <w:t>高级职称人员（人）</w:t>
            </w:r>
          </w:p>
        </w:tc>
        <w:tc>
          <w:tcPr>
            <w:tcW w:w="738" w:type="dxa"/>
            <w:tcBorders>
              <w:right w:val="single" w:color="000000" w:sz="6" w:space="0"/>
            </w:tcBorders>
            <w:vAlign w:val="top"/>
          </w:tcPr>
          <w:p w14:paraId="1BB22715">
            <w:pPr>
              <w:rPr>
                <w:rFonts w:ascii="Arial"/>
                <w:color w:val="auto"/>
                <w:sz w:val="21"/>
                <w:highlight w:val="none"/>
              </w:rPr>
            </w:pPr>
          </w:p>
        </w:tc>
      </w:tr>
      <w:tr w14:paraId="70928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7812B57A">
            <w:pPr>
              <w:pStyle w:val="17"/>
              <w:spacing w:before="67" w:line="221" w:lineRule="auto"/>
              <w:ind w:left="707"/>
              <w:rPr>
                <w:color w:val="auto"/>
                <w:sz w:val="24"/>
                <w:szCs w:val="24"/>
                <w:highlight w:val="none"/>
              </w:rPr>
            </w:pPr>
            <w:r>
              <w:rPr>
                <w:color w:val="auto"/>
                <w:spacing w:val="-2"/>
                <w:sz w:val="24"/>
                <w:szCs w:val="24"/>
                <w:highlight w:val="none"/>
              </w:rPr>
              <w:t>注册资金</w:t>
            </w:r>
          </w:p>
        </w:tc>
        <w:tc>
          <w:tcPr>
            <w:tcW w:w="2266" w:type="dxa"/>
            <w:gridSpan w:val="2"/>
            <w:vAlign w:val="top"/>
          </w:tcPr>
          <w:p w14:paraId="17EDC7D2">
            <w:pPr>
              <w:rPr>
                <w:rFonts w:ascii="Arial"/>
                <w:color w:val="auto"/>
                <w:sz w:val="21"/>
                <w:highlight w:val="none"/>
              </w:rPr>
            </w:pPr>
          </w:p>
        </w:tc>
        <w:tc>
          <w:tcPr>
            <w:tcW w:w="783" w:type="dxa"/>
            <w:vMerge w:val="continue"/>
            <w:tcBorders>
              <w:top w:val="nil"/>
              <w:bottom w:val="nil"/>
            </w:tcBorders>
            <w:vAlign w:val="top"/>
          </w:tcPr>
          <w:p w14:paraId="28EFA32E">
            <w:pPr>
              <w:rPr>
                <w:rFonts w:ascii="Arial"/>
                <w:color w:val="auto"/>
                <w:sz w:val="21"/>
                <w:highlight w:val="none"/>
              </w:rPr>
            </w:pPr>
          </w:p>
        </w:tc>
        <w:tc>
          <w:tcPr>
            <w:tcW w:w="2674" w:type="dxa"/>
            <w:gridSpan w:val="3"/>
            <w:vAlign w:val="top"/>
          </w:tcPr>
          <w:p w14:paraId="43959892">
            <w:pPr>
              <w:pStyle w:val="17"/>
              <w:spacing w:before="68" w:line="220" w:lineRule="auto"/>
              <w:ind w:left="289"/>
              <w:rPr>
                <w:color w:val="auto"/>
                <w:sz w:val="24"/>
                <w:szCs w:val="24"/>
                <w:highlight w:val="none"/>
              </w:rPr>
            </w:pPr>
            <w:r>
              <w:rPr>
                <w:color w:val="auto"/>
                <w:spacing w:val="-5"/>
                <w:sz w:val="24"/>
                <w:szCs w:val="24"/>
                <w:highlight w:val="none"/>
              </w:rPr>
              <w:t>中级职称人员（人）</w:t>
            </w:r>
          </w:p>
        </w:tc>
        <w:tc>
          <w:tcPr>
            <w:tcW w:w="738" w:type="dxa"/>
            <w:tcBorders>
              <w:right w:val="single" w:color="000000" w:sz="6" w:space="0"/>
            </w:tcBorders>
            <w:vAlign w:val="top"/>
          </w:tcPr>
          <w:p w14:paraId="499362E7">
            <w:pPr>
              <w:rPr>
                <w:rFonts w:ascii="Arial"/>
                <w:color w:val="auto"/>
                <w:sz w:val="21"/>
                <w:highlight w:val="none"/>
              </w:rPr>
            </w:pPr>
          </w:p>
        </w:tc>
      </w:tr>
      <w:tr w14:paraId="0A2A2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2EB73A9B">
            <w:pPr>
              <w:pStyle w:val="17"/>
              <w:spacing w:before="65" w:line="219" w:lineRule="auto"/>
              <w:ind w:left="227"/>
              <w:rPr>
                <w:color w:val="auto"/>
                <w:sz w:val="24"/>
                <w:szCs w:val="24"/>
                <w:highlight w:val="none"/>
              </w:rPr>
            </w:pPr>
            <w:r>
              <w:rPr>
                <w:color w:val="auto"/>
                <w:spacing w:val="-2"/>
                <w:sz w:val="24"/>
                <w:szCs w:val="24"/>
                <w:highlight w:val="none"/>
              </w:rPr>
              <w:t>基本账户开户银行</w:t>
            </w:r>
          </w:p>
        </w:tc>
        <w:tc>
          <w:tcPr>
            <w:tcW w:w="2266" w:type="dxa"/>
            <w:gridSpan w:val="2"/>
            <w:vAlign w:val="top"/>
          </w:tcPr>
          <w:p w14:paraId="49278F7C">
            <w:pPr>
              <w:rPr>
                <w:rFonts w:ascii="Arial"/>
                <w:color w:val="auto"/>
                <w:sz w:val="21"/>
                <w:highlight w:val="none"/>
              </w:rPr>
            </w:pPr>
          </w:p>
        </w:tc>
        <w:tc>
          <w:tcPr>
            <w:tcW w:w="783" w:type="dxa"/>
            <w:vMerge w:val="continue"/>
            <w:tcBorders>
              <w:top w:val="nil"/>
              <w:bottom w:val="nil"/>
            </w:tcBorders>
            <w:vAlign w:val="top"/>
          </w:tcPr>
          <w:p w14:paraId="2C60D70F">
            <w:pPr>
              <w:rPr>
                <w:rFonts w:ascii="Arial"/>
                <w:color w:val="auto"/>
                <w:sz w:val="21"/>
                <w:highlight w:val="none"/>
              </w:rPr>
            </w:pPr>
          </w:p>
        </w:tc>
        <w:tc>
          <w:tcPr>
            <w:tcW w:w="2674" w:type="dxa"/>
            <w:gridSpan w:val="3"/>
            <w:vAlign w:val="top"/>
          </w:tcPr>
          <w:p w14:paraId="5E8AC645">
            <w:pPr>
              <w:pStyle w:val="17"/>
              <w:spacing w:before="66" w:line="221" w:lineRule="auto"/>
              <w:ind w:left="265"/>
              <w:rPr>
                <w:color w:val="auto"/>
                <w:sz w:val="24"/>
                <w:szCs w:val="24"/>
                <w:highlight w:val="none"/>
              </w:rPr>
            </w:pPr>
            <w:r>
              <w:rPr>
                <w:color w:val="auto"/>
                <w:spacing w:val="-3"/>
                <w:sz w:val="24"/>
                <w:szCs w:val="24"/>
                <w:highlight w:val="none"/>
              </w:rPr>
              <w:t>初级职称人员（人）</w:t>
            </w:r>
          </w:p>
        </w:tc>
        <w:tc>
          <w:tcPr>
            <w:tcW w:w="738" w:type="dxa"/>
            <w:tcBorders>
              <w:right w:val="single" w:color="000000" w:sz="6" w:space="0"/>
            </w:tcBorders>
            <w:vAlign w:val="top"/>
          </w:tcPr>
          <w:p w14:paraId="78088EE9">
            <w:pPr>
              <w:rPr>
                <w:rFonts w:ascii="Arial"/>
                <w:color w:val="auto"/>
                <w:sz w:val="21"/>
                <w:highlight w:val="none"/>
              </w:rPr>
            </w:pPr>
          </w:p>
        </w:tc>
      </w:tr>
      <w:tr w14:paraId="0EC57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239224CB">
            <w:pPr>
              <w:pStyle w:val="17"/>
              <w:spacing w:before="66" w:line="221" w:lineRule="auto"/>
              <w:ind w:left="891"/>
              <w:rPr>
                <w:color w:val="auto"/>
                <w:sz w:val="24"/>
                <w:szCs w:val="24"/>
                <w:highlight w:val="none"/>
              </w:rPr>
            </w:pPr>
            <w:r>
              <w:rPr>
                <w:color w:val="auto"/>
                <w:spacing w:val="-7"/>
                <w:sz w:val="24"/>
                <w:szCs w:val="24"/>
                <w:highlight w:val="none"/>
              </w:rPr>
              <w:t>账</w:t>
            </w:r>
            <w:r>
              <w:rPr>
                <w:color w:val="auto"/>
                <w:spacing w:val="15"/>
                <w:sz w:val="24"/>
                <w:szCs w:val="24"/>
                <w:highlight w:val="none"/>
              </w:rPr>
              <w:t xml:space="preserve"> </w:t>
            </w:r>
            <w:r>
              <w:rPr>
                <w:color w:val="auto"/>
                <w:spacing w:val="-7"/>
                <w:sz w:val="24"/>
                <w:szCs w:val="24"/>
                <w:highlight w:val="none"/>
              </w:rPr>
              <w:t>号</w:t>
            </w:r>
          </w:p>
        </w:tc>
        <w:tc>
          <w:tcPr>
            <w:tcW w:w="2266" w:type="dxa"/>
            <w:gridSpan w:val="2"/>
            <w:vAlign w:val="top"/>
          </w:tcPr>
          <w:p w14:paraId="653EA31A">
            <w:pPr>
              <w:rPr>
                <w:rFonts w:ascii="Arial"/>
                <w:color w:val="auto"/>
                <w:sz w:val="21"/>
                <w:highlight w:val="none"/>
              </w:rPr>
            </w:pPr>
          </w:p>
        </w:tc>
        <w:tc>
          <w:tcPr>
            <w:tcW w:w="783" w:type="dxa"/>
            <w:vMerge w:val="continue"/>
            <w:tcBorders>
              <w:top w:val="nil"/>
            </w:tcBorders>
            <w:vAlign w:val="top"/>
          </w:tcPr>
          <w:p w14:paraId="43CD8615">
            <w:pPr>
              <w:rPr>
                <w:rFonts w:ascii="Arial"/>
                <w:color w:val="auto"/>
                <w:sz w:val="21"/>
                <w:highlight w:val="none"/>
              </w:rPr>
            </w:pPr>
          </w:p>
        </w:tc>
        <w:tc>
          <w:tcPr>
            <w:tcW w:w="2674" w:type="dxa"/>
            <w:gridSpan w:val="3"/>
            <w:vAlign w:val="top"/>
          </w:tcPr>
          <w:p w14:paraId="4773139D">
            <w:pPr>
              <w:pStyle w:val="17"/>
              <w:spacing w:before="66" w:line="221" w:lineRule="auto"/>
              <w:ind w:left="747"/>
              <w:rPr>
                <w:color w:val="auto"/>
                <w:sz w:val="24"/>
                <w:szCs w:val="24"/>
                <w:highlight w:val="none"/>
              </w:rPr>
            </w:pPr>
            <w:r>
              <w:rPr>
                <w:color w:val="auto"/>
                <w:spacing w:val="-5"/>
                <w:sz w:val="24"/>
                <w:szCs w:val="24"/>
                <w:highlight w:val="none"/>
              </w:rPr>
              <w:t>技工（人）</w:t>
            </w:r>
          </w:p>
        </w:tc>
        <w:tc>
          <w:tcPr>
            <w:tcW w:w="738" w:type="dxa"/>
            <w:tcBorders>
              <w:right w:val="single" w:color="000000" w:sz="6" w:space="0"/>
            </w:tcBorders>
            <w:vAlign w:val="top"/>
          </w:tcPr>
          <w:p w14:paraId="1D2909E6">
            <w:pPr>
              <w:rPr>
                <w:rFonts w:ascii="Arial"/>
                <w:color w:val="auto"/>
                <w:sz w:val="21"/>
                <w:highlight w:val="none"/>
              </w:rPr>
            </w:pPr>
          </w:p>
        </w:tc>
      </w:tr>
      <w:tr w14:paraId="610FB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633" w:type="dxa"/>
            <w:gridSpan w:val="5"/>
            <w:tcBorders>
              <w:left w:val="single" w:color="000000" w:sz="6" w:space="0"/>
            </w:tcBorders>
            <w:vAlign w:val="top"/>
          </w:tcPr>
          <w:p w14:paraId="32B01B26">
            <w:pPr>
              <w:pStyle w:val="17"/>
              <w:spacing w:before="69" w:line="220" w:lineRule="auto"/>
              <w:ind w:left="702"/>
              <w:rPr>
                <w:color w:val="auto"/>
                <w:sz w:val="24"/>
                <w:szCs w:val="24"/>
                <w:highlight w:val="none"/>
              </w:rPr>
            </w:pPr>
            <w:r>
              <w:rPr>
                <w:color w:val="auto"/>
                <w:spacing w:val="-2"/>
                <w:sz w:val="24"/>
                <w:szCs w:val="24"/>
                <w:highlight w:val="none"/>
              </w:rPr>
              <w:t>最近</w:t>
            </w:r>
            <w:r>
              <w:rPr>
                <w:rFonts w:ascii="Times New Roman" w:hAnsi="Times New Roman" w:eastAsia="Times New Roman" w:cs="Times New Roman"/>
                <w:color w:val="auto"/>
                <w:spacing w:val="-2"/>
                <w:sz w:val="24"/>
                <w:szCs w:val="24"/>
                <w:highlight w:val="none"/>
              </w:rPr>
              <w:t>5</w:t>
            </w:r>
            <w:r>
              <w:rPr>
                <w:color w:val="auto"/>
                <w:spacing w:val="-2"/>
                <w:sz w:val="24"/>
                <w:szCs w:val="24"/>
                <w:highlight w:val="none"/>
              </w:rPr>
              <w:t>年完成的营业额（万元）</w:t>
            </w:r>
          </w:p>
        </w:tc>
        <w:tc>
          <w:tcPr>
            <w:tcW w:w="4195" w:type="dxa"/>
            <w:gridSpan w:val="5"/>
            <w:tcBorders>
              <w:right w:val="single" w:color="000000" w:sz="6" w:space="0"/>
            </w:tcBorders>
            <w:vAlign w:val="top"/>
          </w:tcPr>
          <w:p w14:paraId="04659A8B">
            <w:pPr>
              <w:pStyle w:val="17"/>
              <w:spacing w:before="70" w:line="220" w:lineRule="auto"/>
              <w:ind w:left="1620"/>
              <w:rPr>
                <w:color w:val="auto"/>
                <w:sz w:val="24"/>
                <w:szCs w:val="24"/>
                <w:highlight w:val="none"/>
              </w:rPr>
            </w:pPr>
            <w:r>
              <w:rPr>
                <w:color w:val="auto"/>
                <w:spacing w:val="-3"/>
                <w:sz w:val="24"/>
                <w:szCs w:val="24"/>
                <w:highlight w:val="none"/>
              </w:rPr>
              <w:t>经营范围</w:t>
            </w:r>
          </w:p>
        </w:tc>
      </w:tr>
      <w:tr w14:paraId="27F15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47EE964F">
            <w:pPr>
              <w:pStyle w:val="17"/>
              <w:tabs>
                <w:tab w:val="left" w:pos="964"/>
              </w:tabs>
              <w:spacing w:before="67" w:line="220" w:lineRule="auto"/>
              <w:ind w:left="244"/>
              <w:rPr>
                <w:color w:val="auto"/>
                <w:sz w:val="24"/>
                <w:szCs w:val="24"/>
                <w:highlight w:val="none"/>
              </w:rPr>
            </w:pPr>
            <w:r>
              <w:rPr>
                <w:color w:val="auto"/>
                <w:sz w:val="24"/>
                <w:szCs w:val="24"/>
                <w:highlight w:val="none"/>
                <w:u w:val="single" w:color="auto"/>
              </w:rPr>
              <w:tab/>
            </w:r>
            <w:r>
              <w:rPr>
                <w:color w:val="auto"/>
                <w:spacing w:val="-110"/>
                <w:sz w:val="24"/>
                <w:szCs w:val="24"/>
                <w:highlight w:val="none"/>
              </w:rPr>
              <w:t xml:space="preserve"> </w:t>
            </w:r>
            <w:r>
              <w:rPr>
                <w:color w:val="auto"/>
                <w:sz w:val="24"/>
                <w:szCs w:val="24"/>
                <w:highlight w:val="none"/>
              </w:rPr>
              <w:t>年</w:t>
            </w:r>
          </w:p>
        </w:tc>
        <w:tc>
          <w:tcPr>
            <w:tcW w:w="2266" w:type="dxa"/>
            <w:gridSpan w:val="2"/>
            <w:vAlign w:val="top"/>
          </w:tcPr>
          <w:p w14:paraId="0E5A4A4B">
            <w:pPr>
              <w:rPr>
                <w:rFonts w:ascii="Arial"/>
                <w:color w:val="auto"/>
                <w:sz w:val="21"/>
                <w:highlight w:val="none"/>
              </w:rPr>
            </w:pPr>
          </w:p>
        </w:tc>
        <w:tc>
          <w:tcPr>
            <w:tcW w:w="4195" w:type="dxa"/>
            <w:gridSpan w:val="5"/>
            <w:vMerge w:val="restart"/>
            <w:tcBorders>
              <w:bottom w:val="nil"/>
              <w:right w:val="single" w:color="000000" w:sz="6" w:space="0"/>
            </w:tcBorders>
            <w:vAlign w:val="top"/>
          </w:tcPr>
          <w:p w14:paraId="3F5B8A0B">
            <w:pPr>
              <w:rPr>
                <w:rFonts w:ascii="Arial"/>
                <w:color w:val="auto"/>
                <w:sz w:val="21"/>
                <w:highlight w:val="none"/>
              </w:rPr>
            </w:pPr>
          </w:p>
        </w:tc>
      </w:tr>
      <w:tr w14:paraId="2BC1B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6B46B1A8">
            <w:pPr>
              <w:pStyle w:val="17"/>
              <w:tabs>
                <w:tab w:val="left" w:pos="1006"/>
              </w:tabs>
              <w:spacing w:before="68" w:line="220" w:lineRule="auto"/>
              <w:ind w:left="287"/>
              <w:rPr>
                <w:color w:val="auto"/>
                <w:sz w:val="24"/>
                <w:szCs w:val="24"/>
                <w:highlight w:val="none"/>
              </w:rPr>
            </w:pPr>
            <w:r>
              <w:rPr>
                <w:color w:val="auto"/>
                <w:sz w:val="24"/>
                <w:szCs w:val="24"/>
                <w:highlight w:val="none"/>
                <w:u w:val="single" w:color="auto"/>
              </w:rPr>
              <w:tab/>
            </w:r>
            <w:r>
              <w:rPr>
                <w:color w:val="auto"/>
                <w:spacing w:val="-110"/>
                <w:sz w:val="24"/>
                <w:szCs w:val="24"/>
                <w:highlight w:val="none"/>
              </w:rPr>
              <w:t xml:space="preserve"> </w:t>
            </w:r>
            <w:r>
              <w:rPr>
                <w:color w:val="auto"/>
                <w:sz w:val="24"/>
                <w:szCs w:val="24"/>
                <w:highlight w:val="none"/>
              </w:rPr>
              <w:t>年</w:t>
            </w:r>
          </w:p>
        </w:tc>
        <w:tc>
          <w:tcPr>
            <w:tcW w:w="2266" w:type="dxa"/>
            <w:gridSpan w:val="2"/>
            <w:vAlign w:val="top"/>
          </w:tcPr>
          <w:p w14:paraId="0AEDB592">
            <w:pPr>
              <w:rPr>
                <w:rFonts w:ascii="Arial"/>
                <w:color w:val="auto"/>
                <w:sz w:val="21"/>
                <w:highlight w:val="none"/>
              </w:rPr>
            </w:pPr>
          </w:p>
        </w:tc>
        <w:tc>
          <w:tcPr>
            <w:tcW w:w="4195" w:type="dxa"/>
            <w:gridSpan w:val="5"/>
            <w:vMerge w:val="continue"/>
            <w:tcBorders>
              <w:top w:val="nil"/>
              <w:bottom w:val="nil"/>
              <w:right w:val="single" w:color="000000" w:sz="6" w:space="0"/>
            </w:tcBorders>
            <w:vAlign w:val="top"/>
          </w:tcPr>
          <w:p w14:paraId="7A3747DF">
            <w:pPr>
              <w:rPr>
                <w:rFonts w:ascii="Arial"/>
                <w:color w:val="auto"/>
                <w:sz w:val="21"/>
                <w:highlight w:val="none"/>
              </w:rPr>
            </w:pPr>
          </w:p>
        </w:tc>
      </w:tr>
      <w:tr w14:paraId="08708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430E739A">
            <w:pPr>
              <w:pStyle w:val="17"/>
              <w:tabs>
                <w:tab w:val="left" w:pos="1006"/>
              </w:tabs>
              <w:spacing w:before="71" w:line="220" w:lineRule="auto"/>
              <w:ind w:left="287"/>
              <w:rPr>
                <w:color w:val="auto"/>
                <w:sz w:val="24"/>
                <w:szCs w:val="24"/>
                <w:highlight w:val="none"/>
              </w:rPr>
            </w:pPr>
            <w:r>
              <w:rPr>
                <w:color w:val="auto"/>
                <w:sz w:val="24"/>
                <w:szCs w:val="24"/>
                <w:highlight w:val="none"/>
                <w:u w:val="single" w:color="auto"/>
              </w:rPr>
              <w:tab/>
            </w:r>
            <w:r>
              <w:rPr>
                <w:color w:val="auto"/>
                <w:spacing w:val="-110"/>
                <w:sz w:val="24"/>
                <w:szCs w:val="24"/>
                <w:highlight w:val="none"/>
              </w:rPr>
              <w:t xml:space="preserve"> </w:t>
            </w:r>
            <w:r>
              <w:rPr>
                <w:color w:val="auto"/>
                <w:sz w:val="24"/>
                <w:szCs w:val="24"/>
                <w:highlight w:val="none"/>
              </w:rPr>
              <w:t>年</w:t>
            </w:r>
          </w:p>
        </w:tc>
        <w:tc>
          <w:tcPr>
            <w:tcW w:w="2266" w:type="dxa"/>
            <w:gridSpan w:val="2"/>
            <w:vAlign w:val="top"/>
          </w:tcPr>
          <w:p w14:paraId="5BC86BA6">
            <w:pPr>
              <w:rPr>
                <w:rFonts w:ascii="Arial"/>
                <w:color w:val="auto"/>
                <w:sz w:val="21"/>
                <w:highlight w:val="none"/>
              </w:rPr>
            </w:pPr>
          </w:p>
        </w:tc>
        <w:tc>
          <w:tcPr>
            <w:tcW w:w="4195" w:type="dxa"/>
            <w:gridSpan w:val="5"/>
            <w:vMerge w:val="continue"/>
            <w:tcBorders>
              <w:top w:val="nil"/>
              <w:bottom w:val="nil"/>
              <w:right w:val="single" w:color="000000" w:sz="6" w:space="0"/>
            </w:tcBorders>
            <w:vAlign w:val="top"/>
          </w:tcPr>
          <w:p w14:paraId="0251483C">
            <w:pPr>
              <w:rPr>
                <w:rFonts w:ascii="Arial"/>
                <w:color w:val="auto"/>
                <w:sz w:val="21"/>
                <w:highlight w:val="none"/>
              </w:rPr>
            </w:pPr>
          </w:p>
        </w:tc>
      </w:tr>
      <w:tr w14:paraId="522E2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367" w:type="dxa"/>
            <w:gridSpan w:val="3"/>
            <w:tcBorders>
              <w:left w:val="single" w:color="000000" w:sz="6" w:space="0"/>
            </w:tcBorders>
            <w:vAlign w:val="top"/>
          </w:tcPr>
          <w:p w14:paraId="5DF773B6">
            <w:pPr>
              <w:pStyle w:val="17"/>
              <w:tabs>
                <w:tab w:val="left" w:pos="1006"/>
              </w:tabs>
              <w:spacing w:before="69" w:line="220" w:lineRule="auto"/>
              <w:ind w:left="287"/>
              <w:rPr>
                <w:color w:val="auto"/>
                <w:sz w:val="24"/>
                <w:szCs w:val="24"/>
                <w:highlight w:val="none"/>
              </w:rPr>
            </w:pPr>
            <w:r>
              <w:rPr>
                <w:color w:val="auto"/>
                <w:sz w:val="24"/>
                <w:szCs w:val="24"/>
                <w:highlight w:val="none"/>
                <w:u w:val="single" w:color="auto"/>
              </w:rPr>
              <w:tab/>
            </w:r>
            <w:r>
              <w:rPr>
                <w:color w:val="auto"/>
                <w:spacing w:val="-110"/>
                <w:sz w:val="24"/>
                <w:szCs w:val="24"/>
                <w:highlight w:val="none"/>
              </w:rPr>
              <w:t xml:space="preserve"> </w:t>
            </w:r>
            <w:r>
              <w:rPr>
                <w:color w:val="auto"/>
                <w:sz w:val="24"/>
                <w:szCs w:val="24"/>
                <w:highlight w:val="none"/>
              </w:rPr>
              <w:t>年</w:t>
            </w:r>
          </w:p>
        </w:tc>
        <w:tc>
          <w:tcPr>
            <w:tcW w:w="2266" w:type="dxa"/>
            <w:gridSpan w:val="2"/>
            <w:vAlign w:val="top"/>
          </w:tcPr>
          <w:p w14:paraId="306D50FB">
            <w:pPr>
              <w:rPr>
                <w:rFonts w:ascii="Arial"/>
                <w:color w:val="auto"/>
                <w:sz w:val="21"/>
                <w:highlight w:val="none"/>
              </w:rPr>
            </w:pPr>
          </w:p>
        </w:tc>
        <w:tc>
          <w:tcPr>
            <w:tcW w:w="4195" w:type="dxa"/>
            <w:gridSpan w:val="5"/>
            <w:vMerge w:val="continue"/>
            <w:tcBorders>
              <w:top w:val="nil"/>
              <w:bottom w:val="nil"/>
              <w:right w:val="single" w:color="000000" w:sz="6" w:space="0"/>
            </w:tcBorders>
            <w:vAlign w:val="top"/>
          </w:tcPr>
          <w:p w14:paraId="18CB4EE0">
            <w:pPr>
              <w:rPr>
                <w:rFonts w:ascii="Arial"/>
                <w:color w:val="auto"/>
                <w:sz w:val="21"/>
                <w:highlight w:val="none"/>
              </w:rPr>
            </w:pPr>
          </w:p>
        </w:tc>
      </w:tr>
      <w:tr w14:paraId="6C992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367" w:type="dxa"/>
            <w:gridSpan w:val="3"/>
            <w:tcBorders>
              <w:left w:val="single" w:color="000000" w:sz="6" w:space="0"/>
            </w:tcBorders>
            <w:vAlign w:val="top"/>
          </w:tcPr>
          <w:p w14:paraId="47FD8BC5">
            <w:pPr>
              <w:pStyle w:val="17"/>
              <w:tabs>
                <w:tab w:val="left" w:pos="1006"/>
              </w:tabs>
              <w:spacing w:before="70" w:line="220" w:lineRule="auto"/>
              <w:ind w:left="287"/>
              <w:rPr>
                <w:color w:val="auto"/>
                <w:sz w:val="24"/>
                <w:szCs w:val="24"/>
                <w:highlight w:val="none"/>
              </w:rPr>
            </w:pPr>
            <w:r>
              <w:rPr>
                <w:color w:val="auto"/>
                <w:sz w:val="24"/>
                <w:szCs w:val="24"/>
                <w:highlight w:val="none"/>
                <w:u w:val="single" w:color="auto"/>
              </w:rPr>
              <w:tab/>
            </w:r>
            <w:r>
              <w:rPr>
                <w:color w:val="auto"/>
                <w:spacing w:val="-110"/>
                <w:sz w:val="24"/>
                <w:szCs w:val="24"/>
                <w:highlight w:val="none"/>
              </w:rPr>
              <w:t xml:space="preserve"> </w:t>
            </w:r>
            <w:r>
              <w:rPr>
                <w:color w:val="auto"/>
                <w:sz w:val="24"/>
                <w:szCs w:val="24"/>
                <w:highlight w:val="none"/>
              </w:rPr>
              <w:t>年</w:t>
            </w:r>
          </w:p>
        </w:tc>
        <w:tc>
          <w:tcPr>
            <w:tcW w:w="2266" w:type="dxa"/>
            <w:gridSpan w:val="2"/>
            <w:vAlign w:val="top"/>
          </w:tcPr>
          <w:p w14:paraId="4DAFCC4B">
            <w:pPr>
              <w:rPr>
                <w:rFonts w:ascii="Arial"/>
                <w:color w:val="auto"/>
                <w:sz w:val="21"/>
                <w:highlight w:val="none"/>
              </w:rPr>
            </w:pPr>
          </w:p>
        </w:tc>
        <w:tc>
          <w:tcPr>
            <w:tcW w:w="4195" w:type="dxa"/>
            <w:gridSpan w:val="5"/>
            <w:vMerge w:val="continue"/>
            <w:tcBorders>
              <w:top w:val="nil"/>
              <w:right w:val="single" w:color="000000" w:sz="6" w:space="0"/>
            </w:tcBorders>
            <w:vAlign w:val="top"/>
          </w:tcPr>
          <w:p w14:paraId="09D8871C">
            <w:pPr>
              <w:rPr>
                <w:rFonts w:ascii="Arial"/>
                <w:color w:val="auto"/>
                <w:sz w:val="21"/>
                <w:highlight w:val="none"/>
              </w:rPr>
            </w:pPr>
          </w:p>
        </w:tc>
      </w:tr>
      <w:tr w14:paraId="33860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633" w:type="dxa"/>
            <w:gridSpan w:val="5"/>
            <w:tcBorders>
              <w:left w:val="single" w:color="000000" w:sz="6" w:space="0"/>
            </w:tcBorders>
            <w:vAlign w:val="top"/>
          </w:tcPr>
          <w:p w14:paraId="5DBAC5D4">
            <w:pPr>
              <w:pStyle w:val="17"/>
              <w:spacing w:before="73" w:line="220" w:lineRule="auto"/>
              <w:ind w:left="409"/>
              <w:rPr>
                <w:color w:val="auto"/>
                <w:sz w:val="24"/>
                <w:szCs w:val="24"/>
                <w:highlight w:val="none"/>
              </w:rPr>
            </w:pPr>
            <w:r>
              <w:rPr>
                <w:color w:val="auto"/>
                <w:spacing w:val="-3"/>
                <w:sz w:val="24"/>
                <w:szCs w:val="24"/>
                <w:highlight w:val="none"/>
              </w:rPr>
              <w:t>能承担的年最大建安工作量（万元）</w:t>
            </w:r>
          </w:p>
        </w:tc>
        <w:tc>
          <w:tcPr>
            <w:tcW w:w="4195" w:type="dxa"/>
            <w:gridSpan w:val="5"/>
            <w:tcBorders>
              <w:right w:val="single" w:color="000000" w:sz="6" w:space="0"/>
            </w:tcBorders>
            <w:vAlign w:val="top"/>
          </w:tcPr>
          <w:p w14:paraId="731D35FB">
            <w:pPr>
              <w:rPr>
                <w:rFonts w:ascii="Arial"/>
                <w:color w:val="auto"/>
                <w:sz w:val="21"/>
                <w:highlight w:val="none"/>
              </w:rPr>
            </w:pPr>
          </w:p>
        </w:tc>
      </w:tr>
      <w:tr w14:paraId="3ABBF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725" w:type="dxa"/>
            <w:gridSpan w:val="2"/>
            <w:tcBorders>
              <w:left w:val="single" w:color="000000" w:sz="6" w:space="0"/>
              <w:bottom w:val="single" w:color="000000" w:sz="6" w:space="0"/>
            </w:tcBorders>
            <w:vAlign w:val="top"/>
          </w:tcPr>
          <w:p w14:paraId="74EAC2DE">
            <w:pPr>
              <w:pStyle w:val="17"/>
              <w:spacing w:before="72" w:line="221" w:lineRule="auto"/>
              <w:ind w:left="508"/>
              <w:rPr>
                <w:color w:val="auto"/>
                <w:sz w:val="24"/>
                <w:szCs w:val="24"/>
                <w:highlight w:val="none"/>
              </w:rPr>
            </w:pPr>
            <w:r>
              <w:rPr>
                <w:color w:val="auto"/>
                <w:spacing w:val="-7"/>
                <w:sz w:val="24"/>
                <w:szCs w:val="24"/>
                <w:highlight w:val="none"/>
              </w:rPr>
              <w:t>备</w:t>
            </w:r>
            <w:r>
              <w:rPr>
                <w:color w:val="auto"/>
                <w:spacing w:val="5"/>
                <w:sz w:val="24"/>
                <w:szCs w:val="24"/>
                <w:highlight w:val="none"/>
              </w:rPr>
              <w:t xml:space="preserve">  </w:t>
            </w:r>
            <w:r>
              <w:rPr>
                <w:color w:val="auto"/>
                <w:spacing w:val="-7"/>
                <w:sz w:val="24"/>
                <w:szCs w:val="24"/>
                <w:highlight w:val="none"/>
              </w:rPr>
              <w:t>注</w:t>
            </w:r>
          </w:p>
        </w:tc>
        <w:tc>
          <w:tcPr>
            <w:tcW w:w="7103" w:type="dxa"/>
            <w:gridSpan w:val="8"/>
            <w:tcBorders>
              <w:bottom w:val="single" w:color="000000" w:sz="6" w:space="0"/>
              <w:right w:val="single" w:color="000000" w:sz="6" w:space="0"/>
            </w:tcBorders>
            <w:vAlign w:val="top"/>
          </w:tcPr>
          <w:p w14:paraId="0655EFD2">
            <w:pPr>
              <w:rPr>
                <w:rFonts w:ascii="Arial"/>
                <w:color w:val="auto"/>
                <w:sz w:val="21"/>
                <w:highlight w:val="none"/>
              </w:rPr>
            </w:pPr>
          </w:p>
        </w:tc>
      </w:tr>
    </w:tbl>
    <w:p w14:paraId="28660795">
      <w:pPr>
        <w:spacing w:before="35" w:line="219" w:lineRule="auto"/>
        <w:ind w:left="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注：</w:t>
      </w:r>
      <w:r>
        <w:rPr>
          <w:rFonts w:ascii="Times New Roman" w:hAnsi="Times New Roman" w:eastAsia="Times New Roman" w:cs="Times New Roman"/>
          <w:color w:val="auto"/>
          <w:spacing w:val="-2"/>
          <w:sz w:val="24"/>
          <w:szCs w:val="24"/>
          <w:highlight w:val="none"/>
        </w:rPr>
        <w:t xml:space="preserve">1.  </w:t>
      </w:r>
      <w:r>
        <w:rPr>
          <w:rFonts w:ascii="宋体" w:hAnsi="宋体" w:eastAsia="宋体" w:cs="宋体"/>
          <w:color w:val="auto"/>
          <w:spacing w:val="-2"/>
          <w:sz w:val="24"/>
          <w:szCs w:val="24"/>
          <w:highlight w:val="none"/>
        </w:rPr>
        <w:t>相关材料复制件在“原件的复制件”中提供。</w:t>
      </w:r>
    </w:p>
    <w:p w14:paraId="389F5254">
      <w:pPr>
        <w:spacing w:before="181" w:line="219" w:lineRule="auto"/>
        <w:ind w:left="485"/>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 xml:space="preserve">2.  </w:t>
      </w:r>
      <w:r>
        <w:rPr>
          <w:rFonts w:ascii="宋体" w:hAnsi="宋体" w:eastAsia="宋体" w:cs="宋体"/>
          <w:color w:val="auto"/>
          <w:spacing w:val="-2"/>
          <w:sz w:val="24"/>
          <w:szCs w:val="24"/>
          <w:highlight w:val="none"/>
        </w:rPr>
        <w:t>若投标人为联合体，联合体各成员单位分别填写本表。</w:t>
      </w:r>
    </w:p>
    <w:p w14:paraId="509DD43B">
      <w:pPr>
        <w:spacing w:line="219" w:lineRule="auto"/>
        <w:rPr>
          <w:rFonts w:ascii="宋体" w:hAnsi="宋体" w:eastAsia="宋体" w:cs="宋体"/>
          <w:color w:val="auto"/>
          <w:sz w:val="24"/>
          <w:szCs w:val="24"/>
          <w:highlight w:val="none"/>
        </w:rPr>
        <w:sectPr>
          <w:footerReference r:id="rId125" w:type="default"/>
          <w:pgSz w:w="11907" w:h="16841"/>
          <w:pgMar w:top="400" w:right="1473" w:bottom="1254" w:left="1588" w:header="0" w:footer="1093" w:gutter="0"/>
          <w:pgNumType w:fmt="decimal"/>
          <w:cols w:space="720" w:num="1"/>
        </w:sectPr>
      </w:pPr>
    </w:p>
    <w:p w14:paraId="55FE27C7">
      <w:pPr>
        <w:pStyle w:val="3"/>
        <w:spacing w:line="247" w:lineRule="auto"/>
        <w:rPr>
          <w:color w:val="auto"/>
          <w:highlight w:val="none"/>
        </w:rPr>
      </w:pPr>
    </w:p>
    <w:p w14:paraId="0C8A90CE">
      <w:pPr>
        <w:pStyle w:val="3"/>
        <w:spacing w:line="248" w:lineRule="auto"/>
        <w:rPr>
          <w:color w:val="auto"/>
          <w:highlight w:val="none"/>
        </w:rPr>
      </w:pPr>
    </w:p>
    <w:p w14:paraId="29A01D1A">
      <w:pPr>
        <w:pStyle w:val="3"/>
        <w:spacing w:line="248" w:lineRule="auto"/>
        <w:rPr>
          <w:color w:val="auto"/>
          <w:highlight w:val="none"/>
        </w:rPr>
      </w:pPr>
    </w:p>
    <w:p w14:paraId="2FCE9502">
      <w:pPr>
        <w:pStyle w:val="3"/>
        <w:spacing w:line="248" w:lineRule="auto"/>
        <w:rPr>
          <w:color w:val="auto"/>
          <w:highlight w:val="none"/>
        </w:rPr>
      </w:pPr>
    </w:p>
    <w:p w14:paraId="588ED73C">
      <w:pPr>
        <w:spacing w:before="78" w:line="220" w:lineRule="auto"/>
        <w:ind w:left="6"/>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4"/>
          <w:sz w:val="24"/>
          <w:szCs w:val="24"/>
          <w:highlight w:val="none"/>
        </w:rPr>
        <w:t>（二）近年财务状况</w:t>
      </w:r>
    </w:p>
    <w:p w14:paraId="52A9250C">
      <w:pPr>
        <w:spacing w:before="182" w:line="220" w:lineRule="auto"/>
        <w:ind w:left="3792"/>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4"/>
          <w:sz w:val="24"/>
          <w:szCs w:val="24"/>
          <w:highlight w:val="none"/>
        </w:rPr>
        <w:t>财务状况表</w:t>
      </w:r>
    </w:p>
    <w:p w14:paraId="1C5088CE">
      <w:pPr>
        <w:spacing w:line="144" w:lineRule="exact"/>
        <w:rPr>
          <w:strike/>
          <w:dstrike w:val="0"/>
          <w:color w:val="auto"/>
          <w:highlight w:val="none"/>
        </w:rPr>
      </w:pPr>
    </w:p>
    <w:tbl>
      <w:tblPr>
        <w:tblStyle w:val="16"/>
        <w:tblW w:w="877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99"/>
        <w:gridCol w:w="1160"/>
        <w:gridCol w:w="1802"/>
        <w:gridCol w:w="1804"/>
        <w:gridCol w:w="1811"/>
      </w:tblGrid>
      <w:tr w14:paraId="0EEE9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2199" w:type="dxa"/>
            <w:tcBorders>
              <w:top w:val="single" w:color="000000" w:sz="6" w:space="0"/>
              <w:left w:val="single" w:color="000000" w:sz="6" w:space="0"/>
            </w:tcBorders>
            <w:vAlign w:val="top"/>
          </w:tcPr>
          <w:p w14:paraId="7681B981">
            <w:pPr>
              <w:pStyle w:val="17"/>
              <w:spacing w:before="115" w:line="220" w:lineRule="auto"/>
              <w:ind w:left="624"/>
              <w:rPr>
                <w:strike/>
                <w:dstrike w:val="0"/>
                <w:color w:val="auto"/>
                <w:sz w:val="24"/>
                <w:szCs w:val="24"/>
                <w:highlight w:val="none"/>
              </w:rPr>
            </w:pPr>
            <w:r>
              <w:rPr>
                <w:strike/>
                <w:dstrike w:val="0"/>
                <w:color w:val="auto"/>
                <w:spacing w:val="-3"/>
                <w:sz w:val="24"/>
                <w:szCs w:val="24"/>
                <w:highlight w:val="none"/>
              </w:rPr>
              <w:t>项目名称</w:t>
            </w:r>
          </w:p>
        </w:tc>
        <w:tc>
          <w:tcPr>
            <w:tcW w:w="1160" w:type="dxa"/>
            <w:tcBorders>
              <w:top w:val="single" w:color="000000" w:sz="6" w:space="0"/>
            </w:tcBorders>
            <w:vAlign w:val="top"/>
          </w:tcPr>
          <w:p w14:paraId="0DE7BA72">
            <w:pPr>
              <w:pStyle w:val="17"/>
              <w:spacing w:before="115" w:line="220" w:lineRule="auto"/>
              <w:ind w:left="346"/>
              <w:rPr>
                <w:strike/>
                <w:dstrike w:val="0"/>
                <w:color w:val="auto"/>
                <w:sz w:val="24"/>
                <w:szCs w:val="24"/>
                <w:highlight w:val="none"/>
              </w:rPr>
            </w:pPr>
            <w:r>
              <w:rPr>
                <w:strike/>
                <w:dstrike w:val="0"/>
                <w:color w:val="auto"/>
                <w:spacing w:val="-3"/>
                <w:sz w:val="24"/>
                <w:szCs w:val="24"/>
                <w:highlight w:val="none"/>
              </w:rPr>
              <w:t>单位</w:t>
            </w:r>
          </w:p>
        </w:tc>
        <w:tc>
          <w:tcPr>
            <w:tcW w:w="1802" w:type="dxa"/>
            <w:tcBorders>
              <w:top w:val="single" w:color="000000" w:sz="6" w:space="0"/>
            </w:tcBorders>
            <w:vAlign w:val="top"/>
          </w:tcPr>
          <w:p w14:paraId="52674BF3">
            <w:pPr>
              <w:pStyle w:val="17"/>
              <w:tabs>
                <w:tab w:val="left" w:pos="1135"/>
              </w:tabs>
              <w:spacing w:before="114" w:line="220" w:lineRule="auto"/>
              <w:ind w:left="415"/>
              <w:rPr>
                <w:strike/>
                <w:dstrike w:val="0"/>
                <w:color w:val="auto"/>
                <w:sz w:val="24"/>
                <w:szCs w:val="24"/>
                <w:highlight w:val="none"/>
              </w:rPr>
            </w:pPr>
            <w:r>
              <w:rPr>
                <w:strike/>
                <w:dstrike w:val="0"/>
                <w:color w:val="auto"/>
                <w:sz w:val="24"/>
                <w:szCs w:val="24"/>
                <w:highlight w:val="none"/>
                <w:u w:val="single" w:color="auto"/>
              </w:rPr>
              <w:tab/>
            </w:r>
            <w:r>
              <w:rPr>
                <w:strike/>
                <w:dstrike w:val="0"/>
                <w:color w:val="auto"/>
                <w:spacing w:val="-109"/>
                <w:sz w:val="24"/>
                <w:szCs w:val="24"/>
                <w:highlight w:val="none"/>
              </w:rPr>
              <w:t xml:space="preserve"> </w:t>
            </w:r>
            <w:r>
              <w:rPr>
                <w:strike/>
                <w:dstrike w:val="0"/>
                <w:color w:val="auto"/>
                <w:sz w:val="24"/>
                <w:szCs w:val="24"/>
                <w:highlight w:val="none"/>
              </w:rPr>
              <w:t>年</w:t>
            </w:r>
          </w:p>
        </w:tc>
        <w:tc>
          <w:tcPr>
            <w:tcW w:w="1804" w:type="dxa"/>
            <w:tcBorders>
              <w:top w:val="single" w:color="000000" w:sz="6" w:space="0"/>
            </w:tcBorders>
            <w:vAlign w:val="top"/>
          </w:tcPr>
          <w:p w14:paraId="0875CA16">
            <w:pPr>
              <w:pStyle w:val="17"/>
              <w:tabs>
                <w:tab w:val="left" w:pos="1140"/>
              </w:tabs>
              <w:spacing w:before="114" w:line="220" w:lineRule="auto"/>
              <w:ind w:left="420"/>
              <w:rPr>
                <w:strike/>
                <w:dstrike w:val="0"/>
                <w:color w:val="auto"/>
                <w:sz w:val="24"/>
                <w:szCs w:val="24"/>
                <w:highlight w:val="none"/>
              </w:rPr>
            </w:pPr>
            <w:r>
              <w:rPr>
                <w:strike/>
                <w:dstrike w:val="0"/>
                <w:color w:val="auto"/>
                <w:sz w:val="24"/>
                <w:szCs w:val="24"/>
                <w:highlight w:val="none"/>
                <w:u w:val="single" w:color="auto"/>
              </w:rPr>
              <w:tab/>
            </w:r>
            <w:r>
              <w:rPr>
                <w:strike/>
                <w:dstrike w:val="0"/>
                <w:color w:val="auto"/>
                <w:spacing w:val="-109"/>
                <w:sz w:val="24"/>
                <w:szCs w:val="24"/>
                <w:highlight w:val="none"/>
              </w:rPr>
              <w:t xml:space="preserve"> </w:t>
            </w:r>
            <w:r>
              <w:rPr>
                <w:strike/>
                <w:dstrike w:val="0"/>
                <w:color w:val="auto"/>
                <w:sz w:val="24"/>
                <w:szCs w:val="24"/>
                <w:highlight w:val="none"/>
              </w:rPr>
              <w:t>年</w:t>
            </w:r>
          </w:p>
        </w:tc>
        <w:tc>
          <w:tcPr>
            <w:tcW w:w="1811" w:type="dxa"/>
            <w:tcBorders>
              <w:top w:val="single" w:color="000000" w:sz="6" w:space="0"/>
              <w:right w:val="single" w:color="000000" w:sz="6" w:space="0"/>
            </w:tcBorders>
            <w:vAlign w:val="top"/>
          </w:tcPr>
          <w:p w14:paraId="3989F1E6">
            <w:pPr>
              <w:pStyle w:val="17"/>
              <w:tabs>
                <w:tab w:val="left" w:pos="1140"/>
              </w:tabs>
              <w:spacing w:before="114" w:line="220" w:lineRule="auto"/>
              <w:ind w:left="421"/>
              <w:rPr>
                <w:strike/>
                <w:dstrike w:val="0"/>
                <w:color w:val="auto"/>
                <w:sz w:val="24"/>
                <w:szCs w:val="24"/>
                <w:highlight w:val="none"/>
              </w:rPr>
            </w:pPr>
            <w:r>
              <w:rPr>
                <w:strike/>
                <w:dstrike w:val="0"/>
                <w:color w:val="auto"/>
                <w:sz w:val="24"/>
                <w:szCs w:val="24"/>
                <w:highlight w:val="none"/>
                <w:u w:val="single" w:color="auto"/>
              </w:rPr>
              <w:tab/>
            </w:r>
            <w:r>
              <w:rPr>
                <w:strike/>
                <w:dstrike w:val="0"/>
                <w:color w:val="auto"/>
                <w:spacing w:val="-109"/>
                <w:sz w:val="24"/>
                <w:szCs w:val="24"/>
                <w:highlight w:val="none"/>
              </w:rPr>
              <w:t xml:space="preserve"> </w:t>
            </w:r>
            <w:r>
              <w:rPr>
                <w:strike/>
                <w:dstrike w:val="0"/>
                <w:color w:val="auto"/>
                <w:sz w:val="24"/>
                <w:szCs w:val="24"/>
                <w:highlight w:val="none"/>
              </w:rPr>
              <w:t>年</w:t>
            </w:r>
          </w:p>
        </w:tc>
      </w:tr>
      <w:tr w14:paraId="21461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23FBCABC">
            <w:pPr>
              <w:pStyle w:val="17"/>
              <w:spacing w:before="109" w:line="221" w:lineRule="auto"/>
              <w:ind w:left="115"/>
              <w:rPr>
                <w:strike/>
                <w:dstrike w:val="0"/>
                <w:color w:val="auto"/>
                <w:sz w:val="24"/>
                <w:szCs w:val="24"/>
                <w:highlight w:val="none"/>
              </w:rPr>
            </w:pPr>
            <w:r>
              <w:rPr>
                <w:strike/>
                <w:dstrike w:val="0"/>
                <w:color w:val="auto"/>
                <w:spacing w:val="-4"/>
                <w:sz w:val="24"/>
                <w:szCs w:val="24"/>
                <w:highlight w:val="none"/>
              </w:rPr>
              <w:t>一、注册资金</w:t>
            </w:r>
          </w:p>
        </w:tc>
        <w:tc>
          <w:tcPr>
            <w:tcW w:w="1160" w:type="dxa"/>
            <w:vAlign w:val="top"/>
          </w:tcPr>
          <w:p w14:paraId="618A9D50">
            <w:pPr>
              <w:rPr>
                <w:rFonts w:ascii="Arial"/>
                <w:strike/>
                <w:dstrike w:val="0"/>
                <w:color w:val="auto"/>
                <w:sz w:val="21"/>
                <w:highlight w:val="none"/>
              </w:rPr>
            </w:pPr>
          </w:p>
        </w:tc>
        <w:tc>
          <w:tcPr>
            <w:tcW w:w="1802" w:type="dxa"/>
            <w:vAlign w:val="top"/>
          </w:tcPr>
          <w:p w14:paraId="290515C3">
            <w:pPr>
              <w:rPr>
                <w:rFonts w:ascii="Arial"/>
                <w:strike/>
                <w:dstrike w:val="0"/>
                <w:color w:val="auto"/>
                <w:sz w:val="21"/>
                <w:highlight w:val="none"/>
              </w:rPr>
            </w:pPr>
          </w:p>
        </w:tc>
        <w:tc>
          <w:tcPr>
            <w:tcW w:w="1804" w:type="dxa"/>
            <w:vAlign w:val="top"/>
          </w:tcPr>
          <w:p w14:paraId="31AF2E51">
            <w:pPr>
              <w:rPr>
                <w:rFonts w:ascii="Arial"/>
                <w:strike/>
                <w:dstrike w:val="0"/>
                <w:color w:val="auto"/>
                <w:sz w:val="21"/>
                <w:highlight w:val="none"/>
              </w:rPr>
            </w:pPr>
          </w:p>
        </w:tc>
        <w:tc>
          <w:tcPr>
            <w:tcW w:w="1811" w:type="dxa"/>
            <w:tcBorders>
              <w:right w:val="single" w:color="000000" w:sz="6" w:space="0"/>
            </w:tcBorders>
            <w:vAlign w:val="top"/>
          </w:tcPr>
          <w:p w14:paraId="00B493B9">
            <w:pPr>
              <w:rPr>
                <w:rFonts w:ascii="Arial"/>
                <w:strike/>
                <w:dstrike w:val="0"/>
                <w:color w:val="auto"/>
                <w:sz w:val="21"/>
                <w:highlight w:val="none"/>
              </w:rPr>
            </w:pPr>
          </w:p>
        </w:tc>
      </w:tr>
      <w:tr w14:paraId="03B8B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4FBA4FBA">
            <w:pPr>
              <w:pStyle w:val="17"/>
              <w:spacing w:before="112" w:line="220" w:lineRule="auto"/>
              <w:ind w:left="115"/>
              <w:rPr>
                <w:strike/>
                <w:dstrike w:val="0"/>
                <w:color w:val="auto"/>
                <w:sz w:val="24"/>
                <w:szCs w:val="24"/>
                <w:highlight w:val="none"/>
              </w:rPr>
            </w:pPr>
            <w:r>
              <w:rPr>
                <w:strike/>
                <w:dstrike w:val="0"/>
                <w:color w:val="auto"/>
                <w:spacing w:val="-3"/>
                <w:sz w:val="24"/>
                <w:szCs w:val="24"/>
                <w:highlight w:val="none"/>
              </w:rPr>
              <w:t>二、净资产</w:t>
            </w:r>
          </w:p>
        </w:tc>
        <w:tc>
          <w:tcPr>
            <w:tcW w:w="1160" w:type="dxa"/>
            <w:vAlign w:val="top"/>
          </w:tcPr>
          <w:p w14:paraId="6C25E075">
            <w:pPr>
              <w:rPr>
                <w:rFonts w:ascii="Arial"/>
                <w:strike/>
                <w:dstrike w:val="0"/>
                <w:color w:val="auto"/>
                <w:sz w:val="21"/>
                <w:highlight w:val="none"/>
              </w:rPr>
            </w:pPr>
          </w:p>
        </w:tc>
        <w:tc>
          <w:tcPr>
            <w:tcW w:w="1802" w:type="dxa"/>
            <w:vAlign w:val="top"/>
          </w:tcPr>
          <w:p w14:paraId="31D47E30">
            <w:pPr>
              <w:rPr>
                <w:rFonts w:ascii="Arial"/>
                <w:strike/>
                <w:dstrike w:val="0"/>
                <w:color w:val="auto"/>
                <w:sz w:val="21"/>
                <w:highlight w:val="none"/>
              </w:rPr>
            </w:pPr>
          </w:p>
        </w:tc>
        <w:tc>
          <w:tcPr>
            <w:tcW w:w="1804" w:type="dxa"/>
            <w:vAlign w:val="top"/>
          </w:tcPr>
          <w:p w14:paraId="17F95FA6">
            <w:pPr>
              <w:rPr>
                <w:rFonts w:ascii="Arial"/>
                <w:strike/>
                <w:dstrike w:val="0"/>
                <w:color w:val="auto"/>
                <w:sz w:val="21"/>
                <w:highlight w:val="none"/>
              </w:rPr>
            </w:pPr>
          </w:p>
        </w:tc>
        <w:tc>
          <w:tcPr>
            <w:tcW w:w="1811" w:type="dxa"/>
            <w:tcBorders>
              <w:right w:val="single" w:color="000000" w:sz="6" w:space="0"/>
            </w:tcBorders>
            <w:vAlign w:val="top"/>
          </w:tcPr>
          <w:p w14:paraId="238FBE90">
            <w:pPr>
              <w:rPr>
                <w:rFonts w:ascii="Arial"/>
                <w:strike/>
                <w:dstrike w:val="0"/>
                <w:color w:val="auto"/>
                <w:sz w:val="21"/>
                <w:highlight w:val="none"/>
              </w:rPr>
            </w:pPr>
          </w:p>
        </w:tc>
      </w:tr>
      <w:tr w14:paraId="6EFDF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49531682">
            <w:pPr>
              <w:pStyle w:val="17"/>
              <w:spacing w:before="113" w:line="220" w:lineRule="auto"/>
              <w:ind w:left="111"/>
              <w:rPr>
                <w:strike/>
                <w:dstrike w:val="0"/>
                <w:color w:val="auto"/>
                <w:sz w:val="24"/>
                <w:szCs w:val="24"/>
                <w:highlight w:val="none"/>
              </w:rPr>
            </w:pPr>
            <w:r>
              <w:rPr>
                <w:strike/>
                <w:dstrike w:val="0"/>
                <w:color w:val="auto"/>
                <w:spacing w:val="-2"/>
                <w:sz w:val="24"/>
                <w:szCs w:val="24"/>
                <w:highlight w:val="none"/>
              </w:rPr>
              <w:t>三、总资产</w:t>
            </w:r>
          </w:p>
        </w:tc>
        <w:tc>
          <w:tcPr>
            <w:tcW w:w="1160" w:type="dxa"/>
            <w:vAlign w:val="top"/>
          </w:tcPr>
          <w:p w14:paraId="4822D796">
            <w:pPr>
              <w:rPr>
                <w:rFonts w:ascii="Arial"/>
                <w:strike/>
                <w:dstrike w:val="0"/>
                <w:color w:val="auto"/>
                <w:sz w:val="21"/>
                <w:highlight w:val="none"/>
              </w:rPr>
            </w:pPr>
          </w:p>
        </w:tc>
        <w:tc>
          <w:tcPr>
            <w:tcW w:w="1802" w:type="dxa"/>
            <w:vAlign w:val="top"/>
          </w:tcPr>
          <w:p w14:paraId="3D70A788">
            <w:pPr>
              <w:rPr>
                <w:rFonts w:ascii="Arial"/>
                <w:strike/>
                <w:dstrike w:val="0"/>
                <w:color w:val="auto"/>
                <w:sz w:val="21"/>
                <w:highlight w:val="none"/>
              </w:rPr>
            </w:pPr>
          </w:p>
        </w:tc>
        <w:tc>
          <w:tcPr>
            <w:tcW w:w="1804" w:type="dxa"/>
            <w:vAlign w:val="top"/>
          </w:tcPr>
          <w:p w14:paraId="5EFA059D">
            <w:pPr>
              <w:rPr>
                <w:rFonts w:ascii="Arial"/>
                <w:strike/>
                <w:dstrike w:val="0"/>
                <w:color w:val="auto"/>
                <w:sz w:val="21"/>
                <w:highlight w:val="none"/>
              </w:rPr>
            </w:pPr>
          </w:p>
        </w:tc>
        <w:tc>
          <w:tcPr>
            <w:tcW w:w="1811" w:type="dxa"/>
            <w:tcBorders>
              <w:right w:val="single" w:color="000000" w:sz="6" w:space="0"/>
            </w:tcBorders>
            <w:vAlign w:val="top"/>
          </w:tcPr>
          <w:p w14:paraId="39E8CA2C">
            <w:pPr>
              <w:rPr>
                <w:rFonts w:ascii="Arial"/>
                <w:strike/>
                <w:dstrike w:val="0"/>
                <w:color w:val="auto"/>
                <w:sz w:val="21"/>
                <w:highlight w:val="none"/>
              </w:rPr>
            </w:pPr>
          </w:p>
        </w:tc>
      </w:tr>
      <w:tr w14:paraId="23324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02CBAA71">
            <w:pPr>
              <w:pStyle w:val="17"/>
              <w:spacing w:before="112" w:line="220" w:lineRule="auto"/>
              <w:ind w:left="134"/>
              <w:rPr>
                <w:strike/>
                <w:dstrike w:val="0"/>
                <w:color w:val="auto"/>
                <w:sz w:val="24"/>
                <w:szCs w:val="24"/>
                <w:highlight w:val="none"/>
              </w:rPr>
            </w:pPr>
            <w:r>
              <w:rPr>
                <w:strike/>
                <w:dstrike w:val="0"/>
                <w:color w:val="auto"/>
                <w:spacing w:val="-5"/>
                <w:sz w:val="24"/>
                <w:szCs w:val="24"/>
                <w:highlight w:val="none"/>
              </w:rPr>
              <w:t>四、固定资产</w:t>
            </w:r>
          </w:p>
        </w:tc>
        <w:tc>
          <w:tcPr>
            <w:tcW w:w="1160" w:type="dxa"/>
            <w:vAlign w:val="top"/>
          </w:tcPr>
          <w:p w14:paraId="72EE7E75">
            <w:pPr>
              <w:rPr>
                <w:rFonts w:ascii="Arial"/>
                <w:strike/>
                <w:dstrike w:val="0"/>
                <w:color w:val="auto"/>
                <w:sz w:val="21"/>
                <w:highlight w:val="none"/>
              </w:rPr>
            </w:pPr>
          </w:p>
        </w:tc>
        <w:tc>
          <w:tcPr>
            <w:tcW w:w="1802" w:type="dxa"/>
            <w:vAlign w:val="top"/>
          </w:tcPr>
          <w:p w14:paraId="03FC1367">
            <w:pPr>
              <w:rPr>
                <w:rFonts w:ascii="Arial"/>
                <w:strike/>
                <w:dstrike w:val="0"/>
                <w:color w:val="auto"/>
                <w:sz w:val="21"/>
                <w:highlight w:val="none"/>
              </w:rPr>
            </w:pPr>
          </w:p>
        </w:tc>
        <w:tc>
          <w:tcPr>
            <w:tcW w:w="1804" w:type="dxa"/>
            <w:vAlign w:val="top"/>
          </w:tcPr>
          <w:p w14:paraId="75C765DB">
            <w:pPr>
              <w:rPr>
                <w:rFonts w:ascii="Arial"/>
                <w:strike/>
                <w:dstrike w:val="0"/>
                <w:color w:val="auto"/>
                <w:sz w:val="21"/>
                <w:highlight w:val="none"/>
              </w:rPr>
            </w:pPr>
          </w:p>
        </w:tc>
        <w:tc>
          <w:tcPr>
            <w:tcW w:w="1811" w:type="dxa"/>
            <w:tcBorders>
              <w:right w:val="single" w:color="000000" w:sz="6" w:space="0"/>
            </w:tcBorders>
            <w:vAlign w:val="top"/>
          </w:tcPr>
          <w:p w14:paraId="1289D24E">
            <w:pPr>
              <w:rPr>
                <w:rFonts w:ascii="Arial"/>
                <w:strike/>
                <w:dstrike w:val="0"/>
                <w:color w:val="auto"/>
                <w:sz w:val="21"/>
                <w:highlight w:val="none"/>
              </w:rPr>
            </w:pPr>
          </w:p>
        </w:tc>
      </w:tr>
      <w:tr w14:paraId="688C1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2199" w:type="dxa"/>
            <w:tcBorders>
              <w:left w:val="single" w:color="000000" w:sz="6" w:space="0"/>
            </w:tcBorders>
            <w:vAlign w:val="top"/>
          </w:tcPr>
          <w:p w14:paraId="12085D90">
            <w:pPr>
              <w:pStyle w:val="17"/>
              <w:spacing w:before="116" w:line="220" w:lineRule="auto"/>
              <w:ind w:left="115"/>
              <w:rPr>
                <w:strike/>
                <w:dstrike w:val="0"/>
                <w:color w:val="auto"/>
                <w:sz w:val="24"/>
                <w:szCs w:val="24"/>
                <w:highlight w:val="none"/>
              </w:rPr>
            </w:pPr>
            <w:r>
              <w:rPr>
                <w:strike/>
                <w:dstrike w:val="0"/>
                <w:color w:val="auto"/>
                <w:spacing w:val="-2"/>
                <w:sz w:val="24"/>
                <w:szCs w:val="24"/>
                <w:highlight w:val="none"/>
              </w:rPr>
              <w:t>五、流动资产</w:t>
            </w:r>
          </w:p>
        </w:tc>
        <w:tc>
          <w:tcPr>
            <w:tcW w:w="1160" w:type="dxa"/>
            <w:vAlign w:val="top"/>
          </w:tcPr>
          <w:p w14:paraId="7C0A0814">
            <w:pPr>
              <w:rPr>
                <w:rFonts w:ascii="Arial"/>
                <w:strike/>
                <w:dstrike w:val="0"/>
                <w:color w:val="auto"/>
                <w:sz w:val="21"/>
                <w:highlight w:val="none"/>
              </w:rPr>
            </w:pPr>
          </w:p>
        </w:tc>
        <w:tc>
          <w:tcPr>
            <w:tcW w:w="1802" w:type="dxa"/>
            <w:vAlign w:val="top"/>
          </w:tcPr>
          <w:p w14:paraId="296FD2A8">
            <w:pPr>
              <w:rPr>
                <w:rFonts w:ascii="Arial"/>
                <w:strike/>
                <w:dstrike w:val="0"/>
                <w:color w:val="auto"/>
                <w:sz w:val="21"/>
                <w:highlight w:val="none"/>
              </w:rPr>
            </w:pPr>
          </w:p>
        </w:tc>
        <w:tc>
          <w:tcPr>
            <w:tcW w:w="1804" w:type="dxa"/>
            <w:vAlign w:val="top"/>
          </w:tcPr>
          <w:p w14:paraId="2C8EA705">
            <w:pPr>
              <w:rPr>
                <w:rFonts w:ascii="Arial"/>
                <w:strike/>
                <w:dstrike w:val="0"/>
                <w:color w:val="auto"/>
                <w:sz w:val="21"/>
                <w:highlight w:val="none"/>
              </w:rPr>
            </w:pPr>
          </w:p>
        </w:tc>
        <w:tc>
          <w:tcPr>
            <w:tcW w:w="1811" w:type="dxa"/>
            <w:tcBorders>
              <w:right w:val="single" w:color="000000" w:sz="6" w:space="0"/>
            </w:tcBorders>
            <w:vAlign w:val="top"/>
          </w:tcPr>
          <w:p w14:paraId="21CC3D22">
            <w:pPr>
              <w:rPr>
                <w:rFonts w:ascii="Arial"/>
                <w:strike/>
                <w:dstrike w:val="0"/>
                <w:color w:val="auto"/>
                <w:sz w:val="21"/>
                <w:highlight w:val="none"/>
              </w:rPr>
            </w:pPr>
          </w:p>
        </w:tc>
      </w:tr>
      <w:tr w14:paraId="19789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43E321E9">
            <w:pPr>
              <w:pStyle w:val="17"/>
              <w:spacing w:before="115" w:line="220" w:lineRule="auto"/>
              <w:ind w:left="113"/>
              <w:rPr>
                <w:strike/>
                <w:dstrike w:val="0"/>
                <w:color w:val="auto"/>
                <w:sz w:val="24"/>
                <w:szCs w:val="24"/>
                <w:highlight w:val="none"/>
              </w:rPr>
            </w:pPr>
            <w:r>
              <w:rPr>
                <w:strike/>
                <w:dstrike w:val="0"/>
                <w:color w:val="auto"/>
                <w:spacing w:val="-2"/>
                <w:sz w:val="24"/>
                <w:szCs w:val="24"/>
                <w:highlight w:val="none"/>
              </w:rPr>
              <w:t>六、流动负债</w:t>
            </w:r>
          </w:p>
        </w:tc>
        <w:tc>
          <w:tcPr>
            <w:tcW w:w="1160" w:type="dxa"/>
            <w:vAlign w:val="top"/>
          </w:tcPr>
          <w:p w14:paraId="39A64C32">
            <w:pPr>
              <w:rPr>
                <w:rFonts w:ascii="Arial"/>
                <w:strike/>
                <w:dstrike w:val="0"/>
                <w:color w:val="auto"/>
                <w:sz w:val="21"/>
                <w:highlight w:val="none"/>
              </w:rPr>
            </w:pPr>
          </w:p>
        </w:tc>
        <w:tc>
          <w:tcPr>
            <w:tcW w:w="1802" w:type="dxa"/>
            <w:vAlign w:val="top"/>
          </w:tcPr>
          <w:p w14:paraId="08434A81">
            <w:pPr>
              <w:rPr>
                <w:rFonts w:ascii="Arial"/>
                <w:strike/>
                <w:dstrike w:val="0"/>
                <w:color w:val="auto"/>
                <w:sz w:val="21"/>
                <w:highlight w:val="none"/>
              </w:rPr>
            </w:pPr>
          </w:p>
        </w:tc>
        <w:tc>
          <w:tcPr>
            <w:tcW w:w="1804" w:type="dxa"/>
            <w:vAlign w:val="top"/>
          </w:tcPr>
          <w:p w14:paraId="1FEA9D7E">
            <w:pPr>
              <w:rPr>
                <w:rFonts w:ascii="Arial"/>
                <w:strike/>
                <w:dstrike w:val="0"/>
                <w:color w:val="auto"/>
                <w:sz w:val="21"/>
                <w:highlight w:val="none"/>
              </w:rPr>
            </w:pPr>
          </w:p>
        </w:tc>
        <w:tc>
          <w:tcPr>
            <w:tcW w:w="1811" w:type="dxa"/>
            <w:tcBorders>
              <w:right w:val="single" w:color="000000" w:sz="6" w:space="0"/>
            </w:tcBorders>
            <w:vAlign w:val="top"/>
          </w:tcPr>
          <w:p w14:paraId="0EFF5FE9">
            <w:pPr>
              <w:rPr>
                <w:rFonts w:ascii="Arial"/>
                <w:strike/>
                <w:dstrike w:val="0"/>
                <w:color w:val="auto"/>
                <w:sz w:val="21"/>
                <w:highlight w:val="none"/>
              </w:rPr>
            </w:pPr>
          </w:p>
        </w:tc>
      </w:tr>
      <w:tr w14:paraId="3B4F9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7AEBFB59">
            <w:pPr>
              <w:pStyle w:val="17"/>
              <w:spacing w:before="119" w:line="220" w:lineRule="auto"/>
              <w:ind w:left="110"/>
              <w:rPr>
                <w:strike/>
                <w:dstrike w:val="0"/>
                <w:color w:val="auto"/>
                <w:sz w:val="24"/>
                <w:szCs w:val="24"/>
                <w:highlight w:val="none"/>
              </w:rPr>
            </w:pPr>
            <w:r>
              <w:rPr>
                <w:strike/>
                <w:dstrike w:val="0"/>
                <w:color w:val="auto"/>
                <w:spacing w:val="-2"/>
                <w:sz w:val="24"/>
                <w:szCs w:val="24"/>
                <w:highlight w:val="none"/>
              </w:rPr>
              <w:t>七、负债合计</w:t>
            </w:r>
          </w:p>
        </w:tc>
        <w:tc>
          <w:tcPr>
            <w:tcW w:w="1160" w:type="dxa"/>
            <w:vAlign w:val="top"/>
          </w:tcPr>
          <w:p w14:paraId="3169EFD3">
            <w:pPr>
              <w:rPr>
                <w:rFonts w:ascii="Arial"/>
                <w:strike/>
                <w:dstrike w:val="0"/>
                <w:color w:val="auto"/>
                <w:sz w:val="21"/>
                <w:highlight w:val="none"/>
              </w:rPr>
            </w:pPr>
          </w:p>
        </w:tc>
        <w:tc>
          <w:tcPr>
            <w:tcW w:w="1802" w:type="dxa"/>
            <w:vAlign w:val="top"/>
          </w:tcPr>
          <w:p w14:paraId="7BDE4FDF">
            <w:pPr>
              <w:rPr>
                <w:rFonts w:ascii="Arial"/>
                <w:strike/>
                <w:dstrike w:val="0"/>
                <w:color w:val="auto"/>
                <w:sz w:val="21"/>
                <w:highlight w:val="none"/>
              </w:rPr>
            </w:pPr>
          </w:p>
        </w:tc>
        <w:tc>
          <w:tcPr>
            <w:tcW w:w="1804" w:type="dxa"/>
            <w:vAlign w:val="top"/>
          </w:tcPr>
          <w:p w14:paraId="0B1769DB">
            <w:pPr>
              <w:rPr>
                <w:rFonts w:ascii="Arial"/>
                <w:strike/>
                <w:dstrike w:val="0"/>
                <w:color w:val="auto"/>
                <w:sz w:val="21"/>
                <w:highlight w:val="none"/>
              </w:rPr>
            </w:pPr>
          </w:p>
        </w:tc>
        <w:tc>
          <w:tcPr>
            <w:tcW w:w="1811" w:type="dxa"/>
            <w:tcBorders>
              <w:right w:val="single" w:color="000000" w:sz="6" w:space="0"/>
            </w:tcBorders>
            <w:vAlign w:val="top"/>
          </w:tcPr>
          <w:p w14:paraId="58544367">
            <w:pPr>
              <w:rPr>
                <w:rFonts w:ascii="Arial"/>
                <w:strike/>
                <w:dstrike w:val="0"/>
                <w:color w:val="auto"/>
                <w:sz w:val="21"/>
                <w:highlight w:val="none"/>
              </w:rPr>
            </w:pPr>
          </w:p>
        </w:tc>
      </w:tr>
      <w:tr w14:paraId="5FF26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2199" w:type="dxa"/>
            <w:tcBorders>
              <w:left w:val="single" w:color="000000" w:sz="6" w:space="0"/>
            </w:tcBorders>
            <w:vAlign w:val="top"/>
          </w:tcPr>
          <w:p w14:paraId="39AA9834">
            <w:pPr>
              <w:pStyle w:val="17"/>
              <w:spacing w:before="118" w:line="220" w:lineRule="auto"/>
              <w:ind w:left="115"/>
              <w:rPr>
                <w:strike/>
                <w:dstrike w:val="0"/>
                <w:color w:val="auto"/>
                <w:sz w:val="24"/>
                <w:szCs w:val="24"/>
                <w:highlight w:val="none"/>
              </w:rPr>
            </w:pPr>
            <w:r>
              <w:rPr>
                <w:strike/>
                <w:dstrike w:val="0"/>
                <w:color w:val="auto"/>
                <w:spacing w:val="-2"/>
                <w:sz w:val="24"/>
                <w:szCs w:val="24"/>
                <w:highlight w:val="none"/>
              </w:rPr>
              <w:t>八、营业收入</w:t>
            </w:r>
          </w:p>
        </w:tc>
        <w:tc>
          <w:tcPr>
            <w:tcW w:w="1160" w:type="dxa"/>
            <w:vAlign w:val="top"/>
          </w:tcPr>
          <w:p w14:paraId="4FC61B12">
            <w:pPr>
              <w:rPr>
                <w:rFonts w:ascii="Arial"/>
                <w:strike/>
                <w:dstrike w:val="0"/>
                <w:color w:val="auto"/>
                <w:sz w:val="21"/>
                <w:highlight w:val="none"/>
              </w:rPr>
            </w:pPr>
          </w:p>
        </w:tc>
        <w:tc>
          <w:tcPr>
            <w:tcW w:w="1802" w:type="dxa"/>
            <w:vAlign w:val="top"/>
          </w:tcPr>
          <w:p w14:paraId="3B797C72">
            <w:pPr>
              <w:rPr>
                <w:rFonts w:ascii="Arial"/>
                <w:strike/>
                <w:dstrike w:val="0"/>
                <w:color w:val="auto"/>
                <w:sz w:val="21"/>
                <w:highlight w:val="none"/>
              </w:rPr>
            </w:pPr>
          </w:p>
        </w:tc>
        <w:tc>
          <w:tcPr>
            <w:tcW w:w="1804" w:type="dxa"/>
            <w:vAlign w:val="top"/>
          </w:tcPr>
          <w:p w14:paraId="702A4737">
            <w:pPr>
              <w:rPr>
                <w:rFonts w:ascii="Arial"/>
                <w:strike/>
                <w:dstrike w:val="0"/>
                <w:color w:val="auto"/>
                <w:sz w:val="21"/>
                <w:highlight w:val="none"/>
              </w:rPr>
            </w:pPr>
          </w:p>
        </w:tc>
        <w:tc>
          <w:tcPr>
            <w:tcW w:w="1811" w:type="dxa"/>
            <w:tcBorders>
              <w:right w:val="single" w:color="000000" w:sz="6" w:space="0"/>
            </w:tcBorders>
            <w:vAlign w:val="top"/>
          </w:tcPr>
          <w:p w14:paraId="4A76EFA3">
            <w:pPr>
              <w:rPr>
                <w:rFonts w:ascii="Arial"/>
                <w:strike/>
                <w:dstrike w:val="0"/>
                <w:color w:val="auto"/>
                <w:sz w:val="21"/>
                <w:highlight w:val="none"/>
              </w:rPr>
            </w:pPr>
          </w:p>
        </w:tc>
      </w:tr>
      <w:tr w14:paraId="4B257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2199" w:type="dxa"/>
            <w:tcBorders>
              <w:left w:val="single" w:color="000000" w:sz="6" w:space="0"/>
            </w:tcBorders>
            <w:vAlign w:val="top"/>
          </w:tcPr>
          <w:p w14:paraId="7054F772">
            <w:pPr>
              <w:pStyle w:val="17"/>
              <w:spacing w:before="123" w:line="220" w:lineRule="auto"/>
              <w:ind w:left="117"/>
              <w:rPr>
                <w:strike/>
                <w:dstrike w:val="0"/>
                <w:color w:val="auto"/>
                <w:sz w:val="24"/>
                <w:szCs w:val="24"/>
                <w:highlight w:val="none"/>
              </w:rPr>
            </w:pPr>
            <w:r>
              <w:rPr>
                <w:strike/>
                <w:dstrike w:val="0"/>
                <w:color w:val="auto"/>
                <w:spacing w:val="-3"/>
                <w:sz w:val="24"/>
                <w:szCs w:val="24"/>
                <w:highlight w:val="none"/>
              </w:rPr>
              <w:t>九、净利润</w:t>
            </w:r>
          </w:p>
        </w:tc>
        <w:tc>
          <w:tcPr>
            <w:tcW w:w="1160" w:type="dxa"/>
            <w:vAlign w:val="top"/>
          </w:tcPr>
          <w:p w14:paraId="0FC3B112">
            <w:pPr>
              <w:rPr>
                <w:rFonts w:ascii="Arial"/>
                <w:strike/>
                <w:dstrike w:val="0"/>
                <w:color w:val="auto"/>
                <w:sz w:val="21"/>
                <w:highlight w:val="none"/>
              </w:rPr>
            </w:pPr>
          </w:p>
        </w:tc>
        <w:tc>
          <w:tcPr>
            <w:tcW w:w="1802" w:type="dxa"/>
            <w:vAlign w:val="top"/>
          </w:tcPr>
          <w:p w14:paraId="4253796F">
            <w:pPr>
              <w:rPr>
                <w:rFonts w:ascii="Arial"/>
                <w:strike/>
                <w:dstrike w:val="0"/>
                <w:color w:val="auto"/>
                <w:sz w:val="21"/>
                <w:highlight w:val="none"/>
              </w:rPr>
            </w:pPr>
          </w:p>
        </w:tc>
        <w:tc>
          <w:tcPr>
            <w:tcW w:w="1804" w:type="dxa"/>
            <w:vAlign w:val="top"/>
          </w:tcPr>
          <w:p w14:paraId="124CB9C6">
            <w:pPr>
              <w:rPr>
                <w:rFonts w:ascii="Arial"/>
                <w:strike/>
                <w:dstrike w:val="0"/>
                <w:color w:val="auto"/>
                <w:sz w:val="21"/>
                <w:highlight w:val="none"/>
              </w:rPr>
            </w:pPr>
          </w:p>
        </w:tc>
        <w:tc>
          <w:tcPr>
            <w:tcW w:w="1811" w:type="dxa"/>
            <w:tcBorders>
              <w:right w:val="single" w:color="000000" w:sz="6" w:space="0"/>
            </w:tcBorders>
            <w:vAlign w:val="top"/>
          </w:tcPr>
          <w:p w14:paraId="14D94C1C">
            <w:pPr>
              <w:rPr>
                <w:rFonts w:ascii="Arial"/>
                <w:strike/>
                <w:dstrike w:val="0"/>
                <w:color w:val="auto"/>
                <w:sz w:val="21"/>
                <w:highlight w:val="none"/>
              </w:rPr>
            </w:pPr>
          </w:p>
        </w:tc>
      </w:tr>
      <w:tr w14:paraId="2533D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199" w:type="dxa"/>
            <w:tcBorders>
              <w:left w:val="single" w:color="000000" w:sz="6" w:space="0"/>
              <w:bottom w:val="single" w:color="000000" w:sz="6" w:space="0"/>
            </w:tcBorders>
            <w:vAlign w:val="top"/>
          </w:tcPr>
          <w:p w14:paraId="1DB19966">
            <w:pPr>
              <w:spacing w:line="244" w:lineRule="auto"/>
              <w:rPr>
                <w:rFonts w:ascii="Arial"/>
                <w:strike/>
                <w:dstrike w:val="0"/>
                <w:color w:val="auto"/>
                <w:sz w:val="21"/>
                <w:highlight w:val="none"/>
              </w:rPr>
            </w:pPr>
          </w:p>
          <w:p w14:paraId="19A9CD52">
            <w:pPr>
              <w:spacing w:before="69" w:line="74" w:lineRule="exact"/>
              <w:ind w:left="878"/>
              <w:rPr>
                <w:rFonts w:ascii="Times New Roman" w:hAnsi="Times New Roman" w:eastAsia="Times New Roman" w:cs="Times New Roman"/>
                <w:strike/>
                <w:dstrike w:val="0"/>
                <w:color w:val="auto"/>
                <w:sz w:val="24"/>
                <w:szCs w:val="24"/>
                <w:highlight w:val="none"/>
              </w:rPr>
            </w:pPr>
            <w:r>
              <w:rPr>
                <w:rFonts w:ascii="Times New Roman" w:hAnsi="Times New Roman" w:eastAsia="Times New Roman" w:cs="Times New Roman"/>
                <w:strike/>
                <w:dstrike w:val="0"/>
                <w:color w:val="auto"/>
                <w:spacing w:val="-7"/>
                <w:position w:val="-1"/>
                <w:sz w:val="24"/>
                <w:szCs w:val="24"/>
                <w:highlight w:val="none"/>
              </w:rPr>
              <w:t>……</w:t>
            </w:r>
          </w:p>
        </w:tc>
        <w:tc>
          <w:tcPr>
            <w:tcW w:w="1160" w:type="dxa"/>
            <w:tcBorders>
              <w:bottom w:val="single" w:color="000000" w:sz="6" w:space="0"/>
            </w:tcBorders>
            <w:vAlign w:val="top"/>
          </w:tcPr>
          <w:p w14:paraId="2C9E1D9E">
            <w:pPr>
              <w:rPr>
                <w:rFonts w:ascii="Arial"/>
                <w:strike/>
                <w:dstrike w:val="0"/>
                <w:color w:val="auto"/>
                <w:sz w:val="21"/>
                <w:highlight w:val="none"/>
              </w:rPr>
            </w:pPr>
          </w:p>
        </w:tc>
        <w:tc>
          <w:tcPr>
            <w:tcW w:w="1802" w:type="dxa"/>
            <w:tcBorders>
              <w:bottom w:val="single" w:color="000000" w:sz="6" w:space="0"/>
            </w:tcBorders>
            <w:vAlign w:val="top"/>
          </w:tcPr>
          <w:p w14:paraId="4E3C84FB">
            <w:pPr>
              <w:rPr>
                <w:rFonts w:ascii="Arial"/>
                <w:strike/>
                <w:dstrike w:val="0"/>
                <w:color w:val="auto"/>
                <w:sz w:val="21"/>
                <w:highlight w:val="none"/>
              </w:rPr>
            </w:pPr>
          </w:p>
        </w:tc>
        <w:tc>
          <w:tcPr>
            <w:tcW w:w="1804" w:type="dxa"/>
            <w:tcBorders>
              <w:bottom w:val="single" w:color="000000" w:sz="6" w:space="0"/>
            </w:tcBorders>
            <w:vAlign w:val="top"/>
          </w:tcPr>
          <w:p w14:paraId="64D4A564">
            <w:pPr>
              <w:rPr>
                <w:rFonts w:ascii="Arial"/>
                <w:strike/>
                <w:dstrike w:val="0"/>
                <w:color w:val="auto"/>
                <w:sz w:val="21"/>
                <w:highlight w:val="none"/>
              </w:rPr>
            </w:pPr>
          </w:p>
        </w:tc>
        <w:tc>
          <w:tcPr>
            <w:tcW w:w="1811" w:type="dxa"/>
            <w:tcBorders>
              <w:bottom w:val="single" w:color="000000" w:sz="6" w:space="0"/>
              <w:right w:val="single" w:color="000000" w:sz="6" w:space="0"/>
            </w:tcBorders>
            <w:vAlign w:val="top"/>
          </w:tcPr>
          <w:p w14:paraId="1F7B8535">
            <w:pPr>
              <w:rPr>
                <w:rFonts w:ascii="Arial"/>
                <w:strike/>
                <w:dstrike w:val="0"/>
                <w:color w:val="auto"/>
                <w:sz w:val="21"/>
                <w:highlight w:val="none"/>
              </w:rPr>
            </w:pPr>
          </w:p>
        </w:tc>
      </w:tr>
    </w:tbl>
    <w:p w14:paraId="5721BDC3">
      <w:pPr>
        <w:pStyle w:val="3"/>
        <w:spacing w:line="368" w:lineRule="auto"/>
        <w:rPr>
          <w:strike/>
          <w:dstrike w:val="0"/>
          <w:color w:val="auto"/>
          <w:highlight w:val="none"/>
        </w:rPr>
      </w:pPr>
    </w:p>
    <w:p w14:paraId="47253FDC">
      <w:pPr>
        <w:spacing w:before="78" w:line="219" w:lineRule="auto"/>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注：</w:t>
      </w:r>
      <w:r>
        <w:rPr>
          <w:rFonts w:ascii="Times New Roman" w:hAnsi="Times New Roman" w:eastAsia="Times New Roman" w:cs="Times New Roman"/>
          <w:strike/>
          <w:dstrike w:val="0"/>
          <w:color w:val="auto"/>
          <w:spacing w:val="-2"/>
          <w:sz w:val="24"/>
          <w:szCs w:val="24"/>
          <w:highlight w:val="none"/>
        </w:rPr>
        <w:t xml:space="preserve">1.  </w:t>
      </w:r>
      <w:r>
        <w:rPr>
          <w:rFonts w:ascii="宋体" w:hAnsi="宋体" w:eastAsia="宋体" w:cs="宋体"/>
          <w:strike/>
          <w:dstrike w:val="0"/>
          <w:color w:val="auto"/>
          <w:spacing w:val="-2"/>
          <w:sz w:val="24"/>
          <w:szCs w:val="24"/>
          <w:highlight w:val="none"/>
        </w:rPr>
        <w:t>若投标人为联合体，联合体各成员单位分别填写本表。</w:t>
      </w:r>
    </w:p>
    <w:p w14:paraId="1258B537">
      <w:pPr>
        <w:spacing w:before="120" w:line="219" w:lineRule="auto"/>
        <w:ind w:left="475"/>
        <w:rPr>
          <w:rFonts w:ascii="宋体" w:hAnsi="宋体" w:eastAsia="宋体" w:cs="宋体"/>
          <w:color w:val="auto"/>
          <w:sz w:val="24"/>
          <w:szCs w:val="24"/>
          <w:highlight w:val="none"/>
        </w:rPr>
      </w:pPr>
      <w:r>
        <w:rPr>
          <w:rFonts w:ascii="Times New Roman" w:hAnsi="Times New Roman" w:eastAsia="Times New Roman" w:cs="Times New Roman"/>
          <w:strike/>
          <w:dstrike w:val="0"/>
          <w:color w:val="auto"/>
          <w:spacing w:val="-3"/>
          <w:sz w:val="24"/>
          <w:szCs w:val="24"/>
          <w:highlight w:val="none"/>
        </w:rPr>
        <w:t xml:space="preserve">2.  </w:t>
      </w:r>
      <w:r>
        <w:rPr>
          <w:rFonts w:ascii="宋体" w:hAnsi="宋体" w:eastAsia="宋体" w:cs="宋体"/>
          <w:strike/>
          <w:dstrike w:val="0"/>
          <w:color w:val="auto"/>
          <w:spacing w:val="-3"/>
          <w:sz w:val="24"/>
          <w:szCs w:val="24"/>
          <w:highlight w:val="none"/>
        </w:rPr>
        <w:t>新建企业按实际发生年份提供。</w:t>
      </w:r>
    </w:p>
    <w:p w14:paraId="66156B14">
      <w:pPr>
        <w:spacing w:line="219" w:lineRule="auto"/>
        <w:rPr>
          <w:rFonts w:ascii="宋体" w:hAnsi="宋体" w:eastAsia="宋体" w:cs="宋体"/>
          <w:color w:val="auto"/>
          <w:sz w:val="24"/>
          <w:szCs w:val="24"/>
          <w:highlight w:val="none"/>
        </w:rPr>
        <w:sectPr>
          <w:footerReference r:id="rId126" w:type="default"/>
          <w:pgSz w:w="11907" w:h="16841"/>
          <w:pgMar w:top="400" w:right="1418" w:bottom="1254" w:left="1598" w:header="0" w:footer="1093" w:gutter="0"/>
          <w:pgNumType w:fmt="decimal"/>
          <w:cols w:space="720" w:num="1"/>
        </w:sectPr>
      </w:pPr>
    </w:p>
    <w:p w14:paraId="63A62F1D">
      <w:pPr>
        <w:pStyle w:val="3"/>
        <w:spacing w:line="247" w:lineRule="auto"/>
        <w:rPr>
          <w:color w:val="auto"/>
          <w:highlight w:val="none"/>
        </w:rPr>
      </w:pPr>
    </w:p>
    <w:p w14:paraId="71AD99E0">
      <w:pPr>
        <w:pStyle w:val="3"/>
        <w:spacing w:line="248" w:lineRule="auto"/>
        <w:rPr>
          <w:color w:val="auto"/>
          <w:highlight w:val="none"/>
        </w:rPr>
      </w:pPr>
    </w:p>
    <w:p w14:paraId="025044C7">
      <w:pPr>
        <w:pStyle w:val="3"/>
        <w:spacing w:line="248" w:lineRule="auto"/>
        <w:rPr>
          <w:color w:val="auto"/>
          <w:highlight w:val="none"/>
        </w:rPr>
      </w:pPr>
    </w:p>
    <w:p w14:paraId="318A9FAF">
      <w:pPr>
        <w:pStyle w:val="3"/>
        <w:spacing w:line="248" w:lineRule="auto"/>
        <w:rPr>
          <w:color w:val="auto"/>
          <w:highlight w:val="none"/>
        </w:rPr>
      </w:pPr>
    </w:p>
    <w:p w14:paraId="217030AE">
      <w:pPr>
        <w:spacing w:before="78" w:line="219" w:lineRule="auto"/>
        <w:ind w:left="15"/>
        <w:rPr>
          <w:rFonts w:ascii="宋体" w:hAnsi="宋体" w:eastAsia="宋体" w:cs="宋体"/>
          <w:color w:val="auto"/>
          <w:sz w:val="24"/>
          <w:szCs w:val="24"/>
          <w:highlight w:val="none"/>
        </w:rPr>
      </w:pPr>
      <w:r>
        <w:rPr>
          <w:rFonts w:ascii="宋体" w:hAnsi="宋体" w:eastAsia="宋体" w:cs="宋体"/>
          <w:b/>
          <w:bCs/>
          <w:color w:val="auto"/>
          <w:spacing w:val="-10"/>
          <w:sz w:val="24"/>
          <w:szCs w:val="24"/>
          <w:highlight w:val="none"/>
        </w:rPr>
        <w:t>（三）</w:t>
      </w:r>
      <w:r>
        <w:rPr>
          <w:rFonts w:ascii="宋体" w:hAnsi="宋体" w:eastAsia="宋体" w:cs="宋体"/>
          <w:color w:val="auto"/>
          <w:spacing w:val="-63"/>
          <w:sz w:val="24"/>
          <w:szCs w:val="24"/>
          <w:highlight w:val="none"/>
        </w:rPr>
        <w:t xml:space="preserve"> </w:t>
      </w:r>
      <w:r>
        <w:rPr>
          <w:rFonts w:ascii="宋体" w:hAnsi="宋体" w:eastAsia="宋体" w:cs="宋体"/>
          <w:b/>
          <w:bCs/>
          <w:color w:val="auto"/>
          <w:spacing w:val="-10"/>
          <w:sz w:val="24"/>
          <w:szCs w:val="24"/>
          <w:highlight w:val="none"/>
        </w:rPr>
        <w:t>项目管理机构</w:t>
      </w:r>
    </w:p>
    <w:p w14:paraId="1437633A">
      <w:pPr>
        <w:spacing w:before="303" w:line="219" w:lineRule="auto"/>
        <w:ind w:left="15"/>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  </w:t>
      </w:r>
      <w:r>
        <w:rPr>
          <w:rFonts w:ascii="宋体" w:hAnsi="宋体" w:eastAsia="宋体" w:cs="宋体"/>
          <w:b/>
          <w:bCs/>
          <w:color w:val="auto"/>
          <w:spacing w:val="-3"/>
          <w:sz w:val="24"/>
          <w:szCs w:val="24"/>
          <w:highlight w:val="none"/>
        </w:rPr>
        <w:t>项目管理机构组成表</w:t>
      </w:r>
    </w:p>
    <w:p w14:paraId="1B0BBC6C">
      <w:pPr>
        <w:spacing w:line="144" w:lineRule="exact"/>
        <w:rPr>
          <w:color w:val="auto"/>
          <w:highlight w:val="none"/>
        </w:rPr>
      </w:pPr>
    </w:p>
    <w:tbl>
      <w:tblPr>
        <w:tblStyle w:val="16"/>
        <w:tblW w:w="891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683"/>
        <w:gridCol w:w="838"/>
        <w:gridCol w:w="1363"/>
        <w:gridCol w:w="848"/>
        <w:gridCol w:w="1018"/>
        <w:gridCol w:w="1210"/>
        <w:gridCol w:w="1251"/>
        <w:gridCol w:w="1016"/>
      </w:tblGrid>
      <w:tr w14:paraId="01984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683" w:type="dxa"/>
            <w:vMerge w:val="restart"/>
            <w:tcBorders>
              <w:top w:val="single" w:color="000000" w:sz="6" w:space="0"/>
              <w:left w:val="single" w:color="000000" w:sz="6" w:space="0"/>
              <w:bottom w:val="nil"/>
            </w:tcBorders>
            <w:vAlign w:val="top"/>
          </w:tcPr>
          <w:p w14:paraId="151713DF">
            <w:pPr>
              <w:spacing w:line="336" w:lineRule="auto"/>
              <w:rPr>
                <w:rFonts w:ascii="Arial"/>
                <w:color w:val="auto"/>
                <w:sz w:val="21"/>
                <w:highlight w:val="none"/>
              </w:rPr>
            </w:pPr>
          </w:p>
          <w:p w14:paraId="79F8D563">
            <w:pPr>
              <w:pStyle w:val="17"/>
              <w:spacing w:before="78" w:line="220" w:lineRule="auto"/>
              <w:ind w:left="98"/>
              <w:rPr>
                <w:color w:val="auto"/>
                <w:sz w:val="24"/>
                <w:szCs w:val="24"/>
                <w:highlight w:val="none"/>
              </w:rPr>
            </w:pPr>
            <w:r>
              <w:rPr>
                <w:color w:val="auto"/>
                <w:spacing w:val="-3"/>
                <w:sz w:val="24"/>
                <w:szCs w:val="24"/>
                <w:highlight w:val="none"/>
              </w:rPr>
              <w:t>职务</w:t>
            </w:r>
          </w:p>
        </w:tc>
        <w:tc>
          <w:tcPr>
            <w:tcW w:w="683" w:type="dxa"/>
            <w:vMerge w:val="restart"/>
            <w:tcBorders>
              <w:top w:val="single" w:color="000000" w:sz="6" w:space="0"/>
              <w:bottom w:val="nil"/>
            </w:tcBorders>
            <w:vAlign w:val="top"/>
          </w:tcPr>
          <w:p w14:paraId="4014C581">
            <w:pPr>
              <w:spacing w:line="336" w:lineRule="auto"/>
              <w:rPr>
                <w:rFonts w:ascii="Arial"/>
                <w:color w:val="auto"/>
                <w:sz w:val="21"/>
                <w:highlight w:val="none"/>
              </w:rPr>
            </w:pPr>
          </w:p>
          <w:p w14:paraId="60DADE43">
            <w:pPr>
              <w:pStyle w:val="17"/>
              <w:spacing w:before="78" w:line="220" w:lineRule="auto"/>
              <w:ind w:left="101"/>
              <w:rPr>
                <w:color w:val="auto"/>
                <w:sz w:val="24"/>
                <w:szCs w:val="24"/>
                <w:highlight w:val="none"/>
              </w:rPr>
            </w:pPr>
            <w:r>
              <w:rPr>
                <w:color w:val="auto"/>
                <w:spacing w:val="-3"/>
                <w:sz w:val="24"/>
                <w:szCs w:val="24"/>
                <w:highlight w:val="none"/>
              </w:rPr>
              <w:t>姓名</w:t>
            </w:r>
          </w:p>
        </w:tc>
        <w:tc>
          <w:tcPr>
            <w:tcW w:w="838" w:type="dxa"/>
            <w:vMerge w:val="restart"/>
            <w:tcBorders>
              <w:top w:val="single" w:color="000000" w:sz="6" w:space="0"/>
              <w:bottom w:val="nil"/>
            </w:tcBorders>
            <w:vAlign w:val="top"/>
          </w:tcPr>
          <w:p w14:paraId="1C32852E">
            <w:pPr>
              <w:spacing w:line="336" w:lineRule="auto"/>
              <w:rPr>
                <w:rFonts w:ascii="Arial"/>
                <w:color w:val="auto"/>
                <w:sz w:val="21"/>
                <w:highlight w:val="none"/>
              </w:rPr>
            </w:pPr>
          </w:p>
          <w:p w14:paraId="3F546D22">
            <w:pPr>
              <w:pStyle w:val="17"/>
              <w:spacing w:before="78" w:line="222" w:lineRule="auto"/>
              <w:ind w:left="179"/>
              <w:rPr>
                <w:color w:val="auto"/>
                <w:sz w:val="24"/>
                <w:szCs w:val="24"/>
                <w:highlight w:val="none"/>
              </w:rPr>
            </w:pPr>
            <w:r>
              <w:rPr>
                <w:color w:val="auto"/>
                <w:spacing w:val="-3"/>
                <w:sz w:val="24"/>
                <w:szCs w:val="24"/>
                <w:highlight w:val="none"/>
              </w:rPr>
              <w:t>职称</w:t>
            </w:r>
          </w:p>
        </w:tc>
        <w:tc>
          <w:tcPr>
            <w:tcW w:w="5690" w:type="dxa"/>
            <w:gridSpan w:val="5"/>
            <w:tcBorders>
              <w:top w:val="single" w:color="000000" w:sz="6" w:space="0"/>
            </w:tcBorders>
            <w:vAlign w:val="top"/>
          </w:tcPr>
          <w:p w14:paraId="01DE5BEC">
            <w:pPr>
              <w:pStyle w:val="17"/>
              <w:spacing w:before="99" w:line="220" w:lineRule="auto"/>
              <w:ind w:left="1772"/>
              <w:rPr>
                <w:color w:val="auto"/>
                <w:sz w:val="24"/>
                <w:szCs w:val="24"/>
                <w:highlight w:val="none"/>
              </w:rPr>
            </w:pPr>
            <w:r>
              <w:rPr>
                <w:color w:val="auto"/>
                <w:spacing w:val="-1"/>
                <w:sz w:val="24"/>
                <w:szCs w:val="24"/>
                <w:highlight w:val="none"/>
              </w:rPr>
              <w:t>执业或职业资格证明</w:t>
            </w:r>
          </w:p>
        </w:tc>
        <w:tc>
          <w:tcPr>
            <w:tcW w:w="1016" w:type="dxa"/>
            <w:vMerge w:val="restart"/>
            <w:tcBorders>
              <w:top w:val="single" w:color="000000" w:sz="6" w:space="0"/>
              <w:bottom w:val="nil"/>
              <w:right w:val="single" w:color="000000" w:sz="6" w:space="0"/>
            </w:tcBorders>
            <w:vAlign w:val="top"/>
          </w:tcPr>
          <w:p w14:paraId="663B920E">
            <w:pPr>
              <w:spacing w:line="337" w:lineRule="auto"/>
              <w:rPr>
                <w:rFonts w:ascii="Arial"/>
                <w:color w:val="auto"/>
                <w:sz w:val="21"/>
                <w:highlight w:val="none"/>
              </w:rPr>
            </w:pPr>
          </w:p>
          <w:p w14:paraId="4373BF27">
            <w:pPr>
              <w:pStyle w:val="17"/>
              <w:spacing w:before="78" w:line="221" w:lineRule="auto"/>
              <w:ind w:left="277"/>
              <w:rPr>
                <w:color w:val="auto"/>
                <w:sz w:val="24"/>
                <w:szCs w:val="24"/>
                <w:highlight w:val="none"/>
              </w:rPr>
            </w:pPr>
            <w:r>
              <w:rPr>
                <w:color w:val="auto"/>
                <w:spacing w:val="-4"/>
                <w:sz w:val="24"/>
                <w:szCs w:val="24"/>
                <w:highlight w:val="none"/>
              </w:rPr>
              <w:t>备注</w:t>
            </w:r>
          </w:p>
        </w:tc>
      </w:tr>
      <w:tr w14:paraId="673AC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83" w:type="dxa"/>
            <w:vMerge w:val="continue"/>
            <w:tcBorders>
              <w:top w:val="nil"/>
              <w:left w:val="single" w:color="000000" w:sz="6" w:space="0"/>
            </w:tcBorders>
            <w:vAlign w:val="top"/>
          </w:tcPr>
          <w:p w14:paraId="0450BA34">
            <w:pPr>
              <w:rPr>
                <w:rFonts w:ascii="Arial"/>
                <w:color w:val="auto"/>
                <w:sz w:val="21"/>
                <w:highlight w:val="none"/>
              </w:rPr>
            </w:pPr>
          </w:p>
        </w:tc>
        <w:tc>
          <w:tcPr>
            <w:tcW w:w="683" w:type="dxa"/>
            <w:vMerge w:val="continue"/>
            <w:tcBorders>
              <w:top w:val="nil"/>
            </w:tcBorders>
            <w:vAlign w:val="top"/>
          </w:tcPr>
          <w:p w14:paraId="18AE5C29">
            <w:pPr>
              <w:rPr>
                <w:rFonts w:ascii="Arial"/>
                <w:color w:val="auto"/>
                <w:sz w:val="21"/>
                <w:highlight w:val="none"/>
              </w:rPr>
            </w:pPr>
          </w:p>
        </w:tc>
        <w:tc>
          <w:tcPr>
            <w:tcW w:w="838" w:type="dxa"/>
            <w:vMerge w:val="continue"/>
            <w:tcBorders>
              <w:top w:val="nil"/>
            </w:tcBorders>
            <w:vAlign w:val="top"/>
          </w:tcPr>
          <w:p w14:paraId="06346D00">
            <w:pPr>
              <w:rPr>
                <w:rFonts w:ascii="Arial"/>
                <w:color w:val="auto"/>
                <w:sz w:val="21"/>
                <w:highlight w:val="none"/>
              </w:rPr>
            </w:pPr>
          </w:p>
        </w:tc>
        <w:tc>
          <w:tcPr>
            <w:tcW w:w="1363" w:type="dxa"/>
            <w:vAlign w:val="top"/>
          </w:tcPr>
          <w:p w14:paraId="5B8535E1">
            <w:pPr>
              <w:pStyle w:val="17"/>
              <w:spacing w:before="115" w:line="219" w:lineRule="auto"/>
              <w:ind w:left="204"/>
              <w:rPr>
                <w:color w:val="auto"/>
                <w:sz w:val="24"/>
                <w:szCs w:val="24"/>
                <w:highlight w:val="none"/>
              </w:rPr>
            </w:pPr>
            <w:r>
              <w:rPr>
                <w:color w:val="auto"/>
                <w:spacing w:val="-2"/>
                <w:sz w:val="24"/>
                <w:szCs w:val="24"/>
                <w:highlight w:val="none"/>
              </w:rPr>
              <w:t>证书名称</w:t>
            </w:r>
          </w:p>
        </w:tc>
        <w:tc>
          <w:tcPr>
            <w:tcW w:w="848" w:type="dxa"/>
            <w:vAlign w:val="top"/>
          </w:tcPr>
          <w:p w14:paraId="2997B8C2">
            <w:pPr>
              <w:pStyle w:val="17"/>
              <w:spacing w:before="116" w:line="220" w:lineRule="auto"/>
              <w:ind w:left="192"/>
              <w:rPr>
                <w:color w:val="auto"/>
                <w:sz w:val="24"/>
                <w:szCs w:val="24"/>
                <w:highlight w:val="none"/>
              </w:rPr>
            </w:pPr>
            <w:r>
              <w:rPr>
                <w:color w:val="auto"/>
                <w:spacing w:val="-4"/>
                <w:sz w:val="24"/>
                <w:szCs w:val="24"/>
                <w:highlight w:val="none"/>
              </w:rPr>
              <w:t>级别</w:t>
            </w:r>
          </w:p>
        </w:tc>
        <w:tc>
          <w:tcPr>
            <w:tcW w:w="1018" w:type="dxa"/>
            <w:vAlign w:val="top"/>
          </w:tcPr>
          <w:p w14:paraId="7BF65460">
            <w:pPr>
              <w:pStyle w:val="17"/>
              <w:spacing w:before="116" w:line="221" w:lineRule="auto"/>
              <w:ind w:left="276"/>
              <w:rPr>
                <w:color w:val="auto"/>
                <w:sz w:val="24"/>
                <w:szCs w:val="24"/>
                <w:highlight w:val="none"/>
              </w:rPr>
            </w:pPr>
            <w:r>
              <w:rPr>
                <w:color w:val="auto"/>
                <w:spacing w:val="-3"/>
                <w:sz w:val="24"/>
                <w:szCs w:val="24"/>
                <w:highlight w:val="none"/>
              </w:rPr>
              <w:t>证号</w:t>
            </w:r>
          </w:p>
        </w:tc>
        <w:tc>
          <w:tcPr>
            <w:tcW w:w="1210" w:type="dxa"/>
            <w:vAlign w:val="top"/>
          </w:tcPr>
          <w:p w14:paraId="17EEA5F0">
            <w:pPr>
              <w:pStyle w:val="17"/>
              <w:spacing w:before="116" w:line="220" w:lineRule="auto"/>
              <w:ind w:left="375"/>
              <w:rPr>
                <w:color w:val="auto"/>
                <w:sz w:val="24"/>
                <w:szCs w:val="24"/>
                <w:highlight w:val="none"/>
              </w:rPr>
            </w:pPr>
            <w:r>
              <w:rPr>
                <w:color w:val="auto"/>
                <w:spacing w:val="-3"/>
                <w:sz w:val="24"/>
                <w:szCs w:val="24"/>
                <w:highlight w:val="none"/>
              </w:rPr>
              <w:t>专业</w:t>
            </w:r>
          </w:p>
        </w:tc>
        <w:tc>
          <w:tcPr>
            <w:tcW w:w="1251" w:type="dxa"/>
            <w:vAlign w:val="top"/>
          </w:tcPr>
          <w:p w14:paraId="228D0847">
            <w:pPr>
              <w:pStyle w:val="17"/>
              <w:spacing w:before="36" w:line="219" w:lineRule="auto"/>
              <w:ind w:left="159"/>
              <w:rPr>
                <w:color w:val="auto"/>
                <w:sz w:val="24"/>
                <w:szCs w:val="24"/>
                <w:highlight w:val="none"/>
              </w:rPr>
            </w:pPr>
            <w:r>
              <w:rPr>
                <w:color w:val="auto"/>
                <w:spacing w:val="-3"/>
                <w:sz w:val="24"/>
                <w:szCs w:val="24"/>
                <w:highlight w:val="none"/>
              </w:rPr>
              <w:t>社会保险</w:t>
            </w:r>
          </w:p>
          <w:p w14:paraId="6173231C">
            <w:pPr>
              <w:pStyle w:val="17"/>
              <w:spacing w:before="27" w:line="207" w:lineRule="auto"/>
              <w:ind w:left="156"/>
              <w:rPr>
                <w:color w:val="auto"/>
                <w:sz w:val="24"/>
                <w:szCs w:val="24"/>
                <w:highlight w:val="none"/>
              </w:rPr>
            </w:pPr>
            <w:r>
              <w:rPr>
                <w:color w:val="auto"/>
                <w:spacing w:val="-2"/>
                <w:sz w:val="24"/>
                <w:szCs w:val="24"/>
                <w:highlight w:val="none"/>
              </w:rPr>
              <w:t>缴纳情况</w:t>
            </w:r>
          </w:p>
        </w:tc>
        <w:tc>
          <w:tcPr>
            <w:tcW w:w="1016" w:type="dxa"/>
            <w:vMerge w:val="continue"/>
            <w:tcBorders>
              <w:top w:val="nil"/>
              <w:right w:val="single" w:color="000000" w:sz="6" w:space="0"/>
            </w:tcBorders>
            <w:vAlign w:val="top"/>
          </w:tcPr>
          <w:p w14:paraId="03D3EA24">
            <w:pPr>
              <w:rPr>
                <w:rFonts w:ascii="Arial"/>
                <w:color w:val="auto"/>
                <w:sz w:val="21"/>
                <w:highlight w:val="none"/>
              </w:rPr>
            </w:pPr>
          </w:p>
        </w:tc>
      </w:tr>
      <w:tr w14:paraId="0A317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683" w:type="dxa"/>
            <w:tcBorders>
              <w:left w:val="single" w:color="000000" w:sz="6" w:space="0"/>
            </w:tcBorders>
            <w:vAlign w:val="top"/>
          </w:tcPr>
          <w:p w14:paraId="70E5516A">
            <w:pPr>
              <w:rPr>
                <w:rFonts w:ascii="Arial"/>
                <w:color w:val="auto"/>
                <w:sz w:val="21"/>
                <w:highlight w:val="none"/>
              </w:rPr>
            </w:pPr>
          </w:p>
        </w:tc>
        <w:tc>
          <w:tcPr>
            <w:tcW w:w="683" w:type="dxa"/>
            <w:vAlign w:val="top"/>
          </w:tcPr>
          <w:p w14:paraId="09738E3D">
            <w:pPr>
              <w:rPr>
                <w:rFonts w:ascii="Arial"/>
                <w:color w:val="auto"/>
                <w:sz w:val="21"/>
                <w:highlight w:val="none"/>
              </w:rPr>
            </w:pPr>
          </w:p>
        </w:tc>
        <w:tc>
          <w:tcPr>
            <w:tcW w:w="838" w:type="dxa"/>
            <w:vAlign w:val="top"/>
          </w:tcPr>
          <w:p w14:paraId="369D9C38">
            <w:pPr>
              <w:rPr>
                <w:rFonts w:ascii="Arial"/>
                <w:color w:val="auto"/>
                <w:sz w:val="21"/>
                <w:highlight w:val="none"/>
              </w:rPr>
            </w:pPr>
          </w:p>
        </w:tc>
        <w:tc>
          <w:tcPr>
            <w:tcW w:w="1363" w:type="dxa"/>
            <w:vAlign w:val="top"/>
          </w:tcPr>
          <w:p w14:paraId="48E3301D">
            <w:pPr>
              <w:rPr>
                <w:rFonts w:ascii="Arial"/>
                <w:color w:val="auto"/>
                <w:sz w:val="21"/>
                <w:highlight w:val="none"/>
              </w:rPr>
            </w:pPr>
          </w:p>
        </w:tc>
        <w:tc>
          <w:tcPr>
            <w:tcW w:w="848" w:type="dxa"/>
            <w:vAlign w:val="top"/>
          </w:tcPr>
          <w:p w14:paraId="7CECF5DF">
            <w:pPr>
              <w:rPr>
                <w:rFonts w:ascii="Arial"/>
                <w:color w:val="auto"/>
                <w:sz w:val="21"/>
                <w:highlight w:val="none"/>
              </w:rPr>
            </w:pPr>
          </w:p>
        </w:tc>
        <w:tc>
          <w:tcPr>
            <w:tcW w:w="1018" w:type="dxa"/>
            <w:vAlign w:val="top"/>
          </w:tcPr>
          <w:p w14:paraId="1E2A51F5">
            <w:pPr>
              <w:rPr>
                <w:rFonts w:ascii="Arial"/>
                <w:color w:val="auto"/>
                <w:sz w:val="21"/>
                <w:highlight w:val="none"/>
              </w:rPr>
            </w:pPr>
          </w:p>
        </w:tc>
        <w:tc>
          <w:tcPr>
            <w:tcW w:w="1210" w:type="dxa"/>
            <w:vAlign w:val="top"/>
          </w:tcPr>
          <w:p w14:paraId="164EB47E">
            <w:pPr>
              <w:rPr>
                <w:rFonts w:ascii="Arial"/>
                <w:color w:val="auto"/>
                <w:sz w:val="21"/>
                <w:highlight w:val="none"/>
              </w:rPr>
            </w:pPr>
          </w:p>
        </w:tc>
        <w:tc>
          <w:tcPr>
            <w:tcW w:w="1251" w:type="dxa"/>
            <w:vAlign w:val="top"/>
          </w:tcPr>
          <w:p w14:paraId="00C8CD90">
            <w:pPr>
              <w:rPr>
                <w:rFonts w:ascii="Arial"/>
                <w:color w:val="auto"/>
                <w:sz w:val="21"/>
                <w:highlight w:val="none"/>
              </w:rPr>
            </w:pPr>
          </w:p>
        </w:tc>
        <w:tc>
          <w:tcPr>
            <w:tcW w:w="1016" w:type="dxa"/>
            <w:tcBorders>
              <w:right w:val="single" w:color="000000" w:sz="6" w:space="0"/>
            </w:tcBorders>
            <w:vAlign w:val="top"/>
          </w:tcPr>
          <w:p w14:paraId="392994D3">
            <w:pPr>
              <w:rPr>
                <w:rFonts w:ascii="Arial"/>
                <w:color w:val="auto"/>
                <w:sz w:val="21"/>
                <w:highlight w:val="none"/>
              </w:rPr>
            </w:pPr>
          </w:p>
        </w:tc>
      </w:tr>
      <w:tr w14:paraId="3982A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38D788F4">
            <w:pPr>
              <w:rPr>
                <w:rFonts w:ascii="Arial"/>
                <w:color w:val="auto"/>
                <w:sz w:val="21"/>
                <w:highlight w:val="none"/>
              </w:rPr>
            </w:pPr>
          </w:p>
        </w:tc>
        <w:tc>
          <w:tcPr>
            <w:tcW w:w="683" w:type="dxa"/>
            <w:vAlign w:val="top"/>
          </w:tcPr>
          <w:p w14:paraId="7B382C15">
            <w:pPr>
              <w:rPr>
                <w:rFonts w:ascii="Arial"/>
                <w:color w:val="auto"/>
                <w:sz w:val="21"/>
                <w:highlight w:val="none"/>
              </w:rPr>
            </w:pPr>
          </w:p>
        </w:tc>
        <w:tc>
          <w:tcPr>
            <w:tcW w:w="838" w:type="dxa"/>
            <w:vAlign w:val="top"/>
          </w:tcPr>
          <w:p w14:paraId="7E3FF321">
            <w:pPr>
              <w:rPr>
                <w:rFonts w:ascii="Arial"/>
                <w:color w:val="auto"/>
                <w:sz w:val="21"/>
                <w:highlight w:val="none"/>
              </w:rPr>
            </w:pPr>
          </w:p>
        </w:tc>
        <w:tc>
          <w:tcPr>
            <w:tcW w:w="1363" w:type="dxa"/>
            <w:vAlign w:val="top"/>
          </w:tcPr>
          <w:p w14:paraId="6182252D">
            <w:pPr>
              <w:rPr>
                <w:rFonts w:ascii="Arial"/>
                <w:color w:val="auto"/>
                <w:sz w:val="21"/>
                <w:highlight w:val="none"/>
              </w:rPr>
            </w:pPr>
          </w:p>
        </w:tc>
        <w:tc>
          <w:tcPr>
            <w:tcW w:w="848" w:type="dxa"/>
            <w:vAlign w:val="top"/>
          </w:tcPr>
          <w:p w14:paraId="4D6E0885">
            <w:pPr>
              <w:rPr>
                <w:rFonts w:ascii="Arial"/>
                <w:color w:val="auto"/>
                <w:sz w:val="21"/>
                <w:highlight w:val="none"/>
              </w:rPr>
            </w:pPr>
          </w:p>
        </w:tc>
        <w:tc>
          <w:tcPr>
            <w:tcW w:w="1018" w:type="dxa"/>
            <w:vAlign w:val="top"/>
          </w:tcPr>
          <w:p w14:paraId="2D4519F2">
            <w:pPr>
              <w:rPr>
                <w:rFonts w:ascii="Arial"/>
                <w:color w:val="auto"/>
                <w:sz w:val="21"/>
                <w:highlight w:val="none"/>
              </w:rPr>
            </w:pPr>
          </w:p>
        </w:tc>
        <w:tc>
          <w:tcPr>
            <w:tcW w:w="1210" w:type="dxa"/>
            <w:vAlign w:val="top"/>
          </w:tcPr>
          <w:p w14:paraId="7A95A07B">
            <w:pPr>
              <w:rPr>
                <w:rFonts w:ascii="Arial"/>
                <w:color w:val="auto"/>
                <w:sz w:val="21"/>
                <w:highlight w:val="none"/>
              </w:rPr>
            </w:pPr>
          </w:p>
        </w:tc>
        <w:tc>
          <w:tcPr>
            <w:tcW w:w="1251" w:type="dxa"/>
            <w:vAlign w:val="top"/>
          </w:tcPr>
          <w:p w14:paraId="0A520334">
            <w:pPr>
              <w:rPr>
                <w:rFonts w:ascii="Arial"/>
                <w:color w:val="auto"/>
                <w:sz w:val="21"/>
                <w:highlight w:val="none"/>
              </w:rPr>
            </w:pPr>
          </w:p>
        </w:tc>
        <w:tc>
          <w:tcPr>
            <w:tcW w:w="1016" w:type="dxa"/>
            <w:tcBorders>
              <w:right w:val="single" w:color="000000" w:sz="6" w:space="0"/>
            </w:tcBorders>
            <w:vAlign w:val="top"/>
          </w:tcPr>
          <w:p w14:paraId="7F34A3B6">
            <w:pPr>
              <w:rPr>
                <w:rFonts w:ascii="Arial"/>
                <w:color w:val="auto"/>
                <w:sz w:val="21"/>
                <w:highlight w:val="none"/>
              </w:rPr>
            </w:pPr>
          </w:p>
        </w:tc>
      </w:tr>
      <w:tr w14:paraId="3915C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7DB4C93D">
            <w:pPr>
              <w:rPr>
                <w:rFonts w:ascii="Arial"/>
                <w:color w:val="auto"/>
                <w:sz w:val="21"/>
                <w:highlight w:val="none"/>
              </w:rPr>
            </w:pPr>
          </w:p>
        </w:tc>
        <w:tc>
          <w:tcPr>
            <w:tcW w:w="683" w:type="dxa"/>
            <w:vAlign w:val="top"/>
          </w:tcPr>
          <w:p w14:paraId="728D76B8">
            <w:pPr>
              <w:rPr>
                <w:rFonts w:ascii="Arial"/>
                <w:color w:val="auto"/>
                <w:sz w:val="21"/>
                <w:highlight w:val="none"/>
              </w:rPr>
            </w:pPr>
          </w:p>
        </w:tc>
        <w:tc>
          <w:tcPr>
            <w:tcW w:w="838" w:type="dxa"/>
            <w:vAlign w:val="top"/>
          </w:tcPr>
          <w:p w14:paraId="5D3CCAB5">
            <w:pPr>
              <w:rPr>
                <w:rFonts w:ascii="Arial"/>
                <w:color w:val="auto"/>
                <w:sz w:val="21"/>
                <w:highlight w:val="none"/>
              </w:rPr>
            </w:pPr>
          </w:p>
        </w:tc>
        <w:tc>
          <w:tcPr>
            <w:tcW w:w="1363" w:type="dxa"/>
            <w:vAlign w:val="top"/>
          </w:tcPr>
          <w:p w14:paraId="49695360">
            <w:pPr>
              <w:rPr>
                <w:rFonts w:ascii="Arial"/>
                <w:color w:val="auto"/>
                <w:sz w:val="21"/>
                <w:highlight w:val="none"/>
              </w:rPr>
            </w:pPr>
          </w:p>
        </w:tc>
        <w:tc>
          <w:tcPr>
            <w:tcW w:w="848" w:type="dxa"/>
            <w:vAlign w:val="top"/>
          </w:tcPr>
          <w:p w14:paraId="1B7FDFF7">
            <w:pPr>
              <w:rPr>
                <w:rFonts w:ascii="Arial"/>
                <w:color w:val="auto"/>
                <w:sz w:val="21"/>
                <w:highlight w:val="none"/>
              </w:rPr>
            </w:pPr>
          </w:p>
        </w:tc>
        <w:tc>
          <w:tcPr>
            <w:tcW w:w="1018" w:type="dxa"/>
            <w:vAlign w:val="top"/>
          </w:tcPr>
          <w:p w14:paraId="08B30456">
            <w:pPr>
              <w:rPr>
                <w:rFonts w:ascii="Arial"/>
                <w:color w:val="auto"/>
                <w:sz w:val="21"/>
                <w:highlight w:val="none"/>
              </w:rPr>
            </w:pPr>
          </w:p>
        </w:tc>
        <w:tc>
          <w:tcPr>
            <w:tcW w:w="1210" w:type="dxa"/>
            <w:vAlign w:val="top"/>
          </w:tcPr>
          <w:p w14:paraId="1B849343">
            <w:pPr>
              <w:rPr>
                <w:rFonts w:ascii="Arial"/>
                <w:color w:val="auto"/>
                <w:sz w:val="21"/>
                <w:highlight w:val="none"/>
              </w:rPr>
            </w:pPr>
          </w:p>
        </w:tc>
        <w:tc>
          <w:tcPr>
            <w:tcW w:w="1251" w:type="dxa"/>
            <w:vAlign w:val="top"/>
          </w:tcPr>
          <w:p w14:paraId="0C6A1192">
            <w:pPr>
              <w:rPr>
                <w:rFonts w:ascii="Arial"/>
                <w:color w:val="auto"/>
                <w:sz w:val="21"/>
                <w:highlight w:val="none"/>
              </w:rPr>
            </w:pPr>
          </w:p>
        </w:tc>
        <w:tc>
          <w:tcPr>
            <w:tcW w:w="1016" w:type="dxa"/>
            <w:tcBorders>
              <w:right w:val="single" w:color="000000" w:sz="6" w:space="0"/>
            </w:tcBorders>
            <w:vAlign w:val="top"/>
          </w:tcPr>
          <w:p w14:paraId="6D00521C">
            <w:pPr>
              <w:rPr>
                <w:rFonts w:ascii="Arial"/>
                <w:color w:val="auto"/>
                <w:sz w:val="21"/>
                <w:highlight w:val="none"/>
              </w:rPr>
            </w:pPr>
          </w:p>
        </w:tc>
      </w:tr>
      <w:tr w14:paraId="1D09C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2CFC4FB9">
            <w:pPr>
              <w:rPr>
                <w:rFonts w:ascii="Arial"/>
                <w:color w:val="auto"/>
                <w:sz w:val="21"/>
                <w:highlight w:val="none"/>
              </w:rPr>
            </w:pPr>
          </w:p>
        </w:tc>
        <w:tc>
          <w:tcPr>
            <w:tcW w:w="683" w:type="dxa"/>
            <w:vAlign w:val="top"/>
          </w:tcPr>
          <w:p w14:paraId="6E397432">
            <w:pPr>
              <w:rPr>
                <w:rFonts w:ascii="Arial"/>
                <w:color w:val="auto"/>
                <w:sz w:val="21"/>
                <w:highlight w:val="none"/>
              </w:rPr>
            </w:pPr>
          </w:p>
        </w:tc>
        <w:tc>
          <w:tcPr>
            <w:tcW w:w="838" w:type="dxa"/>
            <w:vAlign w:val="top"/>
          </w:tcPr>
          <w:p w14:paraId="1517443D">
            <w:pPr>
              <w:rPr>
                <w:rFonts w:ascii="Arial"/>
                <w:color w:val="auto"/>
                <w:sz w:val="21"/>
                <w:highlight w:val="none"/>
              </w:rPr>
            </w:pPr>
          </w:p>
        </w:tc>
        <w:tc>
          <w:tcPr>
            <w:tcW w:w="1363" w:type="dxa"/>
            <w:vAlign w:val="top"/>
          </w:tcPr>
          <w:p w14:paraId="179A7744">
            <w:pPr>
              <w:rPr>
                <w:rFonts w:ascii="Arial"/>
                <w:color w:val="auto"/>
                <w:sz w:val="21"/>
                <w:highlight w:val="none"/>
              </w:rPr>
            </w:pPr>
          </w:p>
        </w:tc>
        <w:tc>
          <w:tcPr>
            <w:tcW w:w="848" w:type="dxa"/>
            <w:vAlign w:val="top"/>
          </w:tcPr>
          <w:p w14:paraId="46D6DDD3">
            <w:pPr>
              <w:rPr>
                <w:rFonts w:ascii="Arial"/>
                <w:color w:val="auto"/>
                <w:sz w:val="21"/>
                <w:highlight w:val="none"/>
              </w:rPr>
            </w:pPr>
          </w:p>
        </w:tc>
        <w:tc>
          <w:tcPr>
            <w:tcW w:w="1018" w:type="dxa"/>
            <w:vAlign w:val="top"/>
          </w:tcPr>
          <w:p w14:paraId="5772D92C">
            <w:pPr>
              <w:rPr>
                <w:rFonts w:ascii="Arial"/>
                <w:color w:val="auto"/>
                <w:sz w:val="21"/>
                <w:highlight w:val="none"/>
              </w:rPr>
            </w:pPr>
          </w:p>
        </w:tc>
        <w:tc>
          <w:tcPr>
            <w:tcW w:w="1210" w:type="dxa"/>
            <w:vAlign w:val="top"/>
          </w:tcPr>
          <w:p w14:paraId="3355FF0D">
            <w:pPr>
              <w:rPr>
                <w:rFonts w:ascii="Arial"/>
                <w:color w:val="auto"/>
                <w:sz w:val="21"/>
                <w:highlight w:val="none"/>
              </w:rPr>
            </w:pPr>
          </w:p>
        </w:tc>
        <w:tc>
          <w:tcPr>
            <w:tcW w:w="1251" w:type="dxa"/>
            <w:vAlign w:val="top"/>
          </w:tcPr>
          <w:p w14:paraId="3E759913">
            <w:pPr>
              <w:rPr>
                <w:rFonts w:ascii="Arial"/>
                <w:color w:val="auto"/>
                <w:sz w:val="21"/>
                <w:highlight w:val="none"/>
              </w:rPr>
            </w:pPr>
          </w:p>
        </w:tc>
        <w:tc>
          <w:tcPr>
            <w:tcW w:w="1016" w:type="dxa"/>
            <w:tcBorders>
              <w:right w:val="single" w:color="000000" w:sz="6" w:space="0"/>
            </w:tcBorders>
            <w:vAlign w:val="top"/>
          </w:tcPr>
          <w:p w14:paraId="12F57EA5">
            <w:pPr>
              <w:rPr>
                <w:rFonts w:ascii="Arial"/>
                <w:color w:val="auto"/>
                <w:sz w:val="21"/>
                <w:highlight w:val="none"/>
              </w:rPr>
            </w:pPr>
          </w:p>
        </w:tc>
      </w:tr>
      <w:tr w14:paraId="7038E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4E534FDC">
            <w:pPr>
              <w:rPr>
                <w:rFonts w:ascii="Arial"/>
                <w:color w:val="auto"/>
                <w:sz w:val="21"/>
                <w:highlight w:val="none"/>
              </w:rPr>
            </w:pPr>
          </w:p>
        </w:tc>
        <w:tc>
          <w:tcPr>
            <w:tcW w:w="683" w:type="dxa"/>
            <w:vAlign w:val="top"/>
          </w:tcPr>
          <w:p w14:paraId="4D546DE2">
            <w:pPr>
              <w:rPr>
                <w:rFonts w:ascii="Arial"/>
                <w:color w:val="auto"/>
                <w:sz w:val="21"/>
                <w:highlight w:val="none"/>
              </w:rPr>
            </w:pPr>
          </w:p>
        </w:tc>
        <w:tc>
          <w:tcPr>
            <w:tcW w:w="838" w:type="dxa"/>
            <w:vAlign w:val="top"/>
          </w:tcPr>
          <w:p w14:paraId="27138FBE">
            <w:pPr>
              <w:rPr>
                <w:rFonts w:ascii="Arial"/>
                <w:color w:val="auto"/>
                <w:sz w:val="21"/>
                <w:highlight w:val="none"/>
              </w:rPr>
            </w:pPr>
          </w:p>
        </w:tc>
        <w:tc>
          <w:tcPr>
            <w:tcW w:w="1363" w:type="dxa"/>
            <w:vAlign w:val="top"/>
          </w:tcPr>
          <w:p w14:paraId="73DEB69A">
            <w:pPr>
              <w:rPr>
                <w:rFonts w:ascii="Arial"/>
                <w:color w:val="auto"/>
                <w:sz w:val="21"/>
                <w:highlight w:val="none"/>
              </w:rPr>
            </w:pPr>
          </w:p>
        </w:tc>
        <w:tc>
          <w:tcPr>
            <w:tcW w:w="848" w:type="dxa"/>
            <w:vAlign w:val="top"/>
          </w:tcPr>
          <w:p w14:paraId="1D864BC7">
            <w:pPr>
              <w:rPr>
                <w:rFonts w:ascii="Arial"/>
                <w:color w:val="auto"/>
                <w:sz w:val="21"/>
                <w:highlight w:val="none"/>
              </w:rPr>
            </w:pPr>
          </w:p>
        </w:tc>
        <w:tc>
          <w:tcPr>
            <w:tcW w:w="1018" w:type="dxa"/>
            <w:vAlign w:val="top"/>
          </w:tcPr>
          <w:p w14:paraId="37E03BBA">
            <w:pPr>
              <w:rPr>
                <w:rFonts w:ascii="Arial"/>
                <w:color w:val="auto"/>
                <w:sz w:val="21"/>
                <w:highlight w:val="none"/>
              </w:rPr>
            </w:pPr>
          </w:p>
        </w:tc>
        <w:tc>
          <w:tcPr>
            <w:tcW w:w="1210" w:type="dxa"/>
            <w:vAlign w:val="top"/>
          </w:tcPr>
          <w:p w14:paraId="08225F71">
            <w:pPr>
              <w:rPr>
                <w:rFonts w:ascii="Arial"/>
                <w:color w:val="auto"/>
                <w:sz w:val="21"/>
                <w:highlight w:val="none"/>
              </w:rPr>
            </w:pPr>
          </w:p>
        </w:tc>
        <w:tc>
          <w:tcPr>
            <w:tcW w:w="1251" w:type="dxa"/>
            <w:vAlign w:val="top"/>
          </w:tcPr>
          <w:p w14:paraId="58893EB0">
            <w:pPr>
              <w:rPr>
                <w:rFonts w:ascii="Arial"/>
                <w:color w:val="auto"/>
                <w:sz w:val="21"/>
                <w:highlight w:val="none"/>
              </w:rPr>
            </w:pPr>
          </w:p>
        </w:tc>
        <w:tc>
          <w:tcPr>
            <w:tcW w:w="1016" w:type="dxa"/>
            <w:tcBorders>
              <w:right w:val="single" w:color="000000" w:sz="6" w:space="0"/>
            </w:tcBorders>
            <w:vAlign w:val="top"/>
          </w:tcPr>
          <w:p w14:paraId="2E07D526">
            <w:pPr>
              <w:rPr>
                <w:rFonts w:ascii="Arial"/>
                <w:color w:val="auto"/>
                <w:sz w:val="21"/>
                <w:highlight w:val="none"/>
              </w:rPr>
            </w:pPr>
          </w:p>
        </w:tc>
      </w:tr>
      <w:tr w14:paraId="75E55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24EF6D65">
            <w:pPr>
              <w:rPr>
                <w:rFonts w:ascii="Arial"/>
                <w:color w:val="auto"/>
                <w:sz w:val="21"/>
                <w:highlight w:val="none"/>
              </w:rPr>
            </w:pPr>
          </w:p>
        </w:tc>
        <w:tc>
          <w:tcPr>
            <w:tcW w:w="683" w:type="dxa"/>
            <w:vAlign w:val="top"/>
          </w:tcPr>
          <w:p w14:paraId="7D794363">
            <w:pPr>
              <w:rPr>
                <w:rFonts w:ascii="Arial"/>
                <w:color w:val="auto"/>
                <w:sz w:val="21"/>
                <w:highlight w:val="none"/>
              </w:rPr>
            </w:pPr>
          </w:p>
        </w:tc>
        <w:tc>
          <w:tcPr>
            <w:tcW w:w="838" w:type="dxa"/>
            <w:vAlign w:val="top"/>
          </w:tcPr>
          <w:p w14:paraId="36FC3A29">
            <w:pPr>
              <w:rPr>
                <w:rFonts w:ascii="Arial"/>
                <w:color w:val="auto"/>
                <w:sz w:val="21"/>
                <w:highlight w:val="none"/>
              </w:rPr>
            </w:pPr>
          </w:p>
        </w:tc>
        <w:tc>
          <w:tcPr>
            <w:tcW w:w="1363" w:type="dxa"/>
            <w:vAlign w:val="top"/>
          </w:tcPr>
          <w:p w14:paraId="44E02F52">
            <w:pPr>
              <w:rPr>
                <w:rFonts w:ascii="Arial"/>
                <w:color w:val="auto"/>
                <w:sz w:val="21"/>
                <w:highlight w:val="none"/>
              </w:rPr>
            </w:pPr>
          </w:p>
        </w:tc>
        <w:tc>
          <w:tcPr>
            <w:tcW w:w="848" w:type="dxa"/>
            <w:vAlign w:val="top"/>
          </w:tcPr>
          <w:p w14:paraId="6335782C">
            <w:pPr>
              <w:rPr>
                <w:rFonts w:ascii="Arial"/>
                <w:color w:val="auto"/>
                <w:sz w:val="21"/>
                <w:highlight w:val="none"/>
              </w:rPr>
            </w:pPr>
          </w:p>
        </w:tc>
        <w:tc>
          <w:tcPr>
            <w:tcW w:w="1018" w:type="dxa"/>
            <w:vAlign w:val="top"/>
          </w:tcPr>
          <w:p w14:paraId="656D7FB7">
            <w:pPr>
              <w:rPr>
                <w:rFonts w:ascii="Arial"/>
                <w:color w:val="auto"/>
                <w:sz w:val="21"/>
                <w:highlight w:val="none"/>
              </w:rPr>
            </w:pPr>
          </w:p>
        </w:tc>
        <w:tc>
          <w:tcPr>
            <w:tcW w:w="1210" w:type="dxa"/>
            <w:vAlign w:val="top"/>
          </w:tcPr>
          <w:p w14:paraId="5FBBFAB2">
            <w:pPr>
              <w:rPr>
                <w:rFonts w:ascii="Arial"/>
                <w:color w:val="auto"/>
                <w:sz w:val="21"/>
                <w:highlight w:val="none"/>
              </w:rPr>
            </w:pPr>
          </w:p>
        </w:tc>
        <w:tc>
          <w:tcPr>
            <w:tcW w:w="1251" w:type="dxa"/>
            <w:vAlign w:val="top"/>
          </w:tcPr>
          <w:p w14:paraId="07AB4D79">
            <w:pPr>
              <w:rPr>
                <w:rFonts w:ascii="Arial"/>
                <w:color w:val="auto"/>
                <w:sz w:val="21"/>
                <w:highlight w:val="none"/>
              </w:rPr>
            </w:pPr>
          </w:p>
        </w:tc>
        <w:tc>
          <w:tcPr>
            <w:tcW w:w="1016" w:type="dxa"/>
            <w:tcBorders>
              <w:right w:val="single" w:color="000000" w:sz="6" w:space="0"/>
            </w:tcBorders>
            <w:vAlign w:val="top"/>
          </w:tcPr>
          <w:p w14:paraId="671491CD">
            <w:pPr>
              <w:rPr>
                <w:rFonts w:ascii="Arial"/>
                <w:color w:val="auto"/>
                <w:sz w:val="21"/>
                <w:highlight w:val="none"/>
              </w:rPr>
            </w:pPr>
          </w:p>
        </w:tc>
      </w:tr>
      <w:tr w14:paraId="6AFDE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1EC28C30">
            <w:pPr>
              <w:rPr>
                <w:rFonts w:ascii="Arial"/>
                <w:color w:val="auto"/>
                <w:sz w:val="21"/>
                <w:highlight w:val="none"/>
              </w:rPr>
            </w:pPr>
          </w:p>
        </w:tc>
        <w:tc>
          <w:tcPr>
            <w:tcW w:w="683" w:type="dxa"/>
            <w:vAlign w:val="top"/>
          </w:tcPr>
          <w:p w14:paraId="01AAAFC9">
            <w:pPr>
              <w:rPr>
                <w:rFonts w:ascii="Arial"/>
                <w:color w:val="auto"/>
                <w:sz w:val="21"/>
                <w:highlight w:val="none"/>
              </w:rPr>
            </w:pPr>
          </w:p>
        </w:tc>
        <w:tc>
          <w:tcPr>
            <w:tcW w:w="838" w:type="dxa"/>
            <w:vAlign w:val="top"/>
          </w:tcPr>
          <w:p w14:paraId="2F8B65CE">
            <w:pPr>
              <w:rPr>
                <w:rFonts w:ascii="Arial"/>
                <w:color w:val="auto"/>
                <w:sz w:val="21"/>
                <w:highlight w:val="none"/>
              </w:rPr>
            </w:pPr>
          </w:p>
        </w:tc>
        <w:tc>
          <w:tcPr>
            <w:tcW w:w="1363" w:type="dxa"/>
            <w:vAlign w:val="top"/>
          </w:tcPr>
          <w:p w14:paraId="69852B67">
            <w:pPr>
              <w:rPr>
                <w:rFonts w:ascii="Arial"/>
                <w:color w:val="auto"/>
                <w:sz w:val="21"/>
                <w:highlight w:val="none"/>
              </w:rPr>
            </w:pPr>
          </w:p>
        </w:tc>
        <w:tc>
          <w:tcPr>
            <w:tcW w:w="848" w:type="dxa"/>
            <w:vAlign w:val="top"/>
          </w:tcPr>
          <w:p w14:paraId="74171399">
            <w:pPr>
              <w:rPr>
                <w:rFonts w:ascii="Arial"/>
                <w:color w:val="auto"/>
                <w:sz w:val="21"/>
                <w:highlight w:val="none"/>
              </w:rPr>
            </w:pPr>
          </w:p>
        </w:tc>
        <w:tc>
          <w:tcPr>
            <w:tcW w:w="1018" w:type="dxa"/>
            <w:vAlign w:val="top"/>
          </w:tcPr>
          <w:p w14:paraId="0009AF19">
            <w:pPr>
              <w:rPr>
                <w:rFonts w:ascii="Arial"/>
                <w:color w:val="auto"/>
                <w:sz w:val="21"/>
                <w:highlight w:val="none"/>
              </w:rPr>
            </w:pPr>
          </w:p>
        </w:tc>
        <w:tc>
          <w:tcPr>
            <w:tcW w:w="1210" w:type="dxa"/>
            <w:vAlign w:val="top"/>
          </w:tcPr>
          <w:p w14:paraId="133E7540">
            <w:pPr>
              <w:rPr>
                <w:rFonts w:ascii="Arial"/>
                <w:color w:val="auto"/>
                <w:sz w:val="21"/>
                <w:highlight w:val="none"/>
              </w:rPr>
            </w:pPr>
          </w:p>
        </w:tc>
        <w:tc>
          <w:tcPr>
            <w:tcW w:w="1251" w:type="dxa"/>
            <w:vAlign w:val="top"/>
          </w:tcPr>
          <w:p w14:paraId="280E0648">
            <w:pPr>
              <w:rPr>
                <w:rFonts w:ascii="Arial"/>
                <w:color w:val="auto"/>
                <w:sz w:val="21"/>
                <w:highlight w:val="none"/>
              </w:rPr>
            </w:pPr>
          </w:p>
        </w:tc>
        <w:tc>
          <w:tcPr>
            <w:tcW w:w="1016" w:type="dxa"/>
            <w:tcBorders>
              <w:right w:val="single" w:color="000000" w:sz="6" w:space="0"/>
            </w:tcBorders>
            <w:vAlign w:val="top"/>
          </w:tcPr>
          <w:p w14:paraId="35862598">
            <w:pPr>
              <w:rPr>
                <w:rFonts w:ascii="Arial"/>
                <w:color w:val="auto"/>
                <w:sz w:val="21"/>
                <w:highlight w:val="none"/>
              </w:rPr>
            </w:pPr>
          </w:p>
        </w:tc>
      </w:tr>
      <w:tr w14:paraId="0D794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1020E882">
            <w:pPr>
              <w:rPr>
                <w:rFonts w:ascii="Arial"/>
                <w:color w:val="auto"/>
                <w:sz w:val="21"/>
                <w:highlight w:val="none"/>
              </w:rPr>
            </w:pPr>
          </w:p>
        </w:tc>
        <w:tc>
          <w:tcPr>
            <w:tcW w:w="683" w:type="dxa"/>
            <w:vAlign w:val="top"/>
          </w:tcPr>
          <w:p w14:paraId="1A9F40D3">
            <w:pPr>
              <w:rPr>
                <w:rFonts w:ascii="Arial"/>
                <w:color w:val="auto"/>
                <w:sz w:val="21"/>
                <w:highlight w:val="none"/>
              </w:rPr>
            </w:pPr>
          </w:p>
        </w:tc>
        <w:tc>
          <w:tcPr>
            <w:tcW w:w="838" w:type="dxa"/>
            <w:vAlign w:val="top"/>
          </w:tcPr>
          <w:p w14:paraId="626CF02A">
            <w:pPr>
              <w:rPr>
                <w:rFonts w:ascii="Arial"/>
                <w:color w:val="auto"/>
                <w:sz w:val="21"/>
                <w:highlight w:val="none"/>
              </w:rPr>
            </w:pPr>
          </w:p>
        </w:tc>
        <w:tc>
          <w:tcPr>
            <w:tcW w:w="1363" w:type="dxa"/>
            <w:vAlign w:val="top"/>
          </w:tcPr>
          <w:p w14:paraId="5A35573B">
            <w:pPr>
              <w:rPr>
                <w:rFonts w:ascii="Arial"/>
                <w:color w:val="auto"/>
                <w:sz w:val="21"/>
                <w:highlight w:val="none"/>
              </w:rPr>
            </w:pPr>
          </w:p>
        </w:tc>
        <w:tc>
          <w:tcPr>
            <w:tcW w:w="848" w:type="dxa"/>
            <w:vAlign w:val="top"/>
          </w:tcPr>
          <w:p w14:paraId="1A5A12E2">
            <w:pPr>
              <w:rPr>
                <w:rFonts w:ascii="Arial"/>
                <w:color w:val="auto"/>
                <w:sz w:val="21"/>
                <w:highlight w:val="none"/>
              </w:rPr>
            </w:pPr>
          </w:p>
        </w:tc>
        <w:tc>
          <w:tcPr>
            <w:tcW w:w="1018" w:type="dxa"/>
            <w:vAlign w:val="top"/>
          </w:tcPr>
          <w:p w14:paraId="1CE351D1">
            <w:pPr>
              <w:rPr>
                <w:rFonts w:ascii="Arial"/>
                <w:color w:val="auto"/>
                <w:sz w:val="21"/>
                <w:highlight w:val="none"/>
              </w:rPr>
            </w:pPr>
          </w:p>
        </w:tc>
        <w:tc>
          <w:tcPr>
            <w:tcW w:w="1210" w:type="dxa"/>
            <w:vAlign w:val="top"/>
          </w:tcPr>
          <w:p w14:paraId="602DD53F">
            <w:pPr>
              <w:rPr>
                <w:rFonts w:ascii="Arial"/>
                <w:color w:val="auto"/>
                <w:sz w:val="21"/>
                <w:highlight w:val="none"/>
              </w:rPr>
            </w:pPr>
          </w:p>
        </w:tc>
        <w:tc>
          <w:tcPr>
            <w:tcW w:w="1251" w:type="dxa"/>
            <w:vAlign w:val="top"/>
          </w:tcPr>
          <w:p w14:paraId="096B00A1">
            <w:pPr>
              <w:rPr>
                <w:rFonts w:ascii="Arial"/>
                <w:color w:val="auto"/>
                <w:sz w:val="21"/>
                <w:highlight w:val="none"/>
              </w:rPr>
            </w:pPr>
          </w:p>
        </w:tc>
        <w:tc>
          <w:tcPr>
            <w:tcW w:w="1016" w:type="dxa"/>
            <w:tcBorders>
              <w:right w:val="single" w:color="000000" w:sz="6" w:space="0"/>
            </w:tcBorders>
            <w:vAlign w:val="top"/>
          </w:tcPr>
          <w:p w14:paraId="241AC15E">
            <w:pPr>
              <w:rPr>
                <w:rFonts w:ascii="Arial"/>
                <w:color w:val="auto"/>
                <w:sz w:val="21"/>
                <w:highlight w:val="none"/>
              </w:rPr>
            </w:pPr>
          </w:p>
        </w:tc>
      </w:tr>
      <w:tr w14:paraId="52DE7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5C82CE63">
            <w:pPr>
              <w:rPr>
                <w:rFonts w:ascii="Arial"/>
                <w:color w:val="auto"/>
                <w:sz w:val="21"/>
                <w:highlight w:val="none"/>
              </w:rPr>
            </w:pPr>
          </w:p>
        </w:tc>
        <w:tc>
          <w:tcPr>
            <w:tcW w:w="683" w:type="dxa"/>
            <w:vAlign w:val="top"/>
          </w:tcPr>
          <w:p w14:paraId="2325960B">
            <w:pPr>
              <w:rPr>
                <w:rFonts w:ascii="Arial"/>
                <w:color w:val="auto"/>
                <w:sz w:val="21"/>
                <w:highlight w:val="none"/>
              </w:rPr>
            </w:pPr>
          </w:p>
        </w:tc>
        <w:tc>
          <w:tcPr>
            <w:tcW w:w="838" w:type="dxa"/>
            <w:vAlign w:val="top"/>
          </w:tcPr>
          <w:p w14:paraId="66B33331">
            <w:pPr>
              <w:rPr>
                <w:rFonts w:ascii="Arial"/>
                <w:color w:val="auto"/>
                <w:sz w:val="21"/>
                <w:highlight w:val="none"/>
              </w:rPr>
            </w:pPr>
          </w:p>
        </w:tc>
        <w:tc>
          <w:tcPr>
            <w:tcW w:w="1363" w:type="dxa"/>
            <w:vAlign w:val="top"/>
          </w:tcPr>
          <w:p w14:paraId="03956430">
            <w:pPr>
              <w:rPr>
                <w:rFonts w:ascii="Arial"/>
                <w:color w:val="auto"/>
                <w:sz w:val="21"/>
                <w:highlight w:val="none"/>
              </w:rPr>
            </w:pPr>
          </w:p>
        </w:tc>
        <w:tc>
          <w:tcPr>
            <w:tcW w:w="848" w:type="dxa"/>
            <w:vAlign w:val="top"/>
          </w:tcPr>
          <w:p w14:paraId="48495F3B">
            <w:pPr>
              <w:rPr>
                <w:rFonts w:ascii="Arial"/>
                <w:color w:val="auto"/>
                <w:sz w:val="21"/>
                <w:highlight w:val="none"/>
              </w:rPr>
            </w:pPr>
          </w:p>
        </w:tc>
        <w:tc>
          <w:tcPr>
            <w:tcW w:w="1018" w:type="dxa"/>
            <w:vAlign w:val="top"/>
          </w:tcPr>
          <w:p w14:paraId="459849C1">
            <w:pPr>
              <w:rPr>
                <w:rFonts w:ascii="Arial"/>
                <w:color w:val="auto"/>
                <w:sz w:val="21"/>
                <w:highlight w:val="none"/>
              </w:rPr>
            </w:pPr>
          </w:p>
        </w:tc>
        <w:tc>
          <w:tcPr>
            <w:tcW w:w="1210" w:type="dxa"/>
            <w:vAlign w:val="top"/>
          </w:tcPr>
          <w:p w14:paraId="48BB85FF">
            <w:pPr>
              <w:rPr>
                <w:rFonts w:ascii="Arial"/>
                <w:color w:val="auto"/>
                <w:sz w:val="21"/>
                <w:highlight w:val="none"/>
              </w:rPr>
            </w:pPr>
          </w:p>
        </w:tc>
        <w:tc>
          <w:tcPr>
            <w:tcW w:w="1251" w:type="dxa"/>
            <w:vAlign w:val="top"/>
          </w:tcPr>
          <w:p w14:paraId="1A67771E">
            <w:pPr>
              <w:rPr>
                <w:rFonts w:ascii="Arial"/>
                <w:color w:val="auto"/>
                <w:sz w:val="21"/>
                <w:highlight w:val="none"/>
              </w:rPr>
            </w:pPr>
          </w:p>
        </w:tc>
        <w:tc>
          <w:tcPr>
            <w:tcW w:w="1016" w:type="dxa"/>
            <w:tcBorders>
              <w:right w:val="single" w:color="000000" w:sz="6" w:space="0"/>
            </w:tcBorders>
            <w:vAlign w:val="top"/>
          </w:tcPr>
          <w:p w14:paraId="4472EC00">
            <w:pPr>
              <w:rPr>
                <w:rFonts w:ascii="Arial"/>
                <w:color w:val="auto"/>
                <w:sz w:val="21"/>
                <w:highlight w:val="none"/>
              </w:rPr>
            </w:pPr>
          </w:p>
        </w:tc>
      </w:tr>
      <w:tr w14:paraId="32895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2C23CD43">
            <w:pPr>
              <w:rPr>
                <w:rFonts w:ascii="Arial"/>
                <w:color w:val="auto"/>
                <w:sz w:val="21"/>
                <w:highlight w:val="none"/>
              </w:rPr>
            </w:pPr>
          </w:p>
        </w:tc>
        <w:tc>
          <w:tcPr>
            <w:tcW w:w="683" w:type="dxa"/>
            <w:vAlign w:val="top"/>
          </w:tcPr>
          <w:p w14:paraId="336FC023">
            <w:pPr>
              <w:rPr>
                <w:rFonts w:ascii="Arial"/>
                <w:color w:val="auto"/>
                <w:sz w:val="21"/>
                <w:highlight w:val="none"/>
              </w:rPr>
            </w:pPr>
          </w:p>
        </w:tc>
        <w:tc>
          <w:tcPr>
            <w:tcW w:w="838" w:type="dxa"/>
            <w:vAlign w:val="top"/>
          </w:tcPr>
          <w:p w14:paraId="6F58A32E">
            <w:pPr>
              <w:rPr>
                <w:rFonts w:ascii="Arial"/>
                <w:color w:val="auto"/>
                <w:sz w:val="21"/>
                <w:highlight w:val="none"/>
              </w:rPr>
            </w:pPr>
          </w:p>
        </w:tc>
        <w:tc>
          <w:tcPr>
            <w:tcW w:w="1363" w:type="dxa"/>
            <w:vAlign w:val="top"/>
          </w:tcPr>
          <w:p w14:paraId="0E1E2910">
            <w:pPr>
              <w:rPr>
                <w:rFonts w:ascii="Arial"/>
                <w:color w:val="auto"/>
                <w:sz w:val="21"/>
                <w:highlight w:val="none"/>
              </w:rPr>
            </w:pPr>
          </w:p>
        </w:tc>
        <w:tc>
          <w:tcPr>
            <w:tcW w:w="848" w:type="dxa"/>
            <w:vAlign w:val="top"/>
          </w:tcPr>
          <w:p w14:paraId="689F0DCD">
            <w:pPr>
              <w:rPr>
                <w:rFonts w:ascii="Arial"/>
                <w:color w:val="auto"/>
                <w:sz w:val="21"/>
                <w:highlight w:val="none"/>
              </w:rPr>
            </w:pPr>
          </w:p>
        </w:tc>
        <w:tc>
          <w:tcPr>
            <w:tcW w:w="1018" w:type="dxa"/>
            <w:vAlign w:val="top"/>
          </w:tcPr>
          <w:p w14:paraId="48907530">
            <w:pPr>
              <w:rPr>
                <w:rFonts w:ascii="Arial"/>
                <w:color w:val="auto"/>
                <w:sz w:val="21"/>
                <w:highlight w:val="none"/>
              </w:rPr>
            </w:pPr>
          </w:p>
        </w:tc>
        <w:tc>
          <w:tcPr>
            <w:tcW w:w="1210" w:type="dxa"/>
            <w:vAlign w:val="top"/>
          </w:tcPr>
          <w:p w14:paraId="4880BFCE">
            <w:pPr>
              <w:rPr>
                <w:rFonts w:ascii="Arial"/>
                <w:color w:val="auto"/>
                <w:sz w:val="21"/>
                <w:highlight w:val="none"/>
              </w:rPr>
            </w:pPr>
          </w:p>
        </w:tc>
        <w:tc>
          <w:tcPr>
            <w:tcW w:w="1251" w:type="dxa"/>
            <w:vAlign w:val="top"/>
          </w:tcPr>
          <w:p w14:paraId="5EDA9B03">
            <w:pPr>
              <w:rPr>
                <w:rFonts w:ascii="Arial"/>
                <w:color w:val="auto"/>
                <w:sz w:val="21"/>
                <w:highlight w:val="none"/>
              </w:rPr>
            </w:pPr>
          </w:p>
        </w:tc>
        <w:tc>
          <w:tcPr>
            <w:tcW w:w="1016" w:type="dxa"/>
            <w:tcBorders>
              <w:right w:val="single" w:color="000000" w:sz="6" w:space="0"/>
            </w:tcBorders>
            <w:vAlign w:val="top"/>
          </w:tcPr>
          <w:p w14:paraId="487B79C6">
            <w:pPr>
              <w:rPr>
                <w:rFonts w:ascii="Arial"/>
                <w:color w:val="auto"/>
                <w:sz w:val="21"/>
                <w:highlight w:val="none"/>
              </w:rPr>
            </w:pPr>
          </w:p>
        </w:tc>
      </w:tr>
      <w:tr w14:paraId="6AEA9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320D6130">
            <w:pPr>
              <w:rPr>
                <w:rFonts w:ascii="Arial"/>
                <w:color w:val="auto"/>
                <w:sz w:val="21"/>
                <w:highlight w:val="none"/>
              </w:rPr>
            </w:pPr>
          </w:p>
        </w:tc>
        <w:tc>
          <w:tcPr>
            <w:tcW w:w="683" w:type="dxa"/>
            <w:vAlign w:val="top"/>
          </w:tcPr>
          <w:p w14:paraId="2727FF15">
            <w:pPr>
              <w:rPr>
                <w:rFonts w:ascii="Arial"/>
                <w:color w:val="auto"/>
                <w:sz w:val="21"/>
                <w:highlight w:val="none"/>
              </w:rPr>
            </w:pPr>
          </w:p>
        </w:tc>
        <w:tc>
          <w:tcPr>
            <w:tcW w:w="838" w:type="dxa"/>
            <w:vAlign w:val="top"/>
          </w:tcPr>
          <w:p w14:paraId="06734399">
            <w:pPr>
              <w:rPr>
                <w:rFonts w:ascii="Arial"/>
                <w:color w:val="auto"/>
                <w:sz w:val="21"/>
                <w:highlight w:val="none"/>
              </w:rPr>
            </w:pPr>
          </w:p>
        </w:tc>
        <w:tc>
          <w:tcPr>
            <w:tcW w:w="1363" w:type="dxa"/>
            <w:vAlign w:val="top"/>
          </w:tcPr>
          <w:p w14:paraId="53AA9F2A">
            <w:pPr>
              <w:rPr>
                <w:rFonts w:ascii="Arial"/>
                <w:color w:val="auto"/>
                <w:sz w:val="21"/>
                <w:highlight w:val="none"/>
              </w:rPr>
            </w:pPr>
          </w:p>
        </w:tc>
        <w:tc>
          <w:tcPr>
            <w:tcW w:w="848" w:type="dxa"/>
            <w:vAlign w:val="top"/>
          </w:tcPr>
          <w:p w14:paraId="5DF6064D">
            <w:pPr>
              <w:rPr>
                <w:rFonts w:ascii="Arial"/>
                <w:color w:val="auto"/>
                <w:sz w:val="21"/>
                <w:highlight w:val="none"/>
              </w:rPr>
            </w:pPr>
          </w:p>
        </w:tc>
        <w:tc>
          <w:tcPr>
            <w:tcW w:w="1018" w:type="dxa"/>
            <w:vAlign w:val="top"/>
          </w:tcPr>
          <w:p w14:paraId="506CD662">
            <w:pPr>
              <w:rPr>
                <w:rFonts w:ascii="Arial"/>
                <w:color w:val="auto"/>
                <w:sz w:val="21"/>
                <w:highlight w:val="none"/>
              </w:rPr>
            </w:pPr>
          </w:p>
        </w:tc>
        <w:tc>
          <w:tcPr>
            <w:tcW w:w="1210" w:type="dxa"/>
            <w:vAlign w:val="top"/>
          </w:tcPr>
          <w:p w14:paraId="7B9DF794">
            <w:pPr>
              <w:rPr>
                <w:rFonts w:ascii="Arial"/>
                <w:color w:val="auto"/>
                <w:sz w:val="21"/>
                <w:highlight w:val="none"/>
              </w:rPr>
            </w:pPr>
          </w:p>
        </w:tc>
        <w:tc>
          <w:tcPr>
            <w:tcW w:w="1251" w:type="dxa"/>
            <w:vAlign w:val="top"/>
          </w:tcPr>
          <w:p w14:paraId="7B52B619">
            <w:pPr>
              <w:rPr>
                <w:rFonts w:ascii="Arial"/>
                <w:color w:val="auto"/>
                <w:sz w:val="21"/>
                <w:highlight w:val="none"/>
              </w:rPr>
            </w:pPr>
          </w:p>
        </w:tc>
        <w:tc>
          <w:tcPr>
            <w:tcW w:w="1016" w:type="dxa"/>
            <w:tcBorders>
              <w:right w:val="single" w:color="000000" w:sz="6" w:space="0"/>
            </w:tcBorders>
            <w:vAlign w:val="top"/>
          </w:tcPr>
          <w:p w14:paraId="05F5D79F">
            <w:pPr>
              <w:rPr>
                <w:rFonts w:ascii="Arial"/>
                <w:color w:val="auto"/>
                <w:sz w:val="21"/>
                <w:highlight w:val="none"/>
              </w:rPr>
            </w:pPr>
          </w:p>
        </w:tc>
      </w:tr>
      <w:tr w14:paraId="0B848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7B623411">
            <w:pPr>
              <w:rPr>
                <w:rFonts w:ascii="Arial"/>
                <w:color w:val="auto"/>
                <w:sz w:val="21"/>
                <w:highlight w:val="none"/>
              </w:rPr>
            </w:pPr>
          </w:p>
        </w:tc>
        <w:tc>
          <w:tcPr>
            <w:tcW w:w="683" w:type="dxa"/>
            <w:vAlign w:val="top"/>
          </w:tcPr>
          <w:p w14:paraId="5CF8E8F4">
            <w:pPr>
              <w:rPr>
                <w:rFonts w:ascii="Arial"/>
                <w:color w:val="auto"/>
                <w:sz w:val="21"/>
                <w:highlight w:val="none"/>
              </w:rPr>
            </w:pPr>
          </w:p>
        </w:tc>
        <w:tc>
          <w:tcPr>
            <w:tcW w:w="838" w:type="dxa"/>
            <w:vAlign w:val="top"/>
          </w:tcPr>
          <w:p w14:paraId="6E8C8568">
            <w:pPr>
              <w:rPr>
                <w:rFonts w:ascii="Arial"/>
                <w:color w:val="auto"/>
                <w:sz w:val="21"/>
                <w:highlight w:val="none"/>
              </w:rPr>
            </w:pPr>
          </w:p>
        </w:tc>
        <w:tc>
          <w:tcPr>
            <w:tcW w:w="1363" w:type="dxa"/>
            <w:vAlign w:val="top"/>
          </w:tcPr>
          <w:p w14:paraId="5B719E47">
            <w:pPr>
              <w:rPr>
                <w:rFonts w:ascii="Arial"/>
                <w:color w:val="auto"/>
                <w:sz w:val="21"/>
                <w:highlight w:val="none"/>
              </w:rPr>
            </w:pPr>
          </w:p>
        </w:tc>
        <w:tc>
          <w:tcPr>
            <w:tcW w:w="848" w:type="dxa"/>
            <w:vAlign w:val="top"/>
          </w:tcPr>
          <w:p w14:paraId="532CBF76">
            <w:pPr>
              <w:rPr>
                <w:rFonts w:ascii="Arial"/>
                <w:color w:val="auto"/>
                <w:sz w:val="21"/>
                <w:highlight w:val="none"/>
              </w:rPr>
            </w:pPr>
          </w:p>
        </w:tc>
        <w:tc>
          <w:tcPr>
            <w:tcW w:w="1018" w:type="dxa"/>
            <w:vAlign w:val="top"/>
          </w:tcPr>
          <w:p w14:paraId="16003347">
            <w:pPr>
              <w:rPr>
                <w:rFonts w:ascii="Arial"/>
                <w:color w:val="auto"/>
                <w:sz w:val="21"/>
                <w:highlight w:val="none"/>
              </w:rPr>
            </w:pPr>
          </w:p>
        </w:tc>
        <w:tc>
          <w:tcPr>
            <w:tcW w:w="1210" w:type="dxa"/>
            <w:vAlign w:val="top"/>
          </w:tcPr>
          <w:p w14:paraId="0C8C41E5">
            <w:pPr>
              <w:rPr>
                <w:rFonts w:ascii="Arial"/>
                <w:color w:val="auto"/>
                <w:sz w:val="21"/>
                <w:highlight w:val="none"/>
              </w:rPr>
            </w:pPr>
          </w:p>
        </w:tc>
        <w:tc>
          <w:tcPr>
            <w:tcW w:w="1251" w:type="dxa"/>
            <w:vAlign w:val="top"/>
          </w:tcPr>
          <w:p w14:paraId="75BEFC66">
            <w:pPr>
              <w:rPr>
                <w:rFonts w:ascii="Arial"/>
                <w:color w:val="auto"/>
                <w:sz w:val="21"/>
                <w:highlight w:val="none"/>
              </w:rPr>
            </w:pPr>
          </w:p>
        </w:tc>
        <w:tc>
          <w:tcPr>
            <w:tcW w:w="1016" w:type="dxa"/>
            <w:tcBorders>
              <w:right w:val="single" w:color="000000" w:sz="6" w:space="0"/>
            </w:tcBorders>
            <w:vAlign w:val="top"/>
          </w:tcPr>
          <w:p w14:paraId="267DA037">
            <w:pPr>
              <w:rPr>
                <w:rFonts w:ascii="Arial"/>
                <w:color w:val="auto"/>
                <w:sz w:val="21"/>
                <w:highlight w:val="none"/>
              </w:rPr>
            </w:pPr>
          </w:p>
        </w:tc>
      </w:tr>
      <w:tr w14:paraId="6A6C3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83" w:type="dxa"/>
            <w:tcBorders>
              <w:left w:val="single" w:color="000000" w:sz="6" w:space="0"/>
            </w:tcBorders>
            <w:vAlign w:val="top"/>
          </w:tcPr>
          <w:p w14:paraId="12FB9D98">
            <w:pPr>
              <w:rPr>
                <w:rFonts w:ascii="Arial"/>
                <w:color w:val="auto"/>
                <w:sz w:val="21"/>
                <w:highlight w:val="none"/>
              </w:rPr>
            </w:pPr>
          </w:p>
        </w:tc>
        <w:tc>
          <w:tcPr>
            <w:tcW w:w="683" w:type="dxa"/>
            <w:vAlign w:val="top"/>
          </w:tcPr>
          <w:p w14:paraId="2861817C">
            <w:pPr>
              <w:rPr>
                <w:rFonts w:ascii="Arial"/>
                <w:color w:val="auto"/>
                <w:sz w:val="21"/>
                <w:highlight w:val="none"/>
              </w:rPr>
            </w:pPr>
          </w:p>
        </w:tc>
        <w:tc>
          <w:tcPr>
            <w:tcW w:w="838" w:type="dxa"/>
            <w:vAlign w:val="top"/>
          </w:tcPr>
          <w:p w14:paraId="40B85A1C">
            <w:pPr>
              <w:rPr>
                <w:rFonts w:ascii="Arial"/>
                <w:color w:val="auto"/>
                <w:sz w:val="21"/>
                <w:highlight w:val="none"/>
              </w:rPr>
            </w:pPr>
          </w:p>
        </w:tc>
        <w:tc>
          <w:tcPr>
            <w:tcW w:w="1363" w:type="dxa"/>
            <w:vAlign w:val="top"/>
          </w:tcPr>
          <w:p w14:paraId="38015D4D">
            <w:pPr>
              <w:rPr>
                <w:rFonts w:ascii="Arial"/>
                <w:color w:val="auto"/>
                <w:sz w:val="21"/>
                <w:highlight w:val="none"/>
              </w:rPr>
            </w:pPr>
          </w:p>
        </w:tc>
        <w:tc>
          <w:tcPr>
            <w:tcW w:w="848" w:type="dxa"/>
            <w:vAlign w:val="top"/>
          </w:tcPr>
          <w:p w14:paraId="3F98528E">
            <w:pPr>
              <w:rPr>
                <w:rFonts w:ascii="Arial"/>
                <w:color w:val="auto"/>
                <w:sz w:val="21"/>
                <w:highlight w:val="none"/>
              </w:rPr>
            </w:pPr>
          </w:p>
        </w:tc>
        <w:tc>
          <w:tcPr>
            <w:tcW w:w="1018" w:type="dxa"/>
            <w:vAlign w:val="top"/>
          </w:tcPr>
          <w:p w14:paraId="0B6107F8">
            <w:pPr>
              <w:rPr>
                <w:rFonts w:ascii="Arial"/>
                <w:color w:val="auto"/>
                <w:sz w:val="21"/>
                <w:highlight w:val="none"/>
              </w:rPr>
            </w:pPr>
          </w:p>
        </w:tc>
        <w:tc>
          <w:tcPr>
            <w:tcW w:w="1210" w:type="dxa"/>
            <w:vAlign w:val="top"/>
          </w:tcPr>
          <w:p w14:paraId="09EC6FDA">
            <w:pPr>
              <w:rPr>
                <w:rFonts w:ascii="Arial"/>
                <w:color w:val="auto"/>
                <w:sz w:val="21"/>
                <w:highlight w:val="none"/>
              </w:rPr>
            </w:pPr>
          </w:p>
        </w:tc>
        <w:tc>
          <w:tcPr>
            <w:tcW w:w="1251" w:type="dxa"/>
            <w:vAlign w:val="top"/>
          </w:tcPr>
          <w:p w14:paraId="52FE89E6">
            <w:pPr>
              <w:rPr>
                <w:rFonts w:ascii="Arial"/>
                <w:color w:val="auto"/>
                <w:sz w:val="21"/>
                <w:highlight w:val="none"/>
              </w:rPr>
            </w:pPr>
          </w:p>
        </w:tc>
        <w:tc>
          <w:tcPr>
            <w:tcW w:w="1016" w:type="dxa"/>
            <w:tcBorders>
              <w:right w:val="single" w:color="000000" w:sz="6" w:space="0"/>
            </w:tcBorders>
            <w:vAlign w:val="top"/>
          </w:tcPr>
          <w:p w14:paraId="00DAE5BE">
            <w:pPr>
              <w:rPr>
                <w:rFonts w:ascii="Arial"/>
                <w:color w:val="auto"/>
                <w:sz w:val="21"/>
                <w:highlight w:val="none"/>
              </w:rPr>
            </w:pPr>
          </w:p>
        </w:tc>
      </w:tr>
      <w:tr w14:paraId="1C47B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683" w:type="dxa"/>
            <w:tcBorders>
              <w:left w:val="single" w:color="000000" w:sz="6" w:space="0"/>
            </w:tcBorders>
            <w:vAlign w:val="top"/>
          </w:tcPr>
          <w:p w14:paraId="44AF2909">
            <w:pPr>
              <w:rPr>
                <w:rFonts w:ascii="Arial"/>
                <w:color w:val="auto"/>
                <w:sz w:val="21"/>
                <w:highlight w:val="none"/>
              </w:rPr>
            </w:pPr>
          </w:p>
        </w:tc>
        <w:tc>
          <w:tcPr>
            <w:tcW w:w="683" w:type="dxa"/>
            <w:vAlign w:val="top"/>
          </w:tcPr>
          <w:p w14:paraId="09C20A66">
            <w:pPr>
              <w:rPr>
                <w:rFonts w:ascii="Arial"/>
                <w:color w:val="auto"/>
                <w:sz w:val="21"/>
                <w:highlight w:val="none"/>
              </w:rPr>
            </w:pPr>
          </w:p>
        </w:tc>
        <w:tc>
          <w:tcPr>
            <w:tcW w:w="838" w:type="dxa"/>
            <w:vAlign w:val="top"/>
          </w:tcPr>
          <w:p w14:paraId="13822C40">
            <w:pPr>
              <w:rPr>
                <w:rFonts w:ascii="Arial"/>
                <w:color w:val="auto"/>
                <w:sz w:val="21"/>
                <w:highlight w:val="none"/>
              </w:rPr>
            </w:pPr>
          </w:p>
        </w:tc>
        <w:tc>
          <w:tcPr>
            <w:tcW w:w="1363" w:type="dxa"/>
            <w:vAlign w:val="top"/>
          </w:tcPr>
          <w:p w14:paraId="41C11B43">
            <w:pPr>
              <w:rPr>
                <w:rFonts w:ascii="Arial"/>
                <w:color w:val="auto"/>
                <w:sz w:val="21"/>
                <w:highlight w:val="none"/>
              </w:rPr>
            </w:pPr>
          </w:p>
        </w:tc>
        <w:tc>
          <w:tcPr>
            <w:tcW w:w="848" w:type="dxa"/>
            <w:vAlign w:val="top"/>
          </w:tcPr>
          <w:p w14:paraId="460DA5EE">
            <w:pPr>
              <w:rPr>
                <w:rFonts w:ascii="Arial"/>
                <w:color w:val="auto"/>
                <w:sz w:val="21"/>
                <w:highlight w:val="none"/>
              </w:rPr>
            </w:pPr>
          </w:p>
        </w:tc>
        <w:tc>
          <w:tcPr>
            <w:tcW w:w="1018" w:type="dxa"/>
            <w:vAlign w:val="top"/>
          </w:tcPr>
          <w:p w14:paraId="7D73C9C0">
            <w:pPr>
              <w:rPr>
                <w:rFonts w:ascii="Arial"/>
                <w:color w:val="auto"/>
                <w:sz w:val="21"/>
                <w:highlight w:val="none"/>
              </w:rPr>
            </w:pPr>
          </w:p>
        </w:tc>
        <w:tc>
          <w:tcPr>
            <w:tcW w:w="1210" w:type="dxa"/>
            <w:vAlign w:val="top"/>
          </w:tcPr>
          <w:p w14:paraId="59731903">
            <w:pPr>
              <w:rPr>
                <w:rFonts w:ascii="Arial"/>
                <w:color w:val="auto"/>
                <w:sz w:val="21"/>
                <w:highlight w:val="none"/>
              </w:rPr>
            </w:pPr>
          </w:p>
        </w:tc>
        <w:tc>
          <w:tcPr>
            <w:tcW w:w="1251" w:type="dxa"/>
            <w:vAlign w:val="top"/>
          </w:tcPr>
          <w:p w14:paraId="7978A1F5">
            <w:pPr>
              <w:rPr>
                <w:rFonts w:ascii="Arial"/>
                <w:color w:val="auto"/>
                <w:sz w:val="21"/>
                <w:highlight w:val="none"/>
              </w:rPr>
            </w:pPr>
          </w:p>
        </w:tc>
        <w:tc>
          <w:tcPr>
            <w:tcW w:w="1016" w:type="dxa"/>
            <w:tcBorders>
              <w:right w:val="single" w:color="000000" w:sz="6" w:space="0"/>
            </w:tcBorders>
            <w:vAlign w:val="top"/>
          </w:tcPr>
          <w:p w14:paraId="7161E6F3">
            <w:pPr>
              <w:rPr>
                <w:rFonts w:ascii="Arial"/>
                <w:color w:val="auto"/>
                <w:sz w:val="21"/>
                <w:highlight w:val="none"/>
              </w:rPr>
            </w:pPr>
          </w:p>
        </w:tc>
      </w:tr>
      <w:tr w14:paraId="5C517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683" w:type="dxa"/>
            <w:tcBorders>
              <w:left w:val="single" w:color="000000" w:sz="6" w:space="0"/>
              <w:bottom w:val="single" w:color="000000" w:sz="6" w:space="0"/>
            </w:tcBorders>
            <w:vAlign w:val="top"/>
          </w:tcPr>
          <w:p w14:paraId="63819DE5">
            <w:pPr>
              <w:rPr>
                <w:rFonts w:ascii="Arial"/>
                <w:color w:val="auto"/>
                <w:sz w:val="21"/>
                <w:highlight w:val="none"/>
              </w:rPr>
            </w:pPr>
          </w:p>
        </w:tc>
        <w:tc>
          <w:tcPr>
            <w:tcW w:w="683" w:type="dxa"/>
            <w:tcBorders>
              <w:bottom w:val="single" w:color="000000" w:sz="6" w:space="0"/>
            </w:tcBorders>
            <w:vAlign w:val="top"/>
          </w:tcPr>
          <w:p w14:paraId="3D67A3F5">
            <w:pPr>
              <w:rPr>
                <w:rFonts w:ascii="Arial"/>
                <w:color w:val="auto"/>
                <w:sz w:val="21"/>
                <w:highlight w:val="none"/>
              </w:rPr>
            </w:pPr>
          </w:p>
        </w:tc>
        <w:tc>
          <w:tcPr>
            <w:tcW w:w="838" w:type="dxa"/>
            <w:tcBorders>
              <w:bottom w:val="single" w:color="000000" w:sz="6" w:space="0"/>
            </w:tcBorders>
            <w:vAlign w:val="top"/>
          </w:tcPr>
          <w:p w14:paraId="288AB5F6">
            <w:pPr>
              <w:rPr>
                <w:rFonts w:ascii="Arial"/>
                <w:color w:val="auto"/>
                <w:sz w:val="21"/>
                <w:highlight w:val="none"/>
              </w:rPr>
            </w:pPr>
          </w:p>
        </w:tc>
        <w:tc>
          <w:tcPr>
            <w:tcW w:w="1363" w:type="dxa"/>
            <w:tcBorders>
              <w:bottom w:val="single" w:color="000000" w:sz="6" w:space="0"/>
            </w:tcBorders>
            <w:vAlign w:val="top"/>
          </w:tcPr>
          <w:p w14:paraId="6927BE73">
            <w:pPr>
              <w:rPr>
                <w:rFonts w:ascii="Arial"/>
                <w:color w:val="auto"/>
                <w:sz w:val="21"/>
                <w:highlight w:val="none"/>
              </w:rPr>
            </w:pPr>
          </w:p>
        </w:tc>
        <w:tc>
          <w:tcPr>
            <w:tcW w:w="848" w:type="dxa"/>
            <w:tcBorders>
              <w:bottom w:val="single" w:color="000000" w:sz="6" w:space="0"/>
            </w:tcBorders>
            <w:vAlign w:val="top"/>
          </w:tcPr>
          <w:p w14:paraId="38B74294">
            <w:pPr>
              <w:rPr>
                <w:rFonts w:ascii="Arial"/>
                <w:color w:val="auto"/>
                <w:sz w:val="21"/>
                <w:highlight w:val="none"/>
              </w:rPr>
            </w:pPr>
          </w:p>
        </w:tc>
        <w:tc>
          <w:tcPr>
            <w:tcW w:w="1018" w:type="dxa"/>
            <w:tcBorders>
              <w:bottom w:val="single" w:color="000000" w:sz="6" w:space="0"/>
            </w:tcBorders>
            <w:vAlign w:val="top"/>
          </w:tcPr>
          <w:p w14:paraId="21001133">
            <w:pPr>
              <w:rPr>
                <w:rFonts w:ascii="Arial"/>
                <w:color w:val="auto"/>
                <w:sz w:val="21"/>
                <w:highlight w:val="none"/>
              </w:rPr>
            </w:pPr>
          </w:p>
        </w:tc>
        <w:tc>
          <w:tcPr>
            <w:tcW w:w="1210" w:type="dxa"/>
            <w:tcBorders>
              <w:bottom w:val="single" w:color="000000" w:sz="6" w:space="0"/>
            </w:tcBorders>
            <w:vAlign w:val="top"/>
          </w:tcPr>
          <w:p w14:paraId="0B198EE4">
            <w:pPr>
              <w:rPr>
                <w:rFonts w:ascii="Arial"/>
                <w:color w:val="auto"/>
                <w:sz w:val="21"/>
                <w:highlight w:val="none"/>
              </w:rPr>
            </w:pPr>
          </w:p>
        </w:tc>
        <w:tc>
          <w:tcPr>
            <w:tcW w:w="1251" w:type="dxa"/>
            <w:tcBorders>
              <w:bottom w:val="single" w:color="000000" w:sz="6" w:space="0"/>
            </w:tcBorders>
            <w:vAlign w:val="top"/>
          </w:tcPr>
          <w:p w14:paraId="2CB987D7">
            <w:pPr>
              <w:rPr>
                <w:rFonts w:ascii="Arial"/>
                <w:color w:val="auto"/>
                <w:sz w:val="21"/>
                <w:highlight w:val="none"/>
              </w:rPr>
            </w:pPr>
          </w:p>
        </w:tc>
        <w:tc>
          <w:tcPr>
            <w:tcW w:w="1016" w:type="dxa"/>
            <w:tcBorders>
              <w:bottom w:val="single" w:color="000000" w:sz="6" w:space="0"/>
              <w:right w:val="single" w:color="000000" w:sz="6" w:space="0"/>
            </w:tcBorders>
            <w:vAlign w:val="top"/>
          </w:tcPr>
          <w:p w14:paraId="47ED06D9">
            <w:pPr>
              <w:rPr>
                <w:rFonts w:ascii="Arial"/>
                <w:color w:val="auto"/>
                <w:sz w:val="21"/>
                <w:highlight w:val="none"/>
              </w:rPr>
            </w:pPr>
          </w:p>
        </w:tc>
      </w:tr>
    </w:tbl>
    <w:p w14:paraId="5BDB33CC">
      <w:pPr>
        <w:spacing w:before="38" w:line="360" w:lineRule="auto"/>
        <w:ind w:left="11" w:firstLine="47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注：拟派项目管理机构主要人员必须在浙江省水利厅“浙江省水利建设市场信息”</w:t>
      </w:r>
      <w:r>
        <w:rPr>
          <w:rFonts w:ascii="宋体" w:hAnsi="宋体" w:eastAsia="宋体" w:cs="宋体"/>
          <w:color w:val="auto"/>
          <w:sz w:val="24"/>
          <w:szCs w:val="24"/>
          <w:highlight w:val="none"/>
        </w:rPr>
        <w:t>上已经公示。投标人应在“原件的复制件”中提供 “浙江省水利工程建设管理系统</w:t>
      </w:r>
      <w:r>
        <w:rPr>
          <w:rFonts w:ascii="宋体" w:hAnsi="宋体" w:eastAsia="宋体" w:cs="宋体"/>
          <w:color w:val="auto"/>
          <w:spacing w:val="3"/>
          <w:sz w:val="24"/>
          <w:szCs w:val="24"/>
          <w:highlight w:val="none"/>
        </w:rPr>
        <w:t xml:space="preserve"> </w:t>
      </w:r>
      <w:r>
        <w:rPr>
          <w:rFonts w:ascii="宋体" w:hAnsi="宋体" w:eastAsia="宋体" w:cs="宋体"/>
          <w:color w:val="auto"/>
          <w:spacing w:val="-2"/>
          <w:sz w:val="24"/>
          <w:szCs w:val="24"/>
          <w:highlight w:val="none"/>
        </w:rPr>
        <w:t>（透明工程）”的打印件，打印件应含有“浙江水利透明工程”水印。</w:t>
      </w:r>
    </w:p>
    <w:p w14:paraId="49B5D67E">
      <w:pPr>
        <w:spacing w:line="360" w:lineRule="auto"/>
        <w:rPr>
          <w:rFonts w:ascii="宋体" w:hAnsi="宋体" w:eastAsia="宋体" w:cs="宋体"/>
          <w:color w:val="auto"/>
          <w:sz w:val="24"/>
          <w:szCs w:val="24"/>
          <w:highlight w:val="none"/>
        </w:rPr>
        <w:sectPr>
          <w:footerReference r:id="rId127" w:type="default"/>
          <w:pgSz w:w="11907" w:h="16841"/>
          <w:pgMar w:top="400" w:right="1288" w:bottom="1254" w:left="1588" w:header="0" w:footer="1093" w:gutter="0"/>
          <w:pgNumType w:fmt="decimal"/>
          <w:cols w:space="720" w:num="1"/>
        </w:sectPr>
      </w:pPr>
    </w:p>
    <w:p w14:paraId="7E152AEF">
      <w:pPr>
        <w:pStyle w:val="3"/>
        <w:spacing w:line="247" w:lineRule="auto"/>
        <w:rPr>
          <w:color w:val="auto"/>
          <w:highlight w:val="none"/>
        </w:rPr>
      </w:pPr>
    </w:p>
    <w:p w14:paraId="1F509A4A">
      <w:pPr>
        <w:pStyle w:val="3"/>
        <w:spacing w:line="248" w:lineRule="auto"/>
        <w:rPr>
          <w:color w:val="auto"/>
          <w:highlight w:val="none"/>
        </w:rPr>
      </w:pPr>
    </w:p>
    <w:p w14:paraId="73CBB08E">
      <w:pPr>
        <w:pStyle w:val="3"/>
        <w:spacing w:line="248" w:lineRule="auto"/>
        <w:rPr>
          <w:color w:val="auto"/>
          <w:highlight w:val="none"/>
        </w:rPr>
      </w:pPr>
    </w:p>
    <w:p w14:paraId="05D21E3A">
      <w:pPr>
        <w:pStyle w:val="3"/>
        <w:spacing w:line="248" w:lineRule="auto"/>
        <w:rPr>
          <w:color w:val="auto"/>
          <w:highlight w:val="none"/>
        </w:rPr>
      </w:pPr>
    </w:p>
    <w:p w14:paraId="41D2EEA3">
      <w:pPr>
        <w:spacing w:before="78" w:line="219" w:lineRule="auto"/>
        <w:ind w:left="5"/>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2.</w:t>
      </w:r>
      <w:r>
        <w:rPr>
          <w:rFonts w:ascii="宋体" w:hAnsi="宋体" w:eastAsia="宋体" w:cs="宋体"/>
          <w:b/>
          <w:bCs/>
          <w:color w:val="auto"/>
          <w:spacing w:val="-2"/>
          <w:sz w:val="24"/>
          <w:szCs w:val="24"/>
          <w:highlight w:val="none"/>
        </w:rPr>
        <w:t>主要人员简历表</w:t>
      </w:r>
    </w:p>
    <w:p w14:paraId="71E97759">
      <w:pPr>
        <w:spacing w:line="147" w:lineRule="exact"/>
        <w:rPr>
          <w:color w:val="auto"/>
          <w:highlight w:val="none"/>
        </w:rPr>
      </w:pPr>
    </w:p>
    <w:tbl>
      <w:tblPr>
        <w:tblStyle w:val="16"/>
        <w:tblW w:w="88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7"/>
        <w:gridCol w:w="326"/>
        <w:gridCol w:w="1243"/>
        <w:gridCol w:w="762"/>
        <w:gridCol w:w="1253"/>
        <w:gridCol w:w="110"/>
        <w:gridCol w:w="1318"/>
        <w:gridCol w:w="1311"/>
        <w:gridCol w:w="1318"/>
      </w:tblGrid>
      <w:tr w14:paraId="038CB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533" w:type="dxa"/>
            <w:gridSpan w:val="2"/>
            <w:tcBorders>
              <w:top w:val="single" w:color="000000" w:sz="6" w:space="0"/>
              <w:left w:val="single" w:color="000000" w:sz="6" w:space="0"/>
            </w:tcBorders>
            <w:vAlign w:val="top"/>
          </w:tcPr>
          <w:p w14:paraId="38C46A39">
            <w:pPr>
              <w:pStyle w:val="17"/>
              <w:spacing w:before="107" w:line="220" w:lineRule="auto"/>
              <w:ind w:left="284"/>
              <w:rPr>
                <w:color w:val="auto"/>
                <w:sz w:val="24"/>
                <w:szCs w:val="24"/>
                <w:highlight w:val="none"/>
              </w:rPr>
            </w:pPr>
            <w:r>
              <w:rPr>
                <w:color w:val="auto"/>
                <w:spacing w:val="-5"/>
                <w:sz w:val="24"/>
                <w:szCs w:val="24"/>
                <w:highlight w:val="none"/>
              </w:rPr>
              <w:t>姓</w:t>
            </w:r>
            <w:r>
              <w:rPr>
                <w:color w:val="auto"/>
                <w:spacing w:val="3"/>
                <w:sz w:val="24"/>
                <w:szCs w:val="24"/>
                <w:highlight w:val="none"/>
              </w:rPr>
              <w:t xml:space="preserve">    </w:t>
            </w:r>
            <w:r>
              <w:rPr>
                <w:color w:val="auto"/>
                <w:spacing w:val="-5"/>
                <w:sz w:val="24"/>
                <w:szCs w:val="24"/>
                <w:highlight w:val="none"/>
              </w:rPr>
              <w:t>名</w:t>
            </w:r>
          </w:p>
        </w:tc>
        <w:tc>
          <w:tcPr>
            <w:tcW w:w="1243" w:type="dxa"/>
            <w:tcBorders>
              <w:top w:val="single" w:color="000000" w:sz="6" w:space="0"/>
            </w:tcBorders>
            <w:vAlign w:val="top"/>
          </w:tcPr>
          <w:p w14:paraId="4AAC2781">
            <w:pPr>
              <w:rPr>
                <w:rFonts w:ascii="Arial"/>
                <w:color w:val="auto"/>
                <w:sz w:val="21"/>
                <w:highlight w:val="none"/>
              </w:rPr>
            </w:pPr>
          </w:p>
        </w:tc>
        <w:tc>
          <w:tcPr>
            <w:tcW w:w="762" w:type="dxa"/>
            <w:tcBorders>
              <w:top w:val="single" w:color="000000" w:sz="6" w:space="0"/>
            </w:tcBorders>
            <w:vAlign w:val="top"/>
          </w:tcPr>
          <w:p w14:paraId="35D72980">
            <w:pPr>
              <w:pStyle w:val="17"/>
              <w:spacing w:before="107" w:line="220" w:lineRule="auto"/>
              <w:ind w:left="145"/>
              <w:rPr>
                <w:color w:val="auto"/>
                <w:sz w:val="24"/>
                <w:szCs w:val="24"/>
                <w:highlight w:val="none"/>
              </w:rPr>
            </w:pPr>
            <w:r>
              <w:rPr>
                <w:color w:val="auto"/>
                <w:spacing w:val="-3"/>
                <w:sz w:val="24"/>
                <w:szCs w:val="24"/>
                <w:highlight w:val="none"/>
              </w:rPr>
              <w:t>年龄</w:t>
            </w:r>
          </w:p>
        </w:tc>
        <w:tc>
          <w:tcPr>
            <w:tcW w:w="1253" w:type="dxa"/>
            <w:tcBorders>
              <w:top w:val="single" w:color="000000" w:sz="6" w:space="0"/>
            </w:tcBorders>
            <w:vAlign w:val="top"/>
          </w:tcPr>
          <w:p w14:paraId="55A33DEB">
            <w:pPr>
              <w:rPr>
                <w:rFonts w:ascii="Arial"/>
                <w:color w:val="auto"/>
                <w:sz w:val="21"/>
                <w:highlight w:val="none"/>
              </w:rPr>
            </w:pPr>
          </w:p>
        </w:tc>
        <w:tc>
          <w:tcPr>
            <w:tcW w:w="2739" w:type="dxa"/>
            <w:gridSpan w:val="3"/>
            <w:tcBorders>
              <w:top w:val="single" w:color="000000" w:sz="6" w:space="0"/>
            </w:tcBorders>
            <w:vAlign w:val="top"/>
          </w:tcPr>
          <w:p w14:paraId="34332CFB">
            <w:pPr>
              <w:pStyle w:val="17"/>
              <w:spacing w:before="107" w:line="221" w:lineRule="auto"/>
              <w:ind w:left="663"/>
              <w:rPr>
                <w:color w:val="auto"/>
                <w:sz w:val="24"/>
                <w:szCs w:val="24"/>
                <w:highlight w:val="none"/>
              </w:rPr>
            </w:pPr>
            <w:r>
              <w:rPr>
                <w:color w:val="auto"/>
                <w:spacing w:val="-8"/>
                <w:sz w:val="24"/>
                <w:szCs w:val="24"/>
                <w:highlight w:val="none"/>
              </w:rPr>
              <w:t>学</w:t>
            </w:r>
            <w:r>
              <w:rPr>
                <w:color w:val="auto"/>
                <w:spacing w:val="1"/>
                <w:sz w:val="24"/>
                <w:szCs w:val="24"/>
                <w:highlight w:val="none"/>
              </w:rPr>
              <w:t xml:space="preserve">        </w:t>
            </w:r>
            <w:r>
              <w:rPr>
                <w:color w:val="auto"/>
                <w:spacing w:val="-8"/>
                <w:sz w:val="24"/>
                <w:szCs w:val="24"/>
                <w:highlight w:val="none"/>
              </w:rPr>
              <w:t>历</w:t>
            </w:r>
          </w:p>
        </w:tc>
        <w:tc>
          <w:tcPr>
            <w:tcW w:w="1318" w:type="dxa"/>
            <w:tcBorders>
              <w:top w:val="single" w:color="000000" w:sz="6" w:space="0"/>
              <w:right w:val="single" w:color="000000" w:sz="6" w:space="0"/>
            </w:tcBorders>
            <w:vAlign w:val="top"/>
          </w:tcPr>
          <w:p w14:paraId="15931552">
            <w:pPr>
              <w:rPr>
                <w:rFonts w:ascii="Arial"/>
                <w:color w:val="auto"/>
                <w:sz w:val="21"/>
                <w:highlight w:val="none"/>
              </w:rPr>
            </w:pPr>
          </w:p>
        </w:tc>
      </w:tr>
      <w:tr w14:paraId="236C7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33" w:type="dxa"/>
            <w:gridSpan w:val="2"/>
            <w:tcBorders>
              <w:left w:val="single" w:color="000000" w:sz="6" w:space="0"/>
            </w:tcBorders>
            <w:vAlign w:val="top"/>
          </w:tcPr>
          <w:p w14:paraId="68BFE833">
            <w:pPr>
              <w:pStyle w:val="17"/>
              <w:spacing w:before="103" w:line="220" w:lineRule="auto"/>
              <w:ind w:left="284"/>
              <w:rPr>
                <w:color w:val="auto"/>
                <w:sz w:val="24"/>
                <w:szCs w:val="24"/>
                <w:highlight w:val="none"/>
              </w:rPr>
            </w:pPr>
            <w:r>
              <w:rPr>
                <w:color w:val="auto"/>
                <w:spacing w:val="-2"/>
                <w:sz w:val="24"/>
                <w:szCs w:val="24"/>
                <w:highlight w:val="none"/>
              </w:rPr>
              <w:t>执业资格</w:t>
            </w:r>
          </w:p>
        </w:tc>
        <w:tc>
          <w:tcPr>
            <w:tcW w:w="3258" w:type="dxa"/>
            <w:gridSpan w:val="3"/>
            <w:vAlign w:val="top"/>
          </w:tcPr>
          <w:p w14:paraId="4CC16723">
            <w:pPr>
              <w:rPr>
                <w:rFonts w:ascii="Arial"/>
                <w:color w:val="auto"/>
                <w:sz w:val="21"/>
                <w:highlight w:val="none"/>
              </w:rPr>
            </w:pPr>
          </w:p>
        </w:tc>
        <w:tc>
          <w:tcPr>
            <w:tcW w:w="2739" w:type="dxa"/>
            <w:gridSpan w:val="3"/>
            <w:vAlign w:val="top"/>
          </w:tcPr>
          <w:p w14:paraId="0FFA1AA1">
            <w:pPr>
              <w:pStyle w:val="17"/>
              <w:spacing w:before="103" w:line="219" w:lineRule="auto"/>
              <w:ind w:left="183"/>
              <w:rPr>
                <w:color w:val="auto"/>
                <w:sz w:val="24"/>
                <w:szCs w:val="24"/>
                <w:highlight w:val="none"/>
              </w:rPr>
            </w:pPr>
            <w:r>
              <w:rPr>
                <w:color w:val="auto"/>
                <w:spacing w:val="-2"/>
                <w:sz w:val="24"/>
                <w:szCs w:val="24"/>
                <w:highlight w:val="none"/>
              </w:rPr>
              <w:t>安全生产考核合格证书</w:t>
            </w:r>
          </w:p>
        </w:tc>
        <w:tc>
          <w:tcPr>
            <w:tcW w:w="1318" w:type="dxa"/>
            <w:tcBorders>
              <w:right w:val="single" w:color="000000" w:sz="6" w:space="0"/>
            </w:tcBorders>
            <w:vAlign w:val="top"/>
          </w:tcPr>
          <w:p w14:paraId="14D51ABC">
            <w:pPr>
              <w:rPr>
                <w:rFonts w:ascii="Arial"/>
                <w:color w:val="auto"/>
                <w:sz w:val="21"/>
                <w:highlight w:val="none"/>
              </w:rPr>
            </w:pPr>
          </w:p>
        </w:tc>
      </w:tr>
      <w:tr w14:paraId="163F7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33" w:type="dxa"/>
            <w:gridSpan w:val="2"/>
            <w:tcBorders>
              <w:left w:val="single" w:color="000000" w:sz="6" w:space="0"/>
            </w:tcBorders>
            <w:vAlign w:val="top"/>
          </w:tcPr>
          <w:p w14:paraId="51B9CE3B">
            <w:pPr>
              <w:pStyle w:val="17"/>
              <w:spacing w:before="104" w:line="222" w:lineRule="auto"/>
              <w:ind w:left="285"/>
              <w:rPr>
                <w:color w:val="auto"/>
                <w:sz w:val="24"/>
                <w:szCs w:val="24"/>
                <w:highlight w:val="none"/>
              </w:rPr>
            </w:pPr>
            <w:r>
              <w:rPr>
                <w:color w:val="auto"/>
                <w:spacing w:val="-6"/>
                <w:sz w:val="24"/>
                <w:szCs w:val="24"/>
                <w:highlight w:val="none"/>
              </w:rPr>
              <w:t>职</w:t>
            </w:r>
            <w:r>
              <w:rPr>
                <w:color w:val="auto"/>
                <w:spacing w:val="2"/>
                <w:sz w:val="24"/>
                <w:szCs w:val="24"/>
                <w:highlight w:val="none"/>
              </w:rPr>
              <w:t xml:space="preserve">    </w:t>
            </w:r>
            <w:r>
              <w:rPr>
                <w:color w:val="auto"/>
                <w:spacing w:val="-6"/>
                <w:sz w:val="24"/>
                <w:szCs w:val="24"/>
                <w:highlight w:val="none"/>
              </w:rPr>
              <w:t>称</w:t>
            </w:r>
          </w:p>
        </w:tc>
        <w:tc>
          <w:tcPr>
            <w:tcW w:w="1243" w:type="dxa"/>
            <w:vAlign w:val="top"/>
          </w:tcPr>
          <w:p w14:paraId="58BDB9AA">
            <w:pPr>
              <w:rPr>
                <w:rFonts w:ascii="Arial"/>
                <w:color w:val="auto"/>
                <w:sz w:val="21"/>
                <w:highlight w:val="none"/>
              </w:rPr>
            </w:pPr>
          </w:p>
        </w:tc>
        <w:tc>
          <w:tcPr>
            <w:tcW w:w="762" w:type="dxa"/>
            <w:vAlign w:val="top"/>
          </w:tcPr>
          <w:p w14:paraId="1D83A966">
            <w:pPr>
              <w:pStyle w:val="17"/>
              <w:spacing w:before="104" w:line="220" w:lineRule="auto"/>
              <w:ind w:left="145"/>
              <w:rPr>
                <w:color w:val="auto"/>
                <w:sz w:val="24"/>
                <w:szCs w:val="24"/>
                <w:highlight w:val="none"/>
              </w:rPr>
            </w:pPr>
            <w:r>
              <w:rPr>
                <w:color w:val="auto"/>
                <w:spacing w:val="-3"/>
                <w:sz w:val="24"/>
                <w:szCs w:val="24"/>
                <w:highlight w:val="none"/>
              </w:rPr>
              <w:t>职务</w:t>
            </w:r>
          </w:p>
        </w:tc>
        <w:tc>
          <w:tcPr>
            <w:tcW w:w="1253" w:type="dxa"/>
            <w:vAlign w:val="top"/>
          </w:tcPr>
          <w:p w14:paraId="4C89001D">
            <w:pPr>
              <w:rPr>
                <w:rFonts w:ascii="Arial"/>
                <w:color w:val="auto"/>
                <w:sz w:val="21"/>
                <w:highlight w:val="none"/>
              </w:rPr>
            </w:pPr>
          </w:p>
        </w:tc>
        <w:tc>
          <w:tcPr>
            <w:tcW w:w="2739" w:type="dxa"/>
            <w:gridSpan w:val="3"/>
            <w:vAlign w:val="top"/>
          </w:tcPr>
          <w:p w14:paraId="478F0897">
            <w:pPr>
              <w:pStyle w:val="17"/>
              <w:spacing w:before="104" w:line="219" w:lineRule="auto"/>
              <w:ind w:left="538"/>
              <w:rPr>
                <w:color w:val="auto"/>
                <w:sz w:val="24"/>
                <w:szCs w:val="24"/>
                <w:highlight w:val="none"/>
              </w:rPr>
            </w:pPr>
            <w:r>
              <w:rPr>
                <w:color w:val="auto"/>
                <w:spacing w:val="-2"/>
                <w:sz w:val="24"/>
                <w:szCs w:val="24"/>
                <w:highlight w:val="none"/>
              </w:rPr>
              <w:t>拟在本合同任职</w:t>
            </w:r>
          </w:p>
        </w:tc>
        <w:tc>
          <w:tcPr>
            <w:tcW w:w="1318" w:type="dxa"/>
            <w:tcBorders>
              <w:right w:val="single" w:color="000000" w:sz="6" w:space="0"/>
            </w:tcBorders>
            <w:vAlign w:val="top"/>
          </w:tcPr>
          <w:p w14:paraId="71D9F502">
            <w:pPr>
              <w:rPr>
                <w:rFonts w:ascii="Arial"/>
                <w:color w:val="auto"/>
                <w:sz w:val="21"/>
                <w:highlight w:val="none"/>
              </w:rPr>
            </w:pPr>
          </w:p>
        </w:tc>
      </w:tr>
      <w:tr w14:paraId="69274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33" w:type="dxa"/>
            <w:gridSpan w:val="2"/>
            <w:tcBorders>
              <w:left w:val="single" w:color="000000" w:sz="6" w:space="0"/>
            </w:tcBorders>
            <w:vAlign w:val="top"/>
          </w:tcPr>
          <w:p w14:paraId="2ACC1F23">
            <w:pPr>
              <w:pStyle w:val="17"/>
              <w:spacing w:before="104" w:line="220" w:lineRule="auto"/>
              <w:ind w:left="289"/>
              <w:rPr>
                <w:color w:val="auto"/>
                <w:sz w:val="24"/>
                <w:szCs w:val="24"/>
                <w:highlight w:val="none"/>
              </w:rPr>
            </w:pPr>
            <w:r>
              <w:rPr>
                <w:color w:val="auto"/>
                <w:spacing w:val="-3"/>
                <w:sz w:val="24"/>
                <w:szCs w:val="24"/>
                <w:highlight w:val="none"/>
              </w:rPr>
              <w:t>毕业学校</w:t>
            </w:r>
          </w:p>
        </w:tc>
        <w:tc>
          <w:tcPr>
            <w:tcW w:w="7315" w:type="dxa"/>
            <w:gridSpan w:val="7"/>
            <w:tcBorders>
              <w:right w:val="single" w:color="000000" w:sz="6" w:space="0"/>
            </w:tcBorders>
            <w:vAlign w:val="top"/>
          </w:tcPr>
          <w:p w14:paraId="3034E86C">
            <w:pPr>
              <w:pStyle w:val="17"/>
              <w:spacing w:before="104" w:line="220" w:lineRule="auto"/>
              <w:ind w:left="1440"/>
              <w:rPr>
                <w:color w:val="auto"/>
                <w:sz w:val="24"/>
                <w:szCs w:val="24"/>
                <w:highlight w:val="none"/>
              </w:rPr>
            </w:pPr>
            <w:r>
              <w:rPr>
                <w:color w:val="auto"/>
                <w:spacing w:val="-2"/>
                <w:sz w:val="24"/>
                <w:szCs w:val="24"/>
                <w:highlight w:val="none"/>
              </w:rPr>
              <w:t>年毕业于</w:t>
            </w:r>
            <w:r>
              <w:rPr>
                <w:color w:val="auto"/>
                <w:spacing w:val="1"/>
                <w:sz w:val="24"/>
                <w:szCs w:val="24"/>
                <w:highlight w:val="none"/>
              </w:rPr>
              <w:t xml:space="preserve">                 </w:t>
            </w:r>
            <w:r>
              <w:rPr>
                <w:color w:val="auto"/>
                <w:spacing w:val="-2"/>
                <w:sz w:val="24"/>
                <w:szCs w:val="24"/>
                <w:highlight w:val="none"/>
              </w:rPr>
              <w:t>学校         专业</w:t>
            </w:r>
          </w:p>
        </w:tc>
      </w:tr>
      <w:tr w14:paraId="54C7E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8848" w:type="dxa"/>
            <w:gridSpan w:val="9"/>
            <w:tcBorders>
              <w:left w:val="single" w:color="000000" w:sz="6" w:space="0"/>
              <w:right w:val="single" w:color="000000" w:sz="6" w:space="0"/>
            </w:tcBorders>
            <w:vAlign w:val="top"/>
          </w:tcPr>
          <w:p w14:paraId="1C5567FF">
            <w:pPr>
              <w:pStyle w:val="17"/>
              <w:spacing w:before="105" w:line="220" w:lineRule="auto"/>
              <w:ind w:left="3466"/>
              <w:rPr>
                <w:color w:val="auto"/>
                <w:sz w:val="24"/>
                <w:szCs w:val="24"/>
                <w:highlight w:val="none"/>
              </w:rPr>
            </w:pPr>
            <w:r>
              <w:rPr>
                <w:color w:val="auto"/>
                <w:spacing w:val="-2"/>
                <w:sz w:val="24"/>
                <w:szCs w:val="24"/>
                <w:highlight w:val="none"/>
              </w:rPr>
              <w:t>主要施工管理经历</w:t>
            </w:r>
          </w:p>
        </w:tc>
      </w:tr>
      <w:tr w14:paraId="76E33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4C7E9CAE">
            <w:pPr>
              <w:pStyle w:val="17"/>
              <w:spacing w:before="104" w:line="222" w:lineRule="auto"/>
              <w:ind w:left="372"/>
              <w:rPr>
                <w:color w:val="auto"/>
                <w:sz w:val="24"/>
                <w:szCs w:val="24"/>
                <w:highlight w:val="none"/>
              </w:rPr>
            </w:pPr>
            <w:r>
              <w:rPr>
                <w:color w:val="auto"/>
                <w:spacing w:val="-6"/>
                <w:sz w:val="24"/>
                <w:szCs w:val="24"/>
                <w:highlight w:val="none"/>
              </w:rPr>
              <w:t>时间</w:t>
            </w:r>
          </w:p>
        </w:tc>
        <w:tc>
          <w:tcPr>
            <w:tcW w:w="3694" w:type="dxa"/>
            <w:gridSpan w:val="5"/>
            <w:vAlign w:val="top"/>
          </w:tcPr>
          <w:p w14:paraId="5B7679F4">
            <w:pPr>
              <w:pStyle w:val="17"/>
              <w:spacing w:before="104" w:line="220" w:lineRule="auto"/>
              <w:ind w:left="891"/>
              <w:rPr>
                <w:color w:val="auto"/>
                <w:sz w:val="24"/>
                <w:szCs w:val="24"/>
                <w:highlight w:val="none"/>
              </w:rPr>
            </w:pPr>
            <w:r>
              <w:rPr>
                <w:color w:val="auto"/>
                <w:spacing w:val="-2"/>
                <w:sz w:val="24"/>
                <w:szCs w:val="24"/>
                <w:highlight w:val="none"/>
              </w:rPr>
              <w:t>参加过的类似项目</w:t>
            </w:r>
          </w:p>
        </w:tc>
        <w:tc>
          <w:tcPr>
            <w:tcW w:w="1318" w:type="dxa"/>
            <w:vAlign w:val="top"/>
          </w:tcPr>
          <w:p w14:paraId="72BD7B3E">
            <w:pPr>
              <w:pStyle w:val="17"/>
              <w:spacing w:before="104" w:line="220" w:lineRule="auto"/>
              <w:ind w:left="187"/>
              <w:rPr>
                <w:color w:val="auto"/>
                <w:sz w:val="24"/>
                <w:szCs w:val="24"/>
                <w:highlight w:val="none"/>
              </w:rPr>
            </w:pPr>
            <w:r>
              <w:rPr>
                <w:color w:val="auto"/>
                <w:spacing w:val="-2"/>
                <w:sz w:val="24"/>
                <w:szCs w:val="24"/>
                <w:highlight w:val="none"/>
              </w:rPr>
              <w:t>担任职务</w:t>
            </w:r>
          </w:p>
        </w:tc>
        <w:tc>
          <w:tcPr>
            <w:tcW w:w="2629" w:type="dxa"/>
            <w:gridSpan w:val="2"/>
            <w:tcBorders>
              <w:right w:val="single" w:color="000000" w:sz="6" w:space="0"/>
            </w:tcBorders>
            <w:vAlign w:val="top"/>
          </w:tcPr>
          <w:p w14:paraId="6E2F2F09">
            <w:pPr>
              <w:pStyle w:val="17"/>
              <w:spacing w:before="104" w:line="220" w:lineRule="auto"/>
              <w:ind w:left="367"/>
              <w:rPr>
                <w:color w:val="auto"/>
                <w:sz w:val="24"/>
                <w:szCs w:val="24"/>
                <w:highlight w:val="none"/>
              </w:rPr>
            </w:pPr>
            <w:r>
              <w:rPr>
                <w:color w:val="auto"/>
                <w:spacing w:val="-2"/>
                <w:sz w:val="24"/>
                <w:szCs w:val="24"/>
                <w:highlight w:val="none"/>
              </w:rPr>
              <w:t>发包人及联系电话</w:t>
            </w:r>
          </w:p>
        </w:tc>
      </w:tr>
      <w:tr w14:paraId="6E1ED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207" w:type="dxa"/>
            <w:tcBorders>
              <w:left w:val="single" w:color="000000" w:sz="6" w:space="0"/>
            </w:tcBorders>
            <w:vAlign w:val="top"/>
          </w:tcPr>
          <w:p w14:paraId="0B6B9377">
            <w:pPr>
              <w:rPr>
                <w:rFonts w:ascii="Arial"/>
                <w:color w:val="auto"/>
                <w:sz w:val="21"/>
                <w:highlight w:val="none"/>
              </w:rPr>
            </w:pPr>
          </w:p>
        </w:tc>
        <w:tc>
          <w:tcPr>
            <w:tcW w:w="3694" w:type="dxa"/>
            <w:gridSpan w:val="5"/>
            <w:vAlign w:val="top"/>
          </w:tcPr>
          <w:p w14:paraId="69BFCBF1">
            <w:pPr>
              <w:rPr>
                <w:rFonts w:ascii="Arial"/>
                <w:color w:val="auto"/>
                <w:sz w:val="21"/>
                <w:highlight w:val="none"/>
              </w:rPr>
            </w:pPr>
          </w:p>
        </w:tc>
        <w:tc>
          <w:tcPr>
            <w:tcW w:w="1318" w:type="dxa"/>
            <w:vAlign w:val="top"/>
          </w:tcPr>
          <w:p w14:paraId="078731D8">
            <w:pPr>
              <w:rPr>
                <w:rFonts w:ascii="Arial"/>
                <w:color w:val="auto"/>
                <w:sz w:val="21"/>
                <w:highlight w:val="none"/>
              </w:rPr>
            </w:pPr>
          </w:p>
        </w:tc>
        <w:tc>
          <w:tcPr>
            <w:tcW w:w="2629" w:type="dxa"/>
            <w:gridSpan w:val="2"/>
            <w:tcBorders>
              <w:right w:val="single" w:color="000000" w:sz="6" w:space="0"/>
            </w:tcBorders>
            <w:vAlign w:val="top"/>
          </w:tcPr>
          <w:p w14:paraId="262D56BD">
            <w:pPr>
              <w:rPr>
                <w:rFonts w:ascii="Arial"/>
                <w:color w:val="auto"/>
                <w:sz w:val="21"/>
                <w:highlight w:val="none"/>
              </w:rPr>
            </w:pPr>
          </w:p>
        </w:tc>
      </w:tr>
      <w:tr w14:paraId="7CA7F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6F14E9C9">
            <w:pPr>
              <w:rPr>
                <w:rFonts w:ascii="Arial"/>
                <w:color w:val="auto"/>
                <w:sz w:val="21"/>
                <w:highlight w:val="none"/>
              </w:rPr>
            </w:pPr>
          </w:p>
        </w:tc>
        <w:tc>
          <w:tcPr>
            <w:tcW w:w="3694" w:type="dxa"/>
            <w:gridSpan w:val="5"/>
            <w:vAlign w:val="top"/>
          </w:tcPr>
          <w:p w14:paraId="42F1B26E">
            <w:pPr>
              <w:rPr>
                <w:rFonts w:ascii="Arial"/>
                <w:color w:val="auto"/>
                <w:sz w:val="21"/>
                <w:highlight w:val="none"/>
              </w:rPr>
            </w:pPr>
          </w:p>
        </w:tc>
        <w:tc>
          <w:tcPr>
            <w:tcW w:w="1318" w:type="dxa"/>
            <w:vAlign w:val="top"/>
          </w:tcPr>
          <w:p w14:paraId="0737ABD3">
            <w:pPr>
              <w:rPr>
                <w:rFonts w:ascii="Arial"/>
                <w:color w:val="auto"/>
                <w:sz w:val="21"/>
                <w:highlight w:val="none"/>
              </w:rPr>
            </w:pPr>
          </w:p>
        </w:tc>
        <w:tc>
          <w:tcPr>
            <w:tcW w:w="2629" w:type="dxa"/>
            <w:gridSpan w:val="2"/>
            <w:tcBorders>
              <w:right w:val="single" w:color="000000" w:sz="6" w:space="0"/>
            </w:tcBorders>
            <w:vAlign w:val="top"/>
          </w:tcPr>
          <w:p w14:paraId="52D6DD59">
            <w:pPr>
              <w:rPr>
                <w:rFonts w:ascii="Arial"/>
                <w:color w:val="auto"/>
                <w:sz w:val="21"/>
                <w:highlight w:val="none"/>
              </w:rPr>
            </w:pPr>
          </w:p>
        </w:tc>
      </w:tr>
      <w:tr w14:paraId="43F6C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44339B7C">
            <w:pPr>
              <w:rPr>
                <w:rFonts w:ascii="Arial"/>
                <w:color w:val="auto"/>
                <w:sz w:val="21"/>
                <w:highlight w:val="none"/>
              </w:rPr>
            </w:pPr>
          </w:p>
        </w:tc>
        <w:tc>
          <w:tcPr>
            <w:tcW w:w="3694" w:type="dxa"/>
            <w:gridSpan w:val="5"/>
            <w:vAlign w:val="top"/>
          </w:tcPr>
          <w:p w14:paraId="3B76C612">
            <w:pPr>
              <w:rPr>
                <w:rFonts w:ascii="Arial"/>
                <w:color w:val="auto"/>
                <w:sz w:val="21"/>
                <w:highlight w:val="none"/>
              </w:rPr>
            </w:pPr>
          </w:p>
        </w:tc>
        <w:tc>
          <w:tcPr>
            <w:tcW w:w="1318" w:type="dxa"/>
            <w:vAlign w:val="top"/>
          </w:tcPr>
          <w:p w14:paraId="5F6A74A6">
            <w:pPr>
              <w:rPr>
                <w:rFonts w:ascii="Arial"/>
                <w:color w:val="auto"/>
                <w:sz w:val="21"/>
                <w:highlight w:val="none"/>
              </w:rPr>
            </w:pPr>
          </w:p>
        </w:tc>
        <w:tc>
          <w:tcPr>
            <w:tcW w:w="2629" w:type="dxa"/>
            <w:gridSpan w:val="2"/>
            <w:tcBorders>
              <w:right w:val="single" w:color="000000" w:sz="6" w:space="0"/>
            </w:tcBorders>
            <w:vAlign w:val="top"/>
          </w:tcPr>
          <w:p w14:paraId="422524B4">
            <w:pPr>
              <w:rPr>
                <w:rFonts w:ascii="Arial"/>
                <w:color w:val="auto"/>
                <w:sz w:val="21"/>
                <w:highlight w:val="none"/>
              </w:rPr>
            </w:pPr>
          </w:p>
        </w:tc>
      </w:tr>
      <w:tr w14:paraId="0935E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175CFFE8">
            <w:pPr>
              <w:rPr>
                <w:rFonts w:ascii="Arial"/>
                <w:color w:val="auto"/>
                <w:sz w:val="21"/>
                <w:highlight w:val="none"/>
              </w:rPr>
            </w:pPr>
          </w:p>
        </w:tc>
        <w:tc>
          <w:tcPr>
            <w:tcW w:w="3694" w:type="dxa"/>
            <w:gridSpan w:val="5"/>
            <w:vAlign w:val="top"/>
          </w:tcPr>
          <w:p w14:paraId="1288E010">
            <w:pPr>
              <w:rPr>
                <w:rFonts w:ascii="Arial"/>
                <w:color w:val="auto"/>
                <w:sz w:val="21"/>
                <w:highlight w:val="none"/>
              </w:rPr>
            </w:pPr>
          </w:p>
        </w:tc>
        <w:tc>
          <w:tcPr>
            <w:tcW w:w="1318" w:type="dxa"/>
            <w:vAlign w:val="top"/>
          </w:tcPr>
          <w:p w14:paraId="4890A12C">
            <w:pPr>
              <w:rPr>
                <w:rFonts w:ascii="Arial"/>
                <w:color w:val="auto"/>
                <w:sz w:val="21"/>
                <w:highlight w:val="none"/>
              </w:rPr>
            </w:pPr>
          </w:p>
        </w:tc>
        <w:tc>
          <w:tcPr>
            <w:tcW w:w="2629" w:type="dxa"/>
            <w:gridSpan w:val="2"/>
            <w:tcBorders>
              <w:right w:val="single" w:color="000000" w:sz="6" w:space="0"/>
            </w:tcBorders>
            <w:vAlign w:val="top"/>
          </w:tcPr>
          <w:p w14:paraId="3444074C">
            <w:pPr>
              <w:rPr>
                <w:rFonts w:ascii="Arial"/>
                <w:color w:val="auto"/>
                <w:sz w:val="21"/>
                <w:highlight w:val="none"/>
              </w:rPr>
            </w:pPr>
          </w:p>
        </w:tc>
      </w:tr>
      <w:tr w14:paraId="32854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207" w:type="dxa"/>
            <w:tcBorders>
              <w:left w:val="single" w:color="000000" w:sz="6" w:space="0"/>
            </w:tcBorders>
            <w:vAlign w:val="top"/>
          </w:tcPr>
          <w:p w14:paraId="09FC574E">
            <w:pPr>
              <w:rPr>
                <w:rFonts w:ascii="Arial"/>
                <w:color w:val="auto"/>
                <w:sz w:val="21"/>
                <w:highlight w:val="none"/>
              </w:rPr>
            </w:pPr>
          </w:p>
        </w:tc>
        <w:tc>
          <w:tcPr>
            <w:tcW w:w="3694" w:type="dxa"/>
            <w:gridSpan w:val="5"/>
            <w:vAlign w:val="top"/>
          </w:tcPr>
          <w:p w14:paraId="53DC4793">
            <w:pPr>
              <w:rPr>
                <w:rFonts w:ascii="Arial"/>
                <w:color w:val="auto"/>
                <w:sz w:val="21"/>
                <w:highlight w:val="none"/>
              </w:rPr>
            </w:pPr>
          </w:p>
        </w:tc>
        <w:tc>
          <w:tcPr>
            <w:tcW w:w="1318" w:type="dxa"/>
            <w:vAlign w:val="top"/>
          </w:tcPr>
          <w:p w14:paraId="56F21C25">
            <w:pPr>
              <w:rPr>
                <w:rFonts w:ascii="Arial"/>
                <w:color w:val="auto"/>
                <w:sz w:val="21"/>
                <w:highlight w:val="none"/>
              </w:rPr>
            </w:pPr>
          </w:p>
        </w:tc>
        <w:tc>
          <w:tcPr>
            <w:tcW w:w="2629" w:type="dxa"/>
            <w:gridSpan w:val="2"/>
            <w:tcBorders>
              <w:right w:val="single" w:color="000000" w:sz="6" w:space="0"/>
            </w:tcBorders>
            <w:vAlign w:val="top"/>
          </w:tcPr>
          <w:p w14:paraId="36856ACB">
            <w:pPr>
              <w:rPr>
                <w:rFonts w:ascii="Arial"/>
                <w:color w:val="auto"/>
                <w:sz w:val="21"/>
                <w:highlight w:val="none"/>
              </w:rPr>
            </w:pPr>
          </w:p>
        </w:tc>
      </w:tr>
      <w:tr w14:paraId="5721E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09FDC125">
            <w:pPr>
              <w:rPr>
                <w:rFonts w:ascii="Arial"/>
                <w:color w:val="auto"/>
                <w:sz w:val="21"/>
                <w:highlight w:val="none"/>
              </w:rPr>
            </w:pPr>
          </w:p>
        </w:tc>
        <w:tc>
          <w:tcPr>
            <w:tcW w:w="3694" w:type="dxa"/>
            <w:gridSpan w:val="5"/>
            <w:vAlign w:val="top"/>
          </w:tcPr>
          <w:p w14:paraId="7A80DC44">
            <w:pPr>
              <w:rPr>
                <w:rFonts w:ascii="Arial"/>
                <w:color w:val="auto"/>
                <w:sz w:val="21"/>
                <w:highlight w:val="none"/>
              </w:rPr>
            </w:pPr>
          </w:p>
        </w:tc>
        <w:tc>
          <w:tcPr>
            <w:tcW w:w="1318" w:type="dxa"/>
            <w:vAlign w:val="top"/>
          </w:tcPr>
          <w:p w14:paraId="6DA74DCF">
            <w:pPr>
              <w:rPr>
                <w:rFonts w:ascii="Arial"/>
                <w:color w:val="auto"/>
                <w:sz w:val="21"/>
                <w:highlight w:val="none"/>
              </w:rPr>
            </w:pPr>
          </w:p>
        </w:tc>
        <w:tc>
          <w:tcPr>
            <w:tcW w:w="2629" w:type="dxa"/>
            <w:gridSpan w:val="2"/>
            <w:tcBorders>
              <w:right w:val="single" w:color="000000" w:sz="6" w:space="0"/>
            </w:tcBorders>
            <w:vAlign w:val="top"/>
          </w:tcPr>
          <w:p w14:paraId="2E5B68DB">
            <w:pPr>
              <w:rPr>
                <w:rFonts w:ascii="Arial"/>
                <w:color w:val="auto"/>
                <w:sz w:val="21"/>
                <w:highlight w:val="none"/>
              </w:rPr>
            </w:pPr>
          </w:p>
        </w:tc>
      </w:tr>
      <w:tr w14:paraId="4723C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513CFE5C">
            <w:pPr>
              <w:rPr>
                <w:rFonts w:ascii="Arial"/>
                <w:color w:val="auto"/>
                <w:sz w:val="21"/>
                <w:highlight w:val="none"/>
              </w:rPr>
            </w:pPr>
          </w:p>
        </w:tc>
        <w:tc>
          <w:tcPr>
            <w:tcW w:w="3694" w:type="dxa"/>
            <w:gridSpan w:val="5"/>
            <w:vAlign w:val="top"/>
          </w:tcPr>
          <w:p w14:paraId="45E33C1D">
            <w:pPr>
              <w:rPr>
                <w:rFonts w:ascii="Arial"/>
                <w:color w:val="auto"/>
                <w:sz w:val="21"/>
                <w:highlight w:val="none"/>
              </w:rPr>
            </w:pPr>
          </w:p>
        </w:tc>
        <w:tc>
          <w:tcPr>
            <w:tcW w:w="1318" w:type="dxa"/>
            <w:vAlign w:val="top"/>
          </w:tcPr>
          <w:p w14:paraId="78D96541">
            <w:pPr>
              <w:rPr>
                <w:rFonts w:ascii="Arial"/>
                <w:color w:val="auto"/>
                <w:sz w:val="21"/>
                <w:highlight w:val="none"/>
              </w:rPr>
            </w:pPr>
          </w:p>
        </w:tc>
        <w:tc>
          <w:tcPr>
            <w:tcW w:w="2629" w:type="dxa"/>
            <w:gridSpan w:val="2"/>
            <w:tcBorders>
              <w:right w:val="single" w:color="000000" w:sz="6" w:space="0"/>
            </w:tcBorders>
            <w:vAlign w:val="top"/>
          </w:tcPr>
          <w:p w14:paraId="2D528336">
            <w:pPr>
              <w:rPr>
                <w:rFonts w:ascii="Arial"/>
                <w:color w:val="auto"/>
                <w:sz w:val="21"/>
                <w:highlight w:val="none"/>
              </w:rPr>
            </w:pPr>
          </w:p>
        </w:tc>
      </w:tr>
      <w:tr w14:paraId="6A9AF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1207" w:type="dxa"/>
            <w:tcBorders>
              <w:left w:val="single" w:color="000000" w:sz="6" w:space="0"/>
            </w:tcBorders>
            <w:vAlign w:val="top"/>
          </w:tcPr>
          <w:p w14:paraId="2D81B85F">
            <w:pPr>
              <w:rPr>
                <w:rFonts w:ascii="Arial"/>
                <w:color w:val="auto"/>
                <w:sz w:val="21"/>
                <w:highlight w:val="none"/>
              </w:rPr>
            </w:pPr>
          </w:p>
        </w:tc>
        <w:tc>
          <w:tcPr>
            <w:tcW w:w="3694" w:type="dxa"/>
            <w:gridSpan w:val="5"/>
            <w:vAlign w:val="top"/>
          </w:tcPr>
          <w:p w14:paraId="4987F6ED">
            <w:pPr>
              <w:rPr>
                <w:rFonts w:ascii="Arial"/>
                <w:color w:val="auto"/>
                <w:sz w:val="21"/>
                <w:highlight w:val="none"/>
              </w:rPr>
            </w:pPr>
          </w:p>
        </w:tc>
        <w:tc>
          <w:tcPr>
            <w:tcW w:w="1318" w:type="dxa"/>
            <w:vAlign w:val="top"/>
          </w:tcPr>
          <w:p w14:paraId="5B6B5BF2">
            <w:pPr>
              <w:rPr>
                <w:rFonts w:ascii="Arial"/>
                <w:color w:val="auto"/>
                <w:sz w:val="21"/>
                <w:highlight w:val="none"/>
              </w:rPr>
            </w:pPr>
          </w:p>
        </w:tc>
        <w:tc>
          <w:tcPr>
            <w:tcW w:w="2629" w:type="dxa"/>
            <w:gridSpan w:val="2"/>
            <w:tcBorders>
              <w:right w:val="single" w:color="000000" w:sz="6" w:space="0"/>
            </w:tcBorders>
            <w:vAlign w:val="top"/>
          </w:tcPr>
          <w:p w14:paraId="4C419AAD">
            <w:pPr>
              <w:rPr>
                <w:rFonts w:ascii="Arial"/>
                <w:color w:val="auto"/>
                <w:sz w:val="21"/>
                <w:highlight w:val="none"/>
              </w:rPr>
            </w:pPr>
          </w:p>
        </w:tc>
      </w:tr>
      <w:tr w14:paraId="63BBC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4B997CB8">
            <w:pPr>
              <w:rPr>
                <w:rFonts w:ascii="Arial"/>
                <w:color w:val="auto"/>
                <w:sz w:val="21"/>
                <w:highlight w:val="none"/>
              </w:rPr>
            </w:pPr>
          </w:p>
        </w:tc>
        <w:tc>
          <w:tcPr>
            <w:tcW w:w="3694" w:type="dxa"/>
            <w:gridSpan w:val="5"/>
            <w:vAlign w:val="top"/>
          </w:tcPr>
          <w:p w14:paraId="0DF64C0C">
            <w:pPr>
              <w:rPr>
                <w:rFonts w:ascii="Arial"/>
                <w:color w:val="auto"/>
                <w:sz w:val="21"/>
                <w:highlight w:val="none"/>
              </w:rPr>
            </w:pPr>
          </w:p>
        </w:tc>
        <w:tc>
          <w:tcPr>
            <w:tcW w:w="1318" w:type="dxa"/>
            <w:vAlign w:val="top"/>
          </w:tcPr>
          <w:p w14:paraId="1AE3013A">
            <w:pPr>
              <w:rPr>
                <w:rFonts w:ascii="Arial"/>
                <w:color w:val="auto"/>
                <w:sz w:val="21"/>
                <w:highlight w:val="none"/>
              </w:rPr>
            </w:pPr>
          </w:p>
        </w:tc>
        <w:tc>
          <w:tcPr>
            <w:tcW w:w="2629" w:type="dxa"/>
            <w:gridSpan w:val="2"/>
            <w:tcBorders>
              <w:right w:val="single" w:color="000000" w:sz="6" w:space="0"/>
            </w:tcBorders>
            <w:vAlign w:val="top"/>
          </w:tcPr>
          <w:p w14:paraId="555398CA">
            <w:pPr>
              <w:rPr>
                <w:rFonts w:ascii="Arial"/>
                <w:color w:val="auto"/>
                <w:sz w:val="21"/>
                <w:highlight w:val="none"/>
              </w:rPr>
            </w:pPr>
          </w:p>
        </w:tc>
      </w:tr>
      <w:tr w14:paraId="3AAC6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0F446DAD">
            <w:pPr>
              <w:rPr>
                <w:rFonts w:ascii="Arial"/>
                <w:color w:val="auto"/>
                <w:sz w:val="21"/>
                <w:highlight w:val="none"/>
              </w:rPr>
            </w:pPr>
          </w:p>
        </w:tc>
        <w:tc>
          <w:tcPr>
            <w:tcW w:w="3694" w:type="dxa"/>
            <w:gridSpan w:val="5"/>
            <w:vAlign w:val="top"/>
          </w:tcPr>
          <w:p w14:paraId="12C501EB">
            <w:pPr>
              <w:rPr>
                <w:rFonts w:ascii="Arial"/>
                <w:color w:val="auto"/>
                <w:sz w:val="21"/>
                <w:highlight w:val="none"/>
              </w:rPr>
            </w:pPr>
          </w:p>
        </w:tc>
        <w:tc>
          <w:tcPr>
            <w:tcW w:w="1318" w:type="dxa"/>
            <w:vAlign w:val="top"/>
          </w:tcPr>
          <w:p w14:paraId="12D622F4">
            <w:pPr>
              <w:rPr>
                <w:rFonts w:ascii="Arial"/>
                <w:color w:val="auto"/>
                <w:sz w:val="21"/>
                <w:highlight w:val="none"/>
              </w:rPr>
            </w:pPr>
          </w:p>
        </w:tc>
        <w:tc>
          <w:tcPr>
            <w:tcW w:w="2629" w:type="dxa"/>
            <w:gridSpan w:val="2"/>
            <w:tcBorders>
              <w:right w:val="single" w:color="000000" w:sz="6" w:space="0"/>
            </w:tcBorders>
            <w:vAlign w:val="top"/>
          </w:tcPr>
          <w:p w14:paraId="317836AE">
            <w:pPr>
              <w:rPr>
                <w:rFonts w:ascii="Arial"/>
                <w:color w:val="auto"/>
                <w:sz w:val="21"/>
                <w:highlight w:val="none"/>
              </w:rPr>
            </w:pPr>
          </w:p>
        </w:tc>
      </w:tr>
      <w:tr w14:paraId="57871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207" w:type="dxa"/>
            <w:tcBorders>
              <w:left w:val="single" w:color="000000" w:sz="6" w:space="0"/>
            </w:tcBorders>
            <w:vAlign w:val="top"/>
          </w:tcPr>
          <w:p w14:paraId="2E85016B">
            <w:pPr>
              <w:rPr>
                <w:rFonts w:ascii="Arial"/>
                <w:color w:val="auto"/>
                <w:sz w:val="21"/>
                <w:highlight w:val="none"/>
              </w:rPr>
            </w:pPr>
          </w:p>
        </w:tc>
        <w:tc>
          <w:tcPr>
            <w:tcW w:w="3694" w:type="dxa"/>
            <w:gridSpan w:val="5"/>
            <w:vAlign w:val="top"/>
          </w:tcPr>
          <w:p w14:paraId="67F55020">
            <w:pPr>
              <w:rPr>
                <w:rFonts w:ascii="Arial"/>
                <w:color w:val="auto"/>
                <w:sz w:val="21"/>
                <w:highlight w:val="none"/>
              </w:rPr>
            </w:pPr>
          </w:p>
        </w:tc>
        <w:tc>
          <w:tcPr>
            <w:tcW w:w="1318" w:type="dxa"/>
            <w:vAlign w:val="top"/>
          </w:tcPr>
          <w:p w14:paraId="50BEB920">
            <w:pPr>
              <w:rPr>
                <w:rFonts w:ascii="Arial"/>
                <w:color w:val="auto"/>
                <w:sz w:val="21"/>
                <w:highlight w:val="none"/>
              </w:rPr>
            </w:pPr>
          </w:p>
        </w:tc>
        <w:tc>
          <w:tcPr>
            <w:tcW w:w="2629" w:type="dxa"/>
            <w:gridSpan w:val="2"/>
            <w:tcBorders>
              <w:right w:val="single" w:color="000000" w:sz="6" w:space="0"/>
            </w:tcBorders>
            <w:vAlign w:val="top"/>
          </w:tcPr>
          <w:p w14:paraId="268C1C23">
            <w:pPr>
              <w:rPr>
                <w:rFonts w:ascii="Arial"/>
                <w:color w:val="auto"/>
                <w:sz w:val="21"/>
                <w:highlight w:val="none"/>
              </w:rPr>
            </w:pPr>
          </w:p>
        </w:tc>
      </w:tr>
      <w:tr w14:paraId="42950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207" w:type="dxa"/>
            <w:tcBorders>
              <w:left w:val="single" w:color="000000" w:sz="6" w:space="0"/>
            </w:tcBorders>
            <w:vAlign w:val="top"/>
          </w:tcPr>
          <w:p w14:paraId="225CB52F">
            <w:pPr>
              <w:rPr>
                <w:rFonts w:ascii="Arial"/>
                <w:color w:val="auto"/>
                <w:sz w:val="21"/>
                <w:highlight w:val="none"/>
              </w:rPr>
            </w:pPr>
          </w:p>
        </w:tc>
        <w:tc>
          <w:tcPr>
            <w:tcW w:w="3694" w:type="dxa"/>
            <w:gridSpan w:val="5"/>
            <w:vAlign w:val="top"/>
          </w:tcPr>
          <w:p w14:paraId="56B6D710">
            <w:pPr>
              <w:rPr>
                <w:rFonts w:ascii="Arial"/>
                <w:color w:val="auto"/>
                <w:sz w:val="21"/>
                <w:highlight w:val="none"/>
              </w:rPr>
            </w:pPr>
          </w:p>
        </w:tc>
        <w:tc>
          <w:tcPr>
            <w:tcW w:w="1318" w:type="dxa"/>
            <w:vAlign w:val="top"/>
          </w:tcPr>
          <w:p w14:paraId="6DDE7F12">
            <w:pPr>
              <w:rPr>
                <w:rFonts w:ascii="Arial"/>
                <w:color w:val="auto"/>
                <w:sz w:val="21"/>
                <w:highlight w:val="none"/>
              </w:rPr>
            </w:pPr>
          </w:p>
        </w:tc>
        <w:tc>
          <w:tcPr>
            <w:tcW w:w="2629" w:type="dxa"/>
            <w:gridSpan w:val="2"/>
            <w:tcBorders>
              <w:right w:val="single" w:color="000000" w:sz="6" w:space="0"/>
            </w:tcBorders>
            <w:vAlign w:val="top"/>
          </w:tcPr>
          <w:p w14:paraId="79E1A86D">
            <w:pPr>
              <w:rPr>
                <w:rFonts w:ascii="Arial"/>
                <w:color w:val="auto"/>
                <w:sz w:val="21"/>
                <w:highlight w:val="none"/>
              </w:rPr>
            </w:pPr>
          </w:p>
        </w:tc>
      </w:tr>
      <w:tr w14:paraId="3B02E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207" w:type="dxa"/>
            <w:tcBorders>
              <w:left w:val="single" w:color="000000" w:sz="6" w:space="0"/>
              <w:bottom w:val="single" w:color="000000" w:sz="6" w:space="0"/>
            </w:tcBorders>
            <w:vAlign w:val="top"/>
          </w:tcPr>
          <w:p w14:paraId="002CC7EF">
            <w:pPr>
              <w:rPr>
                <w:rFonts w:ascii="Arial"/>
                <w:color w:val="auto"/>
                <w:sz w:val="21"/>
                <w:highlight w:val="none"/>
              </w:rPr>
            </w:pPr>
          </w:p>
        </w:tc>
        <w:tc>
          <w:tcPr>
            <w:tcW w:w="3694" w:type="dxa"/>
            <w:gridSpan w:val="5"/>
            <w:tcBorders>
              <w:bottom w:val="single" w:color="000000" w:sz="6" w:space="0"/>
            </w:tcBorders>
            <w:vAlign w:val="top"/>
          </w:tcPr>
          <w:p w14:paraId="7DE81FA2">
            <w:pPr>
              <w:rPr>
                <w:rFonts w:ascii="Arial"/>
                <w:color w:val="auto"/>
                <w:sz w:val="21"/>
                <w:highlight w:val="none"/>
              </w:rPr>
            </w:pPr>
          </w:p>
        </w:tc>
        <w:tc>
          <w:tcPr>
            <w:tcW w:w="1318" w:type="dxa"/>
            <w:tcBorders>
              <w:bottom w:val="single" w:color="000000" w:sz="6" w:space="0"/>
            </w:tcBorders>
            <w:vAlign w:val="top"/>
          </w:tcPr>
          <w:p w14:paraId="481B06A5">
            <w:pPr>
              <w:rPr>
                <w:rFonts w:ascii="Arial"/>
                <w:color w:val="auto"/>
                <w:sz w:val="21"/>
                <w:highlight w:val="none"/>
              </w:rPr>
            </w:pPr>
          </w:p>
        </w:tc>
        <w:tc>
          <w:tcPr>
            <w:tcW w:w="2629" w:type="dxa"/>
            <w:gridSpan w:val="2"/>
            <w:tcBorders>
              <w:bottom w:val="single" w:color="000000" w:sz="6" w:space="0"/>
              <w:right w:val="single" w:color="000000" w:sz="6" w:space="0"/>
            </w:tcBorders>
            <w:vAlign w:val="top"/>
          </w:tcPr>
          <w:p w14:paraId="262EE010">
            <w:pPr>
              <w:rPr>
                <w:rFonts w:ascii="Arial"/>
                <w:color w:val="auto"/>
                <w:sz w:val="21"/>
                <w:highlight w:val="none"/>
              </w:rPr>
            </w:pPr>
          </w:p>
        </w:tc>
      </w:tr>
    </w:tbl>
    <w:p w14:paraId="58934D56">
      <w:pPr>
        <w:spacing w:before="35" w:line="363" w:lineRule="auto"/>
        <w:ind w:left="11" w:right="74" w:hanging="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注：主要人员指项目负责人、技术负责人、</w:t>
      </w:r>
      <w:r>
        <w:rPr>
          <w:rFonts w:ascii="宋体" w:hAnsi="宋体" w:eastAsia="宋体" w:cs="宋体"/>
          <w:strike/>
          <w:dstrike w:val="0"/>
          <w:color w:val="auto"/>
          <w:spacing w:val="-3"/>
          <w:sz w:val="24"/>
          <w:szCs w:val="24"/>
          <w:highlight w:val="none"/>
        </w:rPr>
        <w:t>副项目负责人（若有）</w:t>
      </w:r>
      <w:r>
        <w:rPr>
          <w:rFonts w:ascii="宋体" w:hAnsi="宋体" w:eastAsia="宋体" w:cs="宋体"/>
          <w:color w:val="auto"/>
          <w:spacing w:val="-3"/>
          <w:sz w:val="24"/>
          <w:szCs w:val="24"/>
          <w:highlight w:val="none"/>
        </w:rPr>
        <w:t>、专职安全生产管</w:t>
      </w:r>
      <w:r>
        <w:rPr>
          <w:rFonts w:ascii="宋体" w:hAnsi="宋体" w:eastAsia="宋体" w:cs="宋体"/>
          <w:color w:val="auto"/>
          <w:spacing w:val="-9"/>
          <w:sz w:val="24"/>
          <w:szCs w:val="24"/>
          <w:highlight w:val="none"/>
        </w:rPr>
        <w:t>理人员。</w:t>
      </w:r>
    </w:p>
    <w:p w14:paraId="43A4A7BE">
      <w:pPr>
        <w:spacing w:line="363" w:lineRule="auto"/>
        <w:rPr>
          <w:rFonts w:ascii="宋体" w:hAnsi="宋体" w:eastAsia="宋体" w:cs="宋体"/>
          <w:color w:val="auto"/>
          <w:sz w:val="24"/>
          <w:szCs w:val="24"/>
          <w:highlight w:val="none"/>
        </w:rPr>
        <w:sectPr>
          <w:footerReference r:id="rId128" w:type="default"/>
          <w:pgSz w:w="11907" w:h="16841"/>
          <w:pgMar w:top="400" w:right="1454" w:bottom="1254" w:left="1588" w:header="0" w:footer="1093" w:gutter="0"/>
          <w:pgNumType w:fmt="decimal"/>
          <w:cols w:space="720" w:num="1"/>
        </w:sectPr>
      </w:pPr>
    </w:p>
    <w:p w14:paraId="2DC3541A">
      <w:pPr>
        <w:pStyle w:val="3"/>
        <w:spacing w:line="247" w:lineRule="auto"/>
        <w:rPr>
          <w:color w:val="auto"/>
          <w:highlight w:val="none"/>
        </w:rPr>
      </w:pPr>
    </w:p>
    <w:p w14:paraId="77B89F95">
      <w:pPr>
        <w:pStyle w:val="3"/>
        <w:spacing w:line="248" w:lineRule="auto"/>
        <w:rPr>
          <w:color w:val="auto"/>
          <w:highlight w:val="none"/>
        </w:rPr>
      </w:pPr>
    </w:p>
    <w:p w14:paraId="5DF29083">
      <w:pPr>
        <w:pStyle w:val="3"/>
        <w:spacing w:line="248" w:lineRule="auto"/>
        <w:rPr>
          <w:color w:val="auto"/>
          <w:highlight w:val="none"/>
        </w:rPr>
      </w:pPr>
    </w:p>
    <w:p w14:paraId="60E8FFDD">
      <w:pPr>
        <w:pStyle w:val="3"/>
        <w:spacing w:line="248" w:lineRule="auto"/>
        <w:rPr>
          <w:color w:val="auto"/>
          <w:highlight w:val="none"/>
        </w:rPr>
      </w:pPr>
    </w:p>
    <w:p w14:paraId="5F801941">
      <w:pPr>
        <w:spacing w:before="78" w:line="220" w:lineRule="auto"/>
        <w:ind w:left="32"/>
        <w:rPr>
          <w:rFonts w:ascii="宋体" w:hAnsi="宋体" w:eastAsia="宋体" w:cs="宋体"/>
          <w:strike/>
          <w:dstrike w:val="0"/>
          <w:color w:val="auto"/>
          <w:sz w:val="24"/>
          <w:szCs w:val="24"/>
          <w:highlight w:val="none"/>
        </w:rPr>
      </w:pPr>
      <w:r>
        <w:rPr>
          <w:rFonts w:ascii="Times New Roman" w:hAnsi="Times New Roman" w:eastAsia="Times New Roman" w:cs="Times New Roman"/>
          <w:b/>
          <w:bCs/>
          <w:strike/>
          <w:dstrike w:val="0"/>
          <w:color w:val="auto"/>
          <w:spacing w:val="-3"/>
          <w:sz w:val="24"/>
          <w:szCs w:val="24"/>
          <w:highlight w:val="none"/>
        </w:rPr>
        <w:t>3.</w:t>
      </w:r>
      <w:r>
        <w:rPr>
          <w:rFonts w:ascii="Times New Roman" w:hAnsi="Times New Roman" w:eastAsia="Times New Roman" w:cs="Times New Roman"/>
          <w:b/>
          <w:bCs/>
          <w:strike/>
          <w:dstrike w:val="0"/>
          <w:color w:val="auto"/>
          <w:spacing w:val="23"/>
          <w:w w:val="101"/>
          <w:sz w:val="24"/>
          <w:szCs w:val="24"/>
          <w:highlight w:val="none"/>
        </w:rPr>
        <w:t xml:space="preserve"> </w:t>
      </w:r>
      <w:r>
        <w:rPr>
          <w:rFonts w:ascii="宋体" w:hAnsi="宋体" w:eastAsia="宋体" w:cs="宋体"/>
          <w:b/>
          <w:bCs/>
          <w:strike/>
          <w:dstrike w:val="0"/>
          <w:color w:val="auto"/>
          <w:spacing w:val="-3"/>
          <w:sz w:val="24"/>
          <w:szCs w:val="24"/>
          <w:highlight w:val="none"/>
        </w:rPr>
        <w:t>近年完成的类似项目情况表</w:t>
      </w:r>
    </w:p>
    <w:p w14:paraId="34CB75F4">
      <w:pPr>
        <w:spacing w:before="182" w:line="220" w:lineRule="auto"/>
        <w:ind w:left="2946"/>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3"/>
          <w:sz w:val="24"/>
          <w:szCs w:val="24"/>
          <w:highlight w:val="none"/>
        </w:rPr>
        <w:t>近年完成的类似项目情况表</w:t>
      </w:r>
    </w:p>
    <w:p w14:paraId="2D750431">
      <w:pPr>
        <w:spacing w:before="179" w:line="220" w:lineRule="auto"/>
        <w:ind w:left="1880"/>
        <w:rPr>
          <w:rFonts w:ascii="宋体" w:hAnsi="宋体" w:eastAsia="宋体" w:cs="宋体"/>
          <w:strike/>
          <w:dstrike w:val="0"/>
          <w:color w:val="auto"/>
          <w:sz w:val="24"/>
          <w:szCs w:val="24"/>
          <w:highlight w:val="none"/>
        </w:rPr>
      </w:pPr>
      <w:r>
        <w:rPr>
          <w:rFonts w:ascii="宋体" w:hAnsi="宋体" w:eastAsia="宋体" w:cs="宋体"/>
          <w:strike/>
          <w:dstrike w:val="0"/>
          <w:color w:val="auto"/>
          <w:spacing w:val="-8"/>
          <w:sz w:val="24"/>
          <w:szCs w:val="24"/>
          <w:highlight w:val="none"/>
        </w:rPr>
        <w:t>（近年指</w:t>
      </w:r>
      <w:r>
        <w:rPr>
          <w:rFonts w:ascii="宋体" w:hAnsi="宋体" w:eastAsia="宋体" w:cs="宋体"/>
          <w:strike/>
          <w:dstrike w:val="0"/>
          <w:color w:val="auto"/>
          <w:spacing w:val="-102"/>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10"/>
          <w:sz w:val="24"/>
          <w:szCs w:val="24"/>
          <w:highlight w:val="none"/>
        </w:rPr>
        <w:t xml:space="preserve"> </w:t>
      </w:r>
      <w:r>
        <w:rPr>
          <w:rFonts w:ascii="宋体" w:hAnsi="宋体" w:eastAsia="宋体" w:cs="宋体"/>
          <w:strike/>
          <w:dstrike w:val="0"/>
          <w:color w:val="auto"/>
          <w:spacing w:val="-8"/>
          <w:sz w:val="24"/>
          <w:szCs w:val="24"/>
          <w:highlight w:val="none"/>
        </w:rPr>
        <w:t>年</w:t>
      </w:r>
      <w:r>
        <w:rPr>
          <w:rFonts w:ascii="宋体" w:hAnsi="宋体" w:eastAsia="宋体" w:cs="宋体"/>
          <w:strike/>
          <w:dstrike w:val="0"/>
          <w:color w:val="auto"/>
          <w:spacing w:val="-120"/>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04"/>
          <w:sz w:val="24"/>
          <w:szCs w:val="24"/>
          <w:highlight w:val="none"/>
        </w:rPr>
        <w:t xml:space="preserve"> </w:t>
      </w:r>
      <w:r>
        <w:rPr>
          <w:rFonts w:ascii="宋体" w:hAnsi="宋体" w:eastAsia="宋体" w:cs="宋体"/>
          <w:strike/>
          <w:dstrike w:val="0"/>
          <w:color w:val="auto"/>
          <w:spacing w:val="-8"/>
          <w:sz w:val="24"/>
          <w:szCs w:val="24"/>
          <w:highlight w:val="none"/>
        </w:rPr>
        <w:t>月</w:t>
      </w:r>
      <w:r>
        <w:rPr>
          <w:rFonts w:ascii="宋体" w:hAnsi="宋体" w:eastAsia="宋体" w:cs="宋体"/>
          <w:strike/>
          <w:dstrike w:val="0"/>
          <w:color w:val="auto"/>
          <w:spacing w:val="-120"/>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70"/>
          <w:sz w:val="24"/>
          <w:szCs w:val="24"/>
          <w:highlight w:val="none"/>
        </w:rPr>
        <w:t xml:space="preserve"> </w:t>
      </w:r>
      <w:r>
        <w:rPr>
          <w:rFonts w:ascii="宋体" w:hAnsi="宋体" w:eastAsia="宋体" w:cs="宋体"/>
          <w:strike/>
          <w:dstrike w:val="0"/>
          <w:color w:val="auto"/>
          <w:spacing w:val="-8"/>
          <w:sz w:val="24"/>
          <w:szCs w:val="24"/>
          <w:highlight w:val="none"/>
        </w:rPr>
        <w:t>日至投标截止时间）</w:t>
      </w:r>
    </w:p>
    <w:p w14:paraId="4259FB68">
      <w:pPr>
        <w:spacing w:line="146" w:lineRule="exact"/>
        <w:rPr>
          <w:strike/>
          <w:dstrike w:val="0"/>
          <w:color w:val="auto"/>
          <w:highlight w:val="none"/>
        </w:rPr>
      </w:pPr>
    </w:p>
    <w:tbl>
      <w:tblPr>
        <w:tblStyle w:val="16"/>
        <w:tblW w:w="877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7"/>
        <w:gridCol w:w="6569"/>
      </w:tblGrid>
      <w:tr w14:paraId="2D3EB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2207" w:type="dxa"/>
            <w:tcBorders>
              <w:top w:val="single" w:color="000000" w:sz="6" w:space="0"/>
              <w:left w:val="single" w:color="000000" w:sz="6" w:space="0"/>
            </w:tcBorders>
            <w:vAlign w:val="top"/>
          </w:tcPr>
          <w:p w14:paraId="537D632D">
            <w:pPr>
              <w:pStyle w:val="17"/>
              <w:spacing w:before="121" w:line="222" w:lineRule="auto"/>
              <w:ind w:left="624"/>
              <w:rPr>
                <w:strike/>
                <w:dstrike w:val="0"/>
                <w:color w:val="auto"/>
                <w:sz w:val="24"/>
                <w:szCs w:val="24"/>
                <w:highlight w:val="none"/>
              </w:rPr>
            </w:pPr>
            <w:r>
              <w:rPr>
                <w:strike/>
                <w:dstrike w:val="0"/>
                <w:color w:val="auto"/>
                <w:spacing w:val="-2"/>
                <w:sz w:val="24"/>
                <w:szCs w:val="24"/>
                <w:highlight w:val="none"/>
              </w:rPr>
              <w:t>合同名称</w:t>
            </w:r>
          </w:p>
        </w:tc>
        <w:tc>
          <w:tcPr>
            <w:tcW w:w="6569" w:type="dxa"/>
            <w:tcBorders>
              <w:top w:val="single" w:color="000000" w:sz="6" w:space="0"/>
              <w:right w:val="single" w:color="000000" w:sz="6" w:space="0"/>
            </w:tcBorders>
            <w:vAlign w:val="top"/>
          </w:tcPr>
          <w:p w14:paraId="02B07C10">
            <w:pPr>
              <w:rPr>
                <w:rFonts w:ascii="Arial"/>
                <w:strike/>
                <w:dstrike w:val="0"/>
                <w:color w:val="auto"/>
                <w:sz w:val="21"/>
                <w:highlight w:val="none"/>
              </w:rPr>
            </w:pPr>
          </w:p>
        </w:tc>
      </w:tr>
      <w:tr w14:paraId="34524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BDBB9DF">
            <w:pPr>
              <w:pStyle w:val="17"/>
              <w:spacing w:before="121" w:line="220" w:lineRule="auto"/>
              <w:ind w:left="264"/>
              <w:rPr>
                <w:strike/>
                <w:dstrike w:val="0"/>
                <w:color w:val="auto"/>
                <w:sz w:val="24"/>
                <w:szCs w:val="24"/>
                <w:highlight w:val="none"/>
              </w:rPr>
            </w:pPr>
            <w:r>
              <w:rPr>
                <w:strike/>
                <w:dstrike w:val="0"/>
                <w:color w:val="auto"/>
                <w:spacing w:val="-2"/>
                <w:sz w:val="24"/>
                <w:szCs w:val="24"/>
                <w:highlight w:val="none"/>
              </w:rPr>
              <w:t>合同项目所在地</w:t>
            </w:r>
          </w:p>
        </w:tc>
        <w:tc>
          <w:tcPr>
            <w:tcW w:w="6569" w:type="dxa"/>
            <w:tcBorders>
              <w:right w:val="single" w:color="000000" w:sz="6" w:space="0"/>
            </w:tcBorders>
            <w:vAlign w:val="top"/>
          </w:tcPr>
          <w:p w14:paraId="25BDA667">
            <w:pPr>
              <w:rPr>
                <w:rFonts w:ascii="Arial"/>
                <w:strike/>
                <w:dstrike w:val="0"/>
                <w:color w:val="auto"/>
                <w:sz w:val="21"/>
                <w:highlight w:val="none"/>
              </w:rPr>
            </w:pPr>
          </w:p>
        </w:tc>
      </w:tr>
      <w:tr w14:paraId="2ABCC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7BC3805">
            <w:pPr>
              <w:pStyle w:val="17"/>
              <w:spacing w:before="119" w:line="220" w:lineRule="auto"/>
              <w:ind w:left="506"/>
              <w:rPr>
                <w:strike/>
                <w:dstrike w:val="0"/>
                <w:color w:val="auto"/>
                <w:sz w:val="24"/>
                <w:szCs w:val="24"/>
                <w:highlight w:val="none"/>
              </w:rPr>
            </w:pPr>
            <w:r>
              <w:rPr>
                <w:strike/>
                <w:dstrike w:val="0"/>
                <w:color w:val="auto"/>
                <w:spacing w:val="-3"/>
                <w:sz w:val="24"/>
                <w:szCs w:val="24"/>
                <w:highlight w:val="none"/>
              </w:rPr>
              <w:t>发包人名称</w:t>
            </w:r>
          </w:p>
        </w:tc>
        <w:tc>
          <w:tcPr>
            <w:tcW w:w="6569" w:type="dxa"/>
            <w:tcBorders>
              <w:right w:val="single" w:color="000000" w:sz="6" w:space="0"/>
            </w:tcBorders>
            <w:vAlign w:val="top"/>
          </w:tcPr>
          <w:p w14:paraId="52934544">
            <w:pPr>
              <w:rPr>
                <w:rFonts w:ascii="Arial"/>
                <w:strike/>
                <w:dstrike w:val="0"/>
                <w:color w:val="auto"/>
                <w:sz w:val="21"/>
                <w:highlight w:val="none"/>
              </w:rPr>
            </w:pPr>
          </w:p>
        </w:tc>
      </w:tr>
      <w:tr w14:paraId="5AAF1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1BBCEDCA">
            <w:pPr>
              <w:pStyle w:val="17"/>
              <w:spacing w:before="120" w:line="220" w:lineRule="auto"/>
              <w:ind w:left="506"/>
              <w:rPr>
                <w:strike/>
                <w:dstrike w:val="0"/>
                <w:color w:val="auto"/>
                <w:sz w:val="24"/>
                <w:szCs w:val="24"/>
                <w:highlight w:val="none"/>
              </w:rPr>
            </w:pPr>
            <w:r>
              <w:rPr>
                <w:strike/>
                <w:dstrike w:val="0"/>
                <w:color w:val="auto"/>
                <w:spacing w:val="-3"/>
                <w:sz w:val="24"/>
                <w:szCs w:val="24"/>
                <w:highlight w:val="none"/>
              </w:rPr>
              <w:t>发包人地址</w:t>
            </w:r>
          </w:p>
        </w:tc>
        <w:tc>
          <w:tcPr>
            <w:tcW w:w="6569" w:type="dxa"/>
            <w:tcBorders>
              <w:right w:val="single" w:color="000000" w:sz="6" w:space="0"/>
            </w:tcBorders>
            <w:vAlign w:val="top"/>
          </w:tcPr>
          <w:p w14:paraId="41C2ED9E">
            <w:pPr>
              <w:rPr>
                <w:rFonts w:ascii="Arial"/>
                <w:strike/>
                <w:dstrike w:val="0"/>
                <w:color w:val="auto"/>
                <w:sz w:val="21"/>
                <w:highlight w:val="none"/>
              </w:rPr>
            </w:pPr>
          </w:p>
        </w:tc>
      </w:tr>
      <w:tr w14:paraId="573B6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71BE43C0">
            <w:pPr>
              <w:pStyle w:val="17"/>
              <w:spacing w:before="124" w:line="220" w:lineRule="auto"/>
              <w:ind w:left="506"/>
              <w:rPr>
                <w:strike/>
                <w:dstrike w:val="0"/>
                <w:color w:val="auto"/>
                <w:sz w:val="24"/>
                <w:szCs w:val="24"/>
                <w:highlight w:val="none"/>
              </w:rPr>
            </w:pPr>
            <w:r>
              <w:rPr>
                <w:strike/>
                <w:dstrike w:val="0"/>
                <w:color w:val="auto"/>
                <w:spacing w:val="-3"/>
                <w:sz w:val="24"/>
                <w:szCs w:val="24"/>
                <w:highlight w:val="none"/>
              </w:rPr>
              <w:t>发包人电话</w:t>
            </w:r>
          </w:p>
        </w:tc>
        <w:tc>
          <w:tcPr>
            <w:tcW w:w="6569" w:type="dxa"/>
            <w:tcBorders>
              <w:right w:val="single" w:color="000000" w:sz="6" w:space="0"/>
            </w:tcBorders>
            <w:vAlign w:val="top"/>
          </w:tcPr>
          <w:p w14:paraId="6319EC27">
            <w:pPr>
              <w:rPr>
                <w:rFonts w:ascii="Arial"/>
                <w:strike/>
                <w:dstrike w:val="0"/>
                <w:color w:val="auto"/>
                <w:sz w:val="21"/>
                <w:highlight w:val="none"/>
              </w:rPr>
            </w:pPr>
          </w:p>
        </w:tc>
      </w:tr>
      <w:tr w14:paraId="43023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77D3415">
            <w:pPr>
              <w:pStyle w:val="17"/>
              <w:spacing w:before="122" w:line="218" w:lineRule="auto"/>
              <w:ind w:left="503"/>
              <w:rPr>
                <w:strike/>
                <w:dstrike w:val="0"/>
                <w:color w:val="auto"/>
                <w:sz w:val="24"/>
                <w:szCs w:val="24"/>
                <w:highlight w:val="none"/>
              </w:rPr>
            </w:pPr>
            <w:r>
              <w:rPr>
                <w:strike/>
                <w:dstrike w:val="0"/>
                <w:color w:val="auto"/>
                <w:spacing w:val="-2"/>
                <w:sz w:val="24"/>
                <w:szCs w:val="24"/>
                <w:highlight w:val="none"/>
              </w:rPr>
              <w:t>签约合同价</w:t>
            </w:r>
          </w:p>
        </w:tc>
        <w:tc>
          <w:tcPr>
            <w:tcW w:w="6569" w:type="dxa"/>
            <w:tcBorders>
              <w:right w:val="single" w:color="000000" w:sz="6" w:space="0"/>
            </w:tcBorders>
            <w:vAlign w:val="top"/>
          </w:tcPr>
          <w:p w14:paraId="1091799C">
            <w:pPr>
              <w:rPr>
                <w:rFonts w:ascii="Arial"/>
                <w:strike/>
                <w:dstrike w:val="0"/>
                <w:color w:val="auto"/>
                <w:sz w:val="21"/>
                <w:highlight w:val="none"/>
              </w:rPr>
            </w:pPr>
          </w:p>
        </w:tc>
      </w:tr>
      <w:tr w14:paraId="7E591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24B42038">
            <w:pPr>
              <w:pStyle w:val="17"/>
              <w:spacing w:before="123" w:line="220" w:lineRule="auto"/>
              <w:ind w:left="624"/>
              <w:rPr>
                <w:strike/>
                <w:dstrike w:val="0"/>
                <w:color w:val="auto"/>
                <w:sz w:val="24"/>
                <w:szCs w:val="24"/>
                <w:highlight w:val="none"/>
              </w:rPr>
            </w:pPr>
            <w:r>
              <w:rPr>
                <w:strike/>
                <w:dstrike w:val="0"/>
                <w:color w:val="auto"/>
                <w:spacing w:val="-2"/>
                <w:sz w:val="24"/>
                <w:szCs w:val="24"/>
                <w:highlight w:val="none"/>
              </w:rPr>
              <w:t>开工日期</w:t>
            </w:r>
          </w:p>
        </w:tc>
        <w:tc>
          <w:tcPr>
            <w:tcW w:w="6569" w:type="dxa"/>
            <w:tcBorders>
              <w:right w:val="single" w:color="000000" w:sz="6" w:space="0"/>
            </w:tcBorders>
            <w:vAlign w:val="top"/>
          </w:tcPr>
          <w:p w14:paraId="57654EBF">
            <w:pPr>
              <w:rPr>
                <w:rFonts w:ascii="Arial"/>
                <w:strike/>
                <w:dstrike w:val="0"/>
                <w:color w:val="auto"/>
                <w:sz w:val="21"/>
                <w:highlight w:val="none"/>
              </w:rPr>
            </w:pPr>
          </w:p>
        </w:tc>
      </w:tr>
      <w:tr w14:paraId="44FFB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2894AE73">
            <w:pPr>
              <w:pStyle w:val="17"/>
              <w:spacing w:before="125" w:line="220" w:lineRule="auto"/>
              <w:ind w:left="625"/>
              <w:rPr>
                <w:strike/>
                <w:dstrike w:val="0"/>
                <w:color w:val="auto"/>
                <w:sz w:val="24"/>
                <w:szCs w:val="24"/>
                <w:highlight w:val="none"/>
              </w:rPr>
            </w:pPr>
            <w:r>
              <w:rPr>
                <w:strike/>
                <w:dstrike w:val="0"/>
                <w:color w:val="auto"/>
                <w:spacing w:val="-3"/>
                <w:sz w:val="24"/>
                <w:szCs w:val="24"/>
                <w:highlight w:val="none"/>
              </w:rPr>
              <w:t>完工日期</w:t>
            </w:r>
          </w:p>
        </w:tc>
        <w:tc>
          <w:tcPr>
            <w:tcW w:w="6569" w:type="dxa"/>
            <w:tcBorders>
              <w:right w:val="single" w:color="000000" w:sz="6" w:space="0"/>
            </w:tcBorders>
            <w:vAlign w:val="top"/>
          </w:tcPr>
          <w:p w14:paraId="5ACEABDA">
            <w:pPr>
              <w:rPr>
                <w:rFonts w:ascii="Arial"/>
                <w:strike/>
                <w:dstrike w:val="0"/>
                <w:color w:val="auto"/>
                <w:sz w:val="21"/>
                <w:highlight w:val="none"/>
              </w:rPr>
            </w:pPr>
          </w:p>
        </w:tc>
      </w:tr>
      <w:tr w14:paraId="61114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3D4E14C4">
            <w:pPr>
              <w:pStyle w:val="17"/>
              <w:spacing w:before="123" w:line="220" w:lineRule="auto"/>
              <w:ind w:left="503"/>
              <w:rPr>
                <w:strike/>
                <w:dstrike w:val="0"/>
                <w:color w:val="auto"/>
                <w:sz w:val="24"/>
                <w:szCs w:val="24"/>
                <w:highlight w:val="none"/>
              </w:rPr>
            </w:pPr>
            <w:r>
              <w:rPr>
                <w:strike/>
                <w:dstrike w:val="0"/>
                <w:color w:val="auto"/>
                <w:spacing w:val="-2"/>
                <w:sz w:val="24"/>
                <w:szCs w:val="24"/>
                <w:highlight w:val="none"/>
              </w:rPr>
              <w:t>承担的工作</w:t>
            </w:r>
          </w:p>
        </w:tc>
        <w:tc>
          <w:tcPr>
            <w:tcW w:w="6569" w:type="dxa"/>
            <w:tcBorders>
              <w:right w:val="single" w:color="000000" w:sz="6" w:space="0"/>
            </w:tcBorders>
            <w:vAlign w:val="top"/>
          </w:tcPr>
          <w:p w14:paraId="3ADB2CC0">
            <w:pPr>
              <w:rPr>
                <w:rFonts w:ascii="Arial"/>
                <w:strike/>
                <w:dstrike w:val="0"/>
                <w:color w:val="auto"/>
                <w:sz w:val="21"/>
                <w:highlight w:val="none"/>
              </w:rPr>
            </w:pPr>
          </w:p>
        </w:tc>
      </w:tr>
      <w:tr w14:paraId="6DE70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1A5C8607">
            <w:pPr>
              <w:pStyle w:val="17"/>
              <w:spacing w:before="125" w:line="220" w:lineRule="auto"/>
              <w:ind w:left="626"/>
              <w:rPr>
                <w:strike/>
                <w:dstrike w:val="0"/>
                <w:color w:val="auto"/>
                <w:sz w:val="24"/>
                <w:szCs w:val="24"/>
                <w:highlight w:val="none"/>
              </w:rPr>
            </w:pPr>
            <w:r>
              <w:rPr>
                <w:strike/>
                <w:dstrike w:val="0"/>
                <w:color w:val="auto"/>
                <w:spacing w:val="-3"/>
                <w:sz w:val="24"/>
                <w:szCs w:val="24"/>
                <w:highlight w:val="none"/>
              </w:rPr>
              <w:t>工程质量</w:t>
            </w:r>
          </w:p>
        </w:tc>
        <w:tc>
          <w:tcPr>
            <w:tcW w:w="6569" w:type="dxa"/>
            <w:tcBorders>
              <w:right w:val="single" w:color="000000" w:sz="6" w:space="0"/>
            </w:tcBorders>
            <w:vAlign w:val="top"/>
          </w:tcPr>
          <w:p w14:paraId="1C5AF90C">
            <w:pPr>
              <w:rPr>
                <w:rFonts w:ascii="Arial"/>
                <w:strike/>
                <w:dstrike w:val="0"/>
                <w:color w:val="auto"/>
                <w:sz w:val="21"/>
                <w:highlight w:val="none"/>
              </w:rPr>
            </w:pPr>
          </w:p>
        </w:tc>
      </w:tr>
      <w:tr w14:paraId="1D506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5A913EF">
            <w:pPr>
              <w:pStyle w:val="17"/>
              <w:spacing w:before="128" w:line="220" w:lineRule="auto"/>
              <w:ind w:left="506"/>
              <w:rPr>
                <w:strike/>
                <w:dstrike w:val="0"/>
                <w:color w:val="auto"/>
                <w:sz w:val="24"/>
                <w:szCs w:val="24"/>
                <w:highlight w:val="none"/>
              </w:rPr>
            </w:pPr>
            <w:r>
              <w:rPr>
                <w:strike/>
                <w:dstrike w:val="0"/>
                <w:color w:val="auto"/>
                <w:spacing w:val="-3"/>
                <w:sz w:val="24"/>
                <w:szCs w:val="24"/>
                <w:highlight w:val="none"/>
              </w:rPr>
              <w:t>项目负责人</w:t>
            </w:r>
          </w:p>
        </w:tc>
        <w:tc>
          <w:tcPr>
            <w:tcW w:w="6569" w:type="dxa"/>
            <w:tcBorders>
              <w:right w:val="single" w:color="000000" w:sz="6" w:space="0"/>
            </w:tcBorders>
            <w:vAlign w:val="top"/>
          </w:tcPr>
          <w:p w14:paraId="03808879">
            <w:pPr>
              <w:rPr>
                <w:rFonts w:ascii="Arial"/>
                <w:strike/>
                <w:dstrike w:val="0"/>
                <w:color w:val="auto"/>
                <w:sz w:val="21"/>
                <w:highlight w:val="none"/>
              </w:rPr>
            </w:pPr>
          </w:p>
        </w:tc>
      </w:tr>
      <w:tr w14:paraId="6261A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493FDD2">
            <w:pPr>
              <w:pStyle w:val="17"/>
              <w:spacing w:before="126" w:line="220" w:lineRule="auto"/>
              <w:ind w:left="266"/>
              <w:rPr>
                <w:strike/>
                <w:dstrike w:val="0"/>
                <w:color w:val="auto"/>
                <w:sz w:val="24"/>
                <w:szCs w:val="24"/>
                <w:highlight w:val="none"/>
              </w:rPr>
            </w:pPr>
            <w:r>
              <w:rPr>
                <w:strike/>
                <w:dstrike w:val="0"/>
                <w:color w:val="auto"/>
                <w:spacing w:val="-2"/>
                <w:sz w:val="24"/>
                <w:szCs w:val="24"/>
                <w:highlight w:val="none"/>
              </w:rPr>
              <w:t>项目技术负责人</w:t>
            </w:r>
          </w:p>
        </w:tc>
        <w:tc>
          <w:tcPr>
            <w:tcW w:w="6569" w:type="dxa"/>
            <w:tcBorders>
              <w:right w:val="single" w:color="000000" w:sz="6" w:space="0"/>
            </w:tcBorders>
            <w:vAlign w:val="top"/>
          </w:tcPr>
          <w:p w14:paraId="7E1D63CF">
            <w:pPr>
              <w:rPr>
                <w:rFonts w:ascii="Arial"/>
                <w:strike/>
                <w:dstrike w:val="0"/>
                <w:color w:val="auto"/>
                <w:sz w:val="21"/>
                <w:highlight w:val="none"/>
              </w:rPr>
            </w:pPr>
          </w:p>
        </w:tc>
      </w:tr>
      <w:tr w14:paraId="087C6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2207" w:type="dxa"/>
            <w:tcBorders>
              <w:left w:val="single" w:color="000000" w:sz="6" w:space="0"/>
            </w:tcBorders>
            <w:vAlign w:val="top"/>
          </w:tcPr>
          <w:p w14:paraId="09592AA3">
            <w:pPr>
              <w:pStyle w:val="17"/>
              <w:spacing w:before="45" w:line="339" w:lineRule="auto"/>
              <w:ind w:left="382" w:right="143" w:hanging="238"/>
              <w:rPr>
                <w:strike/>
                <w:dstrike w:val="0"/>
                <w:color w:val="auto"/>
                <w:sz w:val="24"/>
                <w:szCs w:val="24"/>
                <w:highlight w:val="none"/>
              </w:rPr>
            </w:pPr>
            <w:r>
              <w:rPr>
                <w:strike/>
                <w:dstrike w:val="0"/>
                <w:color w:val="auto"/>
                <w:spacing w:val="-2"/>
                <w:sz w:val="24"/>
                <w:szCs w:val="24"/>
                <w:highlight w:val="none"/>
              </w:rPr>
              <w:t>监理人和总监理工程师以及电话</w:t>
            </w:r>
          </w:p>
        </w:tc>
        <w:tc>
          <w:tcPr>
            <w:tcW w:w="6569" w:type="dxa"/>
            <w:tcBorders>
              <w:right w:val="single" w:color="000000" w:sz="6" w:space="0"/>
            </w:tcBorders>
            <w:vAlign w:val="top"/>
          </w:tcPr>
          <w:p w14:paraId="4508EBB5">
            <w:pPr>
              <w:rPr>
                <w:rFonts w:ascii="Arial"/>
                <w:strike/>
                <w:dstrike w:val="0"/>
                <w:color w:val="auto"/>
                <w:sz w:val="21"/>
                <w:highlight w:val="none"/>
              </w:rPr>
            </w:pPr>
          </w:p>
        </w:tc>
      </w:tr>
      <w:tr w14:paraId="62727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2207" w:type="dxa"/>
            <w:tcBorders>
              <w:left w:val="single" w:color="000000" w:sz="6" w:space="0"/>
            </w:tcBorders>
            <w:vAlign w:val="top"/>
          </w:tcPr>
          <w:p w14:paraId="6358E524">
            <w:pPr>
              <w:spacing w:line="320" w:lineRule="auto"/>
              <w:rPr>
                <w:rFonts w:ascii="Arial"/>
                <w:strike/>
                <w:dstrike w:val="0"/>
                <w:color w:val="auto"/>
                <w:sz w:val="21"/>
                <w:highlight w:val="none"/>
              </w:rPr>
            </w:pPr>
          </w:p>
          <w:p w14:paraId="75503265">
            <w:pPr>
              <w:spacing w:line="320" w:lineRule="auto"/>
              <w:rPr>
                <w:rFonts w:ascii="Arial"/>
                <w:strike/>
                <w:dstrike w:val="0"/>
                <w:color w:val="auto"/>
                <w:sz w:val="21"/>
                <w:highlight w:val="none"/>
              </w:rPr>
            </w:pPr>
          </w:p>
          <w:p w14:paraId="745F29BB">
            <w:pPr>
              <w:pStyle w:val="17"/>
              <w:spacing w:before="78" w:line="220" w:lineRule="auto"/>
              <w:ind w:left="384"/>
              <w:rPr>
                <w:strike/>
                <w:dstrike w:val="0"/>
                <w:color w:val="auto"/>
                <w:sz w:val="24"/>
                <w:szCs w:val="24"/>
                <w:highlight w:val="none"/>
              </w:rPr>
            </w:pPr>
            <w:r>
              <w:rPr>
                <w:strike/>
                <w:dstrike w:val="0"/>
                <w:color w:val="auto"/>
                <w:spacing w:val="-2"/>
                <w:sz w:val="24"/>
                <w:szCs w:val="24"/>
                <w:highlight w:val="none"/>
              </w:rPr>
              <w:t>合同项目描述</w:t>
            </w:r>
          </w:p>
        </w:tc>
        <w:tc>
          <w:tcPr>
            <w:tcW w:w="6569" w:type="dxa"/>
            <w:tcBorders>
              <w:right w:val="single" w:color="000000" w:sz="6" w:space="0"/>
            </w:tcBorders>
            <w:vAlign w:val="top"/>
          </w:tcPr>
          <w:p w14:paraId="5D260B7A">
            <w:pPr>
              <w:rPr>
                <w:rFonts w:ascii="Arial"/>
                <w:strike/>
                <w:dstrike w:val="0"/>
                <w:color w:val="auto"/>
                <w:sz w:val="21"/>
                <w:highlight w:val="none"/>
              </w:rPr>
            </w:pPr>
          </w:p>
        </w:tc>
      </w:tr>
      <w:tr w14:paraId="7E4C8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9" w:hRule="atLeast"/>
        </w:trPr>
        <w:tc>
          <w:tcPr>
            <w:tcW w:w="2207" w:type="dxa"/>
            <w:tcBorders>
              <w:left w:val="single" w:color="000000" w:sz="6" w:space="0"/>
              <w:bottom w:val="single" w:color="000000" w:sz="6" w:space="0"/>
            </w:tcBorders>
            <w:vAlign w:val="top"/>
          </w:tcPr>
          <w:p w14:paraId="43A32B5E">
            <w:pPr>
              <w:spacing w:line="437" w:lineRule="auto"/>
              <w:rPr>
                <w:rFonts w:ascii="Arial"/>
                <w:strike/>
                <w:dstrike w:val="0"/>
                <w:color w:val="auto"/>
                <w:sz w:val="21"/>
                <w:highlight w:val="none"/>
              </w:rPr>
            </w:pPr>
          </w:p>
          <w:p w14:paraId="2C3A5B29">
            <w:pPr>
              <w:pStyle w:val="17"/>
              <w:spacing w:before="78" w:line="221" w:lineRule="auto"/>
              <w:ind w:left="866"/>
              <w:rPr>
                <w:strike/>
                <w:dstrike w:val="0"/>
                <w:color w:val="auto"/>
                <w:sz w:val="24"/>
                <w:szCs w:val="24"/>
                <w:highlight w:val="none"/>
              </w:rPr>
            </w:pPr>
            <w:r>
              <w:rPr>
                <w:strike/>
                <w:dstrike w:val="0"/>
                <w:color w:val="auto"/>
                <w:spacing w:val="-4"/>
                <w:sz w:val="24"/>
                <w:szCs w:val="24"/>
                <w:highlight w:val="none"/>
              </w:rPr>
              <w:t>备注</w:t>
            </w:r>
          </w:p>
        </w:tc>
        <w:tc>
          <w:tcPr>
            <w:tcW w:w="6569" w:type="dxa"/>
            <w:tcBorders>
              <w:bottom w:val="single" w:color="000000" w:sz="6" w:space="0"/>
              <w:right w:val="single" w:color="000000" w:sz="6" w:space="0"/>
            </w:tcBorders>
            <w:vAlign w:val="top"/>
          </w:tcPr>
          <w:p w14:paraId="73771BCD">
            <w:pPr>
              <w:pStyle w:val="17"/>
              <w:spacing w:before="51" w:line="348" w:lineRule="auto"/>
              <w:ind w:left="108" w:right="102"/>
              <w:jc w:val="both"/>
              <w:rPr>
                <w:strike/>
                <w:dstrike w:val="0"/>
                <w:color w:val="auto"/>
                <w:sz w:val="24"/>
                <w:szCs w:val="24"/>
                <w:highlight w:val="none"/>
              </w:rPr>
            </w:pPr>
            <w:r>
              <w:rPr>
                <w:strike/>
                <w:dstrike w:val="0"/>
                <w:color w:val="auto"/>
                <w:spacing w:val="4"/>
                <w:sz w:val="24"/>
                <w:szCs w:val="24"/>
                <w:highlight w:val="none"/>
              </w:rPr>
              <w:t>合同项目描述内容至少包括项目概况、本合同在项目中的地</w:t>
            </w:r>
            <w:r>
              <w:rPr>
                <w:strike/>
                <w:dstrike w:val="0"/>
                <w:color w:val="auto"/>
                <w:spacing w:val="-5"/>
                <w:sz w:val="24"/>
                <w:szCs w:val="24"/>
                <w:highlight w:val="none"/>
              </w:rPr>
              <w:t>位（部位、合同价格所占比例）和合同工程完工（竣工）验收</w:t>
            </w:r>
            <w:r>
              <w:rPr>
                <w:strike/>
                <w:dstrike w:val="0"/>
                <w:color w:val="auto"/>
                <w:spacing w:val="-4"/>
                <w:sz w:val="24"/>
                <w:szCs w:val="24"/>
                <w:highlight w:val="none"/>
              </w:rPr>
              <w:t>鉴定书有关验收结论。</w:t>
            </w:r>
          </w:p>
        </w:tc>
      </w:tr>
    </w:tbl>
    <w:p w14:paraId="519EB508">
      <w:pPr>
        <w:spacing w:before="35" w:line="219" w:lineRule="auto"/>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注：相关材料复制件在“原件的复制件”中提供。</w:t>
      </w:r>
    </w:p>
    <w:p w14:paraId="6F98E775">
      <w:pPr>
        <w:spacing w:line="219" w:lineRule="auto"/>
        <w:rPr>
          <w:rFonts w:ascii="宋体" w:hAnsi="宋体" w:eastAsia="宋体" w:cs="宋体"/>
          <w:strike/>
          <w:dstrike w:val="0"/>
          <w:color w:val="auto"/>
          <w:sz w:val="24"/>
          <w:szCs w:val="24"/>
          <w:highlight w:val="none"/>
        </w:rPr>
        <w:sectPr>
          <w:footerReference r:id="rId129" w:type="default"/>
          <w:pgSz w:w="11907" w:h="16841"/>
          <w:pgMar w:top="400" w:right="1418" w:bottom="1254" w:left="1598" w:header="0" w:footer="1093" w:gutter="0"/>
          <w:pgNumType w:fmt="decimal"/>
          <w:cols w:space="720" w:num="1"/>
        </w:sectPr>
      </w:pPr>
    </w:p>
    <w:p w14:paraId="4A9BD2A5">
      <w:pPr>
        <w:pStyle w:val="3"/>
        <w:spacing w:line="244" w:lineRule="auto"/>
        <w:rPr>
          <w:color w:val="auto"/>
          <w:highlight w:val="none"/>
        </w:rPr>
      </w:pPr>
    </w:p>
    <w:p w14:paraId="47A21D7C">
      <w:pPr>
        <w:pStyle w:val="3"/>
        <w:spacing w:line="244" w:lineRule="auto"/>
        <w:rPr>
          <w:color w:val="auto"/>
          <w:highlight w:val="none"/>
        </w:rPr>
      </w:pPr>
    </w:p>
    <w:p w14:paraId="75F7AC6B">
      <w:pPr>
        <w:pStyle w:val="3"/>
        <w:spacing w:line="245" w:lineRule="auto"/>
        <w:rPr>
          <w:color w:val="auto"/>
          <w:highlight w:val="none"/>
        </w:rPr>
      </w:pPr>
    </w:p>
    <w:p w14:paraId="68DAEF98">
      <w:pPr>
        <w:pStyle w:val="3"/>
        <w:spacing w:line="245" w:lineRule="auto"/>
        <w:rPr>
          <w:color w:val="auto"/>
          <w:highlight w:val="none"/>
        </w:rPr>
      </w:pPr>
    </w:p>
    <w:p w14:paraId="54D49E89">
      <w:pPr>
        <w:spacing w:before="100" w:line="214" w:lineRule="auto"/>
        <w:ind w:left="1844"/>
        <w:rPr>
          <w:rFonts w:ascii="宋体" w:hAnsi="宋体" w:eastAsia="宋体" w:cs="宋体"/>
          <w:strike/>
          <w:dstrike w:val="0"/>
          <w:color w:val="auto"/>
          <w:sz w:val="30"/>
          <w:szCs w:val="30"/>
          <w:highlight w:val="none"/>
        </w:rPr>
      </w:pPr>
      <w:r>
        <w:rPr>
          <w:rFonts w:ascii="宋体" w:hAnsi="宋体" w:eastAsia="宋体" w:cs="宋体"/>
          <w:b/>
          <w:bCs/>
          <w:strike/>
          <w:dstrike w:val="0"/>
          <w:color w:val="auto"/>
          <w:sz w:val="30"/>
          <w:szCs w:val="30"/>
          <w:highlight w:val="none"/>
        </w:rPr>
        <w:t>业绩汇总表（资格业绩的汇总</w:t>
      </w:r>
      <w:r>
        <w:rPr>
          <w:rFonts w:ascii="宋体" w:hAnsi="宋体" w:eastAsia="宋体" w:cs="宋体"/>
          <w:b/>
          <w:bCs/>
          <w:strike/>
          <w:dstrike w:val="0"/>
          <w:color w:val="auto"/>
          <w:spacing w:val="-17"/>
          <w:sz w:val="30"/>
          <w:szCs w:val="30"/>
          <w:highlight w:val="none"/>
        </w:rPr>
        <w:t>）（</w:t>
      </w:r>
      <w:r>
        <w:rPr>
          <w:rFonts w:ascii="宋体" w:hAnsi="宋体" w:eastAsia="宋体" w:cs="宋体"/>
          <w:b/>
          <w:bCs/>
          <w:i/>
          <w:iCs/>
          <w:strike/>
          <w:dstrike w:val="0"/>
          <w:color w:val="auto"/>
          <w:sz w:val="31"/>
          <w:szCs w:val="31"/>
          <w:highlight w:val="none"/>
        </w:rPr>
        <w:t>若有</w:t>
      </w:r>
      <w:r>
        <w:rPr>
          <w:rFonts w:ascii="宋体" w:hAnsi="宋体" w:eastAsia="宋体" w:cs="宋体"/>
          <w:b/>
          <w:bCs/>
          <w:strike/>
          <w:dstrike w:val="0"/>
          <w:color w:val="auto"/>
          <w:sz w:val="30"/>
          <w:szCs w:val="30"/>
          <w:highlight w:val="none"/>
        </w:rPr>
        <w:t>）</w:t>
      </w:r>
    </w:p>
    <w:p w14:paraId="394E1AC8">
      <w:pPr>
        <w:spacing w:before="15"/>
        <w:rPr>
          <w:strike/>
          <w:dstrike w:val="0"/>
          <w:color w:val="auto"/>
          <w:highlight w:val="none"/>
        </w:rPr>
      </w:pPr>
    </w:p>
    <w:p w14:paraId="0016C1C8">
      <w:pPr>
        <w:spacing w:before="14"/>
        <w:rPr>
          <w:strike/>
          <w:dstrike w:val="0"/>
          <w:color w:val="auto"/>
          <w:highlight w:val="none"/>
        </w:rPr>
      </w:pPr>
    </w:p>
    <w:tbl>
      <w:tblPr>
        <w:tblStyle w:val="16"/>
        <w:tblW w:w="863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1321"/>
        <w:gridCol w:w="1146"/>
        <w:gridCol w:w="1376"/>
        <w:gridCol w:w="1685"/>
        <w:gridCol w:w="1153"/>
        <w:gridCol w:w="1211"/>
      </w:tblGrid>
      <w:tr w14:paraId="54584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742" w:type="dxa"/>
            <w:tcBorders>
              <w:top w:val="single" w:color="000000" w:sz="10" w:space="0"/>
              <w:left w:val="single" w:color="000000" w:sz="10" w:space="0"/>
            </w:tcBorders>
            <w:vAlign w:val="top"/>
          </w:tcPr>
          <w:p w14:paraId="1168D64D">
            <w:pPr>
              <w:spacing w:line="250" w:lineRule="auto"/>
              <w:rPr>
                <w:rFonts w:ascii="Arial"/>
                <w:strike/>
                <w:dstrike w:val="0"/>
                <w:color w:val="auto"/>
                <w:sz w:val="21"/>
                <w:highlight w:val="none"/>
              </w:rPr>
            </w:pPr>
          </w:p>
          <w:p w14:paraId="4AEBD6C3">
            <w:pPr>
              <w:spacing w:line="250" w:lineRule="auto"/>
              <w:rPr>
                <w:rFonts w:ascii="Arial"/>
                <w:strike/>
                <w:dstrike w:val="0"/>
                <w:color w:val="auto"/>
                <w:sz w:val="21"/>
                <w:highlight w:val="none"/>
              </w:rPr>
            </w:pPr>
          </w:p>
          <w:p w14:paraId="4D06F617">
            <w:pPr>
              <w:spacing w:line="251" w:lineRule="auto"/>
              <w:rPr>
                <w:rFonts w:ascii="Arial"/>
                <w:strike/>
                <w:dstrike w:val="0"/>
                <w:color w:val="auto"/>
                <w:sz w:val="21"/>
                <w:highlight w:val="none"/>
              </w:rPr>
            </w:pPr>
          </w:p>
          <w:p w14:paraId="67022AEC">
            <w:pPr>
              <w:pStyle w:val="17"/>
              <w:spacing w:before="78" w:line="221" w:lineRule="auto"/>
              <w:ind w:left="125"/>
              <w:rPr>
                <w:strike/>
                <w:dstrike w:val="0"/>
                <w:color w:val="auto"/>
                <w:sz w:val="24"/>
                <w:szCs w:val="24"/>
                <w:highlight w:val="none"/>
              </w:rPr>
            </w:pPr>
            <w:r>
              <w:rPr>
                <w:strike/>
                <w:dstrike w:val="0"/>
                <w:color w:val="auto"/>
                <w:spacing w:val="-3"/>
                <w:sz w:val="24"/>
                <w:szCs w:val="24"/>
                <w:highlight w:val="none"/>
              </w:rPr>
              <w:t>序号</w:t>
            </w:r>
          </w:p>
        </w:tc>
        <w:tc>
          <w:tcPr>
            <w:tcW w:w="1321" w:type="dxa"/>
            <w:tcBorders>
              <w:top w:val="single" w:color="000000" w:sz="10" w:space="0"/>
            </w:tcBorders>
            <w:vAlign w:val="top"/>
          </w:tcPr>
          <w:p w14:paraId="481B7F33">
            <w:pPr>
              <w:spacing w:line="298" w:lineRule="auto"/>
              <w:rPr>
                <w:rFonts w:ascii="Arial"/>
                <w:strike/>
                <w:dstrike w:val="0"/>
                <w:color w:val="auto"/>
                <w:sz w:val="21"/>
                <w:highlight w:val="none"/>
              </w:rPr>
            </w:pPr>
          </w:p>
          <w:p w14:paraId="5AAE2B42">
            <w:pPr>
              <w:spacing w:line="298" w:lineRule="auto"/>
              <w:rPr>
                <w:rFonts w:ascii="Arial"/>
                <w:strike/>
                <w:dstrike w:val="0"/>
                <w:color w:val="auto"/>
                <w:sz w:val="21"/>
                <w:highlight w:val="none"/>
              </w:rPr>
            </w:pPr>
          </w:p>
          <w:p w14:paraId="68CA4901">
            <w:pPr>
              <w:pStyle w:val="17"/>
              <w:spacing w:before="78" w:line="242" w:lineRule="auto"/>
              <w:ind w:left="412" w:right="66" w:hanging="355"/>
              <w:rPr>
                <w:strike/>
                <w:dstrike w:val="0"/>
                <w:color w:val="auto"/>
                <w:sz w:val="24"/>
                <w:szCs w:val="24"/>
                <w:highlight w:val="none"/>
              </w:rPr>
            </w:pPr>
            <w:r>
              <w:rPr>
                <w:strike/>
                <w:dstrike w:val="0"/>
                <w:color w:val="auto"/>
                <w:spacing w:val="-3"/>
                <w:sz w:val="24"/>
                <w:szCs w:val="24"/>
                <w:highlight w:val="none"/>
              </w:rPr>
              <w:t>该业绩证明对象</w:t>
            </w:r>
          </w:p>
        </w:tc>
        <w:tc>
          <w:tcPr>
            <w:tcW w:w="1146" w:type="dxa"/>
            <w:tcBorders>
              <w:top w:val="single" w:color="000000" w:sz="10" w:space="0"/>
            </w:tcBorders>
            <w:vAlign w:val="top"/>
          </w:tcPr>
          <w:p w14:paraId="700C9F3F">
            <w:pPr>
              <w:spacing w:line="250" w:lineRule="auto"/>
              <w:rPr>
                <w:rFonts w:ascii="Arial"/>
                <w:strike/>
                <w:dstrike w:val="0"/>
                <w:color w:val="auto"/>
                <w:sz w:val="21"/>
                <w:highlight w:val="none"/>
              </w:rPr>
            </w:pPr>
          </w:p>
          <w:p w14:paraId="0706AED1">
            <w:pPr>
              <w:spacing w:line="251" w:lineRule="auto"/>
              <w:rPr>
                <w:rFonts w:ascii="Arial"/>
                <w:strike/>
                <w:dstrike w:val="0"/>
                <w:color w:val="auto"/>
                <w:sz w:val="21"/>
                <w:highlight w:val="none"/>
              </w:rPr>
            </w:pPr>
          </w:p>
          <w:p w14:paraId="72079B85">
            <w:pPr>
              <w:spacing w:line="251" w:lineRule="auto"/>
              <w:rPr>
                <w:rFonts w:ascii="Arial"/>
                <w:strike/>
                <w:dstrike w:val="0"/>
                <w:color w:val="auto"/>
                <w:sz w:val="21"/>
                <w:highlight w:val="none"/>
              </w:rPr>
            </w:pPr>
          </w:p>
          <w:p w14:paraId="76AA010E">
            <w:pPr>
              <w:pStyle w:val="17"/>
              <w:spacing w:before="78" w:line="220" w:lineRule="auto"/>
              <w:ind w:left="92"/>
              <w:rPr>
                <w:strike/>
                <w:dstrike w:val="0"/>
                <w:color w:val="auto"/>
                <w:sz w:val="24"/>
                <w:szCs w:val="24"/>
                <w:highlight w:val="none"/>
              </w:rPr>
            </w:pPr>
            <w:r>
              <w:rPr>
                <w:strike/>
                <w:dstrike w:val="0"/>
                <w:color w:val="auto"/>
                <w:spacing w:val="-3"/>
                <w:sz w:val="24"/>
                <w:szCs w:val="24"/>
                <w:highlight w:val="none"/>
              </w:rPr>
              <w:t>项目名称</w:t>
            </w:r>
          </w:p>
        </w:tc>
        <w:tc>
          <w:tcPr>
            <w:tcW w:w="1376" w:type="dxa"/>
            <w:tcBorders>
              <w:top w:val="single" w:color="000000" w:sz="10" w:space="0"/>
            </w:tcBorders>
            <w:vAlign w:val="top"/>
          </w:tcPr>
          <w:p w14:paraId="710276C1">
            <w:pPr>
              <w:spacing w:line="298" w:lineRule="auto"/>
              <w:rPr>
                <w:rFonts w:ascii="Arial"/>
                <w:strike/>
                <w:dstrike w:val="0"/>
                <w:color w:val="auto"/>
                <w:sz w:val="21"/>
                <w:highlight w:val="none"/>
              </w:rPr>
            </w:pPr>
          </w:p>
          <w:p w14:paraId="6B722F88">
            <w:pPr>
              <w:spacing w:line="299" w:lineRule="auto"/>
              <w:rPr>
                <w:rFonts w:ascii="Arial"/>
                <w:strike/>
                <w:dstrike w:val="0"/>
                <w:color w:val="auto"/>
                <w:sz w:val="21"/>
                <w:highlight w:val="none"/>
              </w:rPr>
            </w:pPr>
          </w:p>
          <w:p w14:paraId="0D7C5F21">
            <w:pPr>
              <w:pStyle w:val="17"/>
              <w:spacing w:before="78" w:line="220" w:lineRule="auto"/>
              <w:ind w:left="90"/>
              <w:rPr>
                <w:strike/>
                <w:dstrike w:val="0"/>
                <w:color w:val="auto"/>
                <w:sz w:val="24"/>
                <w:szCs w:val="24"/>
                <w:highlight w:val="none"/>
              </w:rPr>
            </w:pPr>
            <w:r>
              <w:rPr>
                <w:strike/>
                <w:dstrike w:val="0"/>
                <w:color w:val="auto"/>
                <w:spacing w:val="14"/>
                <w:sz w:val="24"/>
                <w:szCs w:val="24"/>
                <w:highlight w:val="none"/>
              </w:rPr>
              <w:t>建设单位(</w:t>
            </w:r>
          </w:p>
          <w:p w14:paraId="7BA93C6E">
            <w:pPr>
              <w:pStyle w:val="17"/>
              <w:spacing w:before="25" w:line="220" w:lineRule="auto"/>
              <w:ind w:left="91"/>
              <w:rPr>
                <w:strike/>
                <w:dstrike w:val="0"/>
                <w:color w:val="auto"/>
                <w:sz w:val="24"/>
                <w:szCs w:val="24"/>
                <w:highlight w:val="none"/>
              </w:rPr>
            </w:pPr>
            <w:r>
              <w:rPr>
                <w:strike/>
                <w:dstrike w:val="0"/>
                <w:color w:val="auto"/>
                <w:spacing w:val="-5"/>
                <w:sz w:val="24"/>
                <w:szCs w:val="24"/>
                <w:highlight w:val="none"/>
              </w:rPr>
              <w:t>项目业主）</w:t>
            </w:r>
          </w:p>
        </w:tc>
        <w:tc>
          <w:tcPr>
            <w:tcW w:w="1685" w:type="dxa"/>
            <w:tcBorders>
              <w:top w:val="single" w:color="000000" w:sz="10" w:space="0"/>
            </w:tcBorders>
            <w:vAlign w:val="top"/>
          </w:tcPr>
          <w:p w14:paraId="5C093C93">
            <w:pPr>
              <w:spacing w:line="289" w:lineRule="auto"/>
              <w:rPr>
                <w:rFonts w:ascii="Arial"/>
                <w:strike/>
                <w:dstrike w:val="0"/>
                <w:color w:val="auto"/>
                <w:sz w:val="21"/>
                <w:highlight w:val="none"/>
              </w:rPr>
            </w:pPr>
          </w:p>
          <w:p w14:paraId="0A334850">
            <w:pPr>
              <w:pStyle w:val="17"/>
              <w:spacing w:before="78" w:line="220" w:lineRule="auto"/>
              <w:ind w:left="132"/>
              <w:rPr>
                <w:strike/>
                <w:dstrike w:val="0"/>
                <w:color w:val="auto"/>
                <w:sz w:val="24"/>
                <w:szCs w:val="24"/>
                <w:highlight w:val="none"/>
              </w:rPr>
            </w:pPr>
            <w:r>
              <w:rPr>
                <w:strike/>
                <w:dstrike w:val="0"/>
                <w:color w:val="auto"/>
                <w:spacing w:val="-2"/>
                <w:sz w:val="24"/>
                <w:szCs w:val="24"/>
                <w:highlight w:val="none"/>
              </w:rPr>
              <w:t>与评审有关的</w:t>
            </w:r>
          </w:p>
          <w:p w14:paraId="578CC893">
            <w:pPr>
              <w:pStyle w:val="17"/>
              <w:spacing w:before="22" w:line="220" w:lineRule="auto"/>
              <w:ind w:left="138"/>
              <w:rPr>
                <w:strike/>
                <w:dstrike w:val="0"/>
                <w:color w:val="auto"/>
                <w:sz w:val="24"/>
                <w:szCs w:val="24"/>
                <w:highlight w:val="none"/>
              </w:rPr>
            </w:pPr>
            <w:r>
              <w:rPr>
                <w:strike/>
                <w:dstrike w:val="0"/>
                <w:color w:val="auto"/>
                <w:spacing w:val="-8"/>
                <w:sz w:val="24"/>
                <w:szCs w:val="24"/>
                <w:highlight w:val="none"/>
              </w:rPr>
              <w:t>时间、规模、</w:t>
            </w:r>
          </w:p>
          <w:p w14:paraId="7DBE0CBF">
            <w:pPr>
              <w:pStyle w:val="17"/>
              <w:spacing w:before="25" w:line="220" w:lineRule="auto"/>
              <w:ind w:left="128"/>
              <w:rPr>
                <w:strike/>
                <w:dstrike w:val="0"/>
                <w:color w:val="auto"/>
                <w:sz w:val="24"/>
                <w:szCs w:val="24"/>
                <w:highlight w:val="none"/>
              </w:rPr>
            </w:pPr>
            <w:r>
              <w:rPr>
                <w:strike/>
                <w:dstrike w:val="0"/>
                <w:color w:val="auto"/>
                <w:spacing w:val="-2"/>
                <w:sz w:val="24"/>
                <w:szCs w:val="24"/>
                <w:highlight w:val="none"/>
              </w:rPr>
              <w:t>技术指标及其</w:t>
            </w:r>
          </w:p>
          <w:p w14:paraId="5CFF3AF3">
            <w:pPr>
              <w:pStyle w:val="17"/>
              <w:spacing w:before="26" w:line="220" w:lineRule="auto"/>
              <w:ind w:left="487"/>
              <w:rPr>
                <w:strike/>
                <w:dstrike w:val="0"/>
                <w:color w:val="auto"/>
                <w:sz w:val="24"/>
                <w:szCs w:val="24"/>
                <w:highlight w:val="none"/>
              </w:rPr>
            </w:pPr>
            <w:r>
              <w:rPr>
                <w:strike/>
                <w:dstrike w:val="0"/>
                <w:color w:val="auto"/>
                <w:spacing w:val="-3"/>
                <w:sz w:val="24"/>
                <w:szCs w:val="24"/>
                <w:highlight w:val="none"/>
              </w:rPr>
              <w:t>他要求</w:t>
            </w:r>
          </w:p>
        </w:tc>
        <w:tc>
          <w:tcPr>
            <w:tcW w:w="1153" w:type="dxa"/>
            <w:tcBorders>
              <w:top w:val="single" w:color="000000" w:sz="10" w:space="0"/>
            </w:tcBorders>
            <w:vAlign w:val="top"/>
          </w:tcPr>
          <w:p w14:paraId="69EC497B">
            <w:pPr>
              <w:spacing w:line="298" w:lineRule="auto"/>
              <w:rPr>
                <w:rFonts w:ascii="Arial"/>
                <w:strike/>
                <w:dstrike w:val="0"/>
                <w:color w:val="auto"/>
                <w:sz w:val="21"/>
                <w:highlight w:val="none"/>
              </w:rPr>
            </w:pPr>
          </w:p>
          <w:p w14:paraId="4AFCB56F">
            <w:pPr>
              <w:spacing w:line="298" w:lineRule="auto"/>
              <w:rPr>
                <w:rFonts w:ascii="Arial"/>
                <w:strike/>
                <w:dstrike w:val="0"/>
                <w:color w:val="auto"/>
                <w:sz w:val="21"/>
                <w:highlight w:val="none"/>
              </w:rPr>
            </w:pPr>
          </w:p>
          <w:p w14:paraId="68EC46D0">
            <w:pPr>
              <w:pStyle w:val="17"/>
              <w:spacing w:before="78" w:line="242" w:lineRule="auto"/>
              <w:ind w:left="108" w:right="84"/>
              <w:rPr>
                <w:strike/>
                <w:dstrike w:val="0"/>
                <w:color w:val="auto"/>
                <w:sz w:val="24"/>
                <w:szCs w:val="24"/>
                <w:highlight w:val="none"/>
              </w:rPr>
            </w:pPr>
            <w:r>
              <w:rPr>
                <w:strike/>
                <w:dstrike w:val="0"/>
                <w:color w:val="auto"/>
                <w:spacing w:val="-3"/>
                <w:sz w:val="24"/>
                <w:szCs w:val="24"/>
                <w:highlight w:val="none"/>
              </w:rPr>
              <w:t>提交证明材料内容</w:t>
            </w:r>
          </w:p>
        </w:tc>
        <w:tc>
          <w:tcPr>
            <w:tcW w:w="1211" w:type="dxa"/>
            <w:tcBorders>
              <w:top w:val="single" w:color="000000" w:sz="10" w:space="0"/>
              <w:right w:val="single" w:color="000000" w:sz="10" w:space="0"/>
            </w:tcBorders>
            <w:vAlign w:val="top"/>
          </w:tcPr>
          <w:p w14:paraId="1F223B83">
            <w:pPr>
              <w:spacing w:line="298" w:lineRule="auto"/>
              <w:rPr>
                <w:rFonts w:ascii="Arial"/>
                <w:strike/>
                <w:dstrike w:val="0"/>
                <w:color w:val="auto"/>
                <w:sz w:val="21"/>
                <w:highlight w:val="none"/>
              </w:rPr>
            </w:pPr>
          </w:p>
          <w:p w14:paraId="7F237924">
            <w:pPr>
              <w:spacing w:line="298" w:lineRule="auto"/>
              <w:rPr>
                <w:rFonts w:ascii="Arial"/>
                <w:strike/>
                <w:dstrike w:val="0"/>
                <w:color w:val="auto"/>
                <w:sz w:val="21"/>
                <w:highlight w:val="none"/>
              </w:rPr>
            </w:pPr>
          </w:p>
          <w:p w14:paraId="2DFA1FD5">
            <w:pPr>
              <w:pStyle w:val="17"/>
              <w:spacing w:before="78" w:line="242" w:lineRule="auto"/>
              <w:ind w:left="127" w:right="113"/>
              <w:rPr>
                <w:strike/>
                <w:dstrike w:val="0"/>
                <w:color w:val="auto"/>
                <w:sz w:val="24"/>
                <w:szCs w:val="24"/>
                <w:highlight w:val="none"/>
              </w:rPr>
            </w:pPr>
            <w:r>
              <w:rPr>
                <w:strike/>
                <w:dstrike w:val="0"/>
                <w:color w:val="auto"/>
                <w:spacing w:val="-3"/>
                <w:sz w:val="24"/>
                <w:szCs w:val="24"/>
                <w:highlight w:val="none"/>
              </w:rPr>
              <w:t>在投标文件的位置</w:t>
            </w:r>
          </w:p>
        </w:tc>
      </w:tr>
      <w:tr w14:paraId="6B936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742" w:type="dxa"/>
            <w:tcBorders>
              <w:left w:val="single" w:color="000000" w:sz="10" w:space="0"/>
            </w:tcBorders>
            <w:vAlign w:val="top"/>
          </w:tcPr>
          <w:p w14:paraId="3634E04B">
            <w:pPr>
              <w:spacing w:line="247" w:lineRule="auto"/>
              <w:rPr>
                <w:rFonts w:ascii="Arial"/>
                <w:strike/>
                <w:dstrike w:val="0"/>
                <w:color w:val="auto"/>
                <w:sz w:val="21"/>
                <w:highlight w:val="none"/>
              </w:rPr>
            </w:pPr>
          </w:p>
          <w:p w14:paraId="7D29B732">
            <w:pPr>
              <w:spacing w:line="247" w:lineRule="auto"/>
              <w:rPr>
                <w:rFonts w:ascii="Arial"/>
                <w:strike/>
                <w:dstrike w:val="0"/>
                <w:color w:val="auto"/>
                <w:sz w:val="21"/>
                <w:highlight w:val="none"/>
              </w:rPr>
            </w:pPr>
          </w:p>
          <w:p w14:paraId="1E6C4AAD">
            <w:pPr>
              <w:spacing w:line="248" w:lineRule="auto"/>
              <w:rPr>
                <w:rFonts w:ascii="Arial"/>
                <w:strike/>
                <w:dstrike w:val="0"/>
                <w:color w:val="auto"/>
                <w:sz w:val="21"/>
                <w:highlight w:val="none"/>
              </w:rPr>
            </w:pPr>
          </w:p>
          <w:p w14:paraId="5997A496">
            <w:pPr>
              <w:spacing w:before="69" w:line="186" w:lineRule="auto"/>
              <w:ind w:left="324"/>
              <w:rPr>
                <w:rFonts w:ascii="Times New Roman" w:hAnsi="Times New Roman" w:eastAsia="Times New Roman" w:cs="Times New Roman"/>
                <w:strike/>
                <w:dstrike w:val="0"/>
                <w:color w:val="auto"/>
                <w:sz w:val="24"/>
                <w:szCs w:val="24"/>
                <w:highlight w:val="none"/>
              </w:rPr>
            </w:pPr>
            <w:r>
              <w:rPr>
                <w:rFonts w:ascii="Times New Roman" w:hAnsi="Times New Roman" w:eastAsia="Times New Roman" w:cs="Times New Roman"/>
                <w:strike/>
                <w:dstrike w:val="0"/>
                <w:color w:val="auto"/>
                <w:sz w:val="24"/>
                <w:szCs w:val="24"/>
                <w:highlight w:val="none"/>
              </w:rPr>
              <w:t>1</w:t>
            </w:r>
          </w:p>
        </w:tc>
        <w:tc>
          <w:tcPr>
            <w:tcW w:w="1321" w:type="dxa"/>
            <w:vAlign w:val="top"/>
          </w:tcPr>
          <w:p w14:paraId="01A8C5E4">
            <w:pPr>
              <w:spacing w:line="293" w:lineRule="auto"/>
              <w:rPr>
                <w:rFonts w:ascii="Arial"/>
                <w:strike/>
                <w:dstrike w:val="0"/>
                <w:color w:val="auto"/>
                <w:sz w:val="21"/>
                <w:highlight w:val="none"/>
              </w:rPr>
            </w:pPr>
          </w:p>
          <w:p w14:paraId="217F9C73">
            <w:pPr>
              <w:spacing w:line="293" w:lineRule="auto"/>
              <w:rPr>
                <w:rFonts w:ascii="Arial"/>
                <w:strike/>
                <w:dstrike w:val="0"/>
                <w:color w:val="auto"/>
                <w:sz w:val="21"/>
                <w:highlight w:val="none"/>
              </w:rPr>
            </w:pPr>
          </w:p>
          <w:p w14:paraId="566A49E3">
            <w:pPr>
              <w:spacing w:line="294" w:lineRule="auto"/>
              <w:rPr>
                <w:rFonts w:ascii="Arial"/>
                <w:strike/>
                <w:dstrike w:val="0"/>
                <w:color w:val="auto"/>
                <w:sz w:val="21"/>
                <w:highlight w:val="none"/>
              </w:rPr>
            </w:pPr>
          </w:p>
          <w:p w14:paraId="2AE572A5">
            <w:pPr>
              <w:spacing w:before="69" w:line="75" w:lineRule="exact"/>
              <w:ind w:left="465"/>
              <w:rPr>
                <w:rFonts w:ascii="Times New Roman" w:hAnsi="Times New Roman" w:eastAsia="Times New Roman" w:cs="Times New Roman"/>
                <w:strike/>
                <w:dstrike w:val="0"/>
                <w:color w:val="auto"/>
                <w:sz w:val="24"/>
                <w:szCs w:val="24"/>
                <w:highlight w:val="none"/>
              </w:rPr>
            </w:pPr>
            <w:r>
              <w:rPr>
                <w:rFonts w:ascii="Times New Roman" w:hAnsi="Times New Roman" w:eastAsia="Times New Roman" w:cs="Times New Roman"/>
                <w:i/>
                <w:iCs/>
                <w:strike/>
                <w:dstrike w:val="0"/>
                <w:color w:val="auto"/>
                <w:spacing w:val="-10"/>
                <w:position w:val="-1"/>
                <w:sz w:val="24"/>
                <w:szCs w:val="24"/>
                <w:highlight w:val="none"/>
              </w:rPr>
              <w:t>……</w:t>
            </w:r>
          </w:p>
        </w:tc>
        <w:tc>
          <w:tcPr>
            <w:tcW w:w="1146" w:type="dxa"/>
            <w:vAlign w:val="top"/>
          </w:tcPr>
          <w:p w14:paraId="4AB5505A">
            <w:pPr>
              <w:rPr>
                <w:rFonts w:ascii="Arial"/>
                <w:strike/>
                <w:dstrike w:val="0"/>
                <w:color w:val="auto"/>
                <w:sz w:val="21"/>
                <w:highlight w:val="none"/>
              </w:rPr>
            </w:pPr>
          </w:p>
        </w:tc>
        <w:tc>
          <w:tcPr>
            <w:tcW w:w="1376" w:type="dxa"/>
            <w:vAlign w:val="top"/>
          </w:tcPr>
          <w:p w14:paraId="5DBF096C">
            <w:pPr>
              <w:rPr>
                <w:rFonts w:ascii="Arial"/>
                <w:strike/>
                <w:dstrike w:val="0"/>
                <w:color w:val="auto"/>
                <w:sz w:val="21"/>
                <w:highlight w:val="none"/>
              </w:rPr>
            </w:pPr>
          </w:p>
        </w:tc>
        <w:tc>
          <w:tcPr>
            <w:tcW w:w="1685" w:type="dxa"/>
            <w:vAlign w:val="top"/>
          </w:tcPr>
          <w:p w14:paraId="1AEE4480">
            <w:pPr>
              <w:rPr>
                <w:rFonts w:ascii="Arial"/>
                <w:strike/>
                <w:dstrike w:val="0"/>
                <w:color w:val="auto"/>
                <w:sz w:val="21"/>
                <w:highlight w:val="none"/>
              </w:rPr>
            </w:pPr>
          </w:p>
        </w:tc>
        <w:tc>
          <w:tcPr>
            <w:tcW w:w="1153" w:type="dxa"/>
            <w:vAlign w:val="top"/>
          </w:tcPr>
          <w:p w14:paraId="3FE6A2BB">
            <w:pPr>
              <w:rPr>
                <w:rFonts w:ascii="Arial"/>
                <w:strike/>
                <w:dstrike w:val="0"/>
                <w:color w:val="auto"/>
                <w:sz w:val="21"/>
                <w:highlight w:val="none"/>
              </w:rPr>
            </w:pPr>
          </w:p>
        </w:tc>
        <w:tc>
          <w:tcPr>
            <w:tcW w:w="1211" w:type="dxa"/>
            <w:tcBorders>
              <w:right w:val="single" w:color="000000" w:sz="10" w:space="0"/>
            </w:tcBorders>
            <w:vAlign w:val="top"/>
          </w:tcPr>
          <w:p w14:paraId="5153DA18">
            <w:pPr>
              <w:spacing w:line="378" w:lineRule="auto"/>
              <w:rPr>
                <w:rFonts w:ascii="Arial"/>
                <w:strike/>
                <w:dstrike w:val="0"/>
                <w:color w:val="auto"/>
                <w:sz w:val="21"/>
                <w:highlight w:val="none"/>
              </w:rPr>
            </w:pPr>
          </w:p>
          <w:p w14:paraId="7D8C97B2">
            <w:pPr>
              <w:pStyle w:val="17"/>
              <w:spacing w:before="81" w:line="213" w:lineRule="auto"/>
              <w:ind w:left="166"/>
              <w:rPr>
                <w:strike/>
                <w:dstrike w:val="0"/>
                <w:color w:val="auto"/>
                <w:sz w:val="25"/>
                <w:szCs w:val="25"/>
                <w:highlight w:val="none"/>
              </w:rPr>
            </w:pPr>
            <w:r>
              <w:rPr>
                <w:i/>
                <w:iCs/>
                <w:strike/>
                <w:dstrike w:val="0"/>
                <w:color w:val="auto"/>
                <w:spacing w:val="-13"/>
                <w:sz w:val="25"/>
                <w:szCs w:val="25"/>
                <w:highlight w:val="none"/>
              </w:rPr>
              <w:t>例如：投</w:t>
            </w:r>
          </w:p>
          <w:p w14:paraId="5C36F4A2">
            <w:pPr>
              <w:pStyle w:val="17"/>
              <w:spacing w:before="21" w:line="212" w:lineRule="auto"/>
              <w:ind w:right="8"/>
              <w:jc w:val="right"/>
              <w:rPr>
                <w:rFonts w:ascii="Times New Roman" w:hAnsi="Times New Roman" w:eastAsia="Times New Roman" w:cs="Times New Roman"/>
                <w:strike/>
                <w:dstrike w:val="0"/>
                <w:color w:val="auto"/>
                <w:sz w:val="24"/>
                <w:szCs w:val="24"/>
                <w:highlight w:val="none"/>
              </w:rPr>
            </w:pPr>
            <w:r>
              <w:rPr>
                <w:i/>
                <w:iCs/>
                <w:strike/>
                <w:dstrike w:val="0"/>
                <w:color w:val="auto"/>
                <w:spacing w:val="-9"/>
                <w:w w:val="95"/>
                <w:sz w:val="25"/>
                <w:szCs w:val="25"/>
                <w:highlight w:val="none"/>
              </w:rPr>
              <w:t>标</w:t>
            </w:r>
            <w:r>
              <w:rPr>
                <w:i/>
                <w:iCs/>
                <w:strike/>
                <w:dstrike w:val="0"/>
                <w:color w:val="auto"/>
                <w:spacing w:val="-8"/>
                <w:w w:val="95"/>
                <w:sz w:val="25"/>
                <w:szCs w:val="25"/>
                <w:highlight w:val="none"/>
              </w:rPr>
              <w:t>文件第</w:t>
            </w:r>
            <w:r>
              <w:rPr>
                <w:rFonts w:ascii="Times New Roman" w:hAnsi="Times New Roman" w:eastAsia="Times New Roman" w:cs="Times New Roman"/>
                <w:i/>
                <w:iCs/>
                <w:strike/>
                <w:dstrike w:val="0"/>
                <w:color w:val="auto"/>
                <w:spacing w:val="23"/>
                <w:w w:val="95"/>
                <w:sz w:val="24"/>
                <w:szCs w:val="24"/>
                <w:highlight w:val="none"/>
              </w:rPr>
              <w:t>X</w:t>
            </w:r>
          </w:p>
          <w:p w14:paraId="570CC3D6">
            <w:pPr>
              <w:pStyle w:val="17"/>
              <w:spacing w:before="25" w:line="214" w:lineRule="auto"/>
              <w:ind w:left="519"/>
              <w:rPr>
                <w:strike/>
                <w:dstrike w:val="0"/>
                <w:color w:val="auto"/>
                <w:sz w:val="25"/>
                <w:szCs w:val="25"/>
                <w:highlight w:val="none"/>
              </w:rPr>
            </w:pPr>
            <w:r>
              <w:rPr>
                <w:i/>
                <w:iCs/>
                <w:strike/>
                <w:dstrike w:val="0"/>
                <w:color w:val="auto"/>
                <w:sz w:val="25"/>
                <w:szCs w:val="25"/>
                <w:highlight w:val="none"/>
              </w:rPr>
              <w:t>页</w:t>
            </w:r>
          </w:p>
        </w:tc>
      </w:tr>
      <w:tr w14:paraId="2B9E0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742" w:type="dxa"/>
            <w:tcBorders>
              <w:left w:val="single" w:color="000000" w:sz="10" w:space="0"/>
            </w:tcBorders>
            <w:vAlign w:val="top"/>
          </w:tcPr>
          <w:p w14:paraId="7955A37B">
            <w:pPr>
              <w:rPr>
                <w:rFonts w:ascii="Arial"/>
                <w:strike/>
                <w:dstrike w:val="0"/>
                <w:color w:val="auto"/>
                <w:sz w:val="21"/>
                <w:highlight w:val="none"/>
              </w:rPr>
            </w:pPr>
          </w:p>
        </w:tc>
        <w:tc>
          <w:tcPr>
            <w:tcW w:w="1321" w:type="dxa"/>
            <w:vAlign w:val="top"/>
          </w:tcPr>
          <w:p w14:paraId="48B4082D">
            <w:pPr>
              <w:rPr>
                <w:rFonts w:ascii="Arial"/>
                <w:strike/>
                <w:dstrike w:val="0"/>
                <w:color w:val="auto"/>
                <w:sz w:val="21"/>
                <w:highlight w:val="none"/>
              </w:rPr>
            </w:pPr>
          </w:p>
        </w:tc>
        <w:tc>
          <w:tcPr>
            <w:tcW w:w="1146" w:type="dxa"/>
            <w:vAlign w:val="top"/>
          </w:tcPr>
          <w:p w14:paraId="7799EFDC">
            <w:pPr>
              <w:rPr>
                <w:rFonts w:ascii="Arial"/>
                <w:strike/>
                <w:dstrike w:val="0"/>
                <w:color w:val="auto"/>
                <w:sz w:val="21"/>
                <w:highlight w:val="none"/>
              </w:rPr>
            </w:pPr>
          </w:p>
        </w:tc>
        <w:tc>
          <w:tcPr>
            <w:tcW w:w="1376" w:type="dxa"/>
            <w:vAlign w:val="top"/>
          </w:tcPr>
          <w:p w14:paraId="67B4DEC3">
            <w:pPr>
              <w:rPr>
                <w:rFonts w:ascii="Arial"/>
                <w:strike/>
                <w:dstrike w:val="0"/>
                <w:color w:val="auto"/>
                <w:sz w:val="21"/>
                <w:highlight w:val="none"/>
              </w:rPr>
            </w:pPr>
          </w:p>
        </w:tc>
        <w:tc>
          <w:tcPr>
            <w:tcW w:w="1685" w:type="dxa"/>
            <w:vAlign w:val="top"/>
          </w:tcPr>
          <w:p w14:paraId="3A18F5E9">
            <w:pPr>
              <w:rPr>
                <w:rFonts w:ascii="Arial"/>
                <w:strike/>
                <w:dstrike w:val="0"/>
                <w:color w:val="auto"/>
                <w:sz w:val="21"/>
                <w:highlight w:val="none"/>
              </w:rPr>
            </w:pPr>
          </w:p>
        </w:tc>
        <w:tc>
          <w:tcPr>
            <w:tcW w:w="1153" w:type="dxa"/>
            <w:vAlign w:val="top"/>
          </w:tcPr>
          <w:p w14:paraId="5889B3D3">
            <w:pPr>
              <w:rPr>
                <w:rFonts w:ascii="Arial"/>
                <w:strike/>
                <w:dstrike w:val="0"/>
                <w:color w:val="auto"/>
                <w:sz w:val="21"/>
                <w:highlight w:val="none"/>
              </w:rPr>
            </w:pPr>
          </w:p>
        </w:tc>
        <w:tc>
          <w:tcPr>
            <w:tcW w:w="1211" w:type="dxa"/>
            <w:tcBorders>
              <w:right w:val="single" w:color="000000" w:sz="10" w:space="0"/>
            </w:tcBorders>
            <w:vAlign w:val="top"/>
          </w:tcPr>
          <w:p w14:paraId="6A98AD67">
            <w:pPr>
              <w:rPr>
                <w:rFonts w:ascii="Arial"/>
                <w:strike/>
                <w:dstrike w:val="0"/>
                <w:color w:val="auto"/>
                <w:sz w:val="21"/>
                <w:highlight w:val="none"/>
              </w:rPr>
            </w:pPr>
          </w:p>
        </w:tc>
      </w:tr>
      <w:tr w14:paraId="55742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42" w:type="dxa"/>
            <w:tcBorders>
              <w:left w:val="single" w:color="000000" w:sz="10" w:space="0"/>
              <w:bottom w:val="single" w:color="000000" w:sz="10" w:space="0"/>
            </w:tcBorders>
            <w:vAlign w:val="top"/>
          </w:tcPr>
          <w:p w14:paraId="2B5D5FA1">
            <w:pPr>
              <w:rPr>
                <w:rFonts w:ascii="Arial"/>
                <w:strike/>
                <w:dstrike w:val="0"/>
                <w:color w:val="auto"/>
                <w:sz w:val="21"/>
                <w:highlight w:val="none"/>
              </w:rPr>
            </w:pPr>
          </w:p>
        </w:tc>
        <w:tc>
          <w:tcPr>
            <w:tcW w:w="1321" w:type="dxa"/>
            <w:tcBorders>
              <w:bottom w:val="single" w:color="000000" w:sz="10" w:space="0"/>
            </w:tcBorders>
            <w:vAlign w:val="top"/>
          </w:tcPr>
          <w:p w14:paraId="3D08B2CB">
            <w:pPr>
              <w:rPr>
                <w:rFonts w:ascii="Arial"/>
                <w:strike/>
                <w:dstrike w:val="0"/>
                <w:color w:val="auto"/>
                <w:sz w:val="21"/>
                <w:highlight w:val="none"/>
              </w:rPr>
            </w:pPr>
          </w:p>
        </w:tc>
        <w:tc>
          <w:tcPr>
            <w:tcW w:w="1146" w:type="dxa"/>
            <w:tcBorders>
              <w:bottom w:val="single" w:color="000000" w:sz="10" w:space="0"/>
            </w:tcBorders>
            <w:vAlign w:val="top"/>
          </w:tcPr>
          <w:p w14:paraId="560FFD2F">
            <w:pPr>
              <w:rPr>
                <w:rFonts w:ascii="Arial"/>
                <w:strike/>
                <w:dstrike w:val="0"/>
                <w:color w:val="auto"/>
                <w:sz w:val="21"/>
                <w:highlight w:val="none"/>
              </w:rPr>
            </w:pPr>
          </w:p>
        </w:tc>
        <w:tc>
          <w:tcPr>
            <w:tcW w:w="1376" w:type="dxa"/>
            <w:tcBorders>
              <w:bottom w:val="single" w:color="000000" w:sz="10" w:space="0"/>
            </w:tcBorders>
            <w:vAlign w:val="top"/>
          </w:tcPr>
          <w:p w14:paraId="5E00A8EB">
            <w:pPr>
              <w:rPr>
                <w:rFonts w:ascii="Arial"/>
                <w:strike/>
                <w:dstrike w:val="0"/>
                <w:color w:val="auto"/>
                <w:sz w:val="21"/>
                <w:highlight w:val="none"/>
              </w:rPr>
            </w:pPr>
          </w:p>
        </w:tc>
        <w:tc>
          <w:tcPr>
            <w:tcW w:w="1685" w:type="dxa"/>
            <w:tcBorders>
              <w:bottom w:val="single" w:color="000000" w:sz="10" w:space="0"/>
            </w:tcBorders>
            <w:vAlign w:val="top"/>
          </w:tcPr>
          <w:p w14:paraId="42843716">
            <w:pPr>
              <w:rPr>
                <w:rFonts w:ascii="Arial"/>
                <w:strike/>
                <w:dstrike w:val="0"/>
                <w:color w:val="auto"/>
                <w:sz w:val="21"/>
                <w:highlight w:val="none"/>
              </w:rPr>
            </w:pPr>
          </w:p>
        </w:tc>
        <w:tc>
          <w:tcPr>
            <w:tcW w:w="1153" w:type="dxa"/>
            <w:tcBorders>
              <w:bottom w:val="single" w:color="000000" w:sz="10" w:space="0"/>
            </w:tcBorders>
            <w:vAlign w:val="top"/>
          </w:tcPr>
          <w:p w14:paraId="0B5870FD">
            <w:pPr>
              <w:rPr>
                <w:rFonts w:ascii="Arial"/>
                <w:strike/>
                <w:dstrike w:val="0"/>
                <w:color w:val="auto"/>
                <w:sz w:val="21"/>
                <w:highlight w:val="none"/>
              </w:rPr>
            </w:pPr>
          </w:p>
        </w:tc>
        <w:tc>
          <w:tcPr>
            <w:tcW w:w="1211" w:type="dxa"/>
            <w:tcBorders>
              <w:bottom w:val="single" w:color="000000" w:sz="10" w:space="0"/>
              <w:right w:val="single" w:color="000000" w:sz="10" w:space="0"/>
            </w:tcBorders>
            <w:vAlign w:val="top"/>
          </w:tcPr>
          <w:p w14:paraId="32505FD0">
            <w:pPr>
              <w:rPr>
                <w:rFonts w:ascii="Arial"/>
                <w:strike/>
                <w:dstrike w:val="0"/>
                <w:color w:val="auto"/>
                <w:sz w:val="21"/>
                <w:highlight w:val="none"/>
              </w:rPr>
            </w:pPr>
          </w:p>
        </w:tc>
      </w:tr>
    </w:tbl>
    <w:p w14:paraId="2C301216">
      <w:pPr>
        <w:pStyle w:val="3"/>
        <w:rPr>
          <w:strike/>
          <w:dstrike w:val="0"/>
          <w:color w:val="auto"/>
          <w:highlight w:val="none"/>
        </w:rPr>
      </w:pPr>
    </w:p>
    <w:p w14:paraId="1298BF41">
      <w:pPr>
        <w:rPr>
          <w:strike/>
          <w:dstrike w:val="0"/>
          <w:color w:val="auto"/>
          <w:highlight w:val="none"/>
        </w:rPr>
        <w:sectPr>
          <w:footerReference r:id="rId130" w:type="default"/>
          <w:pgSz w:w="11907" w:h="16841"/>
          <w:pgMar w:top="400" w:right="1527" w:bottom="1254" w:left="1588" w:header="0" w:footer="1093" w:gutter="0"/>
          <w:pgNumType w:fmt="decimal"/>
          <w:cols w:space="720" w:num="1"/>
        </w:sectPr>
      </w:pPr>
    </w:p>
    <w:p w14:paraId="01B637BC">
      <w:pPr>
        <w:pStyle w:val="3"/>
        <w:spacing w:line="247" w:lineRule="auto"/>
        <w:rPr>
          <w:color w:val="auto"/>
          <w:highlight w:val="none"/>
        </w:rPr>
      </w:pPr>
    </w:p>
    <w:p w14:paraId="4F27E5C6">
      <w:pPr>
        <w:pStyle w:val="3"/>
        <w:spacing w:line="248" w:lineRule="auto"/>
        <w:rPr>
          <w:color w:val="auto"/>
          <w:highlight w:val="none"/>
        </w:rPr>
      </w:pPr>
    </w:p>
    <w:p w14:paraId="24924A62">
      <w:pPr>
        <w:pStyle w:val="3"/>
        <w:spacing w:line="248" w:lineRule="auto"/>
        <w:rPr>
          <w:color w:val="auto"/>
          <w:highlight w:val="none"/>
        </w:rPr>
      </w:pPr>
    </w:p>
    <w:p w14:paraId="6231FBAD">
      <w:pPr>
        <w:pStyle w:val="3"/>
        <w:spacing w:line="248" w:lineRule="auto"/>
        <w:rPr>
          <w:color w:val="auto"/>
          <w:highlight w:val="none"/>
        </w:rPr>
      </w:pPr>
    </w:p>
    <w:p w14:paraId="3EAC0DE7">
      <w:pPr>
        <w:spacing w:before="78" w:line="220" w:lineRule="auto"/>
        <w:ind w:left="6"/>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（四）</w:t>
      </w:r>
      <w:r>
        <w:rPr>
          <w:rFonts w:ascii="宋体" w:hAnsi="宋体" w:eastAsia="宋体" w:cs="宋体"/>
          <w:color w:val="auto"/>
          <w:spacing w:val="-65"/>
          <w:sz w:val="24"/>
          <w:szCs w:val="24"/>
          <w:highlight w:val="none"/>
        </w:rPr>
        <w:t xml:space="preserve"> </w:t>
      </w:r>
      <w:r>
        <w:rPr>
          <w:rFonts w:ascii="宋体" w:hAnsi="宋体" w:eastAsia="宋体" w:cs="宋体"/>
          <w:b/>
          <w:bCs/>
          <w:color w:val="auto"/>
          <w:spacing w:val="-6"/>
          <w:sz w:val="24"/>
          <w:szCs w:val="24"/>
          <w:highlight w:val="none"/>
        </w:rPr>
        <w:t>正在施工的和新承接的项目情况表</w:t>
      </w:r>
    </w:p>
    <w:p w14:paraId="52827FDD">
      <w:pPr>
        <w:spacing w:before="182" w:line="220" w:lineRule="auto"/>
        <w:ind w:left="2591"/>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正在施工的和新承接的项目情况表</w:t>
      </w:r>
    </w:p>
    <w:p w14:paraId="03C32F5E">
      <w:pPr>
        <w:spacing w:line="144" w:lineRule="exact"/>
        <w:rPr>
          <w:color w:val="auto"/>
          <w:highlight w:val="none"/>
        </w:rPr>
      </w:pPr>
    </w:p>
    <w:tbl>
      <w:tblPr>
        <w:tblStyle w:val="16"/>
        <w:tblW w:w="877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7"/>
        <w:gridCol w:w="6569"/>
      </w:tblGrid>
      <w:tr w14:paraId="5FDF9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2207" w:type="dxa"/>
            <w:tcBorders>
              <w:top w:val="single" w:color="000000" w:sz="6" w:space="0"/>
              <w:left w:val="single" w:color="000000" w:sz="6" w:space="0"/>
            </w:tcBorders>
            <w:vAlign w:val="top"/>
          </w:tcPr>
          <w:p w14:paraId="5E2E0CAD">
            <w:pPr>
              <w:pStyle w:val="17"/>
              <w:spacing w:before="121" w:line="222" w:lineRule="auto"/>
              <w:ind w:left="624"/>
              <w:rPr>
                <w:color w:val="auto"/>
                <w:sz w:val="24"/>
                <w:szCs w:val="24"/>
                <w:highlight w:val="none"/>
              </w:rPr>
            </w:pPr>
            <w:r>
              <w:rPr>
                <w:color w:val="auto"/>
                <w:spacing w:val="-2"/>
                <w:sz w:val="24"/>
                <w:szCs w:val="24"/>
                <w:highlight w:val="none"/>
              </w:rPr>
              <w:t>合同名称</w:t>
            </w:r>
          </w:p>
        </w:tc>
        <w:tc>
          <w:tcPr>
            <w:tcW w:w="6569" w:type="dxa"/>
            <w:tcBorders>
              <w:top w:val="single" w:color="000000" w:sz="6" w:space="0"/>
              <w:right w:val="single" w:color="000000" w:sz="6" w:space="0"/>
            </w:tcBorders>
            <w:vAlign w:val="top"/>
          </w:tcPr>
          <w:p w14:paraId="18990020">
            <w:pPr>
              <w:rPr>
                <w:rFonts w:ascii="Arial"/>
                <w:color w:val="auto"/>
                <w:sz w:val="21"/>
                <w:highlight w:val="none"/>
              </w:rPr>
            </w:pPr>
          </w:p>
        </w:tc>
      </w:tr>
      <w:tr w14:paraId="49B33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06C26F23">
            <w:pPr>
              <w:pStyle w:val="17"/>
              <w:spacing w:before="119" w:line="220" w:lineRule="auto"/>
              <w:ind w:left="264"/>
              <w:rPr>
                <w:color w:val="auto"/>
                <w:sz w:val="24"/>
                <w:szCs w:val="24"/>
                <w:highlight w:val="none"/>
              </w:rPr>
            </w:pPr>
            <w:r>
              <w:rPr>
                <w:color w:val="auto"/>
                <w:spacing w:val="-2"/>
                <w:sz w:val="24"/>
                <w:szCs w:val="24"/>
                <w:highlight w:val="none"/>
              </w:rPr>
              <w:t>合同项目所在地</w:t>
            </w:r>
          </w:p>
        </w:tc>
        <w:tc>
          <w:tcPr>
            <w:tcW w:w="6569" w:type="dxa"/>
            <w:tcBorders>
              <w:right w:val="single" w:color="000000" w:sz="6" w:space="0"/>
            </w:tcBorders>
            <w:vAlign w:val="top"/>
          </w:tcPr>
          <w:p w14:paraId="5A6D2D5C">
            <w:pPr>
              <w:rPr>
                <w:rFonts w:ascii="Arial"/>
                <w:color w:val="auto"/>
                <w:sz w:val="21"/>
                <w:highlight w:val="none"/>
              </w:rPr>
            </w:pPr>
          </w:p>
        </w:tc>
      </w:tr>
      <w:tr w14:paraId="56B5F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1B10A692">
            <w:pPr>
              <w:pStyle w:val="17"/>
              <w:spacing w:before="119" w:line="220" w:lineRule="auto"/>
              <w:ind w:left="506"/>
              <w:rPr>
                <w:color w:val="auto"/>
                <w:sz w:val="24"/>
                <w:szCs w:val="24"/>
                <w:highlight w:val="none"/>
              </w:rPr>
            </w:pPr>
            <w:r>
              <w:rPr>
                <w:color w:val="auto"/>
                <w:spacing w:val="-3"/>
                <w:sz w:val="24"/>
                <w:szCs w:val="24"/>
                <w:highlight w:val="none"/>
              </w:rPr>
              <w:t>发包人名称</w:t>
            </w:r>
          </w:p>
        </w:tc>
        <w:tc>
          <w:tcPr>
            <w:tcW w:w="6569" w:type="dxa"/>
            <w:tcBorders>
              <w:right w:val="single" w:color="000000" w:sz="6" w:space="0"/>
            </w:tcBorders>
            <w:vAlign w:val="top"/>
          </w:tcPr>
          <w:p w14:paraId="2FB535AB">
            <w:pPr>
              <w:rPr>
                <w:rFonts w:ascii="Arial"/>
                <w:color w:val="auto"/>
                <w:sz w:val="21"/>
                <w:highlight w:val="none"/>
              </w:rPr>
            </w:pPr>
          </w:p>
        </w:tc>
      </w:tr>
      <w:tr w14:paraId="58CB7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9228C17">
            <w:pPr>
              <w:pStyle w:val="17"/>
              <w:spacing w:before="121" w:line="220" w:lineRule="auto"/>
              <w:ind w:left="506"/>
              <w:rPr>
                <w:color w:val="auto"/>
                <w:sz w:val="24"/>
                <w:szCs w:val="24"/>
                <w:highlight w:val="none"/>
              </w:rPr>
            </w:pPr>
            <w:r>
              <w:rPr>
                <w:color w:val="auto"/>
                <w:spacing w:val="-3"/>
                <w:sz w:val="24"/>
                <w:szCs w:val="24"/>
                <w:highlight w:val="none"/>
              </w:rPr>
              <w:t>发包人地址</w:t>
            </w:r>
          </w:p>
        </w:tc>
        <w:tc>
          <w:tcPr>
            <w:tcW w:w="6569" w:type="dxa"/>
            <w:tcBorders>
              <w:right w:val="single" w:color="000000" w:sz="6" w:space="0"/>
            </w:tcBorders>
            <w:vAlign w:val="top"/>
          </w:tcPr>
          <w:p w14:paraId="172384F7">
            <w:pPr>
              <w:rPr>
                <w:rFonts w:ascii="Arial"/>
                <w:color w:val="auto"/>
                <w:sz w:val="21"/>
                <w:highlight w:val="none"/>
              </w:rPr>
            </w:pPr>
          </w:p>
        </w:tc>
      </w:tr>
      <w:tr w14:paraId="69521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461CF61D">
            <w:pPr>
              <w:pStyle w:val="17"/>
              <w:spacing w:before="122" w:line="220" w:lineRule="auto"/>
              <w:ind w:left="506"/>
              <w:rPr>
                <w:color w:val="auto"/>
                <w:sz w:val="24"/>
                <w:szCs w:val="24"/>
                <w:highlight w:val="none"/>
              </w:rPr>
            </w:pPr>
            <w:r>
              <w:rPr>
                <w:color w:val="auto"/>
                <w:spacing w:val="-3"/>
                <w:sz w:val="24"/>
                <w:szCs w:val="24"/>
                <w:highlight w:val="none"/>
              </w:rPr>
              <w:t>发包人电话</w:t>
            </w:r>
          </w:p>
        </w:tc>
        <w:tc>
          <w:tcPr>
            <w:tcW w:w="6569" w:type="dxa"/>
            <w:tcBorders>
              <w:right w:val="single" w:color="000000" w:sz="6" w:space="0"/>
            </w:tcBorders>
            <w:vAlign w:val="top"/>
          </w:tcPr>
          <w:p w14:paraId="0EB821AF">
            <w:pPr>
              <w:rPr>
                <w:rFonts w:ascii="Arial"/>
                <w:color w:val="auto"/>
                <w:sz w:val="21"/>
                <w:highlight w:val="none"/>
              </w:rPr>
            </w:pPr>
          </w:p>
        </w:tc>
      </w:tr>
      <w:tr w14:paraId="607CE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382840AE">
            <w:pPr>
              <w:pStyle w:val="17"/>
              <w:spacing w:before="122" w:line="218" w:lineRule="auto"/>
              <w:ind w:left="503"/>
              <w:rPr>
                <w:color w:val="auto"/>
                <w:sz w:val="24"/>
                <w:szCs w:val="24"/>
                <w:highlight w:val="none"/>
              </w:rPr>
            </w:pPr>
            <w:r>
              <w:rPr>
                <w:color w:val="auto"/>
                <w:spacing w:val="-2"/>
                <w:sz w:val="24"/>
                <w:szCs w:val="24"/>
                <w:highlight w:val="none"/>
              </w:rPr>
              <w:t>签约合同价</w:t>
            </w:r>
          </w:p>
        </w:tc>
        <w:tc>
          <w:tcPr>
            <w:tcW w:w="6569" w:type="dxa"/>
            <w:tcBorders>
              <w:right w:val="single" w:color="000000" w:sz="6" w:space="0"/>
            </w:tcBorders>
            <w:vAlign w:val="top"/>
          </w:tcPr>
          <w:p w14:paraId="6EDE8F89">
            <w:pPr>
              <w:rPr>
                <w:rFonts w:ascii="Arial"/>
                <w:color w:val="auto"/>
                <w:sz w:val="21"/>
                <w:highlight w:val="none"/>
              </w:rPr>
            </w:pPr>
          </w:p>
        </w:tc>
      </w:tr>
      <w:tr w14:paraId="026FB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202137AC">
            <w:pPr>
              <w:pStyle w:val="17"/>
              <w:spacing w:before="124" w:line="220" w:lineRule="auto"/>
              <w:ind w:left="624"/>
              <w:rPr>
                <w:color w:val="auto"/>
                <w:sz w:val="24"/>
                <w:szCs w:val="24"/>
                <w:highlight w:val="none"/>
              </w:rPr>
            </w:pPr>
            <w:r>
              <w:rPr>
                <w:color w:val="auto"/>
                <w:spacing w:val="-2"/>
                <w:sz w:val="24"/>
                <w:szCs w:val="24"/>
                <w:highlight w:val="none"/>
              </w:rPr>
              <w:t>开工日期</w:t>
            </w:r>
          </w:p>
        </w:tc>
        <w:tc>
          <w:tcPr>
            <w:tcW w:w="6569" w:type="dxa"/>
            <w:tcBorders>
              <w:right w:val="single" w:color="000000" w:sz="6" w:space="0"/>
            </w:tcBorders>
            <w:vAlign w:val="top"/>
          </w:tcPr>
          <w:p w14:paraId="1823F90A">
            <w:pPr>
              <w:rPr>
                <w:rFonts w:ascii="Arial"/>
                <w:color w:val="auto"/>
                <w:sz w:val="21"/>
                <w:highlight w:val="none"/>
              </w:rPr>
            </w:pPr>
          </w:p>
        </w:tc>
      </w:tr>
      <w:tr w14:paraId="577F1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23A61E98">
            <w:pPr>
              <w:pStyle w:val="17"/>
              <w:spacing w:before="124" w:line="220" w:lineRule="auto"/>
              <w:ind w:left="383"/>
              <w:rPr>
                <w:color w:val="auto"/>
                <w:sz w:val="24"/>
                <w:szCs w:val="24"/>
                <w:highlight w:val="none"/>
              </w:rPr>
            </w:pPr>
            <w:r>
              <w:rPr>
                <w:color w:val="auto"/>
                <w:spacing w:val="-2"/>
                <w:sz w:val="24"/>
                <w:szCs w:val="24"/>
                <w:highlight w:val="none"/>
              </w:rPr>
              <w:t>计划完工日期</w:t>
            </w:r>
          </w:p>
        </w:tc>
        <w:tc>
          <w:tcPr>
            <w:tcW w:w="6569" w:type="dxa"/>
            <w:tcBorders>
              <w:right w:val="single" w:color="000000" w:sz="6" w:space="0"/>
            </w:tcBorders>
            <w:vAlign w:val="top"/>
          </w:tcPr>
          <w:p w14:paraId="498B752C">
            <w:pPr>
              <w:rPr>
                <w:rFonts w:ascii="Arial"/>
                <w:color w:val="auto"/>
                <w:sz w:val="21"/>
                <w:highlight w:val="none"/>
              </w:rPr>
            </w:pPr>
          </w:p>
        </w:tc>
      </w:tr>
      <w:tr w14:paraId="35A77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044AE0A7">
            <w:pPr>
              <w:pStyle w:val="17"/>
              <w:spacing w:before="124" w:line="220" w:lineRule="auto"/>
              <w:ind w:left="503"/>
              <w:rPr>
                <w:color w:val="auto"/>
                <w:sz w:val="24"/>
                <w:szCs w:val="24"/>
                <w:highlight w:val="none"/>
              </w:rPr>
            </w:pPr>
            <w:r>
              <w:rPr>
                <w:color w:val="auto"/>
                <w:spacing w:val="-2"/>
                <w:sz w:val="24"/>
                <w:szCs w:val="24"/>
                <w:highlight w:val="none"/>
              </w:rPr>
              <w:t>承担的工作</w:t>
            </w:r>
          </w:p>
        </w:tc>
        <w:tc>
          <w:tcPr>
            <w:tcW w:w="6569" w:type="dxa"/>
            <w:tcBorders>
              <w:right w:val="single" w:color="000000" w:sz="6" w:space="0"/>
            </w:tcBorders>
            <w:vAlign w:val="top"/>
          </w:tcPr>
          <w:p w14:paraId="33647546">
            <w:pPr>
              <w:rPr>
                <w:rFonts w:ascii="Arial"/>
                <w:color w:val="auto"/>
                <w:sz w:val="21"/>
                <w:highlight w:val="none"/>
              </w:rPr>
            </w:pPr>
          </w:p>
        </w:tc>
      </w:tr>
      <w:tr w14:paraId="764DD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310AF1B5">
            <w:pPr>
              <w:pStyle w:val="17"/>
              <w:spacing w:before="126" w:line="220" w:lineRule="auto"/>
              <w:ind w:left="626"/>
              <w:rPr>
                <w:color w:val="auto"/>
                <w:sz w:val="24"/>
                <w:szCs w:val="24"/>
                <w:highlight w:val="none"/>
              </w:rPr>
            </w:pPr>
            <w:r>
              <w:rPr>
                <w:color w:val="auto"/>
                <w:spacing w:val="-3"/>
                <w:sz w:val="24"/>
                <w:szCs w:val="24"/>
                <w:highlight w:val="none"/>
              </w:rPr>
              <w:t>工程质量</w:t>
            </w:r>
          </w:p>
        </w:tc>
        <w:tc>
          <w:tcPr>
            <w:tcW w:w="6569" w:type="dxa"/>
            <w:tcBorders>
              <w:right w:val="single" w:color="000000" w:sz="6" w:space="0"/>
            </w:tcBorders>
            <w:vAlign w:val="top"/>
          </w:tcPr>
          <w:p w14:paraId="688E7407">
            <w:pPr>
              <w:rPr>
                <w:rFonts w:ascii="Arial"/>
                <w:color w:val="auto"/>
                <w:sz w:val="21"/>
                <w:highlight w:val="none"/>
              </w:rPr>
            </w:pPr>
          </w:p>
        </w:tc>
      </w:tr>
      <w:tr w14:paraId="34C4C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401BA97D">
            <w:pPr>
              <w:pStyle w:val="17"/>
              <w:spacing w:before="126" w:line="220" w:lineRule="auto"/>
              <w:ind w:left="506"/>
              <w:rPr>
                <w:color w:val="auto"/>
                <w:sz w:val="24"/>
                <w:szCs w:val="24"/>
                <w:highlight w:val="none"/>
              </w:rPr>
            </w:pPr>
            <w:r>
              <w:rPr>
                <w:color w:val="auto"/>
                <w:spacing w:val="-3"/>
                <w:sz w:val="24"/>
                <w:szCs w:val="24"/>
                <w:highlight w:val="none"/>
              </w:rPr>
              <w:t>项目负责人</w:t>
            </w:r>
          </w:p>
        </w:tc>
        <w:tc>
          <w:tcPr>
            <w:tcW w:w="6569" w:type="dxa"/>
            <w:tcBorders>
              <w:right w:val="single" w:color="000000" w:sz="6" w:space="0"/>
            </w:tcBorders>
            <w:vAlign w:val="top"/>
          </w:tcPr>
          <w:p w14:paraId="583FA860">
            <w:pPr>
              <w:rPr>
                <w:rFonts w:ascii="Arial"/>
                <w:color w:val="auto"/>
                <w:sz w:val="21"/>
                <w:highlight w:val="none"/>
              </w:rPr>
            </w:pPr>
          </w:p>
        </w:tc>
      </w:tr>
      <w:tr w14:paraId="40216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6C83808A">
            <w:pPr>
              <w:pStyle w:val="17"/>
              <w:spacing w:before="126" w:line="220" w:lineRule="auto"/>
              <w:ind w:left="504"/>
              <w:rPr>
                <w:color w:val="auto"/>
                <w:sz w:val="24"/>
                <w:szCs w:val="24"/>
                <w:highlight w:val="none"/>
              </w:rPr>
            </w:pPr>
            <w:r>
              <w:rPr>
                <w:color w:val="auto"/>
                <w:spacing w:val="-2"/>
                <w:sz w:val="24"/>
                <w:szCs w:val="24"/>
                <w:highlight w:val="none"/>
              </w:rPr>
              <w:t>技术负责人</w:t>
            </w:r>
          </w:p>
        </w:tc>
        <w:tc>
          <w:tcPr>
            <w:tcW w:w="6569" w:type="dxa"/>
            <w:tcBorders>
              <w:right w:val="single" w:color="000000" w:sz="6" w:space="0"/>
            </w:tcBorders>
            <w:vAlign w:val="top"/>
          </w:tcPr>
          <w:p w14:paraId="17913094">
            <w:pPr>
              <w:rPr>
                <w:rFonts w:ascii="Arial"/>
                <w:color w:val="auto"/>
                <w:sz w:val="21"/>
                <w:highlight w:val="none"/>
              </w:rPr>
            </w:pPr>
          </w:p>
        </w:tc>
      </w:tr>
      <w:tr w14:paraId="447DA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55BE1424">
            <w:pPr>
              <w:pStyle w:val="17"/>
              <w:spacing w:before="127" w:line="220" w:lineRule="auto"/>
              <w:ind w:left="387"/>
              <w:rPr>
                <w:color w:val="auto"/>
                <w:sz w:val="24"/>
                <w:szCs w:val="24"/>
                <w:highlight w:val="none"/>
              </w:rPr>
            </w:pPr>
            <w:r>
              <w:rPr>
                <w:color w:val="auto"/>
                <w:spacing w:val="-2"/>
                <w:sz w:val="24"/>
                <w:szCs w:val="24"/>
                <w:highlight w:val="none"/>
              </w:rPr>
              <w:t>副项目负责人</w:t>
            </w:r>
          </w:p>
        </w:tc>
        <w:tc>
          <w:tcPr>
            <w:tcW w:w="6569" w:type="dxa"/>
            <w:tcBorders>
              <w:right w:val="single" w:color="000000" w:sz="6" w:space="0"/>
            </w:tcBorders>
            <w:vAlign w:val="top"/>
          </w:tcPr>
          <w:p w14:paraId="159028BE">
            <w:pPr>
              <w:rPr>
                <w:rFonts w:ascii="Arial"/>
                <w:color w:val="auto"/>
                <w:sz w:val="21"/>
                <w:highlight w:val="none"/>
              </w:rPr>
            </w:pPr>
          </w:p>
        </w:tc>
      </w:tr>
      <w:tr w14:paraId="55DE6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2207" w:type="dxa"/>
            <w:tcBorders>
              <w:left w:val="single" w:color="000000" w:sz="6" w:space="0"/>
            </w:tcBorders>
            <w:vAlign w:val="top"/>
          </w:tcPr>
          <w:p w14:paraId="09419F87">
            <w:pPr>
              <w:pStyle w:val="17"/>
              <w:spacing w:before="48" w:line="338" w:lineRule="auto"/>
              <w:ind w:left="382" w:right="143" w:hanging="238"/>
              <w:rPr>
                <w:color w:val="auto"/>
                <w:sz w:val="24"/>
                <w:szCs w:val="24"/>
                <w:highlight w:val="none"/>
              </w:rPr>
            </w:pPr>
            <w:r>
              <w:rPr>
                <w:color w:val="auto"/>
                <w:spacing w:val="-2"/>
                <w:sz w:val="24"/>
                <w:szCs w:val="24"/>
                <w:highlight w:val="none"/>
              </w:rPr>
              <w:t>监理人和总监理工程师以及电话</w:t>
            </w:r>
          </w:p>
        </w:tc>
        <w:tc>
          <w:tcPr>
            <w:tcW w:w="6569" w:type="dxa"/>
            <w:tcBorders>
              <w:right w:val="single" w:color="000000" w:sz="6" w:space="0"/>
            </w:tcBorders>
            <w:vAlign w:val="top"/>
          </w:tcPr>
          <w:p w14:paraId="78D5DC2B">
            <w:pPr>
              <w:rPr>
                <w:rFonts w:ascii="Arial"/>
                <w:color w:val="auto"/>
                <w:sz w:val="21"/>
                <w:highlight w:val="none"/>
              </w:rPr>
            </w:pPr>
          </w:p>
        </w:tc>
      </w:tr>
      <w:tr w14:paraId="415F3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6" w:hRule="atLeast"/>
        </w:trPr>
        <w:tc>
          <w:tcPr>
            <w:tcW w:w="2207" w:type="dxa"/>
            <w:tcBorders>
              <w:left w:val="single" w:color="000000" w:sz="6" w:space="0"/>
            </w:tcBorders>
            <w:vAlign w:val="top"/>
          </w:tcPr>
          <w:p w14:paraId="4084186B">
            <w:pPr>
              <w:spacing w:line="355" w:lineRule="auto"/>
              <w:rPr>
                <w:rFonts w:ascii="Arial"/>
                <w:color w:val="auto"/>
                <w:sz w:val="21"/>
                <w:highlight w:val="none"/>
              </w:rPr>
            </w:pPr>
          </w:p>
          <w:p w14:paraId="609B7E7E">
            <w:pPr>
              <w:spacing w:line="355" w:lineRule="auto"/>
              <w:rPr>
                <w:rFonts w:ascii="Arial"/>
                <w:color w:val="auto"/>
                <w:sz w:val="21"/>
                <w:highlight w:val="none"/>
              </w:rPr>
            </w:pPr>
          </w:p>
          <w:p w14:paraId="5AC0B865">
            <w:pPr>
              <w:pStyle w:val="17"/>
              <w:spacing w:before="78" w:line="220" w:lineRule="auto"/>
              <w:ind w:left="626"/>
              <w:rPr>
                <w:color w:val="auto"/>
                <w:sz w:val="24"/>
                <w:szCs w:val="24"/>
                <w:highlight w:val="none"/>
              </w:rPr>
            </w:pPr>
            <w:r>
              <w:rPr>
                <w:color w:val="auto"/>
                <w:spacing w:val="-3"/>
                <w:sz w:val="24"/>
                <w:szCs w:val="24"/>
                <w:highlight w:val="none"/>
              </w:rPr>
              <w:t>项目描述</w:t>
            </w:r>
          </w:p>
        </w:tc>
        <w:tc>
          <w:tcPr>
            <w:tcW w:w="6569" w:type="dxa"/>
            <w:tcBorders>
              <w:right w:val="single" w:color="000000" w:sz="6" w:space="0"/>
            </w:tcBorders>
            <w:vAlign w:val="top"/>
          </w:tcPr>
          <w:p w14:paraId="7C0CA6DA">
            <w:pPr>
              <w:rPr>
                <w:rFonts w:ascii="Arial"/>
                <w:color w:val="auto"/>
                <w:sz w:val="21"/>
                <w:highlight w:val="none"/>
              </w:rPr>
            </w:pPr>
          </w:p>
        </w:tc>
      </w:tr>
      <w:tr w14:paraId="7322E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2207" w:type="dxa"/>
            <w:tcBorders>
              <w:left w:val="single" w:color="000000" w:sz="6" w:space="0"/>
              <w:bottom w:val="single" w:color="000000" w:sz="6" w:space="0"/>
            </w:tcBorders>
            <w:vAlign w:val="top"/>
          </w:tcPr>
          <w:p w14:paraId="6E438467">
            <w:pPr>
              <w:spacing w:line="254" w:lineRule="auto"/>
              <w:rPr>
                <w:rFonts w:ascii="Arial"/>
                <w:color w:val="auto"/>
                <w:sz w:val="21"/>
                <w:highlight w:val="none"/>
              </w:rPr>
            </w:pPr>
          </w:p>
          <w:p w14:paraId="2364592B">
            <w:pPr>
              <w:pStyle w:val="17"/>
              <w:spacing w:before="78" w:line="221" w:lineRule="auto"/>
              <w:ind w:left="866"/>
              <w:rPr>
                <w:color w:val="auto"/>
                <w:sz w:val="24"/>
                <w:szCs w:val="24"/>
                <w:highlight w:val="none"/>
              </w:rPr>
            </w:pPr>
            <w:r>
              <w:rPr>
                <w:color w:val="auto"/>
                <w:spacing w:val="-4"/>
                <w:sz w:val="24"/>
                <w:szCs w:val="24"/>
                <w:highlight w:val="none"/>
              </w:rPr>
              <w:t>备注</w:t>
            </w:r>
          </w:p>
        </w:tc>
        <w:tc>
          <w:tcPr>
            <w:tcW w:w="6569" w:type="dxa"/>
            <w:tcBorders>
              <w:bottom w:val="single" w:color="000000" w:sz="6" w:space="0"/>
              <w:right w:val="single" w:color="000000" w:sz="6" w:space="0"/>
            </w:tcBorders>
            <w:vAlign w:val="top"/>
          </w:tcPr>
          <w:p w14:paraId="5AACA495">
            <w:pPr>
              <w:pStyle w:val="17"/>
              <w:spacing w:before="99" w:line="361" w:lineRule="auto"/>
              <w:ind w:left="108" w:right="118" w:firstLine="3"/>
              <w:rPr>
                <w:color w:val="auto"/>
                <w:sz w:val="24"/>
                <w:szCs w:val="24"/>
                <w:highlight w:val="none"/>
              </w:rPr>
            </w:pPr>
            <w:r>
              <w:rPr>
                <w:color w:val="auto"/>
                <w:spacing w:val="-6"/>
                <w:sz w:val="24"/>
                <w:szCs w:val="24"/>
                <w:highlight w:val="none"/>
              </w:rPr>
              <w:t>项目描述内容至少包括项目概况、本合同在项目中的地位（部</w:t>
            </w:r>
            <w:r>
              <w:rPr>
                <w:color w:val="auto"/>
                <w:spacing w:val="-4"/>
                <w:sz w:val="24"/>
                <w:szCs w:val="24"/>
                <w:highlight w:val="none"/>
              </w:rPr>
              <w:t>位、合同价格所占比例）。</w:t>
            </w:r>
          </w:p>
        </w:tc>
      </w:tr>
    </w:tbl>
    <w:p w14:paraId="77DB877F">
      <w:pPr>
        <w:spacing w:before="35" w:line="219" w:lineRule="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注：相关材料复制件在“原件的复制件”中提供。</w:t>
      </w:r>
    </w:p>
    <w:p w14:paraId="6F2F55A6">
      <w:pPr>
        <w:spacing w:line="219" w:lineRule="auto"/>
        <w:rPr>
          <w:rFonts w:ascii="宋体" w:hAnsi="宋体" w:eastAsia="宋体" w:cs="宋体"/>
          <w:color w:val="auto"/>
          <w:sz w:val="24"/>
          <w:szCs w:val="24"/>
          <w:highlight w:val="none"/>
        </w:rPr>
        <w:sectPr>
          <w:footerReference r:id="rId131" w:type="default"/>
          <w:pgSz w:w="11907" w:h="16841"/>
          <w:pgMar w:top="400" w:right="1418" w:bottom="1254" w:left="1598" w:header="0" w:footer="1093" w:gutter="0"/>
          <w:pgNumType w:fmt="decimal"/>
          <w:cols w:space="720" w:num="1"/>
        </w:sectPr>
      </w:pPr>
    </w:p>
    <w:p w14:paraId="589A3AC2">
      <w:pPr>
        <w:pStyle w:val="3"/>
        <w:spacing w:line="247" w:lineRule="auto"/>
        <w:rPr>
          <w:color w:val="auto"/>
          <w:highlight w:val="none"/>
        </w:rPr>
      </w:pPr>
    </w:p>
    <w:p w14:paraId="6215A548">
      <w:pPr>
        <w:pStyle w:val="3"/>
        <w:spacing w:line="248" w:lineRule="auto"/>
        <w:rPr>
          <w:color w:val="auto"/>
          <w:highlight w:val="none"/>
        </w:rPr>
      </w:pPr>
    </w:p>
    <w:p w14:paraId="67E0E701">
      <w:pPr>
        <w:pStyle w:val="3"/>
        <w:spacing w:line="248" w:lineRule="auto"/>
        <w:rPr>
          <w:color w:val="auto"/>
          <w:highlight w:val="none"/>
        </w:rPr>
      </w:pPr>
    </w:p>
    <w:p w14:paraId="5A771B3C">
      <w:pPr>
        <w:pStyle w:val="3"/>
        <w:spacing w:line="248" w:lineRule="auto"/>
        <w:rPr>
          <w:color w:val="auto"/>
          <w:highlight w:val="none"/>
        </w:rPr>
      </w:pPr>
    </w:p>
    <w:p w14:paraId="1C7A2050">
      <w:pPr>
        <w:spacing w:before="78" w:line="220" w:lineRule="auto"/>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（五）原件的复制件</w:t>
      </w:r>
    </w:p>
    <w:p w14:paraId="0804D2AD">
      <w:pPr>
        <w:spacing w:before="182" w:line="219" w:lineRule="auto"/>
        <w:ind w:left="492"/>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详见投标人须知前附表第</w:t>
      </w:r>
      <w:r>
        <w:rPr>
          <w:rFonts w:ascii="Times New Roman" w:hAnsi="Times New Roman" w:eastAsia="Times New Roman" w:cs="Times New Roman"/>
          <w:color w:val="auto"/>
          <w:spacing w:val="-3"/>
          <w:sz w:val="24"/>
          <w:szCs w:val="24"/>
          <w:highlight w:val="none"/>
        </w:rPr>
        <w:t>10.3</w:t>
      </w:r>
      <w:r>
        <w:rPr>
          <w:rFonts w:ascii="宋体" w:hAnsi="宋体" w:eastAsia="宋体" w:cs="宋体"/>
          <w:color w:val="auto"/>
          <w:spacing w:val="-3"/>
          <w:sz w:val="24"/>
          <w:szCs w:val="24"/>
          <w:highlight w:val="none"/>
        </w:rPr>
        <w:t>款规定。</w:t>
      </w:r>
    </w:p>
    <w:p w14:paraId="4C065CE6">
      <w:pPr>
        <w:spacing w:before="180" w:line="220" w:lineRule="auto"/>
        <w:ind w:left="469"/>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投标人须将上述原件的复制件及其他认为必须的复制件制作在投标文件中。</w:t>
      </w:r>
    </w:p>
    <w:p w14:paraId="36171821">
      <w:pPr>
        <w:spacing w:line="220" w:lineRule="auto"/>
        <w:rPr>
          <w:rFonts w:ascii="宋体" w:hAnsi="宋体" w:eastAsia="宋体" w:cs="宋体"/>
          <w:color w:val="auto"/>
          <w:sz w:val="24"/>
          <w:szCs w:val="24"/>
          <w:highlight w:val="none"/>
        </w:rPr>
        <w:sectPr>
          <w:footerReference r:id="rId132" w:type="default"/>
          <w:pgSz w:w="11907" w:h="16841"/>
          <w:pgMar w:top="400" w:right="1527" w:bottom="1254" w:left="1604" w:header="0" w:footer="1093" w:gutter="0"/>
          <w:pgNumType w:fmt="decimal"/>
          <w:cols w:space="720" w:num="1"/>
        </w:sectPr>
      </w:pPr>
    </w:p>
    <w:p w14:paraId="61C2D477">
      <w:pPr>
        <w:pStyle w:val="3"/>
        <w:spacing w:line="247" w:lineRule="auto"/>
        <w:rPr>
          <w:color w:val="auto"/>
          <w:highlight w:val="none"/>
        </w:rPr>
      </w:pPr>
    </w:p>
    <w:p w14:paraId="0070683E">
      <w:pPr>
        <w:pStyle w:val="3"/>
        <w:spacing w:line="248" w:lineRule="auto"/>
        <w:rPr>
          <w:color w:val="auto"/>
          <w:highlight w:val="none"/>
        </w:rPr>
      </w:pPr>
    </w:p>
    <w:p w14:paraId="68C23BEB">
      <w:pPr>
        <w:pStyle w:val="3"/>
        <w:spacing w:line="248" w:lineRule="auto"/>
        <w:rPr>
          <w:color w:val="auto"/>
          <w:highlight w:val="none"/>
        </w:rPr>
      </w:pPr>
    </w:p>
    <w:p w14:paraId="76AAF7A2">
      <w:pPr>
        <w:pStyle w:val="3"/>
        <w:spacing w:line="248" w:lineRule="auto"/>
        <w:rPr>
          <w:color w:val="auto"/>
          <w:highlight w:val="none"/>
        </w:rPr>
      </w:pPr>
    </w:p>
    <w:p w14:paraId="2E15EFC4">
      <w:pPr>
        <w:spacing w:before="78" w:line="220" w:lineRule="auto"/>
        <w:ind w:left="301"/>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 xml:space="preserve">1.  </w:t>
      </w:r>
      <w:r>
        <w:rPr>
          <w:rFonts w:ascii="宋体" w:hAnsi="宋体" w:eastAsia="宋体" w:cs="宋体"/>
          <w:b/>
          <w:bCs/>
          <w:color w:val="auto"/>
          <w:spacing w:val="-3"/>
          <w:sz w:val="24"/>
          <w:szCs w:val="24"/>
          <w:highlight w:val="none"/>
        </w:rPr>
        <w:t>企业法人营业执照</w:t>
      </w:r>
    </w:p>
    <w:p w14:paraId="298F66E2">
      <w:pPr>
        <w:spacing w:line="220" w:lineRule="auto"/>
        <w:rPr>
          <w:rFonts w:ascii="宋体" w:hAnsi="宋体" w:eastAsia="宋体" w:cs="宋体"/>
          <w:color w:val="auto"/>
          <w:sz w:val="24"/>
          <w:szCs w:val="24"/>
          <w:highlight w:val="none"/>
        </w:rPr>
        <w:sectPr>
          <w:footerReference r:id="rId133" w:type="default"/>
          <w:pgSz w:w="11907" w:h="16841"/>
          <w:pgMar w:top="400" w:right="1527" w:bottom="1254" w:left="1785" w:header="0" w:footer="1093" w:gutter="0"/>
          <w:pgNumType w:fmt="decimal"/>
          <w:cols w:space="720" w:num="1"/>
        </w:sectPr>
      </w:pPr>
    </w:p>
    <w:p w14:paraId="00F15839">
      <w:pPr>
        <w:pStyle w:val="3"/>
        <w:spacing w:line="247" w:lineRule="auto"/>
        <w:rPr>
          <w:color w:val="auto"/>
          <w:highlight w:val="none"/>
        </w:rPr>
      </w:pPr>
    </w:p>
    <w:p w14:paraId="12E3F46F">
      <w:pPr>
        <w:pStyle w:val="3"/>
        <w:spacing w:line="248" w:lineRule="auto"/>
        <w:rPr>
          <w:color w:val="auto"/>
          <w:highlight w:val="none"/>
        </w:rPr>
      </w:pPr>
    </w:p>
    <w:p w14:paraId="4E88ADD2">
      <w:pPr>
        <w:pStyle w:val="3"/>
        <w:spacing w:line="248" w:lineRule="auto"/>
        <w:rPr>
          <w:color w:val="auto"/>
          <w:highlight w:val="none"/>
        </w:rPr>
      </w:pPr>
    </w:p>
    <w:p w14:paraId="2A023A31">
      <w:pPr>
        <w:pStyle w:val="3"/>
        <w:spacing w:line="248" w:lineRule="auto"/>
        <w:rPr>
          <w:color w:val="auto"/>
          <w:highlight w:val="none"/>
        </w:rPr>
      </w:pPr>
    </w:p>
    <w:p w14:paraId="02F43090">
      <w:pPr>
        <w:spacing w:before="78" w:line="219" w:lineRule="auto"/>
        <w:ind w:left="290"/>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2.  </w:t>
      </w:r>
      <w:r>
        <w:rPr>
          <w:rFonts w:ascii="宋体" w:hAnsi="宋体" w:eastAsia="宋体" w:cs="宋体"/>
          <w:b/>
          <w:bCs/>
          <w:color w:val="auto"/>
          <w:spacing w:val="-2"/>
          <w:sz w:val="24"/>
          <w:szCs w:val="24"/>
          <w:highlight w:val="none"/>
        </w:rPr>
        <w:t>建筑业企业资质证书</w:t>
      </w:r>
    </w:p>
    <w:p w14:paraId="498BE40B">
      <w:pPr>
        <w:spacing w:line="219" w:lineRule="auto"/>
        <w:rPr>
          <w:rFonts w:ascii="宋体" w:hAnsi="宋体" w:eastAsia="宋体" w:cs="宋体"/>
          <w:color w:val="auto"/>
          <w:sz w:val="24"/>
          <w:szCs w:val="24"/>
          <w:highlight w:val="none"/>
        </w:rPr>
        <w:sectPr>
          <w:footerReference r:id="rId134" w:type="default"/>
          <w:pgSz w:w="11907" w:h="16841"/>
          <w:pgMar w:top="400" w:right="1527" w:bottom="1254" w:left="1785" w:header="0" w:footer="1093" w:gutter="0"/>
          <w:pgNumType w:fmt="decimal"/>
          <w:cols w:space="720" w:num="1"/>
        </w:sectPr>
      </w:pPr>
    </w:p>
    <w:p w14:paraId="1CA257DE">
      <w:pPr>
        <w:pStyle w:val="3"/>
        <w:spacing w:line="247" w:lineRule="auto"/>
        <w:rPr>
          <w:color w:val="auto"/>
          <w:highlight w:val="none"/>
        </w:rPr>
      </w:pPr>
    </w:p>
    <w:p w14:paraId="0270DF16">
      <w:pPr>
        <w:pStyle w:val="3"/>
        <w:spacing w:line="248" w:lineRule="auto"/>
        <w:rPr>
          <w:color w:val="auto"/>
          <w:highlight w:val="none"/>
        </w:rPr>
      </w:pPr>
    </w:p>
    <w:p w14:paraId="03673D55">
      <w:pPr>
        <w:pStyle w:val="3"/>
        <w:spacing w:line="248" w:lineRule="auto"/>
        <w:rPr>
          <w:color w:val="auto"/>
          <w:highlight w:val="none"/>
        </w:rPr>
      </w:pPr>
    </w:p>
    <w:p w14:paraId="6F4AFA63">
      <w:pPr>
        <w:pStyle w:val="3"/>
        <w:spacing w:line="248" w:lineRule="auto"/>
        <w:rPr>
          <w:color w:val="auto"/>
          <w:highlight w:val="none"/>
        </w:rPr>
      </w:pPr>
    </w:p>
    <w:p w14:paraId="03008870">
      <w:pPr>
        <w:spacing w:before="78" w:line="220" w:lineRule="auto"/>
        <w:ind w:left="289"/>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3.  </w:t>
      </w:r>
      <w:r>
        <w:rPr>
          <w:rFonts w:ascii="宋体" w:hAnsi="宋体" w:eastAsia="宋体" w:cs="宋体"/>
          <w:b/>
          <w:bCs/>
          <w:color w:val="auto"/>
          <w:spacing w:val="-2"/>
          <w:sz w:val="24"/>
          <w:szCs w:val="24"/>
          <w:highlight w:val="none"/>
        </w:rPr>
        <w:t>企业安全生产许可证</w:t>
      </w:r>
    </w:p>
    <w:p w14:paraId="7EFAC4AF">
      <w:pPr>
        <w:spacing w:line="220" w:lineRule="auto"/>
        <w:rPr>
          <w:rFonts w:ascii="宋体" w:hAnsi="宋体" w:eastAsia="宋体" w:cs="宋体"/>
          <w:color w:val="auto"/>
          <w:sz w:val="24"/>
          <w:szCs w:val="24"/>
          <w:highlight w:val="none"/>
        </w:rPr>
        <w:sectPr>
          <w:footerReference r:id="rId135" w:type="default"/>
          <w:pgSz w:w="11907" w:h="16841"/>
          <w:pgMar w:top="400" w:right="1527" w:bottom="1254" w:left="1785" w:header="0" w:footer="1093" w:gutter="0"/>
          <w:pgNumType w:fmt="decimal"/>
          <w:cols w:space="720" w:num="1"/>
        </w:sectPr>
      </w:pPr>
    </w:p>
    <w:p w14:paraId="7A707FBA">
      <w:pPr>
        <w:pStyle w:val="3"/>
        <w:spacing w:line="247" w:lineRule="auto"/>
        <w:rPr>
          <w:color w:val="auto"/>
          <w:highlight w:val="none"/>
        </w:rPr>
      </w:pPr>
    </w:p>
    <w:p w14:paraId="3863B27C">
      <w:pPr>
        <w:pStyle w:val="3"/>
        <w:spacing w:line="248" w:lineRule="auto"/>
        <w:rPr>
          <w:color w:val="auto"/>
          <w:highlight w:val="none"/>
        </w:rPr>
      </w:pPr>
    </w:p>
    <w:p w14:paraId="5E444448">
      <w:pPr>
        <w:pStyle w:val="3"/>
        <w:spacing w:line="248" w:lineRule="auto"/>
        <w:rPr>
          <w:color w:val="auto"/>
          <w:highlight w:val="none"/>
        </w:rPr>
      </w:pPr>
    </w:p>
    <w:p w14:paraId="42865405">
      <w:pPr>
        <w:pStyle w:val="3"/>
        <w:spacing w:line="248" w:lineRule="auto"/>
        <w:rPr>
          <w:color w:val="auto"/>
          <w:highlight w:val="none"/>
        </w:rPr>
      </w:pPr>
    </w:p>
    <w:p w14:paraId="53C48EAD">
      <w:pPr>
        <w:spacing w:before="78" w:line="219" w:lineRule="auto"/>
        <w:ind w:left="291"/>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4.  </w:t>
      </w:r>
      <w:r>
        <w:rPr>
          <w:rFonts w:ascii="宋体" w:hAnsi="宋体" w:eastAsia="宋体" w:cs="宋体"/>
          <w:b/>
          <w:bCs/>
          <w:color w:val="auto"/>
          <w:spacing w:val="-2"/>
          <w:sz w:val="24"/>
          <w:szCs w:val="24"/>
          <w:highlight w:val="none"/>
        </w:rPr>
        <w:t>企业主要负责人</w:t>
      </w:r>
      <w:r>
        <w:rPr>
          <w:rFonts w:ascii="Times New Roman" w:hAnsi="Times New Roman" w:eastAsia="Times New Roman" w:cs="Times New Roman"/>
          <w:b/>
          <w:bCs/>
          <w:color w:val="auto"/>
          <w:spacing w:val="-2"/>
          <w:sz w:val="24"/>
          <w:szCs w:val="24"/>
          <w:highlight w:val="none"/>
        </w:rPr>
        <w:t>“</w:t>
      </w:r>
      <w:r>
        <w:rPr>
          <w:rFonts w:ascii="宋体" w:hAnsi="宋体" w:eastAsia="宋体" w:cs="宋体"/>
          <w:b/>
          <w:bCs/>
          <w:color w:val="auto"/>
          <w:spacing w:val="-2"/>
          <w:sz w:val="24"/>
          <w:szCs w:val="24"/>
          <w:highlight w:val="none"/>
        </w:rPr>
        <w:t>三类人员</w:t>
      </w:r>
      <w:r>
        <w:rPr>
          <w:rFonts w:ascii="Times New Roman" w:hAnsi="Times New Roman" w:eastAsia="Times New Roman" w:cs="Times New Roman"/>
          <w:b/>
          <w:bCs/>
          <w:color w:val="auto"/>
          <w:spacing w:val="-2"/>
          <w:sz w:val="24"/>
          <w:szCs w:val="24"/>
          <w:highlight w:val="none"/>
        </w:rPr>
        <w:t>”A</w:t>
      </w:r>
      <w:r>
        <w:rPr>
          <w:rFonts w:ascii="宋体" w:hAnsi="宋体" w:eastAsia="宋体" w:cs="宋体"/>
          <w:b/>
          <w:bCs/>
          <w:color w:val="auto"/>
          <w:spacing w:val="-2"/>
          <w:sz w:val="24"/>
          <w:szCs w:val="24"/>
          <w:highlight w:val="none"/>
        </w:rPr>
        <w:t>类证书及任命书</w:t>
      </w:r>
    </w:p>
    <w:p w14:paraId="36AE3344">
      <w:pPr>
        <w:spacing w:line="219" w:lineRule="auto"/>
        <w:rPr>
          <w:rFonts w:ascii="宋体" w:hAnsi="宋体" w:eastAsia="宋体" w:cs="宋体"/>
          <w:color w:val="auto"/>
          <w:sz w:val="24"/>
          <w:szCs w:val="24"/>
          <w:highlight w:val="none"/>
        </w:rPr>
        <w:sectPr>
          <w:footerReference r:id="rId136" w:type="default"/>
          <w:pgSz w:w="11907" w:h="16841"/>
          <w:pgMar w:top="400" w:right="1527" w:bottom="1254" w:left="1785" w:header="0" w:footer="1093" w:gutter="0"/>
          <w:pgNumType w:fmt="decimal"/>
          <w:cols w:space="720" w:num="1"/>
        </w:sectPr>
      </w:pPr>
    </w:p>
    <w:p w14:paraId="559EE35D">
      <w:pPr>
        <w:pStyle w:val="3"/>
        <w:spacing w:line="247" w:lineRule="auto"/>
        <w:rPr>
          <w:color w:val="auto"/>
          <w:highlight w:val="none"/>
        </w:rPr>
      </w:pPr>
    </w:p>
    <w:p w14:paraId="4CE9B1C2">
      <w:pPr>
        <w:pStyle w:val="3"/>
        <w:spacing w:line="248" w:lineRule="auto"/>
        <w:rPr>
          <w:color w:val="auto"/>
          <w:highlight w:val="none"/>
        </w:rPr>
      </w:pPr>
    </w:p>
    <w:p w14:paraId="200B68FB">
      <w:pPr>
        <w:pStyle w:val="3"/>
        <w:spacing w:line="248" w:lineRule="auto"/>
        <w:rPr>
          <w:color w:val="auto"/>
          <w:highlight w:val="none"/>
        </w:rPr>
      </w:pPr>
    </w:p>
    <w:p w14:paraId="3D6ED5ED">
      <w:pPr>
        <w:pStyle w:val="3"/>
        <w:spacing w:line="248" w:lineRule="auto"/>
        <w:rPr>
          <w:color w:val="auto"/>
          <w:highlight w:val="none"/>
        </w:rPr>
      </w:pPr>
    </w:p>
    <w:p w14:paraId="4CDA1859">
      <w:pPr>
        <w:spacing w:before="78" w:line="219" w:lineRule="auto"/>
        <w:ind w:left="293"/>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5.  </w:t>
      </w:r>
      <w:r>
        <w:rPr>
          <w:rFonts w:ascii="宋体" w:hAnsi="宋体" w:eastAsia="宋体" w:cs="宋体"/>
          <w:b/>
          <w:bCs/>
          <w:color w:val="auto"/>
          <w:spacing w:val="-2"/>
          <w:sz w:val="24"/>
          <w:szCs w:val="24"/>
          <w:highlight w:val="none"/>
        </w:rPr>
        <w:t>拟派项目负责人</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技术负责人</w:t>
      </w:r>
      <w:r>
        <w:rPr>
          <w:rFonts w:ascii="宋体" w:hAnsi="宋体" w:eastAsia="宋体" w:cs="宋体"/>
          <w:b/>
          <w:bCs/>
          <w:color w:val="auto"/>
          <w:spacing w:val="-2"/>
          <w:sz w:val="24"/>
          <w:szCs w:val="24"/>
          <w:highlight w:val="none"/>
        </w:rPr>
        <w:t>注册执业证书</w:t>
      </w:r>
    </w:p>
    <w:p w14:paraId="00D0CB81">
      <w:pPr>
        <w:spacing w:line="219" w:lineRule="auto"/>
        <w:rPr>
          <w:rFonts w:ascii="宋体" w:hAnsi="宋体" w:eastAsia="宋体" w:cs="宋体"/>
          <w:color w:val="auto"/>
          <w:sz w:val="24"/>
          <w:szCs w:val="24"/>
          <w:highlight w:val="none"/>
        </w:rPr>
        <w:sectPr>
          <w:footerReference r:id="rId137" w:type="default"/>
          <w:pgSz w:w="11907" w:h="16841"/>
          <w:pgMar w:top="400" w:right="1527" w:bottom="1254" w:left="1785" w:header="0" w:footer="1093" w:gutter="0"/>
          <w:pgNumType w:fmt="decimal"/>
          <w:cols w:space="720" w:num="1"/>
        </w:sectPr>
      </w:pPr>
    </w:p>
    <w:p w14:paraId="3B41A40D">
      <w:pPr>
        <w:pStyle w:val="3"/>
        <w:spacing w:line="247" w:lineRule="auto"/>
        <w:rPr>
          <w:color w:val="auto"/>
          <w:highlight w:val="none"/>
        </w:rPr>
      </w:pPr>
    </w:p>
    <w:p w14:paraId="5B070652">
      <w:pPr>
        <w:pStyle w:val="3"/>
        <w:spacing w:line="248" w:lineRule="auto"/>
        <w:rPr>
          <w:color w:val="auto"/>
          <w:highlight w:val="none"/>
        </w:rPr>
      </w:pPr>
    </w:p>
    <w:p w14:paraId="759DCF62">
      <w:pPr>
        <w:pStyle w:val="3"/>
        <w:spacing w:line="248" w:lineRule="auto"/>
        <w:rPr>
          <w:color w:val="auto"/>
          <w:highlight w:val="none"/>
        </w:rPr>
      </w:pPr>
    </w:p>
    <w:p w14:paraId="2997065F">
      <w:pPr>
        <w:pStyle w:val="3"/>
        <w:spacing w:line="248" w:lineRule="auto"/>
        <w:rPr>
          <w:color w:val="auto"/>
          <w:highlight w:val="none"/>
        </w:rPr>
      </w:pPr>
    </w:p>
    <w:p w14:paraId="2976E1F6">
      <w:pPr>
        <w:spacing w:before="78" w:line="219" w:lineRule="auto"/>
        <w:ind w:left="294"/>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6.  </w:t>
      </w:r>
      <w:r>
        <w:rPr>
          <w:rFonts w:ascii="宋体" w:hAnsi="宋体" w:eastAsia="宋体" w:cs="宋体"/>
          <w:b/>
          <w:bCs/>
          <w:color w:val="auto"/>
          <w:spacing w:val="-2"/>
          <w:sz w:val="24"/>
          <w:szCs w:val="24"/>
          <w:highlight w:val="none"/>
        </w:rPr>
        <w:t>技术负责人职称证书（</w:t>
      </w:r>
      <w:r>
        <w:rPr>
          <w:rFonts w:hint="eastAsia" w:ascii="宋体" w:hAnsi="宋体" w:eastAsia="宋体" w:cs="宋体"/>
          <w:b/>
          <w:bCs/>
          <w:color w:val="auto"/>
          <w:spacing w:val="-2"/>
          <w:sz w:val="24"/>
          <w:szCs w:val="24"/>
          <w:highlight w:val="none"/>
          <w:lang w:val="en-US" w:eastAsia="zh-CN"/>
        </w:rPr>
        <w:t>水利水电工程相关专业工程师及以上职称证书</w:t>
      </w:r>
      <w:r>
        <w:rPr>
          <w:rFonts w:ascii="宋体" w:hAnsi="宋体" w:eastAsia="宋体" w:cs="宋体"/>
          <w:b/>
          <w:bCs/>
          <w:color w:val="auto"/>
          <w:spacing w:val="-2"/>
          <w:sz w:val="24"/>
          <w:szCs w:val="24"/>
          <w:highlight w:val="none"/>
        </w:rPr>
        <w:t>）</w:t>
      </w:r>
    </w:p>
    <w:p w14:paraId="1C9A6568">
      <w:pPr>
        <w:spacing w:line="219" w:lineRule="auto"/>
        <w:rPr>
          <w:rFonts w:ascii="宋体" w:hAnsi="宋体" w:eastAsia="宋体" w:cs="宋体"/>
          <w:color w:val="auto"/>
          <w:sz w:val="24"/>
          <w:szCs w:val="24"/>
          <w:highlight w:val="none"/>
        </w:rPr>
        <w:sectPr>
          <w:footerReference r:id="rId138" w:type="default"/>
          <w:pgSz w:w="11907" w:h="16841"/>
          <w:pgMar w:top="400" w:right="1527" w:bottom="1254" w:left="1785" w:header="0" w:footer="1093" w:gutter="0"/>
          <w:pgNumType w:fmt="decimal"/>
          <w:cols w:space="720" w:num="1"/>
        </w:sectPr>
      </w:pPr>
    </w:p>
    <w:p w14:paraId="78668CCF">
      <w:pPr>
        <w:pStyle w:val="3"/>
        <w:spacing w:line="247" w:lineRule="auto"/>
        <w:rPr>
          <w:color w:val="auto"/>
          <w:highlight w:val="none"/>
        </w:rPr>
      </w:pPr>
    </w:p>
    <w:p w14:paraId="7C027493">
      <w:pPr>
        <w:pStyle w:val="3"/>
        <w:spacing w:line="248" w:lineRule="auto"/>
        <w:rPr>
          <w:color w:val="auto"/>
          <w:highlight w:val="none"/>
        </w:rPr>
      </w:pPr>
    </w:p>
    <w:p w14:paraId="43D4413B">
      <w:pPr>
        <w:pStyle w:val="3"/>
        <w:spacing w:line="248" w:lineRule="auto"/>
        <w:rPr>
          <w:color w:val="auto"/>
          <w:highlight w:val="none"/>
        </w:rPr>
      </w:pPr>
    </w:p>
    <w:p w14:paraId="0A745066">
      <w:pPr>
        <w:pStyle w:val="3"/>
        <w:spacing w:line="248" w:lineRule="auto"/>
        <w:rPr>
          <w:color w:val="auto"/>
          <w:highlight w:val="none"/>
        </w:rPr>
      </w:pPr>
    </w:p>
    <w:p w14:paraId="1B0CD526">
      <w:pPr>
        <w:spacing w:before="78" w:line="219" w:lineRule="auto"/>
        <w:ind w:left="293"/>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7.  </w:t>
      </w:r>
      <w:r>
        <w:rPr>
          <w:rFonts w:ascii="宋体" w:hAnsi="宋体" w:eastAsia="宋体" w:cs="宋体"/>
          <w:b/>
          <w:bCs/>
          <w:color w:val="auto"/>
          <w:spacing w:val="-2"/>
          <w:sz w:val="24"/>
          <w:szCs w:val="24"/>
          <w:highlight w:val="none"/>
        </w:rPr>
        <w:t>项目负责人“三类人员”</w:t>
      </w:r>
      <w:r>
        <w:rPr>
          <w:rFonts w:ascii="Times New Roman" w:hAnsi="Times New Roman" w:eastAsia="Times New Roman" w:cs="Times New Roman"/>
          <w:b/>
          <w:bCs/>
          <w:color w:val="auto"/>
          <w:spacing w:val="-2"/>
          <w:sz w:val="24"/>
          <w:szCs w:val="24"/>
          <w:highlight w:val="none"/>
        </w:rPr>
        <w:t>B</w:t>
      </w:r>
      <w:r>
        <w:rPr>
          <w:rFonts w:ascii="宋体" w:hAnsi="宋体" w:eastAsia="宋体" w:cs="宋体"/>
          <w:b/>
          <w:bCs/>
          <w:color w:val="auto"/>
          <w:spacing w:val="-2"/>
          <w:sz w:val="24"/>
          <w:szCs w:val="24"/>
          <w:highlight w:val="none"/>
        </w:rPr>
        <w:t>类证书</w:t>
      </w:r>
    </w:p>
    <w:p w14:paraId="6D01766A">
      <w:pPr>
        <w:spacing w:line="219" w:lineRule="auto"/>
        <w:rPr>
          <w:rFonts w:ascii="宋体" w:hAnsi="宋体" w:eastAsia="宋体" w:cs="宋体"/>
          <w:color w:val="auto"/>
          <w:sz w:val="24"/>
          <w:szCs w:val="24"/>
          <w:highlight w:val="none"/>
        </w:rPr>
        <w:sectPr>
          <w:footerReference r:id="rId139" w:type="default"/>
          <w:pgSz w:w="11907" w:h="16841"/>
          <w:pgMar w:top="400" w:right="1527" w:bottom="1254" w:left="1785" w:header="0" w:footer="1093" w:gutter="0"/>
          <w:pgNumType w:fmt="decimal"/>
          <w:cols w:space="720" w:num="1"/>
        </w:sectPr>
      </w:pPr>
    </w:p>
    <w:p w14:paraId="333E7E00">
      <w:pPr>
        <w:pStyle w:val="3"/>
        <w:spacing w:line="247" w:lineRule="auto"/>
        <w:rPr>
          <w:color w:val="auto"/>
          <w:highlight w:val="none"/>
        </w:rPr>
      </w:pPr>
    </w:p>
    <w:p w14:paraId="2F7EBC8C">
      <w:pPr>
        <w:pStyle w:val="3"/>
        <w:spacing w:line="248" w:lineRule="auto"/>
        <w:rPr>
          <w:color w:val="auto"/>
          <w:highlight w:val="none"/>
        </w:rPr>
      </w:pPr>
    </w:p>
    <w:p w14:paraId="0B9423C7">
      <w:pPr>
        <w:pStyle w:val="3"/>
        <w:spacing w:line="248" w:lineRule="auto"/>
        <w:rPr>
          <w:color w:val="auto"/>
          <w:highlight w:val="none"/>
        </w:rPr>
      </w:pPr>
    </w:p>
    <w:p w14:paraId="0CBA5DCE">
      <w:pPr>
        <w:pStyle w:val="3"/>
        <w:spacing w:line="248" w:lineRule="auto"/>
        <w:rPr>
          <w:color w:val="auto"/>
          <w:highlight w:val="none"/>
        </w:rPr>
      </w:pPr>
    </w:p>
    <w:p w14:paraId="34BA980E">
      <w:pPr>
        <w:spacing w:before="78" w:line="219" w:lineRule="auto"/>
        <w:ind w:left="293"/>
        <w:rPr>
          <w:rFonts w:ascii="宋体" w:hAnsi="宋体" w:eastAsia="宋体" w:cs="宋体"/>
          <w:color w:val="auto"/>
          <w:sz w:val="24"/>
          <w:szCs w:val="24"/>
          <w:highlight w:val="none"/>
        </w:rPr>
      </w:pPr>
      <w:r>
        <w:rPr>
          <w:rFonts w:ascii="Times New Roman" w:hAnsi="Times New Roman" w:eastAsia="Times New Roman" w:cs="Times New Roman"/>
          <w:b/>
          <w:bCs/>
          <w:color w:val="auto"/>
          <w:spacing w:val="-2"/>
          <w:sz w:val="24"/>
          <w:szCs w:val="24"/>
          <w:highlight w:val="none"/>
        </w:rPr>
        <w:t xml:space="preserve">8.  </w:t>
      </w:r>
      <w:r>
        <w:rPr>
          <w:rFonts w:ascii="宋体" w:hAnsi="宋体" w:eastAsia="宋体" w:cs="宋体"/>
          <w:b/>
          <w:bCs/>
          <w:color w:val="auto"/>
          <w:spacing w:val="-2"/>
          <w:sz w:val="24"/>
          <w:szCs w:val="24"/>
          <w:highlight w:val="none"/>
        </w:rPr>
        <w:t>施工现场专职安全生产管理人员“三类人员”</w:t>
      </w:r>
      <w:r>
        <w:rPr>
          <w:rFonts w:ascii="Times New Roman" w:hAnsi="Times New Roman" w:eastAsia="Times New Roman" w:cs="Times New Roman"/>
          <w:b/>
          <w:bCs/>
          <w:color w:val="auto"/>
          <w:spacing w:val="-2"/>
          <w:sz w:val="24"/>
          <w:szCs w:val="24"/>
          <w:highlight w:val="none"/>
        </w:rPr>
        <w:t>C</w:t>
      </w:r>
      <w:r>
        <w:rPr>
          <w:rFonts w:ascii="宋体" w:hAnsi="宋体" w:eastAsia="宋体" w:cs="宋体"/>
          <w:b/>
          <w:bCs/>
          <w:color w:val="auto"/>
          <w:spacing w:val="-2"/>
          <w:sz w:val="24"/>
          <w:szCs w:val="24"/>
          <w:highlight w:val="none"/>
        </w:rPr>
        <w:t>类证书</w:t>
      </w:r>
    </w:p>
    <w:p w14:paraId="6A9FF3F3">
      <w:pPr>
        <w:spacing w:line="219" w:lineRule="auto"/>
        <w:rPr>
          <w:rFonts w:ascii="宋体" w:hAnsi="宋体" w:eastAsia="宋体" w:cs="宋体"/>
          <w:color w:val="auto"/>
          <w:sz w:val="24"/>
          <w:szCs w:val="24"/>
          <w:highlight w:val="none"/>
        </w:rPr>
        <w:sectPr>
          <w:footerReference r:id="rId140" w:type="default"/>
          <w:pgSz w:w="11907" w:h="16841"/>
          <w:pgMar w:top="400" w:right="1527" w:bottom="1254" w:left="1785" w:header="0" w:footer="1093" w:gutter="0"/>
          <w:pgNumType w:fmt="decimal"/>
          <w:cols w:space="720" w:num="1"/>
        </w:sectPr>
      </w:pPr>
    </w:p>
    <w:p w14:paraId="704E35FB">
      <w:pPr>
        <w:pStyle w:val="3"/>
        <w:spacing w:line="248" w:lineRule="auto"/>
        <w:rPr>
          <w:color w:val="auto"/>
          <w:highlight w:val="none"/>
        </w:rPr>
      </w:pPr>
    </w:p>
    <w:p w14:paraId="02E29993">
      <w:pPr>
        <w:pStyle w:val="3"/>
        <w:spacing w:line="248" w:lineRule="auto"/>
        <w:rPr>
          <w:color w:val="auto"/>
          <w:highlight w:val="none"/>
        </w:rPr>
      </w:pPr>
    </w:p>
    <w:p w14:paraId="48583BCF">
      <w:pPr>
        <w:pStyle w:val="3"/>
        <w:spacing w:line="248" w:lineRule="auto"/>
        <w:rPr>
          <w:color w:val="auto"/>
          <w:highlight w:val="none"/>
        </w:rPr>
      </w:pPr>
    </w:p>
    <w:p w14:paraId="6925750C">
      <w:pPr>
        <w:pStyle w:val="3"/>
        <w:spacing w:line="248" w:lineRule="auto"/>
        <w:rPr>
          <w:color w:val="auto"/>
          <w:highlight w:val="none"/>
        </w:rPr>
      </w:pPr>
    </w:p>
    <w:p w14:paraId="67A7CAA4">
      <w:pPr>
        <w:spacing w:before="78" w:line="362" w:lineRule="auto"/>
        <w:ind w:firstLine="473"/>
        <w:rPr>
          <w:rFonts w:ascii="宋体" w:hAnsi="宋体" w:eastAsia="宋体" w:cs="宋体"/>
          <w:color w:val="auto"/>
          <w:sz w:val="24"/>
          <w:szCs w:val="24"/>
          <w:highlight w:val="none"/>
        </w:rPr>
      </w:pPr>
      <w:r>
        <w:rPr>
          <w:rFonts w:ascii="Times New Roman" w:hAnsi="Times New Roman" w:eastAsia="Times New Roman" w:cs="Times New Roman"/>
          <w:b/>
          <w:bCs/>
          <w:color w:val="auto"/>
          <w:spacing w:val="-6"/>
          <w:sz w:val="24"/>
          <w:szCs w:val="24"/>
          <w:highlight w:val="none"/>
        </w:rPr>
        <w:t xml:space="preserve">9.  </w:t>
      </w:r>
      <w:r>
        <w:rPr>
          <w:rFonts w:ascii="宋体" w:hAnsi="宋体" w:eastAsia="宋体" w:cs="宋体"/>
          <w:b/>
          <w:bCs/>
          <w:color w:val="auto"/>
          <w:spacing w:val="-6"/>
          <w:sz w:val="24"/>
          <w:szCs w:val="24"/>
          <w:highlight w:val="none"/>
        </w:rPr>
        <w:t>项目组主要人员在浙江省水利厅“浙</w:t>
      </w:r>
      <w:r>
        <w:rPr>
          <w:rFonts w:ascii="宋体" w:hAnsi="宋体" w:eastAsia="宋体" w:cs="宋体"/>
          <w:b/>
          <w:bCs/>
          <w:color w:val="auto"/>
          <w:spacing w:val="-7"/>
          <w:sz w:val="24"/>
          <w:szCs w:val="24"/>
          <w:highlight w:val="none"/>
        </w:rPr>
        <w:t>江省水利工程建设管理系统（透明工程）”</w:t>
      </w:r>
      <w:r>
        <w:rPr>
          <w:rFonts w:ascii="宋体" w:hAnsi="宋体" w:eastAsia="宋体" w:cs="宋体"/>
          <w:b/>
          <w:bCs/>
          <w:color w:val="auto"/>
          <w:spacing w:val="-4"/>
          <w:sz w:val="24"/>
          <w:szCs w:val="24"/>
          <w:highlight w:val="none"/>
        </w:rPr>
        <w:t>下载人员信息打印件</w:t>
      </w:r>
    </w:p>
    <w:p w14:paraId="03D85672">
      <w:pPr>
        <w:spacing w:line="362" w:lineRule="auto"/>
        <w:rPr>
          <w:rFonts w:ascii="宋体" w:hAnsi="宋体" w:eastAsia="宋体" w:cs="宋体"/>
          <w:color w:val="auto"/>
          <w:sz w:val="24"/>
          <w:szCs w:val="24"/>
          <w:highlight w:val="none"/>
        </w:rPr>
        <w:sectPr>
          <w:footerReference r:id="rId141" w:type="default"/>
          <w:pgSz w:w="11907" w:h="16841"/>
          <w:pgMar w:top="400" w:right="1291" w:bottom="1254" w:left="1605" w:header="0" w:footer="1093" w:gutter="0"/>
          <w:pgNumType w:fmt="decimal"/>
          <w:cols w:space="720" w:num="1"/>
        </w:sectPr>
      </w:pPr>
    </w:p>
    <w:p w14:paraId="1C865CBD">
      <w:pPr>
        <w:pStyle w:val="3"/>
        <w:spacing w:line="248" w:lineRule="auto"/>
        <w:rPr>
          <w:color w:val="auto"/>
          <w:highlight w:val="none"/>
        </w:rPr>
      </w:pPr>
    </w:p>
    <w:p w14:paraId="64EED47A">
      <w:pPr>
        <w:pStyle w:val="3"/>
        <w:spacing w:line="248" w:lineRule="auto"/>
        <w:rPr>
          <w:color w:val="auto"/>
          <w:highlight w:val="none"/>
        </w:rPr>
      </w:pPr>
    </w:p>
    <w:p w14:paraId="2BE61089">
      <w:pPr>
        <w:pStyle w:val="3"/>
        <w:spacing w:line="248" w:lineRule="auto"/>
        <w:rPr>
          <w:color w:val="auto"/>
          <w:highlight w:val="none"/>
        </w:rPr>
      </w:pPr>
    </w:p>
    <w:p w14:paraId="7636AE0C">
      <w:pPr>
        <w:pStyle w:val="3"/>
        <w:spacing w:line="248" w:lineRule="auto"/>
        <w:rPr>
          <w:color w:val="auto"/>
          <w:highlight w:val="none"/>
        </w:rPr>
      </w:pPr>
    </w:p>
    <w:p w14:paraId="124D7C69">
      <w:pPr>
        <w:spacing w:before="78" w:line="218" w:lineRule="auto"/>
        <w:ind w:left="301"/>
        <w:rPr>
          <w:rFonts w:ascii="宋体" w:hAnsi="宋体" w:eastAsia="宋体" w:cs="宋体"/>
          <w:strike/>
          <w:dstrike w:val="0"/>
          <w:color w:val="auto"/>
          <w:sz w:val="24"/>
          <w:szCs w:val="24"/>
          <w:highlight w:val="none"/>
        </w:rPr>
      </w:pPr>
      <w:r>
        <w:rPr>
          <w:rFonts w:ascii="Times New Roman" w:hAnsi="Times New Roman" w:eastAsia="Times New Roman" w:cs="Times New Roman"/>
          <w:b/>
          <w:bCs/>
          <w:strike/>
          <w:dstrike w:val="0"/>
          <w:color w:val="auto"/>
          <w:spacing w:val="-2"/>
          <w:sz w:val="24"/>
          <w:szCs w:val="24"/>
          <w:highlight w:val="none"/>
        </w:rPr>
        <w:t xml:space="preserve">10.  </w:t>
      </w:r>
      <w:r>
        <w:rPr>
          <w:rFonts w:ascii="宋体" w:hAnsi="宋体" w:eastAsia="宋体" w:cs="宋体"/>
          <w:b/>
          <w:bCs/>
          <w:strike/>
          <w:dstrike w:val="0"/>
          <w:color w:val="auto"/>
          <w:spacing w:val="-2"/>
          <w:sz w:val="24"/>
          <w:szCs w:val="24"/>
          <w:highlight w:val="none"/>
        </w:rPr>
        <w:t>符合招标公告要求的类似项目业绩证明材料</w:t>
      </w:r>
    </w:p>
    <w:p w14:paraId="7F64D661">
      <w:pPr>
        <w:spacing w:before="184" w:line="219" w:lineRule="auto"/>
        <w:ind w:left="292"/>
        <w:rPr>
          <w:rFonts w:ascii="宋体" w:hAnsi="宋体" w:eastAsia="宋体" w:cs="宋体"/>
          <w:color w:val="auto"/>
          <w:sz w:val="24"/>
          <w:szCs w:val="24"/>
          <w:highlight w:val="none"/>
        </w:rPr>
      </w:pPr>
      <w:r>
        <w:rPr>
          <w:rFonts w:ascii="宋体" w:hAnsi="宋体" w:eastAsia="宋体" w:cs="宋体"/>
          <w:strike/>
          <w:dstrike w:val="0"/>
          <w:color w:val="auto"/>
          <w:spacing w:val="-2"/>
          <w:sz w:val="24"/>
          <w:szCs w:val="24"/>
          <w:highlight w:val="none"/>
        </w:rPr>
        <w:t>注：如提供的是联合体业绩，还须提供联合体协议书。</w:t>
      </w:r>
    </w:p>
    <w:p w14:paraId="4CBB4D90">
      <w:pPr>
        <w:spacing w:line="219" w:lineRule="auto"/>
        <w:rPr>
          <w:rFonts w:ascii="宋体" w:hAnsi="宋体" w:eastAsia="宋体" w:cs="宋体"/>
          <w:color w:val="auto"/>
          <w:sz w:val="24"/>
          <w:szCs w:val="24"/>
          <w:highlight w:val="none"/>
        </w:rPr>
        <w:sectPr>
          <w:footerReference r:id="rId142" w:type="default"/>
          <w:pgSz w:w="11907" w:h="16841"/>
          <w:pgMar w:top="400" w:right="1527" w:bottom="1254" w:left="1785" w:header="0" w:footer="1093" w:gutter="0"/>
          <w:pgNumType w:fmt="decimal"/>
          <w:cols w:space="720" w:num="1"/>
        </w:sectPr>
      </w:pPr>
    </w:p>
    <w:p w14:paraId="6E088FFB">
      <w:pPr>
        <w:pStyle w:val="3"/>
        <w:spacing w:line="247" w:lineRule="auto"/>
        <w:rPr>
          <w:color w:val="auto"/>
          <w:highlight w:val="none"/>
        </w:rPr>
      </w:pPr>
    </w:p>
    <w:p w14:paraId="3F105386">
      <w:pPr>
        <w:pStyle w:val="3"/>
        <w:spacing w:line="248" w:lineRule="auto"/>
        <w:rPr>
          <w:color w:val="auto"/>
          <w:highlight w:val="none"/>
        </w:rPr>
      </w:pPr>
    </w:p>
    <w:p w14:paraId="494B7654">
      <w:pPr>
        <w:pStyle w:val="3"/>
        <w:spacing w:line="248" w:lineRule="auto"/>
        <w:rPr>
          <w:color w:val="auto"/>
          <w:highlight w:val="none"/>
        </w:rPr>
      </w:pPr>
    </w:p>
    <w:p w14:paraId="1CE902EC">
      <w:pPr>
        <w:pStyle w:val="3"/>
        <w:spacing w:line="248" w:lineRule="auto"/>
        <w:rPr>
          <w:color w:val="auto"/>
          <w:highlight w:val="none"/>
        </w:rPr>
      </w:pPr>
    </w:p>
    <w:p w14:paraId="53FF37B0">
      <w:pPr>
        <w:spacing w:before="78" w:line="219" w:lineRule="auto"/>
        <w:ind w:left="301"/>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 xml:space="preserve">11.  </w:t>
      </w:r>
      <w:r>
        <w:rPr>
          <w:rFonts w:ascii="宋体" w:hAnsi="宋体" w:eastAsia="宋体" w:cs="宋体"/>
          <w:b/>
          <w:bCs/>
          <w:color w:val="auto"/>
          <w:spacing w:val="-4"/>
          <w:sz w:val="24"/>
          <w:szCs w:val="24"/>
          <w:highlight w:val="none"/>
        </w:rPr>
        <w:t>拟派项目组主要人员、委托代理人（若有）</w:t>
      </w:r>
      <w:r>
        <w:rPr>
          <w:rFonts w:ascii="宋体" w:hAnsi="宋体" w:eastAsia="宋体" w:cs="宋体"/>
          <w:color w:val="auto"/>
          <w:spacing w:val="-62"/>
          <w:sz w:val="24"/>
          <w:szCs w:val="24"/>
          <w:highlight w:val="none"/>
        </w:rPr>
        <w:t xml:space="preserve"> </w:t>
      </w:r>
      <w:r>
        <w:rPr>
          <w:rFonts w:ascii="宋体" w:hAnsi="宋体" w:eastAsia="宋体" w:cs="宋体"/>
          <w:b/>
          <w:bCs/>
          <w:color w:val="auto"/>
          <w:spacing w:val="-4"/>
          <w:sz w:val="24"/>
          <w:szCs w:val="24"/>
          <w:highlight w:val="none"/>
        </w:rPr>
        <w:t>社保证明</w:t>
      </w:r>
    </w:p>
    <w:p w14:paraId="44C5A012">
      <w:pPr>
        <w:spacing w:line="219" w:lineRule="auto"/>
        <w:rPr>
          <w:rFonts w:ascii="宋体" w:hAnsi="宋体" w:eastAsia="宋体" w:cs="宋体"/>
          <w:color w:val="auto"/>
          <w:sz w:val="24"/>
          <w:szCs w:val="24"/>
          <w:highlight w:val="none"/>
        </w:rPr>
        <w:sectPr>
          <w:footerReference r:id="rId143" w:type="default"/>
          <w:pgSz w:w="11907" w:h="16841"/>
          <w:pgMar w:top="400" w:right="1527" w:bottom="1254" w:left="1785" w:header="0" w:footer="1093" w:gutter="0"/>
          <w:pgNumType w:fmt="decimal"/>
          <w:cols w:space="720" w:num="1"/>
        </w:sectPr>
      </w:pPr>
    </w:p>
    <w:p w14:paraId="5B6D6425">
      <w:pPr>
        <w:pStyle w:val="3"/>
        <w:spacing w:line="248" w:lineRule="auto"/>
        <w:rPr>
          <w:color w:val="auto"/>
          <w:highlight w:val="none"/>
        </w:rPr>
      </w:pPr>
    </w:p>
    <w:p w14:paraId="21A1DEFC">
      <w:pPr>
        <w:pStyle w:val="3"/>
        <w:spacing w:line="248" w:lineRule="auto"/>
        <w:rPr>
          <w:color w:val="auto"/>
          <w:highlight w:val="none"/>
        </w:rPr>
      </w:pPr>
    </w:p>
    <w:p w14:paraId="3F945DD6">
      <w:pPr>
        <w:pStyle w:val="3"/>
        <w:spacing w:line="248" w:lineRule="auto"/>
        <w:rPr>
          <w:color w:val="auto"/>
          <w:highlight w:val="none"/>
        </w:rPr>
      </w:pPr>
    </w:p>
    <w:p w14:paraId="26791C24">
      <w:pPr>
        <w:pStyle w:val="3"/>
        <w:spacing w:line="248" w:lineRule="auto"/>
        <w:rPr>
          <w:color w:val="auto"/>
          <w:highlight w:val="none"/>
        </w:rPr>
      </w:pPr>
    </w:p>
    <w:p w14:paraId="59AA9DA3">
      <w:pPr>
        <w:spacing w:before="78" w:line="220" w:lineRule="auto"/>
        <w:ind w:left="301"/>
        <w:rPr>
          <w:rFonts w:ascii="宋体" w:hAnsi="宋体" w:eastAsia="宋体" w:cs="宋体"/>
          <w:color w:val="auto"/>
          <w:sz w:val="24"/>
          <w:szCs w:val="24"/>
          <w:highlight w:val="none"/>
        </w:rPr>
      </w:pPr>
      <w:r>
        <w:rPr>
          <w:rFonts w:ascii="Times New Roman" w:hAnsi="Times New Roman" w:eastAsia="Times New Roman" w:cs="Times New Roman"/>
          <w:b/>
          <w:bCs/>
          <w:color w:val="auto"/>
          <w:spacing w:val="-5"/>
          <w:sz w:val="24"/>
          <w:szCs w:val="24"/>
          <w:highlight w:val="none"/>
        </w:rPr>
        <w:t>12.</w:t>
      </w:r>
      <w:r>
        <w:rPr>
          <w:rFonts w:ascii="Times New Roman" w:hAnsi="Times New Roman" w:eastAsia="Times New Roman" w:cs="Times New Roman"/>
          <w:b/>
          <w:bCs/>
          <w:color w:val="auto"/>
          <w:spacing w:val="5"/>
          <w:sz w:val="24"/>
          <w:szCs w:val="24"/>
          <w:highlight w:val="none"/>
        </w:rPr>
        <w:t xml:space="preserve">  </w:t>
      </w:r>
      <w:r>
        <w:rPr>
          <w:rFonts w:ascii="宋体" w:hAnsi="宋体" w:eastAsia="宋体" w:cs="宋体"/>
          <w:b/>
          <w:bCs/>
          <w:color w:val="auto"/>
          <w:spacing w:val="-5"/>
          <w:sz w:val="24"/>
          <w:szCs w:val="24"/>
          <w:highlight w:val="none"/>
        </w:rPr>
        <w:t>其他</w:t>
      </w:r>
    </w:p>
    <w:p w14:paraId="33B0D89C">
      <w:pPr>
        <w:spacing w:line="220" w:lineRule="auto"/>
        <w:rPr>
          <w:rFonts w:ascii="宋体" w:hAnsi="宋体" w:eastAsia="宋体" w:cs="宋体"/>
          <w:color w:val="auto"/>
          <w:sz w:val="24"/>
          <w:szCs w:val="24"/>
          <w:highlight w:val="none"/>
        </w:rPr>
        <w:sectPr>
          <w:footerReference r:id="rId144" w:type="default"/>
          <w:pgSz w:w="11907" w:h="16841"/>
          <w:pgMar w:top="400" w:right="1527" w:bottom="1254" w:left="1785" w:header="0" w:footer="1093" w:gutter="0"/>
          <w:pgNumType w:fmt="decimal"/>
          <w:cols w:space="720" w:num="1"/>
        </w:sectPr>
      </w:pPr>
    </w:p>
    <w:p w14:paraId="080A6687">
      <w:pPr>
        <w:pStyle w:val="3"/>
        <w:spacing w:line="246" w:lineRule="auto"/>
        <w:rPr>
          <w:color w:val="auto"/>
          <w:highlight w:val="none"/>
        </w:rPr>
      </w:pPr>
    </w:p>
    <w:p w14:paraId="1C528D7F">
      <w:pPr>
        <w:pStyle w:val="3"/>
        <w:spacing w:line="246" w:lineRule="auto"/>
        <w:rPr>
          <w:color w:val="auto"/>
          <w:highlight w:val="none"/>
        </w:rPr>
      </w:pPr>
    </w:p>
    <w:p w14:paraId="75EEA852">
      <w:pPr>
        <w:pStyle w:val="3"/>
        <w:spacing w:line="246" w:lineRule="auto"/>
        <w:rPr>
          <w:color w:val="auto"/>
          <w:highlight w:val="none"/>
        </w:rPr>
      </w:pPr>
    </w:p>
    <w:p w14:paraId="5D380F65">
      <w:pPr>
        <w:pStyle w:val="3"/>
        <w:spacing w:line="247" w:lineRule="auto"/>
        <w:rPr>
          <w:color w:val="auto"/>
          <w:highlight w:val="none"/>
        </w:rPr>
      </w:pPr>
    </w:p>
    <w:p w14:paraId="1B80F873">
      <w:pPr>
        <w:spacing w:before="91" w:line="219" w:lineRule="auto"/>
        <w:ind w:left="3362"/>
        <w:outlineLvl w:val="1"/>
        <w:rPr>
          <w:rFonts w:ascii="宋体" w:hAnsi="宋体" w:eastAsia="宋体" w:cs="宋体"/>
          <w:color w:val="auto"/>
          <w:sz w:val="28"/>
          <w:szCs w:val="28"/>
          <w:highlight w:val="none"/>
        </w:rPr>
      </w:pPr>
      <w:bookmarkStart w:id="1106" w:name="bookmark653"/>
      <w:bookmarkEnd w:id="1106"/>
      <w:bookmarkStart w:id="1107" w:name="_Toc17607"/>
      <w:bookmarkStart w:id="1108" w:name="_Toc13483"/>
      <w:r>
        <w:rPr>
          <w:rFonts w:ascii="宋体" w:hAnsi="宋体" w:eastAsia="宋体" w:cs="宋体"/>
          <w:b/>
          <w:bCs/>
          <w:color w:val="auto"/>
          <w:spacing w:val="-6"/>
          <w:sz w:val="28"/>
          <w:szCs w:val="28"/>
          <w:highlight w:val="none"/>
        </w:rPr>
        <w:t>七、其他材料</w:t>
      </w:r>
      <w:bookmarkEnd w:id="1107"/>
      <w:bookmarkEnd w:id="1108"/>
    </w:p>
    <w:p w14:paraId="489EEBA9">
      <w:pPr>
        <w:pStyle w:val="3"/>
        <w:spacing w:line="328" w:lineRule="auto"/>
        <w:rPr>
          <w:color w:val="auto"/>
          <w:highlight w:val="none"/>
        </w:rPr>
      </w:pPr>
    </w:p>
    <w:p w14:paraId="1F86CCB1">
      <w:pPr>
        <w:pStyle w:val="3"/>
        <w:spacing w:line="328" w:lineRule="auto"/>
        <w:rPr>
          <w:color w:val="auto"/>
          <w:highlight w:val="none"/>
        </w:rPr>
      </w:pPr>
    </w:p>
    <w:p w14:paraId="480B57CF">
      <w:pPr>
        <w:spacing w:before="78" w:line="219" w:lineRule="auto"/>
        <w:ind w:left="28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1</w:t>
      </w:r>
      <w:r>
        <w:rPr>
          <w:rFonts w:ascii="宋体" w:hAnsi="宋体" w:eastAsia="宋体" w:cs="宋体"/>
          <w:color w:val="auto"/>
          <w:spacing w:val="-4"/>
          <w:sz w:val="24"/>
          <w:szCs w:val="24"/>
          <w:highlight w:val="none"/>
        </w:rPr>
        <w:t>）投标承诺书</w:t>
      </w:r>
    </w:p>
    <w:p w14:paraId="6336554C">
      <w:pPr>
        <w:spacing w:before="182" w:line="220" w:lineRule="auto"/>
        <w:ind w:left="28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）中小企业声明函（若有）</w:t>
      </w:r>
    </w:p>
    <w:p w14:paraId="157DE2A8">
      <w:pPr>
        <w:spacing w:before="182" w:line="219" w:lineRule="auto"/>
        <w:ind w:left="28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）其他材料</w:t>
      </w:r>
    </w:p>
    <w:p w14:paraId="4C5CDD17">
      <w:pPr>
        <w:spacing w:line="219" w:lineRule="auto"/>
        <w:rPr>
          <w:rFonts w:ascii="宋体" w:hAnsi="宋体" w:eastAsia="宋体" w:cs="宋体"/>
          <w:color w:val="auto"/>
          <w:sz w:val="24"/>
          <w:szCs w:val="24"/>
          <w:highlight w:val="none"/>
        </w:rPr>
        <w:sectPr>
          <w:footerReference r:id="rId145" w:type="default"/>
          <w:pgSz w:w="11907" w:h="16841"/>
          <w:pgMar w:top="400" w:right="1527" w:bottom="1254" w:left="1785" w:header="0" w:footer="1093" w:gutter="0"/>
          <w:pgNumType w:fmt="decimal"/>
          <w:cols w:space="720" w:num="1"/>
        </w:sectPr>
      </w:pPr>
    </w:p>
    <w:p w14:paraId="56D227A1">
      <w:pPr>
        <w:pStyle w:val="3"/>
        <w:rPr>
          <w:color w:val="auto"/>
          <w:highlight w:val="none"/>
        </w:rPr>
      </w:pPr>
    </w:p>
    <w:p w14:paraId="2DBD1F23">
      <w:pPr>
        <w:pStyle w:val="3"/>
        <w:rPr>
          <w:color w:val="auto"/>
          <w:highlight w:val="none"/>
        </w:rPr>
      </w:pPr>
    </w:p>
    <w:p w14:paraId="792606F2">
      <w:pPr>
        <w:pStyle w:val="3"/>
        <w:rPr>
          <w:color w:val="auto"/>
          <w:highlight w:val="none"/>
        </w:rPr>
      </w:pPr>
    </w:p>
    <w:p w14:paraId="59488E04">
      <w:pPr>
        <w:spacing w:before="140" w:line="223" w:lineRule="auto"/>
        <w:ind w:left="2878"/>
        <w:rPr>
          <w:rFonts w:ascii="宋体" w:hAnsi="宋体" w:eastAsia="宋体" w:cs="宋体"/>
          <w:color w:val="auto"/>
          <w:sz w:val="43"/>
          <w:szCs w:val="43"/>
          <w:highlight w:val="none"/>
        </w:rPr>
      </w:pPr>
      <w:r>
        <w:rPr>
          <w:rFonts w:ascii="宋体" w:hAnsi="宋体" w:eastAsia="宋体" w:cs="宋体"/>
          <w:b/>
          <w:bCs/>
          <w:color w:val="auto"/>
          <w:spacing w:val="-13"/>
          <w:sz w:val="43"/>
          <w:szCs w:val="43"/>
          <w:highlight w:val="none"/>
        </w:rPr>
        <w:t>投</w:t>
      </w:r>
      <w:r>
        <w:rPr>
          <w:rFonts w:ascii="宋体" w:hAnsi="宋体" w:eastAsia="宋体" w:cs="宋体"/>
          <w:color w:val="auto"/>
          <w:spacing w:val="29"/>
          <w:sz w:val="43"/>
          <w:szCs w:val="43"/>
          <w:highlight w:val="none"/>
        </w:rPr>
        <w:t xml:space="preserve"> </w:t>
      </w:r>
      <w:r>
        <w:rPr>
          <w:rFonts w:ascii="宋体" w:hAnsi="宋体" w:eastAsia="宋体" w:cs="宋体"/>
          <w:b/>
          <w:bCs/>
          <w:color w:val="auto"/>
          <w:spacing w:val="-13"/>
          <w:sz w:val="43"/>
          <w:szCs w:val="43"/>
          <w:highlight w:val="none"/>
        </w:rPr>
        <w:t>标</w:t>
      </w:r>
      <w:r>
        <w:rPr>
          <w:rFonts w:ascii="宋体" w:hAnsi="宋体" w:eastAsia="宋体" w:cs="宋体"/>
          <w:color w:val="auto"/>
          <w:spacing w:val="26"/>
          <w:sz w:val="43"/>
          <w:szCs w:val="43"/>
          <w:highlight w:val="none"/>
        </w:rPr>
        <w:t xml:space="preserve"> </w:t>
      </w:r>
      <w:r>
        <w:rPr>
          <w:rFonts w:ascii="宋体" w:hAnsi="宋体" w:eastAsia="宋体" w:cs="宋体"/>
          <w:b/>
          <w:bCs/>
          <w:color w:val="auto"/>
          <w:spacing w:val="-13"/>
          <w:sz w:val="43"/>
          <w:szCs w:val="43"/>
          <w:highlight w:val="none"/>
        </w:rPr>
        <w:t>承</w:t>
      </w:r>
      <w:r>
        <w:rPr>
          <w:rFonts w:ascii="宋体" w:hAnsi="宋体" w:eastAsia="宋体" w:cs="宋体"/>
          <w:color w:val="auto"/>
          <w:spacing w:val="25"/>
          <w:sz w:val="43"/>
          <w:szCs w:val="43"/>
          <w:highlight w:val="none"/>
        </w:rPr>
        <w:t xml:space="preserve"> </w:t>
      </w:r>
      <w:r>
        <w:rPr>
          <w:rFonts w:ascii="宋体" w:hAnsi="宋体" w:eastAsia="宋体" w:cs="宋体"/>
          <w:b/>
          <w:bCs/>
          <w:color w:val="auto"/>
          <w:spacing w:val="-13"/>
          <w:sz w:val="43"/>
          <w:szCs w:val="43"/>
          <w:highlight w:val="none"/>
        </w:rPr>
        <w:t>诺</w:t>
      </w:r>
      <w:r>
        <w:rPr>
          <w:rFonts w:ascii="宋体" w:hAnsi="宋体" w:eastAsia="宋体" w:cs="宋体"/>
          <w:color w:val="auto"/>
          <w:spacing w:val="34"/>
          <w:sz w:val="43"/>
          <w:szCs w:val="43"/>
          <w:highlight w:val="none"/>
        </w:rPr>
        <w:t xml:space="preserve"> </w:t>
      </w:r>
      <w:r>
        <w:rPr>
          <w:rFonts w:ascii="宋体" w:hAnsi="宋体" w:eastAsia="宋体" w:cs="宋体"/>
          <w:b/>
          <w:bCs/>
          <w:color w:val="auto"/>
          <w:spacing w:val="-13"/>
          <w:sz w:val="43"/>
          <w:szCs w:val="43"/>
          <w:highlight w:val="none"/>
        </w:rPr>
        <w:t>书</w:t>
      </w:r>
    </w:p>
    <w:p w14:paraId="60191E4D">
      <w:pPr>
        <w:tabs>
          <w:tab w:val="left" w:pos="2767"/>
        </w:tabs>
        <w:spacing w:before="307" w:line="213" w:lineRule="auto"/>
        <w:ind w:left="7"/>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21"/>
          <w:sz w:val="24"/>
          <w:szCs w:val="24"/>
          <w:highlight w:val="none"/>
        </w:rPr>
        <w:t>（</w:t>
      </w:r>
      <w:r>
        <w:rPr>
          <w:rFonts w:ascii="宋体" w:hAnsi="宋体" w:eastAsia="宋体" w:cs="宋体"/>
          <w:color w:val="auto"/>
          <w:spacing w:val="-33"/>
          <w:sz w:val="24"/>
          <w:szCs w:val="24"/>
          <w:highlight w:val="none"/>
        </w:rPr>
        <w:t xml:space="preserve"> </w:t>
      </w:r>
      <w:r>
        <w:rPr>
          <w:rFonts w:ascii="宋体" w:hAnsi="宋体" w:eastAsia="宋体" w:cs="宋体"/>
          <w:i/>
          <w:iCs/>
          <w:color w:val="auto"/>
          <w:spacing w:val="-21"/>
          <w:sz w:val="25"/>
          <w:szCs w:val="25"/>
          <w:highlight w:val="none"/>
        </w:rPr>
        <w:t>招标人名称</w:t>
      </w:r>
      <w:r>
        <w:rPr>
          <w:rFonts w:ascii="宋体" w:hAnsi="宋体" w:eastAsia="宋体" w:cs="宋体"/>
          <w:color w:val="auto"/>
          <w:spacing w:val="-16"/>
          <w:sz w:val="24"/>
          <w:szCs w:val="24"/>
          <w:highlight w:val="none"/>
        </w:rPr>
        <w:t>）：</w:t>
      </w:r>
    </w:p>
    <w:p w14:paraId="35A30755">
      <w:pPr>
        <w:spacing w:before="288" w:line="212" w:lineRule="auto"/>
        <w:ind w:left="500"/>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本投标人</w:t>
      </w:r>
      <w:r>
        <w:rPr>
          <w:rFonts w:ascii="宋体" w:hAnsi="宋体" w:eastAsia="宋体" w:cs="宋体"/>
          <w:color w:val="auto"/>
          <w:spacing w:val="-7"/>
          <w:sz w:val="24"/>
          <w:szCs w:val="24"/>
          <w:highlight w:val="none"/>
          <w:u w:val="single" w:color="auto"/>
        </w:rPr>
        <w:t xml:space="preserve">                              </w:t>
      </w:r>
      <w:r>
        <w:rPr>
          <w:rFonts w:ascii="宋体" w:hAnsi="宋体" w:eastAsia="宋体" w:cs="宋体"/>
          <w:color w:val="auto"/>
          <w:spacing w:val="-7"/>
          <w:sz w:val="24"/>
          <w:szCs w:val="24"/>
          <w:highlight w:val="none"/>
        </w:rPr>
        <w:t>（</w:t>
      </w:r>
      <w:r>
        <w:rPr>
          <w:rFonts w:ascii="宋体" w:hAnsi="宋体" w:eastAsia="宋体" w:cs="宋体"/>
          <w:color w:val="auto"/>
          <w:spacing w:val="-23"/>
          <w:sz w:val="24"/>
          <w:szCs w:val="24"/>
          <w:highlight w:val="none"/>
        </w:rPr>
        <w:t xml:space="preserve"> </w:t>
      </w:r>
      <w:r>
        <w:rPr>
          <w:rFonts w:ascii="宋体" w:hAnsi="宋体" w:eastAsia="宋体" w:cs="宋体"/>
          <w:i/>
          <w:iCs/>
          <w:color w:val="auto"/>
          <w:spacing w:val="-7"/>
          <w:sz w:val="25"/>
          <w:szCs w:val="25"/>
          <w:highlight w:val="none"/>
        </w:rPr>
        <w:t>投标人名称</w:t>
      </w:r>
      <w:r>
        <w:rPr>
          <w:rFonts w:ascii="宋体" w:hAnsi="宋体" w:eastAsia="宋体" w:cs="宋体"/>
          <w:color w:val="auto"/>
          <w:spacing w:val="-7"/>
          <w:sz w:val="24"/>
          <w:szCs w:val="24"/>
          <w:highlight w:val="none"/>
        </w:rPr>
        <w:t>）郑重承诺：</w:t>
      </w:r>
    </w:p>
    <w:p w14:paraId="4788460E">
      <w:pPr>
        <w:spacing w:before="153" w:line="312" w:lineRule="auto"/>
        <w:ind w:left="15" w:right="150" w:firstLine="502"/>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、拟派本招标项目</w:t>
      </w:r>
      <w:r>
        <w:rPr>
          <w:rFonts w:ascii="宋体" w:hAnsi="宋体" w:eastAsia="宋体" w:cs="宋体"/>
          <w:color w:val="auto"/>
          <w:spacing w:val="-74"/>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3"/>
          <w:sz w:val="24"/>
          <w:szCs w:val="24"/>
          <w:highlight w:val="none"/>
        </w:rPr>
        <w:t>（</w:t>
      </w:r>
      <w:r>
        <w:rPr>
          <w:rFonts w:ascii="宋体" w:hAnsi="宋体" w:eastAsia="宋体" w:cs="宋体"/>
          <w:i/>
          <w:iCs/>
          <w:color w:val="auto"/>
          <w:spacing w:val="-3"/>
          <w:sz w:val="25"/>
          <w:szCs w:val="25"/>
          <w:highlight w:val="none"/>
        </w:rPr>
        <w:t>项目名称</w:t>
      </w:r>
      <w:r>
        <w:rPr>
          <w:rFonts w:ascii="宋体" w:hAnsi="宋体" w:eastAsia="宋体" w:cs="宋体"/>
          <w:color w:val="auto"/>
          <w:spacing w:val="-27"/>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7"/>
          <w:sz w:val="24"/>
          <w:szCs w:val="24"/>
          <w:highlight w:val="none"/>
        </w:rPr>
        <w:t>（</w:t>
      </w:r>
      <w:r>
        <w:rPr>
          <w:rFonts w:ascii="宋体" w:hAnsi="宋体" w:eastAsia="宋体" w:cs="宋体"/>
          <w:i/>
          <w:iCs/>
          <w:color w:val="auto"/>
          <w:spacing w:val="-3"/>
          <w:sz w:val="25"/>
          <w:szCs w:val="25"/>
          <w:highlight w:val="none"/>
        </w:rPr>
        <w:t>标段名称</w:t>
      </w:r>
      <w:r>
        <w:rPr>
          <w:rFonts w:ascii="宋体" w:hAnsi="宋体" w:eastAsia="宋体" w:cs="宋体"/>
          <w:color w:val="auto"/>
          <w:spacing w:val="-3"/>
          <w:sz w:val="24"/>
          <w:szCs w:val="24"/>
          <w:highlight w:val="none"/>
        </w:rPr>
        <w:t>）的</w:t>
      </w:r>
      <w:r>
        <w:rPr>
          <w:rFonts w:ascii="宋体" w:hAnsi="宋体" w:eastAsia="宋体" w:cs="宋体"/>
          <w:color w:val="auto"/>
          <w:sz w:val="24"/>
          <w:szCs w:val="24"/>
          <w:highlight w:val="none"/>
        </w:rPr>
        <w:t>项目负责人在投标截止时间无在其他任何在建合同工程上担</w:t>
      </w:r>
      <w:r>
        <w:rPr>
          <w:rFonts w:ascii="宋体" w:hAnsi="宋体" w:eastAsia="宋体" w:cs="宋体"/>
          <w:color w:val="auto"/>
          <w:spacing w:val="-1"/>
          <w:sz w:val="24"/>
          <w:szCs w:val="24"/>
          <w:highlight w:val="none"/>
        </w:rPr>
        <w:t>任项目负责人（包括工</w:t>
      </w:r>
      <w:r>
        <w:rPr>
          <w:rFonts w:ascii="宋体" w:hAnsi="宋体" w:eastAsia="宋体" w:cs="宋体"/>
          <w:color w:val="auto"/>
          <w:sz w:val="24"/>
          <w:szCs w:val="24"/>
          <w:highlight w:val="none"/>
        </w:rPr>
        <w:t>程总承包项目中的施工负责人）的情形。在建合同工程的开</w:t>
      </w:r>
      <w:r>
        <w:rPr>
          <w:rFonts w:ascii="宋体" w:hAnsi="宋体" w:eastAsia="宋体" w:cs="宋体"/>
          <w:color w:val="auto"/>
          <w:spacing w:val="-1"/>
          <w:sz w:val="24"/>
          <w:szCs w:val="24"/>
          <w:highlight w:val="none"/>
        </w:rPr>
        <w:t>始时间为合同工程中标</w:t>
      </w:r>
      <w:r>
        <w:rPr>
          <w:rFonts w:ascii="宋体" w:hAnsi="宋体" w:eastAsia="宋体" w:cs="宋体"/>
          <w:color w:val="auto"/>
          <w:sz w:val="24"/>
          <w:szCs w:val="24"/>
          <w:highlight w:val="none"/>
        </w:rPr>
        <w:t>通知书发出之日（不通过招标方式的，开始时间为合同签</w:t>
      </w:r>
      <w:r>
        <w:rPr>
          <w:rFonts w:ascii="宋体" w:hAnsi="宋体" w:eastAsia="宋体" w:cs="宋体"/>
          <w:color w:val="auto"/>
          <w:spacing w:val="-1"/>
          <w:sz w:val="24"/>
          <w:szCs w:val="24"/>
          <w:highlight w:val="none"/>
        </w:rPr>
        <w:t>订之日），结束时间为该</w:t>
      </w:r>
      <w:r>
        <w:rPr>
          <w:rFonts w:ascii="宋体" w:hAnsi="宋体" w:eastAsia="宋体" w:cs="宋体"/>
          <w:color w:val="auto"/>
          <w:spacing w:val="-3"/>
          <w:sz w:val="24"/>
          <w:szCs w:val="24"/>
          <w:highlight w:val="none"/>
        </w:rPr>
        <w:t>合同通过验收或合同解除之日。</w:t>
      </w:r>
    </w:p>
    <w:p w14:paraId="5C3DFD6A">
      <w:pPr>
        <w:spacing w:before="151" w:line="303" w:lineRule="auto"/>
        <w:ind w:left="8" w:right="27" w:firstLine="486"/>
        <w:rPr>
          <w:rFonts w:ascii="宋体" w:hAnsi="宋体" w:eastAsia="宋体" w:cs="宋体"/>
          <w:color w:val="auto"/>
          <w:sz w:val="24"/>
          <w:szCs w:val="24"/>
          <w:highlight w:val="none"/>
        </w:rPr>
      </w:pP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 xml:space="preserve">、投标人及法定代表人 </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4"/>
          <w:sz w:val="24"/>
          <w:szCs w:val="24"/>
          <w:highlight w:val="none"/>
        </w:rPr>
        <w:t>（</w:t>
      </w:r>
      <w:r>
        <w:rPr>
          <w:rFonts w:ascii="宋体" w:hAnsi="宋体" w:eastAsia="宋体" w:cs="宋体"/>
          <w:i/>
          <w:iCs/>
          <w:color w:val="auto"/>
          <w:spacing w:val="-4"/>
          <w:sz w:val="25"/>
          <w:szCs w:val="25"/>
          <w:highlight w:val="none"/>
        </w:rPr>
        <w:t>姓名</w:t>
      </w:r>
      <w:r>
        <w:rPr>
          <w:rFonts w:ascii="宋体" w:hAnsi="宋体" w:eastAsia="宋体" w:cs="宋体"/>
          <w:color w:val="auto"/>
          <w:spacing w:val="-12"/>
          <w:sz w:val="24"/>
          <w:szCs w:val="24"/>
          <w:highlight w:val="none"/>
        </w:rPr>
        <w:t>）（</w:t>
      </w:r>
      <w:r>
        <w:rPr>
          <w:rFonts w:ascii="宋体" w:hAnsi="宋体" w:eastAsia="宋体" w:cs="宋体"/>
          <w:color w:val="auto"/>
          <w:spacing w:val="-4"/>
          <w:sz w:val="24"/>
          <w:szCs w:val="24"/>
          <w:highlight w:val="none"/>
        </w:rPr>
        <w:t>身份</w:t>
      </w:r>
      <w:r>
        <w:rPr>
          <w:rFonts w:ascii="宋体" w:hAnsi="宋体" w:eastAsia="宋体" w:cs="宋体"/>
          <w:color w:val="auto"/>
          <w:spacing w:val="-5"/>
          <w:sz w:val="24"/>
          <w:szCs w:val="24"/>
          <w:highlight w:val="none"/>
        </w:rPr>
        <w:t>证号码</w:t>
      </w:r>
      <w:r>
        <w:rPr>
          <w:rFonts w:ascii="宋体" w:hAnsi="宋体" w:eastAsia="宋体" w:cs="宋体"/>
          <w:color w:val="auto"/>
          <w:spacing w:val="-12"/>
          <w:sz w:val="24"/>
          <w:szCs w:val="24"/>
          <w:highlight w:val="none"/>
        </w:rPr>
        <w:t>：</w:t>
      </w:r>
      <w:r>
        <w:rPr>
          <w:rFonts w:ascii="宋体" w:hAnsi="宋体" w:eastAsia="宋体" w:cs="宋体"/>
          <w:color w:val="auto"/>
          <w:spacing w:val="123"/>
          <w:sz w:val="24"/>
          <w:szCs w:val="24"/>
          <w:highlight w:val="none"/>
          <w:u w:val="single" w:color="auto"/>
        </w:rPr>
        <w:t xml:space="preserve"> </w:t>
      </w:r>
      <w:r>
        <w:rPr>
          <w:rFonts w:ascii="宋体" w:hAnsi="宋体" w:eastAsia="宋体" w:cs="宋体"/>
          <w:color w:val="auto"/>
          <w:spacing w:val="-12"/>
          <w:sz w:val="24"/>
          <w:szCs w:val="24"/>
          <w:highlight w:val="none"/>
          <w:u w:val="single" w:color="auto"/>
        </w:rPr>
        <w:t>（</w:t>
      </w:r>
      <w:r>
        <w:rPr>
          <w:rFonts w:ascii="宋体" w:hAnsi="宋体" w:eastAsia="宋体" w:cs="宋体"/>
          <w:color w:val="auto"/>
          <w:spacing w:val="-26"/>
          <w:sz w:val="24"/>
          <w:szCs w:val="24"/>
          <w:highlight w:val="none"/>
          <w:u w:val="single" w:color="auto"/>
        </w:rPr>
        <w:t xml:space="preserve"> </w:t>
      </w:r>
      <w:r>
        <w:rPr>
          <w:rFonts w:ascii="宋体" w:hAnsi="宋体" w:eastAsia="宋体" w:cs="宋体"/>
          <w:i/>
          <w:iCs/>
          <w:color w:val="auto"/>
          <w:spacing w:val="-5"/>
          <w:sz w:val="25"/>
          <w:szCs w:val="25"/>
          <w:highlight w:val="none"/>
          <w:u w:val="single" w:color="auto"/>
        </w:rPr>
        <w:t>如联合体投标，</w:t>
      </w:r>
      <w:r>
        <w:rPr>
          <w:rFonts w:ascii="宋体" w:hAnsi="宋体" w:eastAsia="宋体" w:cs="宋体"/>
          <w:i/>
          <w:iCs/>
          <w:color w:val="auto"/>
          <w:spacing w:val="-4"/>
          <w:sz w:val="25"/>
          <w:szCs w:val="25"/>
          <w:highlight w:val="none"/>
          <w:u w:val="single" w:color="auto"/>
        </w:rPr>
        <w:t>联合体各方均须填写</w:t>
      </w:r>
      <w:r>
        <w:rPr>
          <w:rFonts w:ascii="宋体" w:hAnsi="宋体" w:eastAsia="宋体" w:cs="宋体"/>
          <w:color w:val="auto"/>
          <w:spacing w:val="-18"/>
          <w:sz w:val="24"/>
          <w:szCs w:val="24"/>
          <w:highlight w:val="none"/>
          <w:u w:val="single" w:color="auto"/>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85"/>
          <w:sz w:val="24"/>
          <w:szCs w:val="24"/>
          <w:highlight w:val="none"/>
        </w:rPr>
        <w:t xml:space="preserve"> </w:t>
      </w:r>
      <w:r>
        <w:rPr>
          <w:rFonts w:ascii="宋体" w:hAnsi="宋体" w:eastAsia="宋体" w:cs="宋体"/>
          <w:color w:val="auto"/>
          <w:spacing w:val="-18"/>
          <w:sz w:val="24"/>
          <w:szCs w:val="24"/>
          <w:highlight w:val="none"/>
        </w:rPr>
        <w:t>）</w:t>
      </w:r>
      <w:r>
        <w:rPr>
          <w:rFonts w:ascii="宋体" w:hAnsi="宋体" w:eastAsia="宋体" w:cs="宋体"/>
          <w:color w:val="auto"/>
          <w:spacing w:val="-4"/>
          <w:sz w:val="24"/>
          <w:szCs w:val="24"/>
          <w:highlight w:val="none"/>
        </w:rPr>
        <w:t>、拟派本招标项目项目负责人自</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4"/>
          <w:sz w:val="24"/>
          <w:szCs w:val="24"/>
          <w:highlight w:val="none"/>
        </w:rPr>
        <w:t>年</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4"/>
          <w:sz w:val="24"/>
          <w:szCs w:val="24"/>
          <w:highlight w:val="none"/>
        </w:rPr>
        <w:t>月</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5"/>
          <w:sz w:val="24"/>
          <w:szCs w:val="24"/>
          <w:highlight w:val="none"/>
        </w:rPr>
        <w:t>日以</w:t>
      </w:r>
      <w:r>
        <w:rPr>
          <w:rFonts w:ascii="宋体" w:hAnsi="宋体" w:eastAsia="宋体" w:cs="宋体"/>
          <w:color w:val="auto"/>
          <w:sz w:val="24"/>
          <w:szCs w:val="24"/>
          <w:highlight w:val="none"/>
        </w:rPr>
        <w:t>来至投标截止时间，无行贿犯罪记录［以中国裁判文书网（</w:t>
      </w:r>
      <w:r>
        <w:rPr>
          <w:color w:val="auto"/>
          <w:highlight w:val="none"/>
        </w:rPr>
        <w:fldChar w:fldCharType="begin"/>
      </w:r>
      <w:r>
        <w:rPr>
          <w:color w:val="auto"/>
          <w:highlight w:val="none"/>
        </w:rPr>
        <w:instrText xml:space="preserve"> HYPERLINK "http://wenshu.court.gov.cn/" </w:instrText>
      </w:r>
      <w:r>
        <w:rPr>
          <w:color w:val="auto"/>
          <w:highlight w:val="none"/>
        </w:rPr>
        <w:fldChar w:fldCharType="separate"/>
      </w:r>
      <w:r>
        <w:rPr>
          <w:rFonts w:ascii="Times New Roman" w:hAnsi="Times New Roman" w:eastAsia="Times New Roman" w:cs="Times New Roman"/>
          <w:color w:val="auto"/>
          <w:sz w:val="24"/>
          <w:szCs w:val="24"/>
          <w:highlight w:val="none"/>
        </w:rPr>
        <w:t>http://wenshu.court.go</w:t>
      </w:r>
      <w:r>
        <w:rPr>
          <w:rFonts w:ascii="Times New Roman" w:hAnsi="Times New Roman" w:eastAsia="Times New Roman" w:cs="Times New Roman"/>
          <w:color w:val="auto"/>
          <w:spacing w:val="-1"/>
          <w:sz w:val="24"/>
          <w:szCs w:val="24"/>
          <w:highlight w:val="none"/>
        </w:rPr>
        <w:t>v.c</w:t>
      </w:r>
      <w:r>
        <w:rPr>
          <w:rFonts w:ascii="Times New Roman" w:hAnsi="Times New Roman" w:eastAsia="Times New Roman" w:cs="Times New Roman"/>
          <w:color w:val="auto"/>
          <w:spacing w:val="-1"/>
          <w:sz w:val="24"/>
          <w:szCs w:val="24"/>
          <w:highlight w:val="none"/>
        </w:rPr>
        <w:fldChar w:fldCharType="end"/>
      </w:r>
      <w:r>
        <w:rPr>
          <w:rFonts w:ascii="Times New Roman" w:hAnsi="Times New Roman" w:eastAsia="Times New Roman" w:cs="Times New Roman"/>
          <w:color w:val="auto"/>
          <w:sz w:val="24"/>
          <w:szCs w:val="24"/>
          <w:highlight w:val="none"/>
        </w:rPr>
        <w:t xml:space="preserve"> </w:t>
      </w:r>
      <w:r>
        <w:rPr>
          <w:color w:val="auto"/>
          <w:highlight w:val="none"/>
        </w:rPr>
        <w:fldChar w:fldCharType="begin"/>
      </w:r>
      <w:r>
        <w:rPr>
          <w:color w:val="auto"/>
          <w:highlight w:val="none"/>
        </w:rPr>
        <w:instrText xml:space="preserve"> HYPERLINK "http://wenshu.court.gov.cn/" </w:instrText>
      </w:r>
      <w:r>
        <w:rPr>
          <w:color w:val="auto"/>
          <w:highlight w:val="none"/>
        </w:rPr>
        <w:fldChar w:fldCharType="separate"/>
      </w:r>
      <w:r>
        <w:rPr>
          <w:rFonts w:ascii="Times New Roman" w:hAnsi="Times New Roman" w:eastAsia="Times New Roman" w:cs="Times New Roman"/>
          <w:color w:val="auto"/>
          <w:spacing w:val="-2"/>
          <w:sz w:val="24"/>
          <w:szCs w:val="24"/>
          <w:highlight w:val="none"/>
        </w:rPr>
        <w:t>n/</w:t>
      </w:r>
      <w:r>
        <w:rPr>
          <w:rFonts w:ascii="Times New Roman" w:hAnsi="Times New Roman" w:eastAsia="Times New Roman" w:cs="Times New Roman"/>
          <w:color w:val="auto"/>
          <w:spacing w:val="-2"/>
          <w:sz w:val="24"/>
          <w:szCs w:val="24"/>
          <w:highlight w:val="none"/>
        </w:rPr>
        <w:fldChar w:fldCharType="end"/>
      </w:r>
      <w:r>
        <w:rPr>
          <w:rFonts w:ascii="宋体" w:hAnsi="宋体" w:eastAsia="宋体" w:cs="宋体"/>
          <w:color w:val="auto"/>
          <w:spacing w:val="-2"/>
          <w:sz w:val="24"/>
          <w:szCs w:val="24"/>
          <w:highlight w:val="none"/>
        </w:rPr>
        <w:t>）查询结果为准］。</w:t>
      </w:r>
    </w:p>
    <w:p w14:paraId="7508E6D3">
      <w:pPr>
        <w:spacing w:before="155" w:line="275" w:lineRule="auto"/>
        <w:ind w:right="267" w:firstLine="499"/>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3</w:t>
      </w:r>
      <w:r>
        <w:rPr>
          <w:rFonts w:ascii="Times New Roman" w:hAnsi="Times New Roman" w:eastAsia="Times New Roman" w:cs="Times New Roman"/>
          <w:color w:val="auto"/>
          <w:spacing w:val="-34"/>
          <w:sz w:val="24"/>
          <w:szCs w:val="24"/>
          <w:highlight w:val="none"/>
        </w:rPr>
        <w:t xml:space="preserve"> </w:t>
      </w:r>
      <w:r>
        <w:rPr>
          <w:rFonts w:ascii="宋体" w:hAnsi="宋体" w:eastAsia="宋体" w:cs="宋体"/>
          <w:color w:val="auto"/>
          <w:spacing w:val="-1"/>
          <w:sz w:val="24"/>
          <w:szCs w:val="24"/>
          <w:highlight w:val="none"/>
        </w:rPr>
        <w:t>、投标人及其法定代表人、拟派项目负责人未被列入失信被执行人名</w:t>
      </w:r>
      <w:r>
        <w:rPr>
          <w:rFonts w:ascii="宋体" w:hAnsi="宋体" w:eastAsia="宋体" w:cs="宋体"/>
          <w:color w:val="auto"/>
          <w:spacing w:val="-2"/>
          <w:sz w:val="24"/>
          <w:szCs w:val="24"/>
          <w:highlight w:val="none"/>
        </w:rPr>
        <w:t>单［以</w:t>
      </w:r>
      <w:r>
        <w:rPr>
          <w:rFonts w:ascii="宋体" w:hAnsi="宋体" w:eastAsia="宋体" w:cs="宋体"/>
          <w:color w:val="auto"/>
          <w:sz w:val="24"/>
          <w:szCs w:val="24"/>
          <w:highlight w:val="none"/>
        </w:rPr>
        <w:t>“信用中国”网站（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ascii="Times New Roman" w:hAnsi="Times New Roman" w:eastAsia="Times New Roman" w:cs="Times New Roman"/>
          <w:color w:val="auto"/>
          <w:sz w:val="24"/>
          <w:szCs w:val="24"/>
          <w:highlight w:val="none"/>
        </w:rPr>
        <w:t>www.creditchina.gov.cn</w:t>
      </w:r>
      <w:r>
        <w:rPr>
          <w:rFonts w:ascii="Times New Roman" w:hAnsi="Times New Roman" w:eastAsia="Times New Roman" w:cs="Times New Roman"/>
          <w:color w:val="auto"/>
          <w:sz w:val="24"/>
          <w:szCs w:val="24"/>
          <w:highlight w:val="none"/>
        </w:rPr>
        <w:fldChar w:fldCharType="end"/>
      </w:r>
      <w:r>
        <w:rPr>
          <w:rFonts w:ascii="宋体" w:hAnsi="宋体" w:eastAsia="宋体" w:cs="宋体"/>
          <w:color w:val="auto"/>
          <w:sz w:val="24"/>
          <w:szCs w:val="24"/>
          <w:highlight w:val="none"/>
        </w:rPr>
        <w:t>）查询为准］。</w:t>
      </w:r>
    </w:p>
    <w:p w14:paraId="78DD791C">
      <w:pPr>
        <w:spacing w:before="162" w:line="280" w:lineRule="auto"/>
        <w:ind w:left="20" w:right="27" w:firstLine="473"/>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4</w:t>
      </w:r>
      <w:r>
        <w:rPr>
          <w:rFonts w:ascii="Times New Roman" w:hAnsi="Times New Roman" w:eastAsia="Times New Roman" w:cs="Times New Roman"/>
          <w:color w:val="auto"/>
          <w:spacing w:val="-30"/>
          <w:sz w:val="24"/>
          <w:szCs w:val="24"/>
          <w:highlight w:val="none"/>
        </w:rPr>
        <w:t xml:space="preserve"> </w:t>
      </w:r>
      <w:r>
        <w:rPr>
          <w:rFonts w:ascii="宋体" w:hAnsi="宋体" w:eastAsia="宋体" w:cs="宋体"/>
          <w:color w:val="auto"/>
          <w:spacing w:val="-1"/>
          <w:sz w:val="24"/>
          <w:szCs w:val="24"/>
          <w:highlight w:val="none"/>
        </w:rPr>
        <w:t>、投标人资质条件在“浙江省建筑市场监管公共服务系统”上动态核查结果处</w:t>
      </w:r>
      <w:r>
        <w:rPr>
          <w:rFonts w:ascii="宋体" w:hAnsi="宋体" w:eastAsia="宋体" w:cs="宋体"/>
          <w:color w:val="auto"/>
          <w:spacing w:val="-6"/>
          <w:sz w:val="24"/>
          <w:szCs w:val="24"/>
          <w:highlight w:val="none"/>
        </w:rPr>
        <w:t>于“合格”状态。</w:t>
      </w:r>
    </w:p>
    <w:p w14:paraId="57E8F76B">
      <w:pPr>
        <w:spacing w:before="154" w:line="219" w:lineRule="auto"/>
        <w:ind w:left="501"/>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5</w:t>
      </w:r>
      <w:r>
        <w:rPr>
          <w:rFonts w:ascii="Times New Roman" w:hAnsi="Times New Roman" w:eastAsia="Times New Roman" w:cs="Times New Roman"/>
          <w:color w:val="auto"/>
          <w:spacing w:val="-22"/>
          <w:sz w:val="24"/>
          <w:szCs w:val="24"/>
          <w:highlight w:val="none"/>
        </w:rPr>
        <w:t xml:space="preserve"> </w:t>
      </w:r>
      <w:r>
        <w:rPr>
          <w:rFonts w:ascii="宋体" w:hAnsi="宋体" w:eastAsia="宋体" w:cs="宋体"/>
          <w:color w:val="auto"/>
          <w:spacing w:val="-3"/>
          <w:sz w:val="24"/>
          <w:szCs w:val="24"/>
          <w:highlight w:val="none"/>
        </w:rPr>
        <w:t>、投标人及拟派项目负责人未被行政主管部门限制参加投标。</w:t>
      </w:r>
    </w:p>
    <w:p w14:paraId="12979453">
      <w:pPr>
        <w:spacing w:before="155" w:line="299" w:lineRule="auto"/>
        <w:ind w:left="17" w:right="3" w:firstLine="482"/>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6</w:t>
      </w:r>
      <w:r>
        <w:rPr>
          <w:rFonts w:ascii="宋体" w:hAnsi="宋体" w:eastAsia="宋体" w:cs="宋体"/>
          <w:color w:val="auto"/>
          <w:sz w:val="24"/>
          <w:szCs w:val="24"/>
          <w:highlight w:val="none"/>
        </w:rPr>
        <w:t>、投标文件无虚假、伪造的内容。若投标文件中存在虚假、伪造的内容，同意</w:t>
      </w:r>
      <w:r>
        <w:rPr>
          <w:rFonts w:ascii="宋体" w:hAnsi="宋体" w:eastAsia="宋体" w:cs="宋体"/>
          <w:color w:val="auto"/>
          <w:spacing w:val="-3"/>
          <w:sz w:val="24"/>
          <w:szCs w:val="24"/>
          <w:highlight w:val="none"/>
        </w:rPr>
        <w:t>作无效投标处理，投标保证金并不予退还；若中标之后被查实弄虚作假，同意取消中标资格，投标保证金并不予退还。</w:t>
      </w:r>
    </w:p>
    <w:p w14:paraId="68C50FDE">
      <w:pPr>
        <w:spacing w:before="155" w:line="299" w:lineRule="auto"/>
        <w:ind w:left="17" w:right="3" w:firstLine="482"/>
        <w:rPr>
          <w:rFonts w:ascii="宋体" w:hAnsi="宋体" w:eastAsia="宋体" w:cs="宋体"/>
          <w:color w:val="auto"/>
          <w:sz w:val="24"/>
          <w:szCs w:val="24"/>
          <w:highlight w:val="none"/>
          <w:u w:val="single"/>
        </w:rPr>
      </w:pPr>
      <w:r>
        <w:rPr>
          <w:rFonts w:ascii="Times New Roman" w:hAnsi="Times New Roman" w:eastAsia="Times New Roman" w:cs="Times New Roman"/>
          <w:color w:val="auto"/>
          <w:spacing w:val="-15"/>
          <w:sz w:val="24"/>
          <w:szCs w:val="24"/>
          <w:highlight w:val="none"/>
        </w:rPr>
        <w:t>7</w:t>
      </w:r>
      <w:r>
        <w:rPr>
          <w:rFonts w:ascii="Times New Roman" w:hAnsi="Times New Roman" w:eastAsia="Times New Roman" w:cs="Times New Roman"/>
          <w:color w:val="auto"/>
          <w:spacing w:val="-34"/>
          <w:sz w:val="24"/>
          <w:szCs w:val="24"/>
          <w:highlight w:val="none"/>
        </w:rPr>
        <w:t xml:space="preserve"> </w:t>
      </w:r>
      <w:r>
        <w:rPr>
          <w:rFonts w:ascii="宋体" w:hAnsi="宋体" w:eastAsia="宋体" w:cs="宋体"/>
          <w:color w:val="auto"/>
          <w:spacing w:val="-15"/>
          <w:sz w:val="24"/>
          <w:szCs w:val="24"/>
          <w:highlight w:val="none"/>
        </w:rPr>
        <w:t>、其他</w:t>
      </w:r>
      <w:r>
        <w:rPr>
          <w:rFonts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u w:val="single"/>
        </w:rPr>
        <w:t>①承诺我单位在投标前，及时维护更新“浙江省建筑市场监管公共服务系统”相关信息，并对企业资质、人员资格、项目状况、信用评价等信息的真实性、准确性、完整性负责。 ②承诺我单位在投标期间（招标公告发布之日至中标通知书发出之日），资质条件在“浙江省建筑市场监管公共服务系统”上动态核查结果处于“合格”状态，若为“不合格”状态同意作否决投标处理或取消中标资格。</w:t>
      </w:r>
      <w:r>
        <w:rPr>
          <w:rFonts w:ascii="宋体" w:hAnsi="宋体" w:eastAsia="宋体" w:cs="宋体"/>
          <w:color w:val="auto"/>
          <w:sz w:val="24"/>
          <w:szCs w:val="24"/>
          <w:highlight w:val="none"/>
          <w:u w:val="single"/>
        </w:rPr>
        <w:t xml:space="preserve">  </w:t>
      </w:r>
    </w:p>
    <w:p w14:paraId="57283DE5">
      <w:pPr>
        <w:spacing w:before="155" w:line="310" w:lineRule="auto"/>
        <w:ind w:left="17" w:right="147" w:firstLine="508"/>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以上情况如有不实，愿意被取消中标资格并上报行政主管部门，由行</w:t>
      </w:r>
      <w:r>
        <w:rPr>
          <w:rFonts w:ascii="宋体" w:hAnsi="宋体" w:eastAsia="宋体" w:cs="宋体"/>
          <w:color w:val="auto"/>
          <w:spacing w:val="-2"/>
          <w:sz w:val="24"/>
          <w:szCs w:val="24"/>
          <w:highlight w:val="none"/>
        </w:rPr>
        <w:t>政主管部</w:t>
      </w:r>
      <w:r>
        <w:rPr>
          <w:rFonts w:ascii="宋体" w:hAnsi="宋体" w:eastAsia="宋体" w:cs="宋体"/>
          <w:color w:val="auto"/>
          <w:sz w:val="24"/>
          <w:szCs w:val="24"/>
          <w:highlight w:val="none"/>
        </w:rPr>
        <w:t>门列入不良行为记录；招标人可不退还投标保证金。给</w:t>
      </w:r>
      <w:r>
        <w:rPr>
          <w:rFonts w:ascii="宋体" w:hAnsi="宋体" w:eastAsia="宋体" w:cs="宋体"/>
          <w:color w:val="auto"/>
          <w:spacing w:val="-1"/>
          <w:sz w:val="24"/>
          <w:szCs w:val="24"/>
          <w:highlight w:val="none"/>
        </w:rPr>
        <w:t>招标人造成损失的，愿意依</w:t>
      </w:r>
      <w:r>
        <w:rPr>
          <w:rFonts w:ascii="宋体" w:hAnsi="宋体" w:eastAsia="宋体" w:cs="宋体"/>
          <w:color w:val="auto"/>
          <w:spacing w:val="-5"/>
          <w:sz w:val="24"/>
          <w:szCs w:val="24"/>
          <w:highlight w:val="none"/>
        </w:rPr>
        <w:t>法承担赔偿责任。</w:t>
      </w:r>
    </w:p>
    <w:p w14:paraId="65BF33AF">
      <w:pPr>
        <w:spacing w:before="1" w:line="218" w:lineRule="auto"/>
        <w:ind w:left="45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附：法定代表人及拟派项目负责人身份证复制件（双面）</w:t>
      </w:r>
    </w:p>
    <w:p w14:paraId="11C0208F">
      <w:pPr>
        <w:spacing w:before="181" w:line="219" w:lineRule="auto"/>
        <w:ind w:left="421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w:t>
      </w:r>
      <w:r>
        <w:rPr>
          <w:rFonts w:ascii="宋体" w:hAnsi="宋体" w:eastAsia="宋体" w:cs="宋体"/>
          <w:color w:val="auto"/>
          <w:spacing w:val="2"/>
          <w:sz w:val="24"/>
          <w:szCs w:val="24"/>
          <w:highlight w:val="none"/>
        </w:rPr>
        <w:t>：</w:t>
      </w:r>
      <w:r>
        <w:rPr>
          <w:rFonts w:ascii="宋体" w:hAnsi="宋体" w:eastAsia="宋体" w:cs="宋体"/>
          <w:color w:val="auto"/>
          <w:spacing w:val="15"/>
          <w:sz w:val="24"/>
          <w:szCs w:val="24"/>
          <w:highlight w:val="none"/>
          <w:u w:val="single" w:color="auto"/>
        </w:rPr>
        <w:t xml:space="preserve">        </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2"/>
          <w:sz w:val="24"/>
          <w:szCs w:val="24"/>
          <w:highlight w:val="none"/>
          <w:u w:val="single" w:color="auto"/>
        </w:rPr>
        <w:t>盖单位公章）</w:t>
      </w:r>
      <w:r>
        <w:rPr>
          <w:rFonts w:ascii="宋体" w:hAnsi="宋体" w:eastAsia="宋体" w:cs="宋体"/>
          <w:color w:val="auto"/>
          <w:sz w:val="24"/>
          <w:szCs w:val="24"/>
          <w:highlight w:val="none"/>
          <w:u w:val="single" w:color="auto"/>
        </w:rPr>
        <w:t xml:space="preserve">       </w:t>
      </w:r>
    </w:p>
    <w:p w14:paraId="0E619689">
      <w:pPr>
        <w:tabs>
          <w:tab w:val="left" w:pos="7115"/>
        </w:tabs>
        <w:spacing w:before="183" w:line="220" w:lineRule="auto"/>
        <w:ind w:left="6516"/>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26"/>
          <w:sz w:val="24"/>
          <w:szCs w:val="24"/>
          <w:highlight w:val="none"/>
        </w:rPr>
        <w:t>年</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26"/>
          <w:sz w:val="24"/>
          <w:szCs w:val="24"/>
          <w:highlight w:val="none"/>
        </w:rPr>
        <w:t>月</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26"/>
          <w:sz w:val="24"/>
          <w:szCs w:val="24"/>
          <w:highlight w:val="none"/>
        </w:rPr>
        <w:t>日</w:t>
      </w:r>
    </w:p>
    <w:p w14:paraId="196F3ABF">
      <w:pPr>
        <w:spacing w:line="220" w:lineRule="auto"/>
        <w:rPr>
          <w:rFonts w:ascii="宋体" w:hAnsi="宋体" w:eastAsia="宋体" w:cs="宋体"/>
          <w:color w:val="auto"/>
          <w:sz w:val="24"/>
          <w:szCs w:val="24"/>
          <w:highlight w:val="none"/>
        </w:rPr>
        <w:sectPr>
          <w:footerReference r:id="rId146" w:type="default"/>
          <w:pgSz w:w="11907" w:h="16841"/>
          <w:pgMar w:top="400" w:right="1527" w:bottom="1254" w:left="1581" w:header="0" w:footer="1093" w:gutter="0"/>
          <w:pgNumType w:fmt="decimal"/>
          <w:cols w:space="720" w:num="1"/>
        </w:sectPr>
      </w:pPr>
    </w:p>
    <w:p w14:paraId="0D4B2434">
      <w:pPr>
        <w:pStyle w:val="3"/>
        <w:spacing w:line="248" w:lineRule="auto"/>
        <w:rPr>
          <w:color w:val="auto"/>
          <w:highlight w:val="none"/>
        </w:rPr>
      </w:pPr>
    </w:p>
    <w:p w14:paraId="5FE2C4F8">
      <w:pPr>
        <w:pStyle w:val="3"/>
        <w:spacing w:line="248" w:lineRule="auto"/>
        <w:rPr>
          <w:color w:val="auto"/>
          <w:highlight w:val="none"/>
        </w:rPr>
      </w:pPr>
    </w:p>
    <w:p w14:paraId="056ED3C4">
      <w:pPr>
        <w:pStyle w:val="3"/>
        <w:spacing w:line="248" w:lineRule="auto"/>
        <w:rPr>
          <w:color w:val="auto"/>
          <w:highlight w:val="none"/>
        </w:rPr>
      </w:pPr>
    </w:p>
    <w:p w14:paraId="7CCAFE62">
      <w:pPr>
        <w:pStyle w:val="3"/>
        <w:spacing w:line="248" w:lineRule="auto"/>
        <w:rPr>
          <w:color w:val="auto"/>
          <w:highlight w:val="none"/>
        </w:rPr>
      </w:pPr>
    </w:p>
    <w:p w14:paraId="1DEF0A5F">
      <w:pPr>
        <w:spacing w:before="78" w:line="363" w:lineRule="auto"/>
        <w:ind w:right="150" w:firstLine="1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附无行贿犯罪、失信被执行人名单查询截图（查询时间应在招标公告发布后投标截</w:t>
      </w:r>
      <w:r>
        <w:rPr>
          <w:rFonts w:ascii="宋体" w:hAnsi="宋体" w:eastAsia="宋体" w:cs="宋体"/>
          <w:color w:val="auto"/>
          <w:spacing w:val="-3"/>
          <w:sz w:val="24"/>
          <w:szCs w:val="24"/>
          <w:highlight w:val="none"/>
        </w:rPr>
        <w:t>止时间前）</w:t>
      </w:r>
    </w:p>
    <w:p w14:paraId="40E03CED">
      <w:pPr>
        <w:spacing w:line="363" w:lineRule="auto"/>
        <w:rPr>
          <w:rFonts w:ascii="宋体" w:hAnsi="宋体" w:eastAsia="宋体" w:cs="宋体"/>
          <w:color w:val="auto"/>
          <w:sz w:val="24"/>
          <w:szCs w:val="24"/>
          <w:highlight w:val="none"/>
        </w:rPr>
        <w:sectPr>
          <w:footerReference r:id="rId147" w:type="default"/>
          <w:pgSz w:w="11907" w:h="16841"/>
          <w:pgMar w:top="400" w:right="1527" w:bottom="1254" w:left="1599" w:header="0" w:footer="1093" w:gutter="0"/>
          <w:pgNumType w:fmt="decimal"/>
          <w:cols w:space="720" w:num="1"/>
        </w:sectPr>
      </w:pPr>
    </w:p>
    <w:p w14:paraId="492CAB9B">
      <w:pPr>
        <w:pStyle w:val="3"/>
        <w:rPr>
          <w:color w:val="auto"/>
          <w:highlight w:val="none"/>
        </w:rPr>
      </w:pPr>
    </w:p>
    <w:p w14:paraId="1ACFC12A">
      <w:pPr>
        <w:pStyle w:val="3"/>
        <w:rPr>
          <w:color w:val="auto"/>
          <w:highlight w:val="none"/>
        </w:rPr>
      </w:pPr>
    </w:p>
    <w:p w14:paraId="3A7C4D85">
      <w:pPr>
        <w:pStyle w:val="3"/>
        <w:spacing w:line="241" w:lineRule="auto"/>
        <w:rPr>
          <w:color w:val="auto"/>
          <w:highlight w:val="none"/>
        </w:rPr>
      </w:pPr>
    </w:p>
    <w:p w14:paraId="09E6FB18">
      <w:pPr>
        <w:pStyle w:val="3"/>
        <w:spacing w:line="241" w:lineRule="auto"/>
        <w:rPr>
          <w:color w:val="auto"/>
          <w:highlight w:val="none"/>
        </w:rPr>
      </w:pPr>
    </w:p>
    <w:p w14:paraId="4E973FA1">
      <w:pPr>
        <w:spacing w:before="139" w:line="223" w:lineRule="auto"/>
        <w:ind w:left="2015"/>
        <w:rPr>
          <w:rFonts w:ascii="宋体" w:hAnsi="宋体" w:eastAsia="宋体" w:cs="宋体"/>
          <w:strike/>
          <w:dstrike w:val="0"/>
          <w:color w:val="auto"/>
          <w:sz w:val="43"/>
          <w:szCs w:val="43"/>
          <w:highlight w:val="none"/>
        </w:rPr>
      </w:pPr>
      <w:r>
        <w:rPr>
          <w:rFonts w:ascii="宋体" w:hAnsi="宋体" w:eastAsia="宋体" w:cs="宋体"/>
          <w:b/>
          <w:bCs/>
          <w:strike/>
          <w:dstrike w:val="0"/>
          <w:color w:val="auto"/>
          <w:sz w:val="43"/>
          <w:szCs w:val="43"/>
          <w:highlight w:val="none"/>
        </w:rPr>
        <w:t>中小企业声明函（若有）</w:t>
      </w:r>
    </w:p>
    <w:p w14:paraId="3BFE14E4">
      <w:pPr>
        <w:pStyle w:val="3"/>
        <w:spacing w:line="344" w:lineRule="auto"/>
        <w:rPr>
          <w:strike/>
          <w:dstrike w:val="0"/>
          <w:color w:val="auto"/>
          <w:highlight w:val="none"/>
        </w:rPr>
      </w:pPr>
    </w:p>
    <w:p w14:paraId="54747BF6">
      <w:pPr>
        <w:pStyle w:val="3"/>
        <w:spacing w:line="344" w:lineRule="auto"/>
        <w:rPr>
          <w:strike/>
          <w:dstrike w:val="0"/>
          <w:color w:val="auto"/>
          <w:highlight w:val="none"/>
        </w:rPr>
      </w:pPr>
    </w:p>
    <w:p w14:paraId="4CA4BF32">
      <w:pPr>
        <w:spacing w:before="78" w:line="219" w:lineRule="auto"/>
        <w:ind w:left="642"/>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本公司（联合体）郑重声明，根据《政府采购</w:t>
      </w:r>
      <w:r>
        <w:rPr>
          <w:rFonts w:ascii="宋体" w:hAnsi="宋体" w:eastAsia="宋体" w:cs="宋体"/>
          <w:strike/>
          <w:dstrike w:val="0"/>
          <w:color w:val="auto"/>
          <w:spacing w:val="-1"/>
          <w:sz w:val="24"/>
          <w:szCs w:val="24"/>
          <w:highlight w:val="none"/>
        </w:rPr>
        <w:t>促进中小企业发展管理办</w:t>
      </w:r>
    </w:p>
    <w:p w14:paraId="0FA70F03">
      <w:pPr>
        <w:spacing w:before="182" w:line="354" w:lineRule="auto"/>
        <w:ind w:left="2" w:right="416" w:hanging="1"/>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法》（财库﹝</w:t>
      </w:r>
      <w:r>
        <w:rPr>
          <w:rFonts w:ascii="Times New Roman" w:hAnsi="Times New Roman" w:eastAsia="Times New Roman" w:cs="Times New Roman"/>
          <w:strike/>
          <w:dstrike w:val="0"/>
          <w:color w:val="auto"/>
          <w:sz w:val="24"/>
          <w:szCs w:val="24"/>
          <w:highlight w:val="none"/>
        </w:rPr>
        <w:t>2020</w:t>
      </w:r>
      <w:r>
        <w:rPr>
          <w:rFonts w:ascii="宋体" w:hAnsi="宋体" w:eastAsia="宋体" w:cs="宋体"/>
          <w:strike/>
          <w:dstrike w:val="0"/>
          <w:color w:val="auto"/>
          <w:sz w:val="24"/>
          <w:szCs w:val="24"/>
          <w:highlight w:val="none"/>
        </w:rPr>
        <w:t>﹞</w:t>
      </w:r>
      <w:r>
        <w:rPr>
          <w:rFonts w:ascii="Times New Roman" w:hAnsi="Times New Roman" w:eastAsia="Times New Roman" w:cs="Times New Roman"/>
          <w:strike/>
          <w:dstrike w:val="0"/>
          <w:color w:val="auto"/>
          <w:sz w:val="24"/>
          <w:szCs w:val="24"/>
          <w:highlight w:val="none"/>
        </w:rPr>
        <w:t xml:space="preserve">46  </w:t>
      </w:r>
      <w:r>
        <w:rPr>
          <w:rFonts w:ascii="宋体" w:hAnsi="宋体" w:eastAsia="宋体" w:cs="宋体"/>
          <w:strike/>
          <w:dstrike w:val="0"/>
          <w:color w:val="auto"/>
          <w:sz w:val="24"/>
          <w:szCs w:val="24"/>
          <w:highlight w:val="none"/>
        </w:rPr>
        <w:t>号）的规</w:t>
      </w:r>
      <w:r>
        <w:rPr>
          <w:rFonts w:ascii="宋体" w:hAnsi="宋体" w:eastAsia="宋体" w:cs="宋体"/>
          <w:strike/>
          <w:dstrike w:val="0"/>
          <w:color w:val="auto"/>
          <w:spacing w:val="-1"/>
          <w:sz w:val="24"/>
          <w:szCs w:val="24"/>
          <w:highlight w:val="none"/>
        </w:rPr>
        <w:t>定，本公司（联合体）参加</w:t>
      </w:r>
      <w:r>
        <w:rPr>
          <w:rFonts w:ascii="宋体" w:hAnsi="宋体" w:eastAsia="宋体" w:cs="宋体"/>
          <w:strike/>
          <w:dstrike w:val="0"/>
          <w:color w:val="auto"/>
          <w:spacing w:val="5"/>
          <w:sz w:val="24"/>
          <w:szCs w:val="24"/>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i/>
          <w:iCs/>
          <w:strike/>
          <w:dstrike w:val="0"/>
          <w:color w:val="auto"/>
          <w:spacing w:val="-2"/>
          <w:sz w:val="25"/>
          <w:szCs w:val="25"/>
          <w:highlight w:val="none"/>
        </w:rPr>
        <w:t>单位名称</w:t>
      </w:r>
      <w:r>
        <w:rPr>
          <w:rFonts w:ascii="宋体" w:hAnsi="宋体" w:eastAsia="宋体" w:cs="宋体"/>
          <w:strike/>
          <w:dstrike w:val="0"/>
          <w:color w:val="auto"/>
          <w:spacing w:val="-2"/>
          <w:sz w:val="24"/>
          <w:szCs w:val="24"/>
          <w:highlight w:val="none"/>
        </w:rPr>
        <w:t xml:space="preserve">）的 </w:t>
      </w:r>
      <w:r>
        <w:rPr>
          <w:rFonts w:ascii="宋体" w:hAnsi="宋体" w:eastAsia="宋体" w:cs="宋体"/>
          <w:strike/>
          <w:dstrike w:val="0"/>
          <w:color w:val="auto"/>
          <w:spacing w:val="-2"/>
          <w:sz w:val="24"/>
          <w:szCs w:val="24"/>
          <w:highlight w:val="none"/>
          <w:u w:val="single" w:color="auto"/>
        </w:rPr>
        <w:t xml:space="preserve">         </w:t>
      </w:r>
      <w:r>
        <w:rPr>
          <w:rFonts w:ascii="宋体" w:hAnsi="宋体" w:eastAsia="宋体" w:cs="宋体"/>
          <w:strike/>
          <w:dstrike w:val="0"/>
          <w:color w:val="auto"/>
          <w:spacing w:val="-2"/>
          <w:sz w:val="24"/>
          <w:szCs w:val="24"/>
          <w:highlight w:val="none"/>
        </w:rPr>
        <w:t>（</w:t>
      </w:r>
      <w:r>
        <w:rPr>
          <w:rFonts w:ascii="宋体" w:hAnsi="宋体" w:eastAsia="宋体" w:cs="宋体"/>
          <w:i/>
          <w:iCs/>
          <w:strike/>
          <w:dstrike w:val="0"/>
          <w:color w:val="auto"/>
          <w:spacing w:val="-2"/>
          <w:sz w:val="25"/>
          <w:szCs w:val="25"/>
          <w:highlight w:val="none"/>
        </w:rPr>
        <w:t>项目名称</w:t>
      </w:r>
      <w:r>
        <w:rPr>
          <w:rFonts w:ascii="宋体" w:hAnsi="宋体" w:eastAsia="宋体" w:cs="宋体"/>
          <w:strike/>
          <w:dstrike w:val="0"/>
          <w:color w:val="auto"/>
          <w:spacing w:val="-28"/>
          <w:sz w:val="24"/>
          <w:szCs w:val="24"/>
          <w:highlight w:val="none"/>
        </w:rPr>
        <w:t>）</w:t>
      </w:r>
      <w:r>
        <w:rPr>
          <w:rFonts w:ascii="宋体" w:hAnsi="宋体" w:eastAsia="宋体" w:cs="宋体"/>
          <w:strike/>
          <w:dstrike w:val="0"/>
          <w:color w:val="auto"/>
          <w:spacing w:val="20"/>
          <w:sz w:val="24"/>
          <w:szCs w:val="24"/>
          <w:highlight w:val="none"/>
          <w:u w:val="single" w:color="auto"/>
        </w:rPr>
        <w:t xml:space="preserve">      </w:t>
      </w:r>
      <w:r>
        <w:rPr>
          <w:rFonts w:ascii="宋体" w:hAnsi="宋体" w:eastAsia="宋体" w:cs="宋体"/>
          <w:strike/>
          <w:dstrike w:val="0"/>
          <w:color w:val="auto"/>
          <w:spacing w:val="-28"/>
          <w:sz w:val="24"/>
          <w:szCs w:val="24"/>
          <w:highlight w:val="none"/>
        </w:rPr>
        <w:t>（</w:t>
      </w:r>
      <w:r>
        <w:rPr>
          <w:rFonts w:ascii="宋体" w:hAnsi="宋体" w:eastAsia="宋体" w:cs="宋体"/>
          <w:i/>
          <w:iCs/>
          <w:strike/>
          <w:dstrike w:val="0"/>
          <w:color w:val="auto"/>
          <w:spacing w:val="-2"/>
          <w:sz w:val="25"/>
          <w:szCs w:val="25"/>
          <w:highlight w:val="none"/>
        </w:rPr>
        <w:t>标</w:t>
      </w:r>
      <w:r>
        <w:rPr>
          <w:rFonts w:ascii="宋体" w:hAnsi="宋体" w:eastAsia="宋体" w:cs="宋体"/>
          <w:i/>
          <w:iCs/>
          <w:strike/>
          <w:dstrike w:val="0"/>
          <w:color w:val="auto"/>
          <w:spacing w:val="-3"/>
          <w:sz w:val="25"/>
          <w:szCs w:val="25"/>
          <w:highlight w:val="none"/>
        </w:rPr>
        <w:t>段名称</w:t>
      </w:r>
      <w:r>
        <w:rPr>
          <w:rFonts w:ascii="宋体" w:hAnsi="宋体" w:eastAsia="宋体" w:cs="宋体"/>
          <w:strike/>
          <w:dstrike w:val="0"/>
          <w:color w:val="auto"/>
          <w:spacing w:val="-3"/>
          <w:sz w:val="24"/>
          <w:szCs w:val="24"/>
          <w:highlight w:val="none"/>
        </w:rPr>
        <w:t>）投标，工程的施</w:t>
      </w:r>
      <w:r>
        <w:rPr>
          <w:rFonts w:ascii="宋体" w:hAnsi="宋体" w:eastAsia="宋体" w:cs="宋体"/>
          <w:strike/>
          <w:dstrike w:val="0"/>
          <w:color w:val="auto"/>
          <w:sz w:val="24"/>
          <w:szCs w:val="24"/>
          <w:highlight w:val="none"/>
        </w:rPr>
        <w:t>工单位全部为符合政策要求的中小企业）。相</w:t>
      </w:r>
      <w:r>
        <w:rPr>
          <w:rFonts w:ascii="宋体" w:hAnsi="宋体" w:eastAsia="宋体" w:cs="宋体"/>
          <w:strike/>
          <w:dstrike w:val="0"/>
          <w:color w:val="auto"/>
          <w:spacing w:val="-1"/>
          <w:sz w:val="24"/>
          <w:szCs w:val="24"/>
          <w:highlight w:val="none"/>
        </w:rPr>
        <w:t>关企业（含联合体中的中小企</w:t>
      </w:r>
    </w:p>
    <w:p w14:paraId="1A42EF7D">
      <w:pPr>
        <w:spacing w:before="1" w:line="220" w:lineRule="auto"/>
        <w:rPr>
          <w:rFonts w:ascii="宋体" w:hAnsi="宋体" w:eastAsia="宋体" w:cs="宋体"/>
          <w:strike/>
          <w:dstrike w:val="0"/>
          <w:color w:val="auto"/>
          <w:sz w:val="24"/>
          <w:szCs w:val="24"/>
          <w:highlight w:val="none"/>
        </w:rPr>
      </w:pPr>
      <w:r>
        <w:rPr>
          <w:rFonts w:ascii="宋体" w:hAnsi="宋体" w:eastAsia="宋体" w:cs="宋体"/>
          <w:strike/>
          <w:dstrike w:val="0"/>
          <w:color w:val="auto"/>
          <w:spacing w:val="-3"/>
          <w:sz w:val="24"/>
          <w:szCs w:val="24"/>
          <w:highlight w:val="none"/>
        </w:rPr>
        <w:t>业、签订分包意向协议的中小企业）的具体情况如下：</w:t>
      </w:r>
    </w:p>
    <w:p w14:paraId="23F6BEC3">
      <w:pPr>
        <w:spacing w:before="302" w:line="247" w:lineRule="auto"/>
        <w:ind w:left="3" w:right="443" w:firstLine="495"/>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8"/>
          <w:sz w:val="24"/>
          <w:szCs w:val="24"/>
          <w:highlight w:val="none"/>
        </w:rPr>
        <w:t xml:space="preserve">1.  </w:t>
      </w:r>
      <w:r>
        <w:rPr>
          <w:rFonts w:ascii="Times New Roman" w:hAnsi="Times New Roman" w:eastAsia="Times New Roman" w:cs="Times New Roman"/>
          <w:strike/>
          <w:dstrike w:val="0"/>
          <w:color w:val="auto"/>
          <w:spacing w:val="-8"/>
          <w:sz w:val="24"/>
          <w:szCs w:val="24"/>
          <w:highlight w:val="none"/>
          <w:u w:val="single" w:color="auto"/>
        </w:rPr>
        <w:t xml:space="preserve">              </w:t>
      </w:r>
      <w:r>
        <w:rPr>
          <w:rFonts w:ascii="宋体" w:hAnsi="宋体" w:eastAsia="宋体" w:cs="宋体"/>
          <w:strike/>
          <w:dstrike w:val="0"/>
          <w:color w:val="auto"/>
          <w:spacing w:val="-8"/>
          <w:sz w:val="24"/>
          <w:szCs w:val="24"/>
          <w:highlight w:val="none"/>
        </w:rPr>
        <w:t>（</w:t>
      </w:r>
      <w:r>
        <w:rPr>
          <w:rFonts w:ascii="宋体" w:hAnsi="宋体" w:eastAsia="宋体" w:cs="宋体"/>
          <w:i/>
          <w:iCs/>
          <w:strike/>
          <w:dstrike w:val="0"/>
          <w:color w:val="auto"/>
          <w:spacing w:val="-8"/>
          <w:sz w:val="25"/>
          <w:szCs w:val="25"/>
          <w:highlight w:val="none"/>
        </w:rPr>
        <w:t>标段名称</w:t>
      </w:r>
      <w:r>
        <w:rPr>
          <w:rFonts w:ascii="宋体" w:hAnsi="宋体" w:eastAsia="宋体" w:cs="宋体"/>
          <w:strike/>
          <w:dstrike w:val="0"/>
          <w:color w:val="auto"/>
          <w:spacing w:val="-4"/>
          <w:sz w:val="24"/>
          <w:szCs w:val="24"/>
          <w:highlight w:val="none"/>
        </w:rPr>
        <w:t>），</w:t>
      </w:r>
      <w:r>
        <w:rPr>
          <w:rFonts w:ascii="宋体" w:hAnsi="宋体" w:eastAsia="宋体" w:cs="宋体"/>
          <w:strike/>
          <w:dstrike w:val="0"/>
          <w:color w:val="auto"/>
          <w:spacing w:val="-8"/>
          <w:sz w:val="24"/>
          <w:szCs w:val="24"/>
          <w:highlight w:val="none"/>
        </w:rPr>
        <w:t>属于</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8"/>
          <w:sz w:val="24"/>
          <w:szCs w:val="24"/>
          <w:highlight w:val="none"/>
        </w:rPr>
        <w:t xml:space="preserve">（ </w:t>
      </w:r>
      <w:r>
        <w:rPr>
          <w:rFonts w:ascii="宋体" w:hAnsi="宋体" w:eastAsia="宋体" w:cs="宋体"/>
          <w:i/>
          <w:iCs/>
          <w:strike/>
          <w:dstrike w:val="0"/>
          <w:color w:val="auto"/>
          <w:spacing w:val="-8"/>
          <w:sz w:val="25"/>
          <w:szCs w:val="25"/>
          <w:highlight w:val="none"/>
        </w:rPr>
        <w:t>招标文件中明确的所属行业</w:t>
      </w:r>
      <w:r>
        <w:rPr>
          <w:rFonts w:ascii="宋体" w:hAnsi="宋体" w:eastAsia="宋体" w:cs="宋体"/>
          <w:strike/>
          <w:dstrike w:val="0"/>
          <w:color w:val="auto"/>
          <w:spacing w:val="-8"/>
          <w:sz w:val="24"/>
          <w:szCs w:val="24"/>
          <w:highlight w:val="none"/>
        </w:rPr>
        <w:t xml:space="preserve">）承建（承接）企业为 </w:t>
      </w:r>
      <w:r>
        <w:rPr>
          <w:rFonts w:ascii="宋体" w:hAnsi="宋体" w:eastAsia="宋体" w:cs="宋体"/>
          <w:strike/>
          <w:dstrike w:val="0"/>
          <w:color w:val="auto"/>
          <w:spacing w:val="-8"/>
          <w:sz w:val="24"/>
          <w:szCs w:val="24"/>
          <w:highlight w:val="none"/>
          <w:u w:val="single" w:color="auto"/>
        </w:rPr>
        <w:t xml:space="preserve">                     </w:t>
      </w:r>
      <w:r>
        <w:rPr>
          <w:rFonts w:ascii="宋体" w:hAnsi="宋体" w:eastAsia="宋体" w:cs="宋体"/>
          <w:strike/>
          <w:dstrike w:val="0"/>
          <w:color w:val="auto"/>
          <w:spacing w:val="-9"/>
          <w:sz w:val="24"/>
          <w:szCs w:val="24"/>
          <w:highlight w:val="none"/>
        </w:rPr>
        <w:t>（</w:t>
      </w:r>
      <w:r>
        <w:rPr>
          <w:rFonts w:ascii="宋体" w:hAnsi="宋体" w:eastAsia="宋体" w:cs="宋体"/>
          <w:strike/>
          <w:dstrike w:val="0"/>
          <w:color w:val="auto"/>
          <w:spacing w:val="-34"/>
          <w:sz w:val="24"/>
          <w:szCs w:val="24"/>
          <w:highlight w:val="none"/>
        </w:rPr>
        <w:t xml:space="preserve"> </w:t>
      </w:r>
      <w:r>
        <w:rPr>
          <w:rFonts w:ascii="宋体" w:hAnsi="宋体" w:eastAsia="宋体" w:cs="宋体"/>
          <w:i/>
          <w:iCs/>
          <w:strike/>
          <w:dstrike w:val="0"/>
          <w:color w:val="auto"/>
          <w:spacing w:val="-9"/>
          <w:sz w:val="25"/>
          <w:szCs w:val="25"/>
          <w:highlight w:val="none"/>
        </w:rPr>
        <w:t>企业名称</w:t>
      </w:r>
      <w:r>
        <w:rPr>
          <w:rFonts w:ascii="宋体" w:hAnsi="宋体" w:eastAsia="宋体" w:cs="宋体"/>
          <w:strike/>
          <w:dstrike w:val="0"/>
          <w:color w:val="auto"/>
          <w:spacing w:val="-9"/>
          <w:sz w:val="24"/>
          <w:szCs w:val="24"/>
          <w:highlight w:val="none"/>
        </w:rPr>
        <w:t>），从业人员</w:t>
      </w:r>
      <w:r>
        <w:rPr>
          <w:rFonts w:ascii="宋体" w:hAnsi="宋体" w:eastAsia="宋体" w:cs="宋体"/>
          <w:strike/>
          <w:dstrike w:val="0"/>
          <w:color w:val="auto"/>
          <w:spacing w:val="-88"/>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08"/>
          <w:sz w:val="24"/>
          <w:szCs w:val="24"/>
          <w:highlight w:val="none"/>
        </w:rPr>
        <w:t xml:space="preserve"> </w:t>
      </w:r>
      <w:r>
        <w:rPr>
          <w:rFonts w:ascii="宋体" w:hAnsi="宋体" w:eastAsia="宋体" w:cs="宋体"/>
          <w:strike/>
          <w:dstrike w:val="0"/>
          <w:color w:val="auto"/>
          <w:spacing w:val="-9"/>
          <w:sz w:val="24"/>
          <w:szCs w:val="24"/>
          <w:highlight w:val="none"/>
        </w:rPr>
        <w:t>人，</w:t>
      </w:r>
    </w:p>
    <w:p w14:paraId="25B84AA2">
      <w:pPr>
        <w:spacing w:before="95" w:line="257" w:lineRule="auto"/>
        <w:ind w:right="270" w:firstLine="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 xml:space="preserve">营业收入 </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4"/>
          <w:sz w:val="24"/>
          <w:szCs w:val="24"/>
          <w:highlight w:val="none"/>
        </w:rPr>
        <w:t>万元，资产总额为</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5"/>
          <w:sz w:val="24"/>
          <w:szCs w:val="24"/>
          <w:highlight w:val="none"/>
        </w:rPr>
        <w:t xml:space="preserve">万元，属于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6"/>
          <w:sz w:val="24"/>
          <w:szCs w:val="24"/>
          <w:highlight w:val="none"/>
        </w:rPr>
        <w:t xml:space="preserve"> </w:t>
      </w:r>
      <w:r>
        <w:rPr>
          <w:rFonts w:ascii="宋体" w:hAnsi="宋体" w:eastAsia="宋体" w:cs="宋体"/>
          <w:strike/>
          <w:dstrike w:val="0"/>
          <w:color w:val="auto"/>
          <w:spacing w:val="-5"/>
          <w:sz w:val="24"/>
          <w:szCs w:val="24"/>
          <w:highlight w:val="none"/>
        </w:rPr>
        <w:t>(</w:t>
      </w:r>
      <w:r>
        <w:rPr>
          <w:rFonts w:ascii="宋体" w:hAnsi="宋体" w:eastAsia="宋体" w:cs="宋体"/>
          <w:strike/>
          <w:dstrike w:val="0"/>
          <w:color w:val="auto"/>
          <w:spacing w:val="-85"/>
          <w:sz w:val="24"/>
          <w:szCs w:val="24"/>
          <w:highlight w:val="none"/>
        </w:rPr>
        <w:t xml:space="preserve"> </w:t>
      </w:r>
      <w:r>
        <w:rPr>
          <w:rFonts w:ascii="宋体" w:hAnsi="宋体" w:eastAsia="宋体" w:cs="宋体"/>
          <w:strike/>
          <w:dstrike w:val="0"/>
          <w:color w:val="auto"/>
          <w:spacing w:val="-86"/>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w:t>
      </w:r>
      <w:r>
        <w:rPr>
          <w:rFonts w:ascii="宋体" w:hAnsi="宋体" w:eastAsia="宋体" w:cs="宋体"/>
          <w:strike/>
          <w:dstrike w:val="0"/>
          <w:color w:val="auto"/>
          <w:spacing w:val="-88"/>
          <w:sz w:val="24"/>
          <w:szCs w:val="24"/>
          <w:highlight w:val="none"/>
        </w:rPr>
        <w:t xml:space="preserve"> </w:t>
      </w:r>
      <w:r>
        <w:rPr>
          <w:rFonts w:ascii="宋体" w:hAnsi="宋体" w:eastAsia="宋体" w:cs="宋体"/>
          <w:strike/>
          <w:dstrike w:val="0"/>
          <w:color w:val="auto"/>
          <w:spacing w:val="-5"/>
          <w:sz w:val="24"/>
          <w:szCs w:val="24"/>
          <w:highlight w:val="none"/>
        </w:rPr>
        <w:t>中型企</w:t>
      </w:r>
      <w:r>
        <w:rPr>
          <w:rFonts w:ascii="宋体" w:hAnsi="宋体" w:eastAsia="宋体" w:cs="宋体"/>
          <w:strike/>
          <w:dstrike w:val="0"/>
          <w:color w:val="auto"/>
          <w:spacing w:val="-9"/>
          <w:sz w:val="24"/>
          <w:szCs w:val="24"/>
          <w:highlight w:val="none"/>
        </w:rPr>
        <w:t>业、</w:t>
      </w:r>
      <w:r>
        <w:rPr>
          <w:rFonts w:ascii="宋体" w:hAnsi="宋体" w:eastAsia="宋体" w:cs="宋体"/>
          <w:strike/>
          <w:dstrike w:val="0"/>
          <w:color w:val="auto"/>
          <w:spacing w:val="-86"/>
          <w:sz w:val="24"/>
          <w:szCs w:val="24"/>
          <w:highlight w:val="none"/>
        </w:rPr>
        <w:t xml:space="preserve"> </w:t>
      </w:r>
      <w:r>
        <w:rPr>
          <w:rFonts w:ascii="宋体" w:hAnsi="宋体" w:eastAsia="宋体" w:cs="宋体"/>
          <w:strike/>
          <w:dstrike w:val="0"/>
          <w:color w:val="auto"/>
          <w:spacing w:val="-9"/>
          <w:sz w:val="24"/>
          <w:szCs w:val="24"/>
          <w:highlight w:val="none"/>
          <w:u w:val="single" w:color="auto"/>
        </w:rPr>
        <w:t>□</w:t>
      </w:r>
      <w:r>
        <w:rPr>
          <w:rFonts w:ascii="宋体" w:hAnsi="宋体" w:eastAsia="宋体" w:cs="宋体"/>
          <w:strike/>
          <w:dstrike w:val="0"/>
          <w:color w:val="auto"/>
          <w:spacing w:val="-9"/>
          <w:sz w:val="24"/>
          <w:szCs w:val="24"/>
          <w:highlight w:val="none"/>
        </w:rPr>
        <w:t>小型企业、</w:t>
      </w:r>
      <w:r>
        <w:rPr>
          <w:rFonts w:ascii="宋体" w:hAnsi="宋体" w:eastAsia="宋体" w:cs="宋体"/>
          <w:strike/>
          <w:dstrike w:val="0"/>
          <w:color w:val="auto"/>
          <w:spacing w:val="-86"/>
          <w:sz w:val="24"/>
          <w:szCs w:val="24"/>
          <w:highlight w:val="none"/>
        </w:rPr>
        <w:t xml:space="preserve"> </w:t>
      </w:r>
      <w:r>
        <w:rPr>
          <w:rFonts w:ascii="宋体" w:hAnsi="宋体" w:eastAsia="宋体" w:cs="宋体"/>
          <w:strike/>
          <w:dstrike w:val="0"/>
          <w:color w:val="auto"/>
          <w:spacing w:val="-9"/>
          <w:sz w:val="24"/>
          <w:szCs w:val="24"/>
          <w:highlight w:val="none"/>
          <w:u w:val="single" w:color="auto"/>
        </w:rPr>
        <w:t>□</w:t>
      </w:r>
      <w:r>
        <w:rPr>
          <w:rFonts w:ascii="宋体" w:hAnsi="宋体" w:eastAsia="宋体" w:cs="宋体"/>
          <w:strike/>
          <w:dstrike w:val="0"/>
          <w:color w:val="auto"/>
          <w:spacing w:val="-9"/>
          <w:sz w:val="24"/>
          <w:szCs w:val="24"/>
          <w:highlight w:val="none"/>
        </w:rPr>
        <w:t>微型企业</w:t>
      </w:r>
      <w:r>
        <w:rPr>
          <w:rFonts w:ascii="宋体" w:hAnsi="宋体" w:eastAsia="宋体" w:cs="宋体"/>
          <w:strike/>
          <w:dstrike w:val="0"/>
          <w:color w:val="auto"/>
          <w:spacing w:val="-4"/>
          <w:sz w:val="24"/>
          <w:szCs w:val="24"/>
          <w:highlight w:val="none"/>
        </w:rPr>
        <w:t>）；</w:t>
      </w:r>
    </w:p>
    <w:p w14:paraId="7F983C1B">
      <w:pPr>
        <w:spacing w:before="99" w:line="247" w:lineRule="auto"/>
        <w:ind w:left="3" w:right="443" w:firstLine="472"/>
        <w:rPr>
          <w:rFonts w:ascii="宋体" w:hAnsi="宋体" w:eastAsia="宋体" w:cs="宋体"/>
          <w:strike/>
          <w:dstrike w:val="0"/>
          <w:color w:val="auto"/>
          <w:sz w:val="24"/>
          <w:szCs w:val="24"/>
          <w:highlight w:val="none"/>
        </w:rPr>
      </w:pPr>
      <w:r>
        <w:rPr>
          <w:rFonts w:ascii="Times New Roman" w:hAnsi="Times New Roman" w:eastAsia="Times New Roman" w:cs="Times New Roman"/>
          <w:strike/>
          <w:dstrike w:val="0"/>
          <w:color w:val="auto"/>
          <w:spacing w:val="-7"/>
          <w:sz w:val="24"/>
          <w:szCs w:val="24"/>
          <w:highlight w:val="none"/>
        </w:rPr>
        <w:t xml:space="preserve">2.  </w:t>
      </w:r>
      <w:r>
        <w:rPr>
          <w:rFonts w:ascii="Times New Roman" w:hAnsi="Times New Roman" w:eastAsia="Times New Roman" w:cs="Times New Roman"/>
          <w:strike/>
          <w:dstrike w:val="0"/>
          <w:color w:val="auto"/>
          <w:spacing w:val="-7"/>
          <w:sz w:val="24"/>
          <w:szCs w:val="24"/>
          <w:highlight w:val="none"/>
          <w:u w:val="single" w:color="auto"/>
        </w:rPr>
        <w:t xml:space="preserve">              </w:t>
      </w:r>
      <w:r>
        <w:rPr>
          <w:rFonts w:ascii="宋体" w:hAnsi="宋体" w:eastAsia="宋体" w:cs="宋体"/>
          <w:strike/>
          <w:dstrike w:val="0"/>
          <w:color w:val="auto"/>
          <w:spacing w:val="-7"/>
          <w:sz w:val="24"/>
          <w:szCs w:val="24"/>
          <w:highlight w:val="none"/>
        </w:rPr>
        <w:t>（</w:t>
      </w:r>
      <w:r>
        <w:rPr>
          <w:rFonts w:ascii="宋体" w:hAnsi="宋体" w:eastAsia="宋体" w:cs="宋体"/>
          <w:i/>
          <w:iCs/>
          <w:strike/>
          <w:dstrike w:val="0"/>
          <w:color w:val="auto"/>
          <w:spacing w:val="-7"/>
          <w:sz w:val="25"/>
          <w:szCs w:val="25"/>
          <w:highlight w:val="none"/>
        </w:rPr>
        <w:t>标段名称</w:t>
      </w:r>
      <w:r>
        <w:rPr>
          <w:rFonts w:ascii="宋体" w:hAnsi="宋体" w:eastAsia="宋体" w:cs="宋体"/>
          <w:strike/>
          <w:dstrike w:val="0"/>
          <w:color w:val="auto"/>
          <w:spacing w:val="-9"/>
          <w:sz w:val="24"/>
          <w:szCs w:val="24"/>
          <w:highlight w:val="none"/>
        </w:rPr>
        <w:t>），</w:t>
      </w:r>
      <w:r>
        <w:rPr>
          <w:rFonts w:ascii="宋体" w:hAnsi="宋体" w:eastAsia="宋体" w:cs="宋体"/>
          <w:strike/>
          <w:dstrike w:val="0"/>
          <w:color w:val="auto"/>
          <w:spacing w:val="-7"/>
          <w:sz w:val="24"/>
          <w:szCs w:val="24"/>
          <w:highlight w:val="none"/>
        </w:rPr>
        <w:t>属于</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7"/>
          <w:sz w:val="24"/>
          <w:szCs w:val="24"/>
          <w:highlight w:val="none"/>
        </w:rPr>
        <w:t xml:space="preserve">（ </w:t>
      </w:r>
      <w:r>
        <w:rPr>
          <w:rFonts w:ascii="宋体" w:hAnsi="宋体" w:eastAsia="宋体" w:cs="宋体"/>
          <w:i/>
          <w:iCs/>
          <w:strike/>
          <w:dstrike w:val="0"/>
          <w:color w:val="auto"/>
          <w:spacing w:val="-7"/>
          <w:sz w:val="25"/>
          <w:szCs w:val="25"/>
          <w:highlight w:val="none"/>
        </w:rPr>
        <w:t>招标文件中明</w:t>
      </w:r>
      <w:r>
        <w:rPr>
          <w:rFonts w:ascii="宋体" w:hAnsi="宋体" w:eastAsia="宋体" w:cs="宋体"/>
          <w:i/>
          <w:iCs/>
          <w:strike/>
          <w:dstrike w:val="0"/>
          <w:color w:val="auto"/>
          <w:spacing w:val="-8"/>
          <w:sz w:val="25"/>
          <w:szCs w:val="25"/>
          <w:highlight w:val="none"/>
        </w:rPr>
        <w:t>确的所属行业</w:t>
      </w:r>
      <w:r>
        <w:rPr>
          <w:rFonts w:ascii="宋体" w:hAnsi="宋体" w:eastAsia="宋体" w:cs="宋体"/>
          <w:strike/>
          <w:dstrike w:val="0"/>
          <w:color w:val="auto"/>
          <w:spacing w:val="-8"/>
          <w:sz w:val="24"/>
          <w:szCs w:val="24"/>
          <w:highlight w:val="none"/>
        </w:rPr>
        <w:t xml:space="preserve">）承建（承接）企业为 </w:t>
      </w:r>
      <w:r>
        <w:rPr>
          <w:rFonts w:ascii="宋体" w:hAnsi="宋体" w:eastAsia="宋体" w:cs="宋体"/>
          <w:strike/>
          <w:dstrike w:val="0"/>
          <w:color w:val="auto"/>
          <w:spacing w:val="-8"/>
          <w:sz w:val="24"/>
          <w:szCs w:val="24"/>
          <w:highlight w:val="none"/>
          <w:u w:val="single" w:color="auto"/>
        </w:rPr>
        <w:t xml:space="preserve">                     </w:t>
      </w:r>
      <w:r>
        <w:rPr>
          <w:rFonts w:ascii="宋体" w:hAnsi="宋体" w:eastAsia="宋体" w:cs="宋体"/>
          <w:strike/>
          <w:dstrike w:val="0"/>
          <w:color w:val="auto"/>
          <w:spacing w:val="-9"/>
          <w:sz w:val="24"/>
          <w:szCs w:val="24"/>
          <w:highlight w:val="none"/>
        </w:rPr>
        <w:t>（</w:t>
      </w:r>
      <w:r>
        <w:rPr>
          <w:rFonts w:ascii="宋体" w:hAnsi="宋体" w:eastAsia="宋体" w:cs="宋体"/>
          <w:strike/>
          <w:dstrike w:val="0"/>
          <w:color w:val="auto"/>
          <w:spacing w:val="-34"/>
          <w:sz w:val="24"/>
          <w:szCs w:val="24"/>
          <w:highlight w:val="none"/>
        </w:rPr>
        <w:t xml:space="preserve"> </w:t>
      </w:r>
      <w:r>
        <w:rPr>
          <w:rFonts w:ascii="宋体" w:hAnsi="宋体" w:eastAsia="宋体" w:cs="宋体"/>
          <w:i/>
          <w:iCs/>
          <w:strike/>
          <w:dstrike w:val="0"/>
          <w:color w:val="auto"/>
          <w:spacing w:val="-9"/>
          <w:sz w:val="25"/>
          <w:szCs w:val="25"/>
          <w:highlight w:val="none"/>
        </w:rPr>
        <w:t>企业名称</w:t>
      </w:r>
      <w:r>
        <w:rPr>
          <w:rFonts w:ascii="宋体" w:hAnsi="宋体" w:eastAsia="宋体" w:cs="宋体"/>
          <w:strike/>
          <w:dstrike w:val="0"/>
          <w:color w:val="auto"/>
          <w:spacing w:val="-9"/>
          <w:sz w:val="24"/>
          <w:szCs w:val="24"/>
          <w:highlight w:val="none"/>
        </w:rPr>
        <w:t>），从业人员</w:t>
      </w:r>
      <w:r>
        <w:rPr>
          <w:rFonts w:ascii="宋体" w:hAnsi="宋体" w:eastAsia="宋体" w:cs="宋体"/>
          <w:strike/>
          <w:dstrike w:val="0"/>
          <w:color w:val="auto"/>
          <w:spacing w:val="-88"/>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08"/>
          <w:sz w:val="24"/>
          <w:szCs w:val="24"/>
          <w:highlight w:val="none"/>
        </w:rPr>
        <w:t xml:space="preserve"> </w:t>
      </w:r>
      <w:r>
        <w:rPr>
          <w:rFonts w:ascii="宋体" w:hAnsi="宋体" w:eastAsia="宋体" w:cs="宋体"/>
          <w:strike/>
          <w:dstrike w:val="0"/>
          <w:color w:val="auto"/>
          <w:spacing w:val="-9"/>
          <w:sz w:val="24"/>
          <w:szCs w:val="24"/>
          <w:highlight w:val="none"/>
        </w:rPr>
        <w:t>人，</w:t>
      </w:r>
    </w:p>
    <w:p w14:paraId="160EF08F">
      <w:pPr>
        <w:spacing w:before="95" w:line="257" w:lineRule="auto"/>
        <w:ind w:right="270" w:firstLine="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 xml:space="preserve">营业收入 </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4"/>
          <w:sz w:val="24"/>
          <w:szCs w:val="24"/>
          <w:highlight w:val="none"/>
        </w:rPr>
        <w:t>万元，资产总额为</w:t>
      </w:r>
      <w:r>
        <w:rPr>
          <w:rFonts w:ascii="宋体" w:hAnsi="宋体" w:eastAsia="宋体" w:cs="宋体"/>
          <w:strike/>
          <w:dstrike w:val="0"/>
          <w:color w:val="auto"/>
          <w:spacing w:val="-4"/>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5"/>
          <w:sz w:val="24"/>
          <w:szCs w:val="24"/>
          <w:highlight w:val="none"/>
        </w:rPr>
        <w:t xml:space="preserve">万元，属于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6"/>
          <w:sz w:val="24"/>
          <w:szCs w:val="24"/>
          <w:highlight w:val="none"/>
        </w:rPr>
        <w:t xml:space="preserve"> </w:t>
      </w:r>
      <w:r>
        <w:rPr>
          <w:rFonts w:ascii="宋体" w:hAnsi="宋体" w:eastAsia="宋体" w:cs="宋体"/>
          <w:strike/>
          <w:dstrike w:val="0"/>
          <w:color w:val="auto"/>
          <w:spacing w:val="-5"/>
          <w:sz w:val="24"/>
          <w:szCs w:val="24"/>
          <w:highlight w:val="none"/>
        </w:rPr>
        <w:t>(</w:t>
      </w:r>
      <w:r>
        <w:rPr>
          <w:rFonts w:ascii="宋体" w:hAnsi="宋体" w:eastAsia="宋体" w:cs="宋体"/>
          <w:strike/>
          <w:dstrike w:val="0"/>
          <w:color w:val="auto"/>
          <w:spacing w:val="-85"/>
          <w:sz w:val="24"/>
          <w:szCs w:val="24"/>
          <w:highlight w:val="none"/>
        </w:rPr>
        <w:t xml:space="preserve"> </w:t>
      </w:r>
      <w:r>
        <w:rPr>
          <w:rFonts w:ascii="宋体" w:hAnsi="宋体" w:eastAsia="宋体" w:cs="宋体"/>
          <w:strike/>
          <w:dstrike w:val="0"/>
          <w:color w:val="auto"/>
          <w:spacing w:val="-86"/>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w:t>
      </w:r>
      <w:r>
        <w:rPr>
          <w:rFonts w:ascii="宋体" w:hAnsi="宋体" w:eastAsia="宋体" w:cs="宋体"/>
          <w:strike/>
          <w:dstrike w:val="0"/>
          <w:color w:val="auto"/>
          <w:spacing w:val="-88"/>
          <w:sz w:val="24"/>
          <w:szCs w:val="24"/>
          <w:highlight w:val="none"/>
        </w:rPr>
        <w:t xml:space="preserve"> </w:t>
      </w:r>
      <w:r>
        <w:rPr>
          <w:rFonts w:ascii="宋体" w:hAnsi="宋体" w:eastAsia="宋体" w:cs="宋体"/>
          <w:strike/>
          <w:dstrike w:val="0"/>
          <w:color w:val="auto"/>
          <w:spacing w:val="-5"/>
          <w:sz w:val="24"/>
          <w:szCs w:val="24"/>
          <w:highlight w:val="none"/>
        </w:rPr>
        <w:t>中型企</w:t>
      </w:r>
      <w:r>
        <w:rPr>
          <w:rFonts w:ascii="宋体" w:hAnsi="宋体" w:eastAsia="宋体" w:cs="宋体"/>
          <w:strike/>
          <w:dstrike w:val="0"/>
          <w:color w:val="auto"/>
          <w:spacing w:val="-9"/>
          <w:sz w:val="24"/>
          <w:szCs w:val="24"/>
          <w:highlight w:val="none"/>
        </w:rPr>
        <w:t>业、</w:t>
      </w:r>
      <w:r>
        <w:rPr>
          <w:rFonts w:ascii="宋体" w:hAnsi="宋体" w:eastAsia="宋体" w:cs="宋体"/>
          <w:strike/>
          <w:dstrike w:val="0"/>
          <w:color w:val="auto"/>
          <w:spacing w:val="-86"/>
          <w:sz w:val="24"/>
          <w:szCs w:val="24"/>
          <w:highlight w:val="none"/>
        </w:rPr>
        <w:t xml:space="preserve"> </w:t>
      </w:r>
      <w:r>
        <w:rPr>
          <w:rFonts w:ascii="宋体" w:hAnsi="宋体" w:eastAsia="宋体" w:cs="宋体"/>
          <w:strike/>
          <w:dstrike w:val="0"/>
          <w:color w:val="auto"/>
          <w:spacing w:val="-9"/>
          <w:sz w:val="24"/>
          <w:szCs w:val="24"/>
          <w:highlight w:val="none"/>
          <w:u w:val="single" w:color="auto"/>
        </w:rPr>
        <w:t>□</w:t>
      </w:r>
      <w:r>
        <w:rPr>
          <w:rFonts w:ascii="宋体" w:hAnsi="宋体" w:eastAsia="宋体" w:cs="宋体"/>
          <w:strike/>
          <w:dstrike w:val="0"/>
          <w:color w:val="auto"/>
          <w:spacing w:val="-9"/>
          <w:sz w:val="24"/>
          <w:szCs w:val="24"/>
          <w:highlight w:val="none"/>
        </w:rPr>
        <w:t>小型企业、</w:t>
      </w:r>
      <w:r>
        <w:rPr>
          <w:rFonts w:ascii="宋体" w:hAnsi="宋体" w:eastAsia="宋体" w:cs="宋体"/>
          <w:strike/>
          <w:dstrike w:val="0"/>
          <w:color w:val="auto"/>
          <w:spacing w:val="-86"/>
          <w:sz w:val="24"/>
          <w:szCs w:val="24"/>
          <w:highlight w:val="none"/>
        </w:rPr>
        <w:t xml:space="preserve"> </w:t>
      </w:r>
      <w:r>
        <w:rPr>
          <w:rFonts w:ascii="宋体" w:hAnsi="宋体" w:eastAsia="宋体" w:cs="宋体"/>
          <w:strike/>
          <w:dstrike w:val="0"/>
          <w:color w:val="auto"/>
          <w:spacing w:val="-9"/>
          <w:sz w:val="24"/>
          <w:szCs w:val="24"/>
          <w:highlight w:val="none"/>
          <w:u w:val="single" w:color="auto"/>
        </w:rPr>
        <w:t>□</w:t>
      </w:r>
      <w:r>
        <w:rPr>
          <w:rFonts w:ascii="宋体" w:hAnsi="宋体" w:eastAsia="宋体" w:cs="宋体"/>
          <w:strike/>
          <w:dstrike w:val="0"/>
          <w:color w:val="auto"/>
          <w:spacing w:val="-9"/>
          <w:sz w:val="24"/>
          <w:szCs w:val="24"/>
          <w:highlight w:val="none"/>
        </w:rPr>
        <w:t>微型企业</w:t>
      </w:r>
      <w:r>
        <w:rPr>
          <w:rFonts w:ascii="宋体" w:hAnsi="宋体" w:eastAsia="宋体" w:cs="宋体"/>
          <w:strike/>
          <w:dstrike w:val="0"/>
          <w:color w:val="auto"/>
          <w:spacing w:val="-4"/>
          <w:sz w:val="24"/>
          <w:szCs w:val="24"/>
          <w:highlight w:val="none"/>
        </w:rPr>
        <w:t>）；</w:t>
      </w:r>
    </w:p>
    <w:p w14:paraId="1A1E393C">
      <w:pPr>
        <w:spacing w:before="197" w:line="175" w:lineRule="exact"/>
        <w:ind w:left="496"/>
        <w:rPr>
          <w:rFonts w:ascii="宋体" w:hAnsi="宋体" w:eastAsia="宋体" w:cs="宋体"/>
          <w:strike/>
          <w:dstrike w:val="0"/>
          <w:color w:val="auto"/>
          <w:sz w:val="24"/>
          <w:szCs w:val="24"/>
          <w:highlight w:val="none"/>
        </w:rPr>
      </w:pPr>
      <w:r>
        <w:rPr>
          <w:rFonts w:ascii="宋体" w:hAnsi="宋体" w:eastAsia="宋体" w:cs="宋体"/>
          <w:strike/>
          <w:dstrike w:val="0"/>
          <w:color w:val="auto"/>
          <w:spacing w:val="-7"/>
          <w:position w:val="-3"/>
          <w:sz w:val="24"/>
          <w:szCs w:val="24"/>
          <w:highlight w:val="none"/>
        </w:rPr>
        <w:t>……</w:t>
      </w:r>
    </w:p>
    <w:p w14:paraId="51863801">
      <w:pPr>
        <w:pStyle w:val="3"/>
        <w:spacing w:line="260" w:lineRule="auto"/>
        <w:rPr>
          <w:strike/>
          <w:dstrike w:val="0"/>
          <w:color w:val="auto"/>
          <w:highlight w:val="none"/>
        </w:rPr>
      </w:pPr>
    </w:p>
    <w:p w14:paraId="6E912E05">
      <w:pPr>
        <w:pStyle w:val="3"/>
        <w:spacing w:line="260" w:lineRule="auto"/>
        <w:rPr>
          <w:strike/>
          <w:dstrike w:val="0"/>
          <w:color w:val="auto"/>
          <w:highlight w:val="none"/>
        </w:rPr>
      </w:pPr>
    </w:p>
    <w:p w14:paraId="15C3631C">
      <w:pPr>
        <w:pStyle w:val="3"/>
        <w:spacing w:line="260" w:lineRule="auto"/>
        <w:rPr>
          <w:strike/>
          <w:dstrike w:val="0"/>
          <w:color w:val="auto"/>
          <w:highlight w:val="none"/>
        </w:rPr>
      </w:pPr>
    </w:p>
    <w:p w14:paraId="57EA9372">
      <w:pPr>
        <w:pStyle w:val="3"/>
        <w:spacing w:line="261" w:lineRule="auto"/>
        <w:rPr>
          <w:strike/>
          <w:dstrike w:val="0"/>
          <w:color w:val="auto"/>
          <w:highlight w:val="none"/>
        </w:rPr>
      </w:pPr>
    </w:p>
    <w:p w14:paraId="37627E6F">
      <w:pPr>
        <w:spacing w:before="78" w:line="359" w:lineRule="auto"/>
        <w:ind w:right="258" w:firstLine="50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4"/>
          <w:sz w:val="24"/>
          <w:szCs w:val="24"/>
          <w:highlight w:val="none"/>
        </w:rPr>
        <w:t>以上企业，不属于大企业的分支机构，不存在控股股东</w:t>
      </w:r>
      <w:r>
        <w:rPr>
          <w:rFonts w:ascii="宋体" w:hAnsi="宋体" w:eastAsia="宋体" w:cs="宋体"/>
          <w:strike/>
          <w:dstrike w:val="0"/>
          <w:color w:val="auto"/>
          <w:spacing w:val="-5"/>
          <w:sz w:val="24"/>
          <w:szCs w:val="24"/>
          <w:highlight w:val="none"/>
        </w:rPr>
        <w:t>为大企业的情形，也不</w:t>
      </w:r>
      <w:r>
        <w:rPr>
          <w:rFonts w:ascii="宋体" w:hAnsi="宋体" w:eastAsia="宋体" w:cs="宋体"/>
          <w:strike/>
          <w:dstrike w:val="0"/>
          <w:color w:val="auto"/>
          <w:spacing w:val="-3"/>
          <w:sz w:val="24"/>
          <w:szCs w:val="24"/>
          <w:highlight w:val="none"/>
        </w:rPr>
        <w:t>存在与大企业的负责人为同一人的情形。</w:t>
      </w:r>
    </w:p>
    <w:p w14:paraId="0A8D4356">
      <w:pPr>
        <w:spacing w:before="1" w:line="218" w:lineRule="auto"/>
        <w:ind w:left="481"/>
        <w:rPr>
          <w:rFonts w:ascii="宋体" w:hAnsi="宋体" w:eastAsia="宋体" w:cs="宋体"/>
          <w:strike/>
          <w:dstrike w:val="0"/>
          <w:color w:val="auto"/>
          <w:sz w:val="24"/>
          <w:szCs w:val="24"/>
          <w:highlight w:val="none"/>
        </w:rPr>
      </w:pPr>
      <w:r>
        <w:rPr>
          <w:rFonts w:ascii="宋体" w:hAnsi="宋体" w:eastAsia="宋体" w:cs="宋体"/>
          <w:strike/>
          <w:dstrike w:val="0"/>
          <w:color w:val="auto"/>
          <w:spacing w:val="-1"/>
          <w:sz w:val="24"/>
          <w:szCs w:val="24"/>
          <w:highlight w:val="none"/>
        </w:rPr>
        <w:t>本企业对上述声明内容的真实性负责。如有</w:t>
      </w:r>
      <w:r>
        <w:rPr>
          <w:rFonts w:ascii="宋体" w:hAnsi="宋体" w:eastAsia="宋体" w:cs="宋体"/>
          <w:strike/>
          <w:dstrike w:val="0"/>
          <w:color w:val="auto"/>
          <w:spacing w:val="-2"/>
          <w:sz w:val="24"/>
          <w:szCs w:val="24"/>
          <w:highlight w:val="none"/>
        </w:rPr>
        <w:t>虚假，将依法承担相应责任。</w:t>
      </w:r>
    </w:p>
    <w:p w14:paraId="27503F81">
      <w:pPr>
        <w:pStyle w:val="3"/>
        <w:spacing w:line="317" w:lineRule="auto"/>
        <w:rPr>
          <w:strike/>
          <w:dstrike w:val="0"/>
          <w:color w:val="auto"/>
          <w:highlight w:val="none"/>
        </w:rPr>
      </w:pPr>
    </w:p>
    <w:p w14:paraId="2F837F7F">
      <w:pPr>
        <w:pStyle w:val="3"/>
        <w:spacing w:line="317" w:lineRule="auto"/>
        <w:rPr>
          <w:strike/>
          <w:dstrike w:val="0"/>
          <w:color w:val="auto"/>
          <w:highlight w:val="none"/>
        </w:rPr>
      </w:pPr>
    </w:p>
    <w:p w14:paraId="72E0CB2A">
      <w:pPr>
        <w:spacing w:before="79" w:line="219" w:lineRule="auto"/>
        <w:ind w:left="4323"/>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投标人</w:t>
      </w:r>
      <w:r>
        <w:rPr>
          <w:rFonts w:ascii="宋体" w:hAnsi="宋体" w:eastAsia="宋体" w:cs="宋体"/>
          <w:strike/>
          <w:dstrike w:val="0"/>
          <w:color w:val="auto"/>
          <w:spacing w:val="2"/>
          <w:sz w:val="24"/>
          <w:szCs w:val="24"/>
          <w:highlight w:val="none"/>
        </w:rPr>
        <w:t>：</w:t>
      </w:r>
      <w:r>
        <w:rPr>
          <w:rFonts w:ascii="宋体" w:hAnsi="宋体" w:eastAsia="宋体" w:cs="宋体"/>
          <w:strike/>
          <w:dstrike w:val="0"/>
          <w:color w:val="auto"/>
          <w:spacing w:val="15"/>
          <w:sz w:val="24"/>
          <w:szCs w:val="24"/>
          <w:highlight w:val="none"/>
          <w:u w:val="single" w:color="auto"/>
        </w:rPr>
        <w:t xml:space="preserve">        </w:t>
      </w:r>
      <w:r>
        <w:rPr>
          <w:rFonts w:ascii="宋体" w:hAnsi="宋体" w:eastAsia="宋体" w:cs="宋体"/>
          <w:strike/>
          <w:dstrike w:val="0"/>
          <w:color w:val="auto"/>
          <w:spacing w:val="2"/>
          <w:sz w:val="24"/>
          <w:szCs w:val="24"/>
          <w:highlight w:val="none"/>
          <w:u w:val="single" w:color="auto"/>
        </w:rPr>
        <w:t>（</w:t>
      </w:r>
      <w:r>
        <w:rPr>
          <w:rFonts w:ascii="宋体" w:hAnsi="宋体" w:eastAsia="宋体" w:cs="宋体"/>
          <w:strike/>
          <w:dstrike w:val="0"/>
          <w:color w:val="auto"/>
          <w:spacing w:val="-2"/>
          <w:sz w:val="24"/>
          <w:szCs w:val="24"/>
          <w:highlight w:val="none"/>
          <w:u w:val="single" w:color="auto"/>
        </w:rPr>
        <w:t>盖单位公章）</w:t>
      </w:r>
      <w:r>
        <w:rPr>
          <w:rFonts w:ascii="宋体" w:hAnsi="宋体" w:eastAsia="宋体" w:cs="宋体"/>
          <w:strike/>
          <w:dstrike w:val="0"/>
          <w:color w:val="auto"/>
          <w:sz w:val="24"/>
          <w:szCs w:val="24"/>
          <w:highlight w:val="none"/>
          <w:u w:val="single" w:color="auto"/>
        </w:rPr>
        <w:t xml:space="preserve">       </w:t>
      </w:r>
    </w:p>
    <w:p w14:paraId="2D864679">
      <w:pPr>
        <w:tabs>
          <w:tab w:val="left" w:pos="7100"/>
        </w:tabs>
        <w:spacing w:before="180" w:line="220" w:lineRule="auto"/>
        <w:ind w:left="6500"/>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u w:val="single" w:color="auto"/>
        </w:rPr>
        <w:tab/>
      </w:r>
      <w:r>
        <w:rPr>
          <w:rFonts w:ascii="宋体" w:hAnsi="宋体" w:eastAsia="宋体" w:cs="宋体"/>
          <w:strike/>
          <w:dstrike w:val="0"/>
          <w:color w:val="auto"/>
          <w:spacing w:val="-109"/>
          <w:sz w:val="24"/>
          <w:szCs w:val="24"/>
          <w:highlight w:val="none"/>
        </w:rPr>
        <w:t xml:space="preserve"> </w:t>
      </w:r>
      <w:r>
        <w:rPr>
          <w:rFonts w:ascii="宋体" w:hAnsi="宋体" w:eastAsia="宋体" w:cs="宋体"/>
          <w:strike/>
          <w:dstrike w:val="0"/>
          <w:color w:val="auto"/>
          <w:spacing w:val="-26"/>
          <w:sz w:val="24"/>
          <w:szCs w:val="24"/>
          <w:highlight w:val="none"/>
        </w:rPr>
        <w:t>年</w:t>
      </w:r>
      <w:r>
        <w:rPr>
          <w:rFonts w:ascii="宋体" w:hAnsi="宋体" w:eastAsia="宋体" w:cs="宋体"/>
          <w:strike/>
          <w:dstrike w:val="0"/>
          <w:color w:val="auto"/>
          <w:spacing w:val="40"/>
          <w:sz w:val="24"/>
          <w:szCs w:val="24"/>
          <w:highlight w:val="none"/>
          <w:u w:val="single" w:color="auto"/>
        </w:rPr>
        <w:t xml:space="preserve">   </w:t>
      </w:r>
      <w:r>
        <w:rPr>
          <w:rFonts w:ascii="宋体" w:hAnsi="宋体" w:eastAsia="宋体" w:cs="宋体"/>
          <w:strike/>
          <w:dstrike w:val="0"/>
          <w:color w:val="auto"/>
          <w:spacing w:val="-105"/>
          <w:sz w:val="24"/>
          <w:szCs w:val="24"/>
          <w:highlight w:val="none"/>
        </w:rPr>
        <w:t xml:space="preserve"> </w:t>
      </w:r>
      <w:r>
        <w:rPr>
          <w:rFonts w:ascii="宋体" w:hAnsi="宋体" w:eastAsia="宋体" w:cs="宋体"/>
          <w:strike/>
          <w:dstrike w:val="0"/>
          <w:color w:val="auto"/>
          <w:spacing w:val="-26"/>
          <w:sz w:val="24"/>
          <w:szCs w:val="24"/>
          <w:highlight w:val="none"/>
        </w:rPr>
        <w:t>月</w:t>
      </w:r>
      <w:r>
        <w:rPr>
          <w:rFonts w:ascii="宋体" w:hAnsi="宋体" w:eastAsia="宋体" w:cs="宋体"/>
          <w:strike/>
          <w:dstrike w:val="0"/>
          <w:color w:val="auto"/>
          <w:spacing w:val="40"/>
          <w:sz w:val="24"/>
          <w:szCs w:val="24"/>
          <w:highlight w:val="none"/>
          <w:u w:val="single" w:color="auto"/>
        </w:rPr>
        <w:t xml:space="preserve">   </w:t>
      </w:r>
      <w:r>
        <w:rPr>
          <w:rFonts w:ascii="宋体" w:hAnsi="宋体" w:eastAsia="宋体" w:cs="宋体"/>
          <w:strike/>
          <w:dstrike w:val="0"/>
          <w:color w:val="auto"/>
          <w:spacing w:val="-69"/>
          <w:sz w:val="24"/>
          <w:szCs w:val="24"/>
          <w:highlight w:val="none"/>
        </w:rPr>
        <w:t xml:space="preserve"> </w:t>
      </w:r>
      <w:r>
        <w:rPr>
          <w:rFonts w:ascii="宋体" w:hAnsi="宋体" w:eastAsia="宋体" w:cs="宋体"/>
          <w:strike/>
          <w:dstrike w:val="0"/>
          <w:color w:val="auto"/>
          <w:spacing w:val="-26"/>
          <w:sz w:val="24"/>
          <w:szCs w:val="24"/>
          <w:highlight w:val="none"/>
        </w:rPr>
        <w:t>日</w:t>
      </w:r>
    </w:p>
    <w:p w14:paraId="4ED57F8C">
      <w:pPr>
        <w:pStyle w:val="3"/>
        <w:spacing w:line="250" w:lineRule="auto"/>
        <w:rPr>
          <w:strike/>
          <w:dstrike w:val="0"/>
          <w:color w:val="auto"/>
          <w:highlight w:val="none"/>
        </w:rPr>
      </w:pPr>
    </w:p>
    <w:p w14:paraId="793E893B">
      <w:pPr>
        <w:pStyle w:val="3"/>
        <w:spacing w:line="250" w:lineRule="auto"/>
        <w:rPr>
          <w:strike/>
          <w:dstrike w:val="0"/>
          <w:color w:val="auto"/>
          <w:highlight w:val="none"/>
        </w:rPr>
      </w:pPr>
    </w:p>
    <w:p w14:paraId="21C6B600">
      <w:pPr>
        <w:pStyle w:val="3"/>
        <w:spacing w:line="250" w:lineRule="auto"/>
        <w:rPr>
          <w:strike/>
          <w:dstrike w:val="0"/>
          <w:color w:val="auto"/>
          <w:highlight w:val="none"/>
        </w:rPr>
      </w:pPr>
    </w:p>
    <w:p w14:paraId="740D39EF">
      <w:pPr>
        <w:pStyle w:val="3"/>
        <w:spacing w:line="250" w:lineRule="auto"/>
        <w:rPr>
          <w:strike/>
          <w:dstrike w:val="0"/>
          <w:color w:val="auto"/>
          <w:highlight w:val="none"/>
        </w:rPr>
      </w:pPr>
    </w:p>
    <w:p w14:paraId="160F0D38">
      <w:pPr>
        <w:pStyle w:val="3"/>
        <w:spacing w:line="250" w:lineRule="auto"/>
        <w:rPr>
          <w:strike/>
          <w:dstrike w:val="0"/>
          <w:color w:val="auto"/>
          <w:highlight w:val="none"/>
        </w:rPr>
      </w:pPr>
    </w:p>
    <w:p w14:paraId="00FF3CBD">
      <w:pPr>
        <w:pStyle w:val="3"/>
        <w:spacing w:line="250" w:lineRule="auto"/>
        <w:rPr>
          <w:strike/>
          <w:dstrike w:val="0"/>
          <w:color w:val="auto"/>
          <w:highlight w:val="none"/>
        </w:rPr>
      </w:pPr>
    </w:p>
    <w:p w14:paraId="39FFE3DF">
      <w:pPr>
        <w:pStyle w:val="3"/>
        <w:spacing w:line="250" w:lineRule="auto"/>
        <w:rPr>
          <w:strike/>
          <w:dstrike w:val="0"/>
          <w:color w:val="auto"/>
          <w:highlight w:val="none"/>
        </w:rPr>
      </w:pPr>
    </w:p>
    <w:p w14:paraId="4A50B32F">
      <w:pPr>
        <w:spacing w:before="79" w:line="360" w:lineRule="auto"/>
        <w:ind w:left="3" w:right="150" w:hanging="3"/>
        <w:rPr>
          <w:rFonts w:ascii="宋体" w:hAnsi="宋体" w:eastAsia="宋体" w:cs="宋体"/>
          <w:strike/>
          <w:dstrike w:val="0"/>
          <w:color w:val="auto"/>
          <w:sz w:val="24"/>
          <w:szCs w:val="24"/>
          <w:highlight w:val="none"/>
        </w:rPr>
      </w:pPr>
      <w:r>
        <w:rPr>
          <w:rFonts w:ascii="宋体" w:hAnsi="宋体" w:eastAsia="宋体" w:cs="宋体"/>
          <w:strike/>
          <w:dstrike w:val="0"/>
          <w:color w:val="auto"/>
          <w:sz w:val="24"/>
          <w:szCs w:val="24"/>
          <w:highlight w:val="none"/>
        </w:rPr>
        <w:t>注：从业人员、营业收入、资产总额填报上一年度数据，</w:t>
      </w:r>
      <w:r>
        <w:rPr>
          <w:rFonts w:ascii="宋体" w:hAnsi="宋体" w:eastAsia="宋体" w:cs="宋体"/>
          <w:strike/>
          <w:dstrike w:val="0"/>
          <w:color w:val="auto"/>
          <w:spacing w:val="-1"/>
          <w:sz w:val="24"/>
          <w:szCs w:val="24"/>
          <w:highlight w:val="none"/>
        </w:rPr>
        <w:t>无上一年度数据的新成立</w:t>
      </w:r>
      <w:r>
        <w:rPr>
          <w:rFonts w:ascii="宋体" w:hAnsi="宋体" w:eastAsia="宋体" w:cs="宋体"/>
          <w:strike/>
          <w:dstrike w:val="0"/>
          <w:color w:val="auto"/>
          <w:spacing w:val="-6"/>
          <w:sz w:val="24"/>
          <w:szCs w:val="24"/>
          <w:highlight w:val="none"/>
        </w:rPr>
        <w:t>企业可不填报。</w:t>
      </w:r>
    </w:p>
    <w:p w14:paraId="7DACDAC0">
      <w:pPr>
        <w:spacing w:line="360" w:lineRule="auto"/>
        <w:rPr>
          <w:rFonts w:ascii="宋体" w:hAnsi="宋体" w:eastAsia="宋体" w:cs="宋体"/>
          <w:strike/>
          <w:dstrike w:val="0"/>
          <w:color w:val="auto"/>
          <w:sz w:val="24"/>
          <w:szCs w:val="24"/>
          <w:highlight w:val="none"/>
        </w:rPr>
        <w:sectPr>
          <w:footerReference r:id="rId148" w:type="default"/>
          <w:pgSz w:w="11907" w:h="16841"/>
          <w:pgMar w:top="400" w:right="1527" w:bottom="1254" w:left="1597" w:header="0" w:footer="1093" w:gutter="0"/>
          <w:pgNumType w:fmt="decimal"/>
          <w:cols w:space="720" w:num="1"/>
        </w:sectPr>
      </w:pPr>
    </w:p>
    <w:p w14:paraId="276A2810">
      <w:pPr>
        <w:pStyle w:val="3"/>
        <w:spacing w:line="263" w:lineRule="auto"/>
        <w:rPr>
          <w:color w:val="auto"/>
          <w:highlight w:val="none"/>
        </w:rPr>
      </w:pPr>
    </w:p>
    <w:p w14:paraId="6036E518">
      <w:pPr>
        <w:pStyle w:val="3"/>
        <w:spacing w:line="263" w:lineRule="auto"/>
        <w:rPr>
          <w:color w:val="auto"/>
          <w:highlight w:val="none"/>
        </w:rPr>
      </w:pPr>
    </w:p>
    <w:p w14:paraId="2458E02E">
      <w:pPr>
        <w:pStyle w:val="3"/>
        <w:spacing w:line="263" w:lineRule="auto"/>
        <w:rPr>
          <w:color w:val="auto"/>
          <w:highlight w:val="none"/>
        </w:rPr>
      </w:pPr>
    </w:p>
    <w:p w14:paraId="1B46577A">
      <w:pPr>
        <w:pStyle w:val="3"/>
        <w:spacing w:line="263" w:lineRule="auto"/>
        <w:rPr>
          <w:color w:val="auto"/>
          <w:highlight w:val="none"/>
        </w:rPr>
      </w:pPr>
    </w:p>
    <w:p w14:paraId="73E35EC5">
      <w:pPr>
        <w:pStyle w:val="3"/>
        <w:spacing w:line="263" w:lineRule="auto"/>
        <w:rPr>
          <w:color w:val="auto"/>
          <w:highlight w:val="none"/>
        </w:rPr>
      </w:pPr>
    </w:p>
    <w:p w14:paraId="4FB4EFA0">
      <w:pPr>
        <w:pStyle w:val="3"/>
        <w:spacing w:line="263" w:lineRule="auto"/>
        <w:rPr>
          <w:color w:val="auto"/>
          <w:highlight w:val="none"/>
        </w:rPr>
      </w:pPr>
    </w:p>
    <w:p w14:paraId="3B0B6C48">
      <w:pPr>
        <w:pStyle w:val="3"/>
        <w:spacing w:line="264" w:lineRule="auto"/>
        <w:rPr>
          <w:color w:val="auto"/>
          <w:highlight w:val="none"/>
        </w:rPr>
      </w:pPr>
    </w:p>
    <w:p w14:paraId="489B0344">
      <w:pPr>
        <w:pStyle w:val="3"/>
        <w:spacing w:line="264" w:lineRule="auto"/>
        <w:rPr>
          <w:color w:val="auto"/>
          <w:highlight w:val="none"/>
        </w:rPr>
      </w:pPr>
    </w:p>
    <w:p w14:paraId="7BDDD8BD">
      <w:pPr>
        <w:pStyle w:val="3"/>
        <w:spacing w:line="264" w:lineRule="auto"/>
        <w:rPr>
          <w:color w:val="auto"/>
          <w:highlight w:val="none"/>
        </w:rPr>
      </w:pPr>
    </w:p>
    <w:p w14:paraId="3CE642D7">
      <w:pPr>
        <w:pStyle w:val="3"/>
        <w:spacing w:line="264" w:lineRule="auto"/>
        <w:rPr>
          <w:color w:val="auto"/>
          <w:highlight w:val="none"/>
        </w:rPr>
      </w:pPr>
    </w:p>
    <w:p w14:paraId="690D8A8A">
      <w:pPr>
        <w:tabs>
          <w:tab w:val="left" w:pos="3486"/>
        </w:tabs>
        <w:spacing w:before="81" w:line="213" w:lineRule="auto"/>
        <w:ind w:left="1326"/>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
          <w:sz w:val="24"/>
          <w:szCs w:val="24"/>
          <w:highlight w:val="none"/>
        </w:rPr>
        <w:t>（</w:t>
      </w:r>
      <w:r>
        <w:rPr>
          <w:rFonts w:ascii="宋体" w:hAnsi="宋体" w:eastAsia="宋体" w:cs="宋体"/>
          <w:i/>
          <w:iCs/>
          <w:color w:val="auto"/>
          <w:spacing w:val="-1"/>
          <w:sz w:val="25"/>
          <w:szCs w:val="25"/>
          <w:highlight w:val="none"/>
        </w:rPr>
        <w:t>项目名称</w:t>
      </w:r>
      <w:r>
        <w:rPr>
          <w:rFonts w:ascii="宋体" w:hAnsi="宋体" w:eastAsia="宋体" w:cs="宋体"/>
          <w:color w:val="auto"/>
          <w:spacing w:val="-25"/>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5"/>
          <w:sz w:val="24"/>
          <w:szCs w:val="24"/>
          <w:highlight w:val="none"/>
        </w:rPr>
        <w:t>（</w:t>
      </w:r>
      <w:r>
        <w:rPr>
          <w:rFonts w:ascii="宋体" w:hAnsi="宋体" w:eastAsia="宋体" w:cs="宋体"/>
          <w:i/>
          <w:iCs/>
          <w:color w:val="auto"/>
          <w:spacing w:val="-1"/>
          <w:sz w:val="25"/>
          <w:szCs w:val="25"/>
          <w:highlight w:val="none"/>
        </w:rPr>
        <w:t>标段名称</w:t>
      </w:r>
      <w:r>
        <w:rPr>
          <w:rFonts w:ascii="宋体" w:hAnsi="宋体" w:eastAsia="宋体" w:cs="宋体"/>
          <w:color w:val="auto"/>
          <w:spacing w:val="-1"/>
          <w:sz w:val="24"/>
          <w:szCs w:val="24"/>
          <w:highlight w:val="none"/>
        </w:rPr>
        <w:t>）</w:t>
      </w:r>
    </w:p>
    <w:p w14:paraId="6723E11C">
      <w:pPr>
        <w:pStyle w:val="3"/>
        <w:spacing w:line="244" w:lineRule="auto"/>
        <w:rPr>
          <w:color w:val="auto"/>
          <w:highlight w:val="none"/>
        </w:rPr>
      </w:pPr>
    </w:p>
    <w:p w14:paraId="52C8D7FE">
      <w:pPr>
        <w:pStyle w:val="3"/>
        <w:spacing w:line="245" w:lineRule="auto"/>
        <w:rPr>
          <w:color w:val="auto"/>
          <w:highlight w:val="none"/>
        </w:rPr>
      </w:pPr>
    </w:p>
    <w:p w14:paraId="5268993E">
      <w:pPr>
        <w:pStyle w:val="3"/>
        <w:spacing w:line="245" w:lineRule="auto"/>
        <w:rPr>
          <w:color w:val="auto"/>
          <w:highlight w:val="none"/>
        </w:rPr>
      </w:pPr>
    </w:p>
    <w:p w14:paraId="5933E98F">
      <w:pPr>
        <w:pStyle w:val="3"/>
        <w:spacing w:line="245" w:lineRule="auto"/>
        <w:rPr>
          <w:color w:val="auto"/>
          <w:highlight w:val="none"/>
        </w:rPr>
      </w:pPr>
    </w:p>
    <w:p w14:paraId="7E7191F3">
      <w:pPr>
        <w:pStyle w:val="3"/>
        <w:spacing w:line="245" w:lineRule="auto"/>
        <w:rPr>
          <w:color w:val="auto"/>
          <w:highlight w:val="none"/>
        </w:rPr>
      </w:pPr>
    </w:p>
    <w:p w14:paraId="40D9137B">
      <w:pPr>
        <w:pStyle w:val="3"/>
        <w:spacing w:line="245" w:lineRule="auto"/>
        <w:rPr>
          <w:color w:val="auto"/>
          <w:highlight w:val="none"/>
        </w:rPr>
      </w:pPr>
    </w:p>
    <w:p w14:paraId="46B451E4">
      <w:pPr>
        <w:pStyle w:val="3"/>
        <w:spacing w:line="245" w:lineRule="auto"/>
        <w:rPr>
          <w:color w:val="auto"/>
          <w:highlight w:val="none"/>
        </w:rPr>
      </w:pPr>
    </w:p>
    <w:p w14:paraId="627EB3D0">
      <w:pPr>
        <w:spacing w:before="140" w:line="223" w:lineRule="auto"/>
        <w:ind w:left="3113"/>
        <w:rPr>
          <w:rFonts w:ascii="宋体" w:hAnsi="宋体" w:eastAsia="宋体" w:cs="宋体"/>
          <w:color w:val="auto"/>
          <w:sz w:val="43"/>
          <w:szCs w:val="43"/>
          <w:highlight w:val="none"/>
        </w:rPr>
      </w:pPr>
      <w:r>
        <w:rPr>
          <w:rFonts w:ascii="宋体" w:hAnsi="宋体" w:eastAsia="宋体" w:cs="宋体"/>
          <w:b/>
          <w:bCs/>
          <w:color w:val="auto"/>
          <w:spacing w:val="-14"/>
          <w:sz w:val="43"/>
          <w:szCs w:val="43"/>
          <w:highlight w:val="none"/>
        </w:rPr>
        <w:t>投</w:t>
      </w:r>
      <w:r>
        <w:rPr>
          <w:rFonts w:ascii="宋体" w:hAnsi="宋体" w:eastAsia="宋体" w:cs="宋体"/>
          <w:color w:val="auto"/>
          <w:spacing w:val="29"/>
          <w:sz w:val="43"/>
          <w:szCs w:val="43"/>
          <w:highlight w:val="none"/>
        </w:rPr>
        <w:t xml:space="preserve"> </w:t>
      </w:r>
      <w:r>
        <w:rPr>
          <w:rFonts w:ascii="宋体" w:hAnsi="宋体" w:eastAsia="宋体" w:cs="宋体"/>
          <w:b/>
          <w:bCs/>
          <w:color w:val="auto"/>
          <w:spacing w:val="-14"/>
          <w:sz w:val="43"/>
          <w:szCs w:val="43"/>
          <w:highlight w:val="none"/>
        </w:rPr>
        <w:t>标</w:t>
      </w:r>
      <w:r>
        <w:rPr>
          <w:rFonts w:ascii="宋体" w:hAnsi="宋体" w:eastAsia="宋体" w:cs="宋体"/>
          <w:color w:val="auto"/>
          <w:spacing w:val="29"/>
          <w:sz w:val="43"/>
          <w:szCs w:val="43"/>
          <w:highlight w:val="none"/>
        </w:rPr>
        <w:t xml:space="preserve"> </w:t>
      </w:r>
      <w:r>
        <w:rPr>
          <w:rFonts w:ascii="宋体" w:hAnsi="宋体" w:eastAsia="宋体" w:cs="宋体"/>
          <w:b/>
          <w:bCs/>
          <w:color w:val="auto"/>
          <w:spacing w:val="-14"/>
          <w:sz w:val="43"/>
          <w:szCs w:val="43"/>
          <w:highlight w:val="none"/>
        </w:rPr>
        <w:t>文</w:t>
      </w:r>
      <w:r>
        <w:rPr>
          <w:rFonts w:ascii="宋体" w:hAnsi="宋体" w:eastAsia="宋体" w:cs="宋体"/>
          <w:color w:val="auto"/>
          <w:spacing w:val="24"/>
          <w:sz w:val="43"/>
          <w:szCs w:val="43"/>
          <w:highlight w:val="none"/>
        </w:rPr>
        <w:t xml:space="preserve"> </w:t>
      </w:r>
      <w:r>
        <w:rPr>
          <w:rFonts w:ascii="宋体" w:hAnsi="宋体" w:eastAsia="宋体" w:cs="宋体"/>
          <w:b/>
          <w:bCs/>
          <w:color w:val="auto"/>
          <w:spacing w:val="-14"/>
          <w:sz w:val="43"/>
          <w:szCs w:val="43"/>
          <w:highlight w:val="none"/>
        </w:rPr>
        <w:t>件</w:t>
      </w:r>
    </w:p>
    <w:p w14:paraId="621D7D7B">
      <w:pPr>
        <w:spacing w:before="305" w:line="220" w:lineRule="auto"/>
        <w:ind w:left="372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（资信标）</w:t>
      </w:r>
    </w:p>
    <w:p w14:paraId="10E510E9">
      <w:pPr>
        <w:pStyle w:val="3"/>
        <w:spacing w:line="247" w:lineRule="auto"/>
        <w:rPr>
          <w:color w:val="auto"/>
          <w:highlight w:val="none"/>
        </w:rPr>
      </w:pPr>
    </w:p>
    <w:p w14:paraId="6B863759">
      <w:pPr>
        <w:pStyle w:val="3"/>
        <w:spacing w:line="248" w:lineRule="auto"/>
        <w:rPr>
          <w:color w:val="auto"/>
          <w:highlight w:val="none"/>
        </w:rPr>
      </w:pPr>
    </w:p>
    <w:p w14:paraId="6074CBC0">
      <w:pPr>
        <w:pStyle w:val="3"/>
        <w:spacing w:line="248" w:lineRule="auto"/>
        <w:rPr>
          <w:color w:val="auto"/>
          <w:highlight w:val="none"/>
        </w:rPr>
      </w:pPr>
    </w:p>
    <w:p w14:paraId="50E6E731">
      <w:pPr>
        <w:pStyle w:val="3"/>
        <w:spacing w:line="248" w:lineRule="auto"/>
        <w:rPr>
          <w:color w:val="auto"/>
          <w:highlight w:val="none"/>
        </w:rPr>
      </w:pPr>
    </w:p>
    <w:p w14:paraId="03885D43">
      <w:pPr>
        <w:pStyle w:val="3"/>
        <w:spacing w:line="248" w:lineRule="auto"/>
        <w:rPr>
          <w:color w:val="auto"/>
          <w:highlight w:val="none"/>
        </w:rPr>
      </w:pPr>
    </w:p>
    <w:p w14:paraId="09918CFF">
      <w:pPr>
        <w:pStyle w:val="3"/>
        <w:spacing w:line="248" w:lineRule="auto"/>
        <w:rPr>
          <w:color w:val="auto"/>
          <w:highlight w:val="none"/>
        </w:rPr>
      </w:pPr>
    </w:p>
    <w:p w14:paraId="62B51564">
      <w:pPr>
        <w:pStyle w:val="3"/>
        <w:spacing w:line="248" w:lineRule="auto"/>
        <w:rPr>
          <w:color w:val="auto"/>
          <w:highlight w:val="none"/>
        </w:rPr>
      </w:pPr>
    </w:p>
    <w:p w14:paraId="0DF6863D">
      <w:pPr>
        <w:pStyle w:val="3"/>
        <w:spacing w:line="248" w:lineRule="auto"/>
        <w:rPr>
          <w:color w:val="auto"/>
          <w:highlight w:val="none"/>
        </w:rPr>
      </w:pPr>
    </w:p>
    <w:p w14:paraId="0F72CA8F">
      <w:pPr>
        <w:pStyle w:val="3"/>
        <w:spacing w:line="248" w:lineRule="auto"/>
        <w:rPr>
          <w:color w:val="auto"/>
          <w:highlight w:val="none"/>
        </w:rPr>
      </w:pPr>
    </w:p>
    <w:p w14:paraId="463DE222">
      <w:pPr>
        <w:pStyle w:val="3"/>
        <w:spacing w:line="248" w:lineRule="auto"/>
        <w:rPr>
          <w:color w:val="auto"/>
          <w:highlight w:val="none"/>
        </w:rPr>
      </w:pPr>
    </w:p>
    <w:p w14:paraId="7A1B3F0A">
      <w:pPr>
        <w:pStyle w:val="3"/>
        <w:spacing w:line="248" w:lineRule="auto"/>
        <w:rPr>
          <w:color w:val="auto"/>
          <w:highlight w:val="none"/>
        </w:rPr>
      </w:pPr>
    </w:p>
    <w:p w14:paraId="02E89CBF">
      <w:pPr>
        <w:pStyle w:val="3"/>
        <w:spacing w:line="248" w:lineRule="auto"/>
        <w:rPr>
          <w:color w:val="auto"/>
          <w:highlight w:val="none"/>
        </w:rPr>
      </w:pPr>
    </w:p>
    <w:p w14:paraId="257FABEC">
      <w:pPr>
        <w:pStyle w:val="3"/>
        <w:spacing w:line="248" w:lineRule="auto"/>
        <w:rPr>
          <w:color w:val="auto"/>
          <w:highlight w:val="none"/>
        </w:rPr>
      </w:pPr>
    </w:p>
    <w:p w14:paraId="47B6D4A7">
      <w:pPr>
        <w:pStyle w:val="3"/>
        <w:spacing w:line="248" w:lineRule="auto"/>
        <w:rPr>
          <w:color w:val="auto"/>
          <w:highlight w:val="none"/>
        </w:rPr>
      </w:pPr>
    </w:p>
    <w:p w14:paraId="75438D80">
      <w:pPr>
        <w:pStyle w:val="3"/>
        <w:spacing w:line="248" w:lineRule="auto"/>
        <w:rPr>
          <w:color w:val="auto"/>
          <w:highlight w:val="none"/>
        </w:rPr>
      </w:pPr>
    </w:p>
    <w:p w14:paraId="0AAE11BB">
      <w:pPr>
        <w:pStyle w:val="3"/>
        <w:spacing w:line="248" w:lineRule="auto"/>
        <w:rPr>
          <w:color w:val="auto"/>
          <w:highlight w:val="none"/>
        </w:rPr>
      </w:pPr>
    </w:p>
    <w:p w14:paraId="7CB6B275">
      <w:pPr>
        <w:pStyle w:val="3"/>
        <w:spacing w:line="248" w:lineRule="auto"/>
        <w:rPr>
          <w:color w:val="auto"/>
          <w:highlight w:val="none"/>
        </w:rPr>
      </w:pPr>
    </w:p>
    <w:p w14:paraId="24C2DBB2">
      <w:pPr>
        <w:spacing w:before="78" w:line="219" w:lineRule="auto"/>
        <w:ind w:left="112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w:t>
      </w:r>
      <w:r>
        <w:rPr>
          <w:rFonts w:ascii="宋体" w:hAnsi="宋体" w:eastAsia="宋体" w:cs="宋体"/>
          <w:color w:val="auto"/>
          <w:spacing w:val="15"/>
          <w:sz w:val="24"/>
          <w:szCs w:val="24"/>
          <w:highlight w:val="none"/>
        </w:rPr>
        <w:t xml:space="preserve">   </w:t>
      </w:r>
      <w:r>
        <w:rPr>
          <w:rFonts w:ascii="宋体" w:hAnsi="宋体" w:eastAsia="宋体" w:cs="宋体"/>
          <w:color w:val="auto"/>
          <w:spacing w:val="-1"/>
          <w:sz w:val="24"/>
          <w:szCs w:val="24"/>
          <w:highlight w:val="none"/>
        </w:rPr>
        <w:t>标</w:t>
      </w:r>
      <w:r>
        <w:rPr>
          <w:rFonts w:ascii="宋体" w:hAnsi="宋体" w:eastAsia="宋体" w:cs="宋体"/>
          <w:color w:val="auto"/>
          <w:spacing w:val="15"/>
          <w:sz w:val="24"/>
          <w:szCs w:val="24"/>
          <w:highlight w:val="none"/>
        </w:rPr>
        <w:t xml:space="preserve">   </w:t>
      </w:r>
      <w:r>
        <w:rPr>
          <w:rFonts w:ascii="宋体" w:hAnsi="宋体" w:eastAsia="宋体" w:cs="宋体"/>
          <w:color w:val="auto"/>
          <w:spacing w:val="-1"/>
          <w:sz w:val="24"/>
          <w:szCs w:val="24"/>
          <w:highlight w:val="none"/>
        </w:rPr>
        <w:t>人</w:t>
      </w:r>
      <w:r>
        <w:rPr>
          <w:rFonts w:ascii="宋体" w:hAnsi="宋体" w:eastAsia="宋体" w:cs="宋体"/>
          <w:color w:val="auto"/>
          <w:spacing w:val="-31"/>
          <w:sz w:val="24"/>
          <w:szCs w:val="24"/>
          <w:highlight w:val="none"/>
        </w:rPr>
        <w:t>：</w:t>
      </w:r>
      <w:r>
        <w:rPr>
          <w:rFonts w:ascii="宋体" w:hAnsi="宋体" w:eastAsia="宋体" w:cs="宋体"/>
          <w:color w:val="auto"/>
          <w:spacing w:val="17"/>
          <w:sz w:val="24"/>
          <w:szCs w:val="24"/>
          <w:highlight w:val="none"/>
          <w:u w:val="single" w:color="auto"/>
        </w:rPr>
        <w:t xml:space="preserve">       </w:t>
      </w:r>
      <w:r>
        <w:rPr>
          <w:rFonts w:ascii="宋体" w:hAnsi="宋体" w:eastAsia="宋体" w:cs="宋体"/>
          <w:color w:val="auto"/>
          <w:spacing w:val="-31"/>
          <w:sz w:val="24"/>
          <w:szCs w:val="24"/>
          <w:highlight w:val="none"/>
          <w:u w:val="single" w:color="auto"/>
        </w:rPr>
        <w:t>（</w:t>
      </w:r>
      <w:r>
        <w:rPr>
          <w:rFonts w:ascii="宋体" w:hAnsi="宋体" w:eastAsia="宋体" w:cs="宋体"/>
          <w:color w:val="auto"/>
          <w:spacing w:val="-1"/>
          <w:sz w:val="24"/>
          <w:szCs w:val="24"/>
          <w:highlight w:val="none"/>
          <w:u w:val="single" w:color="auto"/>
        </w:rPr>
        <w:t>盖单位公章）</w:t>
      </w:r>
      <w:r>
        <w:rPr>
          <w:rFonts w:ascii="宋体" w:hAnsi="宋体" w:eastAsia="宋体" w:cs="宋体"/>
          <w:color w:val="auto"/>
          <w:sz w:val="24"/>
          <w:szCs w:val="24"/>
          <w:highlight w:val="none"/>
          <w:u w:val="single" w:color="auto"/>
        </w:rPr>
        <w:t xml:space="preserve">            </w:t>
      </w:r>
    </w:p>
    <w:p w14:paraId="142E94D9">
      <w:pPr>
        <w:pStyle w:val="3"/>
        <w:spacing w:line="257" w:lineRule="auto"/>
        <w:rPr>
          <w:color w:val="auto"/>
          <w:highlight w:val="none"/>
        </w:rPr>
      </w:pPr>
    </w:p>
    <w:p w14:paraId="7A0E872F">
      <w:pPr>
        <w:pStyle w:val="3"/>
        <w:spacing w:line="258" w:lineRule="auto"/>
        <w:rPr>
          <w:color w:val="auto"/>
          <w:highlight w:val="none"/>
        </w:rPr>
      </w:pPr>
    </w:p>
    <w:p w14:paraId="6A510411">
      <w:pPr>
        <w:tabs>
          <w:tab w:val="left" w:pos="4125"/>
        </w:tabs>
        <w:spacing w:before="78" w:line="362" w:lineRule="auto"/>
        <w:ind w:left="2805" w:right="1808" w:hanging="16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法定代表人或委托代理人</w:t>
      </w:r>
      <w:r>
        <w:rPr>
          <w:rFonts w:ascii="宋体" w:hAnsi="宋体" w:eastAsia="宋体" w:cs="宋体"/>
          <w:color w:val="auto"/>
          <w:spacing w:val="-14"/>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4"/>
          <w:sz w:val="24"/>
          <w:szCs w:val="24"/>
          <w:highlight w:val="none"/>
          <w:u w:val="single" w:color="auto"/>
        </w:rPr>
        <w:t>（</w:t>
      </w:r>
      <w:r>
        <w:rPr>
          <w:rFonts w:ascii="宋体" w:hAnsi="宋体" w:eastAsia="宋体" w:cs="宋体"/>
          <w:color w:val="auto"/>
          <w:spacing w:val="2"/>
          <w:sz w:val="24"/>
          <w:szCs w:val="24"/>
          <w:highlight w:val="none"/>
          <w:u w:val="single" w:color="auto"/>
        </w:rPr>
        <w:t>签字或盖章）</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5DE248E0">
      <w:pPr>
        <w:pStyle w:val="3"/>
        <w:spacing w:line="286" w:lineRule="auto"/>
        <w:rPr>
          <w:color w:val="auto"/>
          <w:highlight w:val="none"/>
        </w:rPr>
      </w:pPr>
    </w:p>
    <w:p w14:paraId="113CE6B0">
      <w:pPr>
        <w:pStyle w:val="3"/>
        <w:spacing w:line="287" w:lineRule="auto"/>
        <w:rPr>
          <w:color w:val="auto"/>
          <w:highlight w:val="none"/>
        </w:rPr>
      </w:pPr>
    </w:p>
    <w:p w14:paraId="1361A46B">
      <w:pPr>
        <w:pStyle w:val="3"/>
        <w:spacing w:line="287" w:lineRule="auto"/>
        <w:rPr>
          <w:color w:val="auto"/>
          <w:highlight w:val="none"/>
        </w:rPr>
      </w:pPr>
    </w:p>
    <w:p w14:paraId="5223E410">
      <w:pPr>
        <w:pStyle w:val="3"/>
        <w:spacing w:line="287" w:lineRule="auto"/>
        <w:rPr>
          <w:color w:val="auto"/>
          <w:highlight w:val="none"/>
        </w:rPr>
      </w:pPr>
    </w:p>
    <w:p w14:paraId="5780D7CE">
      <w:pPr>
        <w:spacing w:before="82" w:line="211" w:lineRule="auto"/>
        <w:rPr>
          <w:rFonts w:ascii="宋体" w:hAnsi="宋体" w:eastAsia="宋体" w:cs="宋体"/>
          <w:color w:val="auto"/>
          <w:sz w:val="25"/>
          <w:szCs w:val="25"/>
          <w:highlight w:val="none"/>
        </w:rPr>
      </w:pPr>
      <w:r>
        <w:rPr>
          <w:rFonts w:ascii="宋体" w:hAnsi="宋体" w:eastAsia="宋体" w:cs="宋体"/>
          <w:i/>
          <w:iCs/>
          <w:color w:val="auto"/>
          <w:spacing w:val="-19"/>
          <w:sz w:val="25"/>
          <w:szCs w:val="25"/>
          <w:highlight w:val="none"/>
        </w:rPr>
        <w:t>注：本页同时适用于封面或扉页。</w:t>
      </w:r>
    </w:p>
    <w:p w14:paraId="7ED3A62C">
      <w:pPr>
        <w:spacing w:line="211" w:lineRule="auto"/>
        <w:rPr>
          <w:rFonts w:ascii="宋体" w:hAnsi="宋体" w:eastAsia="宋体" w:cs="宋体"/>
          <w:color w:val="auto"/>
          <w:sz w:val="25"/>
          <w:szCs w:val="25"/>
          <w:highlight w:val="none"/>
        </w:rPr>
        <w:sectPr>
          <w:footerReference r:id="rId149" w:type="default"/>
          <w:pgSz w:w="11907" w:h="16841"/>
          <w:pgMar w:top="400" w:right="1527" w:bottom="1254" w:left="1677" w:header="0" w:footer="1093" w:gutter="0"/>
          <w:pgNumType w:fmt="decimal"/>
          <w:cols w:space="720" w:num="1"/>
        </w:sectPr>
      </w:pPr>
    </w:p>
    <w:p w14:paraId="746651F3">
      <w:pPr>
        <w:pStyle w:val="3"/>
        <w:spacing w:line="246" w:lineRule="auto"/>
        <w:rPr>
          <w:color w:val="auto"/>
          <w:highlight w:val="none"/>
        </w:rPr>
      </w:pPr>
    </w:p>
    <w:p w14:paraId="06E67073">
      <w:pPr>
        <w:pStyle w:val="3"/>
        <w:spacing w:line="246" w:lineRule="auto"/>
        <w:rPr>
          <w:color w:val="auto"/>
          <w:highlight w:val="none"/>
        </w:rPr>
      </w:pPr>
    </w:p>
    <w:p w14:paraId="607FF3D0">
      <w:pPr>
        <w:pStyle w:val="3"/>
        <w:spacing w:line="246" w:lineRule="auto"/>
        <w:rPr>
          <w:color w:val="auto"/>
          <w:highlight w:val="none"/>
        </w:rPr>
      </w:pPr>
    </w:p>
    <w:p w14:paraId="352B5F3A">
      <w:pPr>
        <w:pStyle w:val="3"/>
        <w:spacing w:line="246" w:lineRule="auto"/>
        <w:rPr>
          <w:color w:val="auto"/>
          <w:highlight w:val="none"/>
        </w:rPr>
      </w:pPr>
    </w:p>
    <w:p w14:paraId="230D10C3">
      <w:pPr>
        <w:spacing w:before="91" w:line="220" w:lineRule="auto"/>
        <w:ind w:left="342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评审因素索引表</w:t>
      </w:r>
    </w:p>
    <w:p w14:paraId="3AB02ACC">
      <w:pPr>
        <w:spacing w:before="47"/>
        <w:rPr>
          <w:color w:val="auto"/>
          <w:highlight w:val="none"/>
        </w:rPr>
      </w:pPr>
    </w:p>
    <w:tbl>
      <w:tblPr>
        <w:tblStyle w:val="16"/>
        <w:tblW w:w="900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4"/>
        <w:gridCol w:w="5410"/>
        <w:gridCol w:w="2664"/>
      </w:tblGrid>
      <w:tr w14:paraId="727173BE">
        <w:tblPrEx>
          <w:tblCellMar>
            <w:top w:w="0" w:type="dxa"/>
            <w:left w:w="0" w:type="dxa"/>
            <w:bottom w:w="0" w:type="dxa"/>
            <w:right w:w="0" w:type="dxa"/>
          </w:tblCellMar>
        </w:tblPrEx>
        <w:trPr>
          <w:trHeight w:val="788" w:hRule="atLeast"/>
        </w:trPr>
        <w:tc>
          <w:tcPr>
            <w:tcW w:w="934" w:type="dxa"/>
            <w:tcBorders>
              <w:top w:val="single" w:color="000000" w:sz="6" w:space="0"/>
              <w:left w:val="single" w:color="000000" w:sz="6" w:space="0"/>
            </w:tcBorders>
            <w:vAlign w:val="top"/>
          </w:tcPr>
          <w:p w14:paraId="1F045AFB">
            <w:pPr>
              <w:pStyle w:val="17"/>
              <w:spacing w:before="198" w:line="221" w:lineRule="auto"/>
              <w:ind w:left="226"/>
              <w:rPr>
                <w:color w:val="auto"/>
                <w:sz w:val="24"/>
                <w:szCs w:val="24"/>
                <w:highlight w:val="none"/>
              </w:rPr>
            </w:pPr>
            <w:r>
              <w:rPr>
                <w:color w:val="auto"/>
                <w:spacing w:val="-3"/>
                <w:sz w:val="24"/>
                <w:szCs w:val="24"/>
                <w:highlight w:val="none"/>
              </w:rPr>
              <w:t>序号</w:t>
            </w:r>
          </w:p>
        </w:tc>
        <w:tc>
          <w:tcPr>
            <w:tcW w:w="5410" w:type="dxa"/>
            <w:tcBorders>
              <w:top w:val="single" w:color="000000" w:sz="6" w:space="0"/>
            </w:tcBorders>
            <w:vAlign w:val="top"/>
          </w:tcPr>
          <w:p w14:paraId="6CF7846A">
            <w:pPr>
              <w:pStyle w:val="17"/>
              <w:spacing w:before="198" w:line="220" w:lineRule="auto"/>
              <w:ind w:left="1690"/>
              <w:rPr>
                <w:color w:val="auto"/>
                <w:sz w:val="24"/>
                <w:szCs w:val="24"/>
                <w:highlight w:val="none"/>
              </w:rPr>
            </w:pPr>
            <w:r>
              <w:rPr>
                <w:color w:val="auto"/>
                <w:spacing w:val="-15"/>
                <w:sz w:val="24"/>
                <w:szCs w:val="24"/>
                <w:highlight w:val="none"/>
              </w:rPr>
              <w:t>评</w:t>
            </w:r>
            <w:r>
              <w:rPr>
                <w:color w:val="auto"/>
                <w:spacing w:val="7"/>
                <w:sz w:val="24"/>
                <w:szCs w:val="24"/>
                <w:highlight w:val="none"/>
              </w:rPr>
              <w:t xml:space="preserve">   </w:t>
            </w:r>
            <w:r>
              <w:rPr>
                <w:color w:val="auto"/>
                <w:spacing w:val="-15"/>
                <w:sz w:val="24"/>
                <w:szCs w:val="24"/>
                <w:highlight w:val="none"/>
              </w:rPr>
              <w:t>审</w:t>
            </w:r>
            <w:r>
              <w:rPr>
                <w:color w:val="auto"/>
                <w:spacing w:val="9"/>
                <w:sz w:val="24"/>
                <w:szCs w:val="24"/>
                <w:highlight w:val="none"/>
              </w:rPr>
              <w:t xml:space="preserve">   </w:t>
            </w:r>
            <w:r>
              <w:rPr>
                <w:color w:val="auto"/>
                <w:spacing w:val="-15"/>
                <w:sz w:val="24"/>
                <w:szCs w:val="24"/>
                <w:highlight w:val="none"/>
              </w:rPr>
              <w:t>因</w:t>
            </w:r>
            <w:r>
              <w:rPr>
                <w:color w:val="auto"/>
                <w:spacing w:val="4"/>
                <w:sz w:val="24"/>
                <w:szCs w:val="24"/>
                <w:highlight w:val="none"/>
              </w:rPr>
              <w:t xml:space="preserve">   </w:t>
            </w:r>
            <w:r>
              <w:rPr>
                <w:color w:val="auto"/>
                <w:spacing w:val="-15"/>
                <w:sz w:val="24"/>
                <w:szCs w:val="24"/>
                <w:highlight w:val="none"/>
              </w:rPr>
              <w:t>素</w:t>
            </w:r>
          </w:p>
        </w:tc>
        <w:tc>
          <w:tcPr>
            <w:tcW w:w="2664" w:type="dxa"/>
            <w:tcBorders>
              <w:top w:val="single" w:color="000000" w:sz="6" w:space="0"/>
              <w:right w:val="single" w:color="000000" w:sz="6" w:space="0"/>
            </w:tcBorders>
            <w:vAlign w:val="top"/>
          </w:tcPr>
          <w:p w14:paraId="21B01EEE">
            <w:pPr>
              <w:pStyle w:val="17"/>
              <w:spacing w:before="198" w:line="220" w:lineRule="auto"/>
              <w:ind w:left="383"/>
              <w:rPr>
                <w:color w:val="auto"/>
                <w:sz w:val="24"/>
                <w:szCs w:val="24"/>
                <w:highlight w:val="none"/>
              </w:rPr>
            </w:pPr>
            <w:r>
              <w:rPr>
                <w:color w:val="auto"/>
                <w:spacing w:val="-2"/>
                <w:sz w:val="24"/>
                <w:szCs w:val="24"/>
                <w:highlight w:val="none"/>
              </w:rPr>
              <w:t>投标文件页码范围</w:t>
            </w:r>
          </w:p>
        </w:tc>
      </w:tr>
      <w:tr w14:paraId="0F446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0BE50698">
            <w:pPr>
              <w:rPr>
                <w:rFonts w:ascii="Arial"/>
                <w:color w:val="auto"/>
                <w:sz w:val="21"/>
                <w:highlight w:val="none"/>
              </w:rPr>
            </w:pPr>
          </w:p>
        </w:tc>
        <w:tc>
          <w:tcPr>
            <w:tcW w:w="5410" w:type="dxa"/>
            <w:vAlign w:val="top"/>
          </w:tcPr>
          <w:p w14:paraId="566C4BA6">
            <w:pPr>
              <w:rPr>
                <w:rFonts w:ascii="Arial"/>
                <w:color w:val="auto"/>
                <w:sz w:val="21"/>
                <w:highlight w:val="none"/>
              </w:rPr>
            </w:pPr>
          </w:p>
        </w:tc>
        <w:tc>
          <w:tcPr>
            <w:tcW w:w="2664" w:type="dxa"/>
            <w:tcBorders>
              <w:right w:val="single" w:color="000000" w:sz="6" w:space="0"/>
            </w:tcBorders>
            <w:vAlign w:val="top"/>
          </w:tcPr>
          <w:p w14:paraId="086E6154">
            <w:pPr>
              <w:rPr>
                <w:rFonts w:ascii="Arial"/>
                <w:color w:val="auto"/>
                <w:sz w:val="21"/>
                <w:highlight w:val="none"/>
              </w:rPr>
            </w:pPr>
          </w:p>
        </w:tc>
      </w:tr>
      <w:tr w14:paraId="19A34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145FEB0B">
            <w:pPr>
              <w:rPr>
                <w:rFonts w:ascii="Arial"/>
                <w:color w:val="auto"/>
                <w:sz w:val="21"/>
                <w:highlight w:val="none"/>
              </w:rPr>
            </w:pPr>
          </w:p>
        </w:tc>
        <w:tc>
          <w:tcPr>
            <w:tcW w:w="5410" w:type="dxa"/>
            <w:vAlign w:val="top"/>
          </w:tcPr>
          <w:p w14:paraId="4EC0B487">
            <w:pPr>
              <w:rPr>
                <w:rFonts w:ascii="Arial"/>
                <w:color w:val="auto"/>
                <w:sz w:val="21"/>
                <w:highlight w:val="none"/>
              </w:rPr>
            </w:pPr>
          </w:p>
        </w:tc>
        <w:tc>
          <w:tcPr>
            <w:tcW w:w="2664" w:type="dxa"/>
            <w:tcBorders>
              <w:right w:val="single" w:color="000000" w:sz="6" w:space="0"/>
            </w:tcBorders>
            <w:vAlign w:val="top"/>
          </w:tcPr>
          <w:p w14:paraId="00221E27">
            <w:pPr>
              <w:rPr>
                <w:rFonts w:ascii="Arial"/>
                <w:color w:val="auto"/>
                <w:sz w:val="21"/>
                <w:highlight w:val="none"/>
              </w:rPr>
            </w:pPr>
          </w:p>
        </w:tc>
      </w:tr>
      <w:tr w14:paraId="12E3C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37E8C2E6">
            <w:pPr>
              <w:rPr>
                <w:rFonts w:ascii="Arial"/>
                <w:color w:val="auto"/>
                <w:sz w:val="21"/>
                <w:highlight w:val="none"/>
              </w:rPr>
            </w:pPr>
          </w:p>
        </w:tc>
        <w:tc>
          <w:tcPr>
            <w:tcW w:w="5410" w:type="dxa"/>
            <w:vAlign w:val="top"/>
          </w:tcPr>
          <w:p w14:paraId="6369FB53">
            <w:pPr>
              <w:rPr>
                <w:rFonts w:ascii="Arial"/>
                <w:color w:val="auto"/>
                <w:sz w:val="21"/>
                <w:highlight w:val="none"/>
              </w:rPr>
            </w:pPr>
          </w:p>
        </w:tc>
        <w:tc>
          <w:tcPr>
            <w:tcW w:w="2664" w:type="dxa"/>
            <w:tcBorders>
              <w:right w:val="single" w:color="000000" w:sz="6" w:space="0"/>
            </w:tcBorders>
            <w:vAlign w:val="top"/>
          </w:tcPr>
          <w:p w14:paraId="32BE4D46">
            <w:pPr>
              <w:rPr>
                <w:rFonts w:ascii="Arial"/>
                <w:color w:val="auto"/>
                <w:sz w:val="21"/>
                <w:highlight w:val="none"/>
              </w:rPr>
            </w:pPr>
          </w:p>
        </w:tc>
      </w:tr>
      <w:tr w14:paraId="217CB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4C1D4534">
            <w:pPr>
              <w:rPr>
                <w:rFonts w:ascii="Arial"/>
                <w:color w:val="auto"/>
                <w:sz w:val="21"/>
                <w:highlight w:val="none"/>
              </w:rPr>
            </w:pPr>
          </w:p>
        </w:tc>
        <w:tc>
          <w:tcPr>
            <w:tcW w:w="5410" w:type="dxa"/>
            <w:vAlign w:val="top"/>
          </w:tcPr>
          <w:p w14:paraId="349D3077">
            <w:pPr>
              <w:rPr>
                <w:rFonts w:ascii="Arial"/>
                <w:color w:val="auto"/>
                <w:sz w:val="21"/>
                <w:highlight w:val="none"/>
              </w:rPr>
            </w:pPr>
          </w:p>
        </w:tc>
        <w:tc>
          <w:tcPr>
            <w:tcW w:w="2664" w:type="dxa"/>
            <w:tcBorders>
              <w:right w:val="single" w:color="000000" w:sz="6" w:space="0"/>
            </w:tcBorders>
            <w:vAlign w:val="top"/>
          </w:tcPr>
          <w:p w14:paraId="7DBB8DCD">
            <w:pPr>
              <w:rPr>
                <w:rFonts w:ascii="Arial"/>
                <w:color w:val="auto"/>
                <w:sz w:val="21"/>
                <w:highlight w:val="none"/>
              </w:rPr>
            </w:pPr>
          </w:p>
        </w:tc>
      </w:tr>
      <w:tr w14:paraId="42043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00B4ECF3">
            <w:pPr>
              <w:rPr>
                <w:rFonts w:ascii="Arial"/>
                <w:color w:val="auto"/>
                <w:sz w:val="21"/>
                <w:highlight w:val="none"/>
              </w:rPr>
            </w:pPr>
          </w:p>
        </w:tc>
        <w:tc>
          <w:tcPr>
            <w:tcW w:w="5410" w:type="dxa"/>
            <w:vAlign w:val="top"/>
          </w:tcPr>
          <w:p w14:paraId="312342AA">
            <w:pPr>
              <w:rPr>
                <w:rFonts w:ascii="Arial"/>
                <w:color w:val="auto"/>
                <w:sz w:val="21"/>
                <w:highlight w:val="none"/>
              </w:rPr>
            </w:pPr>
          </w:p>
        </w:tc>
        <w:tc>
          <w:tcPr>
            <w:tcW w:w="2664" w:type="dxa"/>
            <w:tcBorders>
              <w:right w:val="single" w:color="000000" w:sz="6" w:space="0"/>
            </w:tcBorders>
            <w:vAlign w:val="top"/>
          </w:tcPr>
          <w:p w14:paraId="295EA02B">
            <w:pPr>
              <w:rPr>
                <w:rFonts w:ascii="Arial"/>
                <w:color w:val="auto"/>
                <w:sz w:val="21"/>
                <w:highlight w:val="none"/>
              </w:rPr>
            </w:pPr>
          </w:p>
        </w:tc>
      </w:tr>
      <w:tr w14:paraId="00910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045C294D">
            <w:pPr>
              <w:rPr>
                <w:rFonts w:ascii="Arial"/>
                <w:color w:val="auto"/>
                <w:sz w:val="21"/>
                <w:highlight w:val="none"/>
              </w:rPr>
            </w:pPr>
          </w:p>
        </w:tc>
        <w:tc>
          <w:tcPr>
            <w:tcW w:w="5410" w:type="dxa"/>
            <w:vAlign w:val="top"/>
          </w:tcPr>
          <w:p w14:paraId="68A3AAD5">
            <w:pPr>
              <w:rPr>
                <w:rFonts w:ascii="Arial"/>
                <w:color w:val="auto"/>
                <w:sz w:val="21"/>
                <w:highlight w:val="none"/>
              </w:rPr>
            </w:pPr>
          </w:p>
        </w:tc>
        <w:tc>
          <w:tcPr>
            <w:tcW w:w="2664" w:type="dxa"/>
            <w:tcBorders>
              <w:right w:val="single" w:color="000000" w:sz="6" w:space="0"/>
            </w:tcBorders>
            <w:vAlign w:val="top"/>
          </w:tcPr>
          <w:p w14:paraId="0DBFD33F">
            <w:pPr>
              <w:rPr>
                <w:rFonts w:ascii="Arial"/>
                <w:color w:val="auto"/>
                <w:sz w:val="21"/>
                <w:highlight w:val="none"/>
              </w:rPr>
            </w:pPr>
          </w:p>
        </w:tc>
      </w:tr>
      <w:tr w14:paraId="40719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2FD7F284">
            <w:pPr>
              <w:rPr>
                <w:rFonts w:ascii="Arial"/>
                <w:color w:val="auto"/>
                <w:sz w:val="21"/>
                <w:highlight w:val="none"/>
              </w:rPr>
            </w:pPr>
          </w:p>
        </w:tc>
        <w:tc>
          <w:tcPr>
            <w:tcW w:w="5410" w:type="dxa"/>
            <w:vAlign w:val="top"/>
          </w:tcPr>
          <w:p w14:paraId="0BCBE8B3">
            <w:pPr>
              <w:rPr>
                <w:rFonts w:ascii="Arial"/>
                <w:color w:val="auto"/>
                <w:sz w:val="21"/>
                <w:highlight w:val="none"/>
              </w:rPr>
            </w:pPr>
          </w:p>
        </w:tc>
        <w:tc>
          <w:tcPr>
            <w:tcW w:w="2664" w:type="dxa"/>
            <w:tcBorders>
              <w:right w:val="single" w:color="000000" w:sz="6" w:space="0"/>
            </w:tcBorders>
            <w:vAlign w:val="top"/>
          </w:tcPr>
          <w:p w14:paraId="4F47DCBF">
            <w:pPr>
              <w:rPr>
                <w:rFonts w:ascii="Arial"/>
                <w:color w:val="auto"/>
                <w:sz w:val="21"/>
                <w:highlight w:val="none"/>
              </w:rPr>
            </w:pPr>
          </w:p>
        </w:tc>
      </w:tr>
      <w:tr w14:paraId="12A52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934" w:type="dxa"/>
            <w:tcBorders>
              <w:left w:val="single" w:color="000000" w:sz="6" w:space="0"/>
            </w:tcBorders>
            <w:vAlign w:val="top"/>
          </w:tcPr>
          <w:p w14:paraId="6AE03653">
            <w:pPr>
              <w:rPr>
                <w:rFonts w:ascii="Arial"/>
                <w:color w:val="auto"/>
                <w:sz w:val="21"/>
                <w:highlight w:val="none"/>
              </w:rPr>
            </w:pPr>
          </w:p>
        </w:tc>
        <w:tc>
          <w:tcPr>
            <w:tcW w:w="5410" w:type="dxa"/>
            <w:vAlign w:val="top"/>
          </w:tcPr>
          <w:p w14:paraId="688B447E">
            <w:pPr>
              <w:rPr>
                <w:rFonts w:ascii="Arial"/>
                <w:color w:val="auto"/>
                <w:sz w:val="21"/>
                <w:highlight w:val="none"/>
              </w:rPr>
            </w:pPr>
          </w:p>
        </w:tc>
        <w:tc>
          <w:tcPr>
            <w:tcW w:w="2664" w:type="dxa"/>
            <w:tcBorders>
              <w:right w:val="single" w:color="000000" w:sz="6" w:space="0"/>
            </w:tcBorders>
            <w:vAlign w:val="top"/>
          </w:tcPr>
          <w:p w14:paraId="68DD3936">
            <w:pPr>
              <w:rPr>
                <w:rFonts w:ascii="Arial"/>
                <w:color w:val="auto"/>
                <w:sz w:val="21"/>
                <w:highlight w:val="none"/>
              </w:rPr>
            </w:pPr>
          </w:p>
        </w:tc>
      </w:tr>
      <w:tr w14:paraId="6DAFD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0E6F0CD2">
            <w:pPr>
              <w:rPr>
                <w:rFonts w:ascii="Arial"/>
                <w:color w:val="auto"/>
                <w:sz w:val="21"/>
                <w:highlight w:val="none"/>
              </w:rPr>
            </w:pPr>
          </w:p>
        </w:tc>
        <w:tc>
          <w:tcPr>
            <w:tcW w:w="5410" w:type="dxa"/>
            <w:vAlign w:val="top"/>
          </w:tcPr>
          <w:p w14:paraId="091F0DDB">
            <w:pPr>
              <w:rPr>
                <w:rFonts w:ascii="Arial"/>
                <w:color w:val="auto"/>
                <w:sz w:val="21"/>
                <w:highlight w:val="none"/>
              </w:rPr>
            </w:pPr>
          </w:p>
        </w:tc>
        <w:tc>
          <w:tcPr>
            <w:tcW w:w="2664" w:type="dxa"/>
            <w:tcBorders>
              <w:right w:val="single" w:color="000000" w:sz="6" w:space="0"/>
            </w:tcBorders>
            <w:vAlign w:val="top"/>
          </w:tcPr>
          <w:p w14:paraId="5D958026">
            <w:pPr>
              <w:rPr>
                <w:rFonts w:ascii="Arial"/>
                <w:color w:val="auto"/>
                <w:sz w:val="21"/>
                <w:highlight w:val="none"/>
              </w:rPr>
            </w:pPr>
          </w:p>
        </w:tc>
      </w:tr>
      <w:tr w14:paraId="2BFF4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26DA36A3">
            <w:pPr>
              <w:rPr>
                <w:rFonts w:ascii="Arial"/>
                <w:color w:val="auto"/>
                <w:sz w:val="21"/>
                <w:highlight w:val="none"/>
              </w:rPr>
            </w:pPr>
          </w:p>
        </w:tc>
        <w:tc>
          <w:tcPr>
            <w:tcW w:w="5410" w:type="dxa"/>
            <w:vAlign w:val="top"/>
          </w:tcPr>
          <w:p w14:paraId="770D8B78">
            <w:pPr>
              <w:rPr>
                <w:rFonts w:ascii="Arial"/>
                <w:color w:val="auto"/>
                <w:sz w:val="21"/>
                <w:highlight w:val="none"/>
              </w:rPr>
            </w:pPr>
          </w:p>
        </w:tc>
        <w:tc>
          <w:tcPr>
            <w:tcW w:w="2664" w:type="dxa"/>
            <w:tcBorders>
              <w:right w:val="single" w:color="000000" w:sz="6" w:space="0"/>
            </w:tcBorders>
            <w:vAlign w:val="top"/>
          </w:tcPr>
          <w:p w14:paraId="7AD4083F">
            <w:pPr>
              <w:rPr>
                <w:rFonts w:ascii="Arial"/>
                <w:color w:val="auto"/>
                <w:sz w:val="21"/>
                <w:highlight w:val="none"/>
              </w:rPr>
            </w:pPr>
          </w:p>
        </w:tc>
      </w:tr>
      <w:tr w14:paraId="65E8E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4AC1150E">
            <w:pPr>
              <w:rPr>
                <w:rFonts w:ascii="Arial"/>
                <w:color w:val="auto"/>
                <w:sz w:val="21"/>
                <w:highlight w:val="none"/>
              </w:rPr>
            </w:pPr>
          </w:p>
        </w:tc>
        <w:tc>
          <w:tcPr>
            <w:tcW w:w="5410" w:type="dxa"/>
            <w:vAlign w:val="top"/>
          </w:tcPr>
          <w:p w14:paraId="20614179">
            <w:pPr>
              <w:rPr>
                <w:rFonts w:ascii="Arial"/>
                <w:color w:val="auto"/>
                <w:sz w:val="21"/>
                <w:highlight w:val="none"/>
              </w:rPr>
            </w:pPr>
          </w:p>
        </w:tc>
        <w:tc>
          <w:tcPr>
            <w:tcW w:w="2664" w:type="dxa"/>
            <w:tcBorders>
              <w:right w:val="single" w:color="000000" w:sz="6" w:space="0"/>
            </w:tcBorders>
            <w:vAlign w:val="top"/>
          </w:tcPr>
          <w:p w14:paraId="4A9E6577">
            <w:pPr>
              <w:rPr>
                <w:rFonts w:ascii="Arial"/>
                <w:color w:val="auto"/>
                <w:sz w:val="21"/>
                <w:highlight w:val="none"/>
              </w:rPr>
            </w:pPr>
          </w:p>
        </w:tc>
      </w:tr>
      <w:tr w14:paraId="20E29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934" w:type="dxa"/>
            <w:tcBorders>
              <w:left w:val="single" w:color="000000" w:sz="6" w:space="0"/>
            </w:tcBorders>
            <w:vAlign w:val="top"/>
          </w:tcPr>
          <w:p w14:paraId="0C6720C8">
            <w:pPr>
              <w:rPr>
                <w:rFonts w:ascii="Arial"/>
                <w:color w:val="auto"/>
                <w:sz w:val="21"/>
                <w:highlight w:val="none"/>
              </w:rPr>
            </w:pPr>
          </w:p>
        </w:tc>
        <w:tc>
          <w:tcPr>
            <w:tcW w:w="5410" w:type="dxa"/>
            <w:vAlign w:val="top"/>
          </w:tcPr>
          <w:p w14:paraId="5FA5CC84">
            <w:pPr>
              <w:rPr>
                <w:rFonts w:ascii="Arial"/>
                <w:color w:val="auto"/>
                <w:sz w:val="21"/>
                <w:highlight w:val="none"/>
              </w:rPr>
            </w:pPr>
          </w:p>
        </w:tc>
        <w:tc>
          <w:tcPr>
            <w:tcW w:w="2664" w:type="dxa"/>
            <w:tcBorders>
              <w:right w:val="single" w:color="000000" w:sz="6" w:space="0"/>
            </w:tcBorders>
            <w:vAlign w:val="top"/>
          </w:tcPr>
          <w:p w14:paraId="5A65DC67">
            <w:pPr>
              <w:rPr>
                <w:rFonts w:ascii="Arial"/>
                <w:color w:val="auto"/>
                <w:sz w:val="21"/>
                <w:highlight w:val="none"/>
              </w:rPr>
            </w:pPr>
          </w:p>
        </w:tc>
      </w:tr>
      <w:tr w14:paraId="3F70D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934" w:type="dxa"/>
            <w:tcBorders>
              <w:left w:val="single" w:color="000000" w:sz="6" w:space="0"/>
            </w:tcBorders>
            <w:vAlign w:val="top"/>
          </w:tcPr>
          <w:p w14:paraId="57B88ADC">
            <w:pPr>
              <w:rPr>
                <w:rFonts w:ascii="Arial"/>
                <w:color w:val="auto"/>
                <w:sz w:val="21"/>
                <w:highlight w:val="none"/>
              </w:rPr>
            </w:pPr>
          </w:p>
        </w:tc>
        <w:tc>
          <w:tcPr>
            <w:tcW w:w="5410" w:type="dxa"/>
            <w:vAlign w:val="top"/>
          </w:tcPr>
          <w:p w14:paraId="36A2FDEF">
            <w:pPr>
              <w:rPr>
                <w:rFonts w:ascii="Arial"/>
                <w:color w:val="auto"/>
                <w:sz w:val="21"/>
                <w:highlight w:val="none"/>
              </w:rPr>
            </w:pPr>
          </w:p>
        </w:tc>
        <w:tc>
          <w:tcPr>
            <w:tcW w:w="2664" w:type="dxa"/>
            <w:tcBorders>
              <w:right w:val="single" w:color="000000" w:sz="6" w:space="0"/>
            </w:tcBorders>
            <w:vAlign w:val="top"/>
          </w:tcPr>
          <w:p w14:paraId="4A3866EE">
            <w:pPr>
              <w:rPr>
                <w:rFonts w:ascii="Arial"/>
                <w:color w:val="auto"/>
                <w:sz w:val="21"/>
                <w:highlight w:val="none"/>
              </w:rPr>
            </w:pPr>
          </w:p>
        </w:tc>
      </w:tr>
      <w:tr w14:paraId="01249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934" w:type="dxa"/>
            <w:tcBorders>
              <w:left w:val="single" w:color="000000" w:sz="6" w:space="0"/>
              <w:bottom w:val="single" w:color="000000" w:sz="6" w:space="0"/>
            </w:tcBorders>
            <w:vAlign w:val="top"/>
          </w:tcPr>
          <w:p w14:paraId="13FBB54F">
            <w:pPr>
              <w:rPr>
                <w:rFonts w:ascii="Arial"/>
                <w:color w:val="auto"/>
                <w:sz w:val="21"/>
                <w:highlight w:val="none"/>
              </w:rPr>
            </w:pPr>
          </w:p>
        </w:tc>
        <w:tc>
          <w:tcPr>
            <w:tcW w:w="5410" w:type="dxa"/>
            <w:tcBorders>
              <w:bottom w:val="single" w:color="000000" w:sz="6" w:space="0"/>
            </w:tcBorders>
            <w:vAlign w:val="top"/>
          </w:tcPr>
          <w:p w14:paraId="11CF30BC">
            <w:pPr>
              <w:rPr>
                <w:rFonts w:ascii="Arial"/>
                <w:color w:val="auto"/>
                <w:sz w:val="21"/>
                <w:highlight w:val="none"/>
              </w:rPr>
            </w:pPr>
          </w:p>
        </w:tc>
        <w:tc>
          <w:tcPr>
            <w:tcW w:w="2664" w:type="dxa"/>
            <w:tcBorders>
              <w:bottom w:val="single" w:color="000000" w:sz="6" w:space="0"/>
              <w:right w:val="single" w:color="000000" w:sz="6" w:space="0"/>
            </w:tcBorders>
            <w:vAlign w:val="top"/>
          </w:tcPr>
          <w:p w14:paraId="7B10289C">
            <w:pPr>
              <w:rPr>
                <w:rFonts w:ascii="Arial"/>
                <w:color w:val="auto"/>
                <w:sz w:val="21"/>
                <w:highlight w:val="none"/>
              </w:rPr>
            </w:pPr>
          </w:p>
        </w:tc>
      </w:tr>
    </w:tbl>
    <w:p w14:paraId="7CA23855">
      <w:pPr>
        <w:pStyle w:val="3"/>
        <w:rPr>
          <w:color w:val="auto"/>
          <w:highlight w:val="none"/>
        </w:rPr>
      </w:pPr>
    </w:p>
    <w:p w14:paraId="3F3B0442">
      <w:pPr>
        <w:rPr>
          <w:color w:val="auto"/>
          <w:highlight w:val="none"/>
        </w:rPr>
        <w:sectPr>
          <w:footerReference r:id="rId150" w:type="default"/>
          <w:pgSz w:w="11907" w:h="16841"/>
          <w:pgMar w:top="400" w:right="1293" w:bottom="1254" w:left="1588" w:header="0" w:footer="1093" w:gutter="0"/>
          <w:pgNumType w:fmt="decimal"/>
          <w:cols w:space="720" w:num="1"/>
        </w:sectPr>
      </w:pPr>
    </w:p>
    <w:p w14:paraId="0D93D9F8">
      <w:pPr>
        <w:pStyle w:val="3"/>
        <w:spacing w:line="246" w:lineRule="auto"/>
        <w:rPr>
          <w:color w:val="auto"/>
          <w:highlight w:val="none"/>
        </w:rPr>
      </w:pPr>
    </w:p>
    <w:p w14:paraId="71E967E4">
      <w:pPr>
        <w:pStyle w:val="3"/>
        <w:spacing w:line="246" w:lineRule="auto"/>
        <w:rPr>
          <w:color w:val="auto"/>
          <w:highlight w:val="none"/>
        </w:rPr>
      </w:pPr>
    </w:p>
    <w:p w14:paraId="1C371B28">
      <w:pPr>
        <w:pStyle w:val="3"/>
        <w:spacing w:line="246" w:lineRule="auto"/>
        <w:rPr>
          <w:color w:val="auto"/>
          <w:highlight w:val="none"/>
        </w:rPr>
      </w:pPr>
    </w:p>
    <w:p w14:paraId="1460FD46">
      <w:pPr>
        <w:pStyle w:val="3"/>
        <w:spacing w:line="246" w:lineRule="auto"/>
        <w:rPr>
          <w:color w:val="auto"/>
          <w:highlight w:val="none"/>
        </w:rPr>
      </w:pPr>
    </w:p>
    <w:p w14:paraId="584A067B">
      <w:pPr>
        <w:spacing w:before="91" w:line="220" w:lineRule="auto"/>
        <w:ind w:left="3517"/>
        <w:outlineLvl w:val="1"/>
        <w:rPr>
          <w:rFonts w:ascii="宋体" w:hAnsi="宋体" w:eastAsia="宋体" w:cs="宋体"/>
          <w:color w:val="auto"/>
          <w:sz w:val="28"/>
          <w:szCs w:val="28"/>
          <w:highlight w:val="none"/>
        </w:rPr>
      </w:pPr>
      <w:bookmarkStart w:id="1109" w:name="bookmark654"/>
      <w:bookmarkEnd w:id="1109"/>
      <w:bookmarkStart w:id="1110" w:name="_Toc6530"/>
      <w:bookmarkStart w:id="1111" w:name="_Toc20745"/>
      <w:r>
        <w:rPr>
          <w:rFonts w:ascii="宋体" w:hAnsi="宋体" w:eastAsia="宋体" w:cs="宋体"/>
          <w:b/>
          <w:bCs/>
          <w:color w:val="auto"/>
          <w:spacing w:val="-7"/>
          <w:sz w:val="28"/>
          <w:szCs w:val="28"/>
          <w:highlight w:val="none"/>
        </w:rPr>
        <w:t>资信标目录</w:t>
      </w:r>
      <w:bookmarkEnd w:id="1110"/>
      <w:bookmarkEnd w:id="1111"/>
    </w:p>
    <w:p w14:paraId="41456448">
      <w:pPr>
        <w:pStyle w:val="3"/>
        <w:spacing w:line="245" w:lineRule="auto"/>
        <w:rPr>
          <w:color w:val="auto"/>
          <w:highlight w:val="none"/>
        </w:rPr>
      </w:pPr>
    </w:p>
    <w:p w14:paraId="7D3625D1">
      <w:pPr>
        <w:spacing w:before="78" w:line="220" w:lineRule="auto"/>
        <w:ind w:left="29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w:t>
      </w:r>
      <w:r>
        <w:rPr>
          <w:rFonts w:ascii="Times New Roman" w:hAnsi="Times New Roman" w:eastAsia="Times New Roman" w:cs="Times New Roman"/>
          <w:color w:val="auto"/>
          <w:spacing w:val="-5"/>
          <w:sz w:val="24"/>
          <w:szCs w:val="24"/>
          <w:highlight w:val="none"/>
        </w:rPr>
        <w:t>1</w:t>
      </w:r>
      <w:r>
        <w:rPr>
          <w:rFonts w:ascii="宋体" w:hAnsi="宋体" w:eastAsia="宋体" w:cs="宋体"/>
          <w:color w:val="auto"/>
          <w:spacing w:val="-5"/>
          <w:sz w:val="24"/>
          <w:szCs w:val="24"/>
          <w:highlight w:val="none"/>
        </w:rPr>
        <w:t>）企业信用等级。</w:t>
      </w:r>
    </w:p>
    <w:p w14:paraId="4F64EF53">
      <w:pPr>
        <w:spacing w:before="180" w:line="220" w:lineRule="auto"/>
        <w:ind w:left="298"/>
        <w:rPr>
          <w:rFonts w:ascii="宋体" w:hAnsi="宋体" w:eastAsia="宋体" w:cs="宋体"/>
          <w:strike/>
          <w:dstrike w:val="0"/>
          <w:color w:val="auto"/>
          <w:sz w:val="24"/>
          <w:szCs w:val="24"/>
          <w:highlight w:val="none"/>
        </w:rPr>
      </w:pPr>
      <w:r>
        <w:rPr>
          <w:rFonts w:ascii="宋体" w:hAnsi="宋体" w:eastAsia="宋体" w:cs="宋体"/>
          <w:strike/>
          <w:dstrike w:val="0"/>
          <w:color w:val="auto"/>
          <w:spacing w:val="-2"/>
          <w:sz w:val="24"/>
          <w:szCs w:val="24"/>
          <w:highlight w:val="none"/>
        </w:rPr>
        <w:t>（</w:t>
      </w:r>
      <w:r>
        <w:rPr>
          <w:rFonts w:ascii="Times New Roman" w:hAnsi="Times New Roman" w:eastAsia="Times New Roman" w:cs="Times New Roman"/>
          <w:strike/>
          <w:dstrike w:val="0"/>
          <w:color w:val="auto"/>
          <w:spacing w:val="-2"/>
          <w:sz w:val="24"/>
          <w:szCs w:val="24"/>
          <w:highlight w:val="none"/>
        </w:rPr>
        <w:t>2</w:t>
      </w:r>
      <w:r>
        <w:rPr>
          <w:rFonts w:ascii="宋体" w:hAnsi="宋体" w:eastAsia="宋体" w:cs="宋体"/>
          <w:strike/>
          <w:dstrike w:val="0"/>
          <w:color w:val="auto"/>
          <w:spacing w:val="-2"/>
          <w:sz w:val="24"/>
          <w:szCs w:val="24"/>
          <w:highlight w:val="none"/>
        </w:rPr>
        <w:t>）评审打分业绩。（若有）</w:t>
      </w:r>
    </w:p>
    <w:p w14:paraId="6DB3605E">
      <w:pPr>
        <w:spacing w:before="181" w:line="220" w:lineRule="auto"/>
        <w:ind w:left="29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）招标人要求提交的其他资料。</w:t>
      </w:r>
    </w:p>
    <w:p w14:paraId="11594B27">
      <w:pPr>
        <w:spacing w:line="220" w:lineRule="auto"/>
        <w:rPr>
          <w:rFonts w:ascii="宋体" w:hAnsi="宋体" w:eastAsia="宋体" w:cs="宋体"/>
          <w:color w:val="auto"/>
          <w:sz w:val="24"/>
          <w:szCs w:val="24"/>
          <w:highlight w:val="none"/>
        </w:rPr>
        <w:sectPr>
          <w:footerReference r:id="rId151" w:type="default"/>
          <w:pgSz w:w="11907" w:h="16841"/>
          <w:pgMar w:top="400" w:right="1527" w:bottom="1254" w:left="1785" w:header="0" w:footer="1093" w:gutter="0"/>
          <w:pgNumType w:fmt="decimal"/>
          <w:cols w:space="720" w:num="1"/>
        </w:sectPr>
      </w:pPr>
    </w:p>
    <w:p w14:paraId="01E1696D">
      <w:pPr>
        <w:pStyle w:val="3"/>
        <w:spacing w:line="246" w:lineRule="auto"/>
        <w:rPr>
          <w:color w:val="auto"/>
          <w:highlight w:val="none"/>
        </w:rPr>
      </w:pPr>
    </w:p>
    <w:p w14:paraId="27E2E88B">
      <w:pPr>
        <w:pStyle w:val="3"/>
        <w:spacing w:line="246" w:lineRule="auto"/>
        <w:rPr>
          <w:color w:val="auto"/>
          <w:highlight w:val="none"/>
        </w:rPr>
      </w:pPr>
    </w:p>
    <w:p w14:paraId="45AE3EF0">
      <w:pPr>
        <w:pStyle w:val="3"/>
        <w:spacing w:line="246" w:lineRule="auto"/>
        <w:rPr>
          <w:color w:val="auto"/>
          <w:highlight w:val="none"/>
        </w:rPr>
      </w:pPr>
    </w:p>
    <w:p w14:paraId="01A1A4B3">
      <w:pPr>
        <w:pStyle w:val="3"/>
        <w:spacing w:line="246" w:lineRule="auto"/>
        <w:rPr>
          <w:color w:val="auto"/>
          <w:highlight w:val="none"/>
        </w:rPr>
      </w:pPr>
    </w:p>
    <w:p w14:paraId="5EC34BF9">
      <w:pPr>
        <w:spacing w:before="91" w:line="220" w:lineRule="auto"/>
        <w:outlineLvl w:val="1"/>
        <w:rPr>
          <w:rFonts w:ascii="宋体" w:hAnsi="宋体" w:eastAsia="宋体" w:cs="宋体"/>
          <w:color w:val="auto"/>
          <w:sz w:val="28"/>
          <w:szCs w:val="28"/>
          <w:highlight w:val="none"/>
        </w:rPr>
      </w:pPr>
      <w:bookmarkStart w:id="1112" w:name="bookmark655"/>
      <w:bookmarkEnd w:id="1112"/>
      <w:bookmarkStart w:id="1113" w:name="_Toc3290"/>
      <w:bookmarkStart w:id="1114" w:name="_Toc21024"/>
      <w:r>
        <w:rPr>
          <w:rFonts w:ascii="宋体" w:hAnsi="宋体" w:eastAsia="宋体" w:cs="宋体"/>
          <w:b/>
          <w:bCs/>
          <w:color w:val="auto"/>
          <w:spacing w:val="-6"/>
          <w:sz w:val="28"/>
          <w:szCs w:val="28"/>
          <w:highlight w:val="none"/>
        </w:rPr>
        <w:t>一、企业信用等级</w:t>
      </w:r>
      <w:bookmarkEnd w:id="1113"/>
      <w:bookmarkEnd w:id="1114"/>
    </w:p>
    <w:p w14:paraId="1305EE86">
      <w:pPr>
        <w:spacing w:line="220" w:lineRule="auto"/>
        <w:rPr>
          <w:rFonts w:ascii="宋体" w:hAnsi="宋体" w:eastAsia="宋体" w:cs="宋体"/>
          <w:color w:val="auto"/>
          <w:sz w:val="28"/>
          <w:szCs w:val="28"/>
          <w:highlight w:val="none"/>
        </w:rPr>
        <w:sectPr>
          <w:footerReference r:id="rId152" w:type="default"/>
          <w:pgSz w:w="11907" w:h="16841"/>
          <w:pgMar w:top="400" w:right="1527" w:bottom="1254" w:left="1604" w:header="0" w:footer="1093" w:gutter="0"/>
          <w:pgNumType w:fmt="decimal"/>
          <w:cols w:space="720" w:num="1"/>
        </w:sectPr>
      </w:pPr>
    </w:p>
    <w:p w14:paraId="3973E24C">
      <w:pPr>
        <w:pStyle w:val="3"/>
        <w:spacing w:line="246" w:lineRule="auto"/>
        <w:rPr>
          <w:color w:val="auto"/>
          <w:highlight w:val="none"/>
        </w:rPr>
      </w:pPr>
    </w:p>
    <w:p w14:paraId="42EA3E12">
      <w:pPr>
        <w:pStyle w:val="3"/>
        <w:spacing w:line="246" w:lineRule="auto"/>
        <w:rPr>
          <w:color w:val="auto"/>
          <w:highlight w:val="none"/>
        </w:rPr>
      </w:pPr>
    </w:p>
    <w:p w14:paraId="2B40495E">
      <w:pPr>
        <w:pStyle w:val="3"/>
        <w:spacing w:line="246" w:lineRule="auto"/>
        <w:rPr>
          <w:color w:val="auto"/>
          <w:highlight w:val="none"/>
        </w:rPr>
      </w:pPr>
    </w:p>
    <w:p w14:paraId="19E48E3E">
      <w:pPr>
        <w:pStyle w:val="3"/>
        <w:spacing w:line="246" w:lineRule="auto"/>
        <w:rPr>
          <w:color w:val="auto"/>
          <w:highlight w:val="none"/>
        </w:rPr>
      </w:pPr>
    </w:p>
    <w:p w14:paraId="50AB995E">
      <w:pPr>
        <w:spacing w:before="91" w:line="221" w:lineRule="auto"/>
        <w:ind w:left="15"/>
        <w:outlineLvl w:val="1"/>
        <w:rPr>
          <w:rFonts w:ascii="宋体" w:hAnsi="宋体" w:eastAsia="宋体" w:cs="宋体"/>
          <w:color w:val="auto"/>
          <w:sz w:val="28"/>
          <w:szCs w:val="28"/>
          <w:highlight w:val="none"/>
        </w:rPr>
      </w:pPr>
      <w:bookmarkStart w:id="1115" w:name="bookmark656"/>
      <w:bookmarkEnd w:id="1115"/>
      <w:bookmarkStart w:id="1116" w:name="_Toc232"/>
      <w:bookmarkStart w:id="1117" w:name="_Toc10548"/>
      <w:r>
        <w:rPr>
          <w:rFonts w:ascii="宋体" w:hAnsi="宋体" w:eastAsia="宋体" w:cs="宋体"/>
          <w:b/>
          <w:bCs/>
          <w:color w:val="auto"/>
          <w:spacing w:val="-4"/>
          <w:sz w:val="28"/>
          <w:szCs w:val="28"/>
          <w:highlight w:val="none"/>
        </w:rPr>
        <w:t>二、评审打分业绩</w:t>
      </w:r>
      <w:bookmarkEnd w:id="1116"/>
      <w:bookmarkEnd w:id="1117"/>
    </w:p>
    <w:p w14:paraId="4A3B8898">
      <w:pPr>
        <w:spacing w:before="333" w:line="220" w:lineRule="auto"/>
        <w:ind w:left="2144"/>
        <w:rPr>
          <w:rFonts w:ascii="宋体" w:hAnsi="宋体" w:eastAsia="宋体" w:cs="宋体"/>
          <w:strike/>
          <w:dstrike w:val="0"/>
          <w:color w:val="auto"/>
          <w:sz w:val="30"/>
          <w:szCs w:val="30"/>
          <w:highlight w:val="none"/>
        </w:rPr>
      </w:pPr>
      <w:r>
        <w:rPr>
          <w:rFonts w:ascii="宋体" w:hAnsi="宋体" w:eastAsia="宋体" w:cs="宋体"/>
          <w:b/>
          <w:bCs/>
          <w:strike/>
          <w:dstrike w:val="0"/>
          <w:color w:val="auto"/>
          <w:spacing w:val="-4"/>
          <w:sz w:val="30"/>
          <w:szCs w:val="30"/>
          <w:highlight w:val="none"/>
        </w:rPr>
        <w:t>业绩汇总表（评审打分业绩的汇总）</w:t>
      </w:r>
    </w:p>
    <w:p w14:paraId="29EB9582">
      <w:pPr>
        <w:spacing w:before="16"/>
        <w:rPr>
          <w:strike/>
          <w:dstrike w:val="0"/>
          <w:color w:val="auto"/>
          <w:highlight w:val="none"/>
        </w:rPr>
      </w:pPr>
    </w:p>
    <w:p w14:paraId="0F643AEE">
      <w:pPr>
        <w:spacing w:before="15"/>
        <w:rPr>
          <w:strike/>
          <w:dstrike w:val="0"/>
          <w:color w:val="auto"/>
          <w:highlight w:val="none"/>
        </w:rPr>
      </w:pPr>
    </w:p>
    <w:tbl>
      <w:tblPr>
        <w:tblStyle w:val="16"/>
        <w:tblW w:w="863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1321"/>
        <w:gridCol w:w="1146"/>
        <w:gridCol w:w="1376"/>
        <w:gridCol w:w="1685"/>
        <w:gridCol w:w="1153"/>
        <w:gridCol w:w="1211"/>
      </w:tblGrid>
      <w:tr w14:paraId="05096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742" w:type="dxa"/>
            <w:tcBorders>
              <w:top w:val="single" w:color="000000" w:sz="10" w:space="0"/>
              <w:left w:val="single" w:color="000000" w:sz="10" w:space="0"/>
            </w:tcBorders>
            <w:vAlign w:val="top"/>
          </w:tcPr>
          <w:p w14:paraId="3A5808FE">
            <w:pPr>
              <w:spacing w:line="250" w:lineRule="auto"/>
              <w:rPr>
                <w:rFonts w:ascii="Arial"/>
                <w:strike/>
                <w:dstrike w:val="0"/>
                <w:color w:val="auto"/>
                <w:sz w:val="21"/>
                <w:highlight w:val="none"/>
              </w:rPr>
            </w:pPr>
          </w:p>
          <w:p w14:paraId="1A0C2E24">
            <w:pPr>
              <w:spacing w:line="250" w:lineRule="auto"/>
              <w:rPr>
                <w:rFonts w:ascii="Arial"/>
                <w:strike/>
                <w:dstrike w:val="0"/>
                <w:color w:val="auto"/>
                <w:sz w:val="21"/>
                <w:highlight w:val="none"/>
              </w:rPr>
            </w:pPr>
          </w:p>
          <w:p w14:paraId="5B373BA9">
            <w:pPr>
              <w:spacing w:line="251" w:lineRule="auto"/>
              <w:rPr>
                <w:rFonts w:ascii="Arial"/>
                <w:strike/>
                <w:dstrike w:val="0"/>
                <w:color w:val="auto"/>
                <w:sz w:val="21"/>
                <w:highlight w:val="none"/>
              </w:rPr>
            </w:pPr>
          </w:p>
          <w:p w14:paraId="6D486CDC">
            <w:pPr>
              <w:pStyle w:val="17"/>
              <w:spacing w:before="78" w:line="221" w:lineRule="auto"/>
              <w:ind w:left="124"/>
              <w:rPr>
                <w:strike/>
                <w:dstrike w:val="0"/>
                <w:color w:val="auto"/>
                <w:sz w:val="24"/>
                <w:szCs w:val="24"/>
                <w:highlight w:val="none"/>
              </w:rPr>
            </w:pPr>
            <w:r>
              <w:rPr>
                <w:strike/>
                <w:dstrike w:val="0"/>
                <w:color w:val="auto"/>
                <w:spacing w:val="-3"/>
                <w:sz w:val="24"/>
                <w:szCs w:val="24"/>
                <w:highlight w:val="none"/>
              </w:rPr>
              <w:t>序号</w:t>
            </w:r>
          </w:p>
        </w:tc>
        <w:tc>
          <w:tcPr>
            <w:tcW w:w="1321" w:type="dxa"/>
            <w:tcBorders>
              <w:top w:val="single" w:color="000000" w:sz="10" w:space="0"/>
            </w:tcBorders>
            <w:vAlign w:val="top"/>
          </w:tcPr>
          <w:p w14:paraId="658160E3">
            <w:pPr>
              <w:spacing w:line="298" w:lineRule="auto"/>
              <w:rPr>
                <w:rFonts w:ascii="Arial"/>
                <w:strike/>
                <w:dstrike w:val="0"/>
                <w:color w:val="auto"/>
                <w:sz w:val="21"/>
                <w:highlight w:val="none"/>
              </w:rPr>
            </w:pPr>
          </w:p>
          <w:p w14:paraId="64231023">
            <w:pPr>
              <w:spacing w:line="298" w:lineRule="auto"/>
              <w:rPr>
                <w:rFonts w:ascii="Arial"/>
                <w:strike/>
                <w:dstrike w:val="0"/>
                <w:color w:val="auto"/>
                <w:sz w:val="21"/>
                <w:highlight w:val="none"/>
              </w:rPr>
            </w:pPr>
          </w:p>
          <w:p w14:paraId="7FD2C730">
            <w:pPr>
              <w:pStyle w:val="17"/>
              <w:spacing w:before="78" w:line="242" w:lineRule="auto"/>
              <w:ind w:left="412" w:right="66" w:hanging="355"/>
              <w:rPr>
                <w:strike/>
                <w:dstrike w:val="0"/>
                <w:color w:val="auto"/>
                <w:sz w:val="24"/>
                <w:szCs w:val="24"/>
                <w:highlight w:val="none"/>
              </w:rPr>
            </w:pPr>
            <w:r>
              <w:rPr>
                <w:strike/>
                <w:dstrike w:val="0"/>
                <w:color w:val="auto"/>
                <w:spacing w:val="-3"/>
                <w:sz w:val="24"/>
                <w:szCs w:val="24"/>
                <w:highlight w:val="none"/>
              </w:rPr>
              <w:t>该业绩证明对象</w:t>
            </w:r>
          </w:p>
        </w:tc>
        <w:tc>
          <w:tcPr>
            <w:tcW w:w="1146" w:type="dxa"/>
            <w:tcBorders>
              <w:top w:val="single" w:color="000000" w:sz="10" w:space="0"/>
            </w:tcBorders>
            <w:vAlign w:val="top"/>
          </w:tcPr>
          <w:p w14:paraId="0325785E">
            <w:pPr>
              <w:spacing w:line="250" w:lineRule="auto"/>
              <w:rPr>
                <w:rFonts w:ascii="Arial"/>
                <w:strike/>
                <w:dstrike w:val="0"/>
                <w:color w:val="auto"/>
                <w:sz w:val="21"/>
                <w:highlight w:val="none"/>
              </w:rPr>
            </w:pPr>
          </w:p>
          <w:p w14:paraId="6D798E7F">
            <w:pPr>
              <w:spacing w:line="251" w:lineRule="auto"/>
              <w:rPr>
                <w:rFonts w:ascii="Arial"/>
                <w:strike/>
                <w:dstrike w:val="0"/>
                <w:color w:val="auto"/>
                <w:sz w:val="21"/>
                <w:highlight w:val="none"/>
              </w:rPr>
            </w:pPr>
          </w:p>
          <w:p w14:paraId="30DC8143">
            <w:pPr>
              <w:spacing w:line="251" w:lineRule="auto"/>
              <w:rPr>
                <w:rFonts w:ascii="Arial"/>
                <w:strike/>
                <w:dstrike w:val="0"/>
                <w:color w:val="auto"/>
                <w:sz w:val="21"/>
                <w:highlight w:val="none"/>
              </w:rPr>
            </w:pPr>
          </w:p>
          <w:p w14:paraId="0F5D3DB5">
            <w:pPr>
              <w:pStyle w:val="17"/>
              <w:spacing w:before="78" w:line="220" w:lineRule="auto"/>
              <w:ind w:left="92"/>
              <w:rPr>
                <w:strike/>
                <w:dstrike w:val="0"/>
                <w:color w:val="auto"/>
                <w:sz w:val="24"/>
                <w:szCs w:val="24"/>
                <w:highlight w:val="none"/>
              </w:rPr>
            </w:pPr>
            <w:r>
              <w:rPr>
                <w:strike/>
                <w:dstrike w:val="0"/>
                <w:color w:val="auto"/>
                <w:spacing w:val="-3"/>
                <w:sz w:val="24"/>
                <w:szCs w:val="24"/>
                <w:highlight w:val="none"/>
              </w:rPr>
              <w:t>项目名称</w:t>
            </w:r>
          </w:p>
        </w:tc>
        <w:tc>
          <w:tcPr>
            <w:tcW w:w="1376" w:type="dxa"/>
            <w:tcBorders>
              <w:top w:val="single" w:color="000000" w:sz="10" w:space="0"/>
            </w:tcBorders>
            <w:vAlign w:val="top"/>
          </w:tcPr>
          <w:p w14:paraId="05D4AA17">
            <w:pPr>
              <w:spacing w:line="298" w:lineRule="auto"/>
              <w:rPr>
                <w:rFonts w:ascii="Arial"/>
                <w:strike/>
                <w:dstrike w:val="0"/>
                <w:color w:val="auto"/>
                <w:sz w:val="21"/>
                <w:highlight w:val="none"/>
              </w:rPr>
            </w:pPr>
          </w:p>
          <w:p w14:paraId="1BE58930">
            <w:pPr>
              <w:spacing w:line="299" w:lineRule="auto"/>
              <w:rPr>
                <w:rFonts w:ascii="Arial"/>
                <w:strike/>
                <w:dstrike w:val="0"/>
                <w:color w:val="auto"/>
                <w:sz w:val="21"/>
                <w:highlight w:val="none"/>
              </w:rPr>
            </w:pPr>
          </w:p>
          <w:p w14:paraId="42ED56ED">
            <w:pPr>
              <w:pStyle w:val="17"/>
              <w:spacing w:before="78" w:line="220" w:lineRule="auto"/>
              <w:ind w:left="90"/>
              <w:rPr>
                <w:strike/>
                <w:dstrike w:val="0"/>
                <w:color w:val="auto"/>
                <w:sz w:val="24"/>
                <w:szCs w:val="24"/>
                <w:highlight w:val="none"/>
              </w:rPr>
            </w:pPr>
            <w:r>
              <w:rPr>
                <w:strike/>
                <w:dstrike w:val="0"/>
                <w:color w:val="auto"/>
                <w:spacing w:val="14"/>
                <w:sz w:val="24"/>
                <w:szCs w:val="24"/>
                <w:highlight w:val="none"/>
              </w:rPr>
              <w:t>建设单位(</w:t>
            </w:r>
          </w:p>
          <w:p w14:paraId="2648A6B7">
            <w:pPr>
              <w:pStyle w:val="17"/>
              <w:spacing w:before="25" w:line="220" w:lineRule="auto"/>
              <w:ind w:left="91"/>
              <w:rPr>
                <w:strike/>
                <w:dstrike w:val="0"/>
                <w:color w:val="auto"/>
                <w:sz w:val="24"/>
                <w:szCs w:val="24"/>
                <w:highlight w:val="none"/>
              </w:rPr>
            </w:pPr>
            <w:r>
              <w:rPr>
                <w:strike/>
                <w:dstrike w:val="0"/>
                <w:color w:val="auto"/>
                <w:spacing w:val="-5"/>
                <w:sz w:val="24"/>
                <w:szCs w:val="24"/>
                <w:highlight w:val="none"/>
              </w:rPr>
              <w:t>项目业主）</w:t>
            </w:r>
          </w:p>
        </w:tc>
        <w:tc>
          <w:tcPr>
            <w:tcW w:w="1685" w:type="dxa"/>
            <w:tcBorders>
              <w:top w:val="single" w:color="000000" w:sz="10" w:space="0"/>
            </w:tcBorders>
            <w:vAlign w:val="top"/>
          </w:tcPr>
          <w:p w14:paraId="23C1D9F8">
            <w:pPr>
              <w:spacing w:line="289" w:lineRule="auto"/>
              <w:rPr>
                <w:rFonts w:ascii="Arial"/>
                <w:strike/>
                <w:dstrike w:val="0"/>
                <w:color w:val="auto"/>
                <w:sz w:val="21"/>
                <w:highlight w:val="none"/>
              </w:rPr>
            </w:pPr>
          </w:p>
          <w:p w14:paraId="10BE646E">
            <w:pPr>
              <w:pStyle w:val="17"/>
              <w:spacing w:before="78" w:line="220" w:lineRule="auto"/>
              <w:ind w:left="132"/>
              <w:rPr>
                <w:strike/>
                <w:dstrike w:val="0"/>
                <w:color w:val="auto"/>
                <w:sz w:val="24"/>
                <w:szCs w:val="24"/>
                <w:highlight w:val="none"/>
              </w:rPr>
            </w:pPr>
            <w:r>
              <w:rPr>
                <w:strike/>
                <w:dstrike w:val="0"/>
                <w:color w:val="auto"/>
                <w:spacing w:val="-2"/>
                <w:sz w:val="24"/>
                <w:szCs w:val="24"/>
                <w:highlight w:val="none"/>
              </w:rPr>
              <w:t>与评审有关的</w:t>
            </w:r>
          </w:p>
          <w:p w14:paraId="62765BEC">
            <w:pPr>
              <w:pStyle w:val="17"/>
              <w:spacing w:before="22" w:line="220" w:lineRule="auto"/>
              <w:ind w:left="138"/>
              <w:rPr>
                <w:strike/>
                <w:dstrike w:val="0"/>
                <w:color w:val="auto"/>
                <w:sz w:val="24"/>
                <w:szCs w:val="24"/>
                <w:highlight w:val="none"/>
              </w:rPr>
            </w:pPr>
            <w:r>
              <w:rPr>
                <w:strike/>
                <w:dstrike w:val="0"/>
                <w:color w:val="auto"/>
                <w:spacing w:val="-8"/>
                <w:sz w:val="24"/>
                <w:szCs w:val="24"/>
                <w:highlight w:val="none"/>
              </w:rPr>
              <w:t>时间、规模、</w:t>
            </w:r>
          </w:p>
          <w:p w14:paraId="67C92093">
            <w:pPr>
              <w:pStyle w:val="17"/>
              <w:spacing w:before="25" w:line="220" w:lineRule="auto"/>
              <w:ind w:left="128"/>
              <w:rPr>
                <w:strike/>
                <w:dstrike w:val="0"/>
                <w:color w:val="auto"/>
                <w:sz w:val="24"/>
                <w:szCs w:val="24"/>
                <w:highlight w:val="none"/>
              </w:rPr>
            </w:pPr>
            <w:r>
              <w:rPr>
                <w:strike/>
                <w:dstrike w:val="0"/>
                <w:color w:val="auto"/>
                <w:spacing w:val="-2"/>
                <w:sz w:val="24"/>
                <w:szCs w:val="24"/>
                <w:highlight w:val="none"/>
              </w:rPr>
              <w:t>技术指标及其</w:t>
            </w:r>
          </w:p>
          <w:p w14:paraId="0ED9DACC">
            <w:pPr>
              <w:pStyle w:val="17"/>
              <w:spacing w:before="26" w:line="220" w:lineRule="auto"/>
              <w:ind w:left="487"/>
              <w:rPr>
                <w:strike/>
                <w:dstrike w:val="0"/>
                <w:color w:val="auto"/>
                <w:sz w:val="24"/>
                <w:szCs w:val="24"/>
                <w:highlight w:val="none"/>
              </w:rPr>
            </w:pPr>
            <w:r>
              <w:rPr>
                <w:strike/>
                <w:dstrike w:val="0"/>
                <w:color w:val="auto"/>
                <w:spacing w:val="-3"/>
                <w:sz w:val="24"/>
                <w:szCs w:val="24"/>
                <w:highlight w:val="none"/>
              </w:rPr>
              <w:t>他要求</w:t>
            </w:r>
          </w:p>
        </w:tc>
        <w:tc>
          <w:tcPr>
            <w:tcW w:w="1153" w:type="dxa"/>
            <w:tcBorders>
              <w:top w:val="single" w:color="000000" w:sz="10" w:space="0"/>
            </w:tcBorders>
            <w:vAlign w:val="top"/>
          </w:tcPr>
          <w:p w14:paraId="4BDF8C1C">
            <w:pPr>
              <w:spacing w:line="298" w:lineRule="auto"/>
              <w:rPr>
                <w:rFonts w:ascii="Arial"/>
                <w:strike/>
                <w:dstrike w:val="0"/>
                <w:color w:val="auto"/>
                <w:sz w:val="21"/>
                <w:highlight w:val="none"/>
              </w:rPr>
            </w:pPr>
          </w:p>
          <w:p w14:paraId="15D23315">
            <w:pPr>
              <w:spacing w:line="298" w:lineRule="auto"/>
              <w:rPr>
                <w:rFonts w:ascii="Arial"/>
                <w:strike/>
                <w:dstrike w:val="0"/>
                <w:color w:val="auto"/>
                <w:sz w:val="21"/>
                <w:highlight w:val="none"/>
              </w:rPr>
            </w:pPr>
          </w:p>
          <w:p w14:paraId="1B3675F9">
            <w:pPr>
              <w:pStyle w:val="17"/>
              <w:spacing w:before="78" w:line="242" w:lineRule="auto"/>
              <w:ind w:left="108" w:right="84"/>
              <w:rPr>
                <w:strike/>
                <w:dstrike w:val="0"/>
                <w:color w:val="auto"/>
                <w:sz w:val="24"/>
                <w:szCs w:val="24"/>
                <w:highlight w:val="none"/>
              </w:rPr>
            </w:pPr>
            <w:r>
              <w:rPr>
                <w:strike/>
                <w:dstrike w:val="0"/>
                <w:color w:val="auto"/>
                <w:spacing w:val="-3"/>
                <w:sz w:val="24"/>
                <w:szCs w:val="24"/>
                <w:highlight w:val="none"/>
              </w:rPr>
              <w:t>提交证明材料内容</w:t>
            </w:r>
          </w:p>
        </w:tc>
        <w:tc>
          <w:tcPr>
            <w:tcW w:w="1211" w:type="dxa"/>
            <w:tcBorders>
              <w:top w:val="single" w:color="000000" w:sz="10" w:space="0"/>
              <w:right w:val="single" w:color="000000" w:sz="10" w:space="0"/>
            </w:tcBorders>
            <w:vAlign w:val="top"/>
          </w:tcPr>
          <w:p w14:paraId="4DD438F1">
            <w:pPr>
              <w:spacing w:line="298" w:lineRule="auto"/>
              <w:rPr>
                <w:rFonts w:ascii="Arial"/>
                <w:strike/>
                <w:dstrike w:val="0"/>
                <w:color w:val="auto"/>
                <w:sz w:val="21"/>
                <w:highlight w:val="none"/>
              </w:rPr>
            </w:pPr>
          </w:p>
          <w:p w14:paraId="540384F3">
            <w:pPr>
              <w:spacing w:line="298" w:lineRule="auto"/>
              <w:rPr>
                <w:rFonts w:ascii="Arial"/>
                <w:strike/>
                <w:dstrike w:val="0"/>
                <w:color w:val="auto"/>
                <w:sz w:val="21"/>
                <w:highlight w:val="none"/>
              </w:rPr>
            </w:pPr>
          </w:p>
          <w:p w14:paraId="27221BF7">
            <w:pPr>
              <w:pStyle w:val="17"/>
              <w:spacing w:before="78" w:line="242" w:lineRule="auto"/>
              <w:ind w:left="127" w:right="113"/>
              <w:rPr>
                <w:strike/>
                <w:dstrike w:val="0"/>
                <w:color w:val="auto"/>
                <w:sz w:val="24"/>
                <w:szCs w:val="24"/>
                <w:highlight w:val="none"/>
              </w:rPr>
            </w:pPr>
            <w:r>
              <w:rPr>
                <w:strike/>
                <w:dstrike w:val="0"/>
                <w:color w:val="auto"/>
                <w:spacing w:val="-3"/>
                <w:sz w:val="24"/>
                <w:szCs w:val="24"/>
                <w:highlight w:val="none"/>
              </w:rPr>
              <w:t>在投标文件的位置</w:t>
            </w:r>
          </w:p>
        </w:tc>
      </w:tr>
      <w:tr w14:paraId="79DBC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742" w:type="dxa"/>
            <w:tcBorders>
              <w:left w:val="single" w:color="000000" w:sz="10" w:space="0"/>
            </w:tcBorders>
            <w:vAlign w:val="top"/>
          </w:tcPr>
          <w:p w14:paraId="206E3734">
            <w:pPr>
              <w:spacing w:line="247" w:lineRule="auto"/>
              <w:rPr>
                <w:rFonts w:ascii="Arial"/>
                <w:strike/>
                <w:dstrike w:val="0"/>
                <w:color w:val="auto"/>
                <w:sz w:val="21"/>
                <w:highlight w:val="none"/>
              </w:rPr>
            </w:pPr>
          </w:p>
          <w:p w14:paraId="53FC5AB5">
            <w:pPr>
              <w:spacing w:line="247" w:lineRule="auto"/>
              <w:rPr>
                <w:rFonts w:ascii="Arial"/>
                <w:strike/>
                <w:dstrike w:val="0"/>
                <w:color w:val="auto"/>
                <w:sz w:val="21"/>
                <w:highlight w:val="none"/>
              </w:rPr>
            </w:pPr>
          </w:p>
          <w:p w14:paraId="47989FC1">
            <w:pPr>
              <w:spacing w:line="248" w:lineRule="auto"/>
              <w:rPr>
                <w:rFonts w:ascii="Arial"/>
                <w:strike/>
                <w:dstrike w:val="0"/>
                <w:color w:val="auto"/>
                <w:sz w:val="21"/>
                <w:highlight w:val="none"/>
              </w:rPr>
            </w:pPr>
          </w:p>
          <w:p w14:paraId="609983C7">
            <w:pPr>
              <w:spacing w:before="69" w:line="186" w:lineRule="auto"/>
              <w:ind w:left="324"/>
              <w:rPr>
                <w:rFonts w:ascii="Times New Roman" w:hAnsi="Times New Roman" w:eastAsia="Times New Roman" w:cs="Times New Roman"/>
                <w:strike/>
                <w:dstrike w:val="0"/>
                <w:color w:val="auto"/>
                <w:sz w:val="24"/>
                <w:szCs w:val="24"/>
                <w:highlight w:val="none"/>
              </w:rPr>
            </w:pPr>
            <w:r>
              <w:rPr>
                <w:rFonts w:ascii="Times New Roman" w:hAnsi="Times New Roman" w:eastAsia="Times New Roman" w:cs="Times New Roman"/>
                <w:strike/>
                <w:dstrike w:val="0"/>
                <w:color w:val="auto"/>
                <w:sz w:val="24"/>
                <w:szCs w:val="24"/>
                <w:highlight w:val="none"/>
              </w:rPr>
              <w:t>1</w:t>
            </w:r>
          </w:p>
        </w:tc>
        <w:tc>
          <w:tcPr>
            <w:tcW w:w="1321" w:type="dxa"/>
            <w:vAlign w:val="top"/>
          </w:tcPr>
          <w:p w14:paraId="3A39F5E9">
            <w:pPr>
              <w:spacing w:line="293" w:lineRule="auto"/>
              <w:rPr>
                <w:rFonts w:ascii="Arial"/>
                <w:strike/>
                <w:dstrike w:val="0"/>
                <w:color w:val="auto"/>
                <w:sz w:val="21"/>
                <w:highlight w:val="none"/>
              </w:rPr>
            </w:pPr>
          </w:p>
          <w:p w14:paraId="56F84E51">
            <w:pPr>
              <w:spacing w:line="293" w:lineRule="auto"/>
              <w:rPr>
                <w:rFonts w:ascii="Arial"/>
                <w:strike/>
                <w:dstrike w:val="0"/>
                <w:color w:val="auto"/>
                <w:sz w:val="21"/>
                <w:highlight w:val="none"/>
              </w:rPr>
            </w:pPr>
          </w:p>
          <w:p w14:paraId="1E6B1E74">
            <w:pPr>
              <w:spacing w:line="294" w:lineRule="auto"/>
              <w:rPr>
                <w:rFonts w:ascii="Arial"/>
                <w:strike/>
                <w:dstrike w:val="0"/>
                <w:color w:val="auto"/>
                <w:sz w:val="21"/>
                <w:highlight w:val="none"/>
              </w:rPr>
            </w:pPr>
          </w:p>
          <w:p w14:paraId="43A7A853">
            <w:pPr>
              <w:spacing w:before="69" w:line="75" w:lineRule="exact"/>
              <w:ind w:left="465"/>
              <w:rPr>
                <w:rFonts w:ascii="Times New Roman" w:hAnsi="Times New Roman" w:eastAsia="Times New Roman" w:cs="Times New Roman"/>
                <w:strike/>
                <w:dstrike w:val="0"/>
                <w:color w:val="auto"/>
                <w:sz w:val="24"/>
                <w:szCs w:val="24"/>
                <w:highlight w:val="none"/>
              </w:rPr>
            </w:pPr>
            <w:r>
              <w:rPr>
                <w:rFonts w:ascii="Times New Roman" w:hAnsi="Times New Roman" w:eastAsia="Times New Roman" w:cs="Times New Roman"/>
                <w:i/>
                <w:iCs/>
                <w:strike/>
                <w:dstrike w:val="0"/>
                <w:color w:val="auto"/>
                <w:spacing w:val="-10"/>
                <w:position w:val="-1"/>
                <w:sz w:val="24"/>
                <w:szCs w:val="24"/>
                <w:highlight w:val="none"/>
              </w:rPr>
              <w:t>……</w:t>
            </w:r>
          </w:p>
        </w:tc>
        <w:tc>
          <w:tcPr>
            <w:tcW w:w="1146" w:type="dxa"/>
            <w:vAlign w:val="top"/>
          </w:tcPr>
          <w:p w14:paraId="20AEBB23">
            <w:pPr>
              <w:rPr>
                <w:rFonts w:ascii="Arial"/>
                <w:strike/>
                <w:dstrike w:val="0"/>
                <w:color w:val="auto"/>
                <w:sz w:val="21"/>
                <w:highlight w:val="none"/>
              </w:rPr>
            </w:pPr>
          </w:p>
        </w:tc>
        <w:tc>
          <w:tcPr>
            <w:tcW w:w="1376" w:type="dxa"/>
            <w:vAlign w:val="top"/>
          </w:tcPr>
          <w:p w14:paraId="22F9EDF2">
            <w:pPr>
              <w:rPr>
                <w:rFonts w:ascii="Arial"/>
                <w:strike/>
                <w:dstrike w:val="0"/>
                <w:color w:val="auto"/>
                <w:sz w:val="21"/>
                <w:highlight w:val="none"/>
              </w:rPr>
            </w:pPr>
          </w:p>
        </w:tc>
        <w:tc>
          <w:tcPr>
            <w:tcW w:w="1685" w:type="dxa"/>
            <w:vAlign w:val="top"/>
          </w:tcPr>
          <w:p w14:paraId="5E6DAE58">
            <w:pPr>
              <w:rPr>
                <w:rFonts w:ascii="Arial"/>
                <w:strike/>
                <w:dstrike w:val="0"/>
                <w:color w:val="auto"/>
                <w:sz w:val="21"/>
                <w:highlight w:val="none"/>
              </w:rPr>
            </w:pPr>
          </w:p>
        </w:tc>
        <w:tc>
          <w:tcPr>
            <w:tcW w:w="1153" w:type="dxa"/>
            <w:vAlign w:val="top"/>
          </w:tcPr>
          <w:p w14:paraId="409B818E">
            <w:pPr>
              <w:rPr>
                <w:rFonts w:ascii="Arial"/>
                <w:strike/>
                <w:dstrike w:val="0"/>
                <w:color w:val="auto"/>
                <w:sz w:val="21"/>
                <w:highlight w:val="none"/>
              </w:rPr>
            </w:pPr>
          </w:p>
        </w:tc>
        <w:tc>
          <w:tcPr>
            <w:tcW w:w="1211" w:type="dxa"/>
            <w:tcBorders>
              <w:right w:val="single" w:color="000000" w:sz="10" w:space="0"/>
            </w:tcBorders>
            <w:vAlign w:val="top"/>
          </w:tcPr>
          <w:p w14:paraId="27713EE3">
            <w:pPr>
              <w:spacing w:line="378" w:lineRule="auto"/>
              <w:rPr>
                <w:rFonts w:ascii="Arial"/>
                <w:strike/>
                <w:dstrike w:val="0"/>
                <w:color w:val="auto"/>
                <w:sz w:val="21"/>
                <w:highlight w:val="none"/>
              </w:rPr>
            </w:pPr>
          </w:p>
          <w:p w14:paraId="6CBC5946">
            <w:pPr>
              <w:pStyle w:val="17"/>
              <w:spacing w:before="81" w:line="213" w:lineRule="auto"/>
              <w:ind w:left="166"/>
              <w:rPr>
                <w:strike/>
                <w:dstrike w:val="0"/>
                <w:color w:val="auto"/>
                <w:sz w:val="25"/>
                <w:szCs w:val="25"/>
                <w:highlight w:val="none"/>
              </w:rPr>
            </w:pPr>
            <w:r>
              <w:rPr>
                <w:i/>
                <w:iCs/>
                <w:strike/>
                <w:dstrike w:val="0"/>
                <w:color w:val="auto"/>
                <w:spacing w:val="-13"/>
                <w:sz w:val="25"/>
                <w:szCs w:val="25"/>
                <w:highlight w:val="none"/>
              </w:rPr>
              <w:t>例如：投</w:t>
            </w:r>
          </w:p>
          <w:p w14:paraId="57DF6C31">
            <w:pPr>
              <w:pStyle w:val="17"/>
              <w:spacing w:before="21" w:line="212" w:lineRule="auto"/>
              <w:ind w:right="8"/>
              <w:jc w:val="right"/>
              <w:rPr>
                <w:rFonts w:ascii="Times New Roman" w:hAnsi="Times New Roman" w:eastAsia="Times New Roman" w:cs="Times New Roman"/>
                <w:strike/>
                <w:dstrike w:val="0"/>
                <w:color w:val="auto"/>
                <w:sz w:val="24"/>
                <w:szCs w:val="24"/>
                <w:highlight w:val="none"/>
              </w:rPr>
            </w:pPr>
            <w:r>
              <w:rPr>
                <w:i/>
                <w:iCs/>
                <w:strike/>
                <w:dstrike w:val="0"/>
                <w:color w:val="auto"/>
                <w:spacing w:val="-9"/>
                <w:w w:val="95"/>
                <w:sz w:val="25"/>
                <w:szCs w:val="25"/>
                <w:highlight w:val="none"/>
              </w:rPr>
              <w:t>标</w:t>
            </w:r>
            <w:r>
              <w:rPr>
                <w:i/>
                <w:iCs/>
                <w:strike/>
                <w:dstrike w:val="0"/>
                <w:color w:val="auto"/>
                <w:spacing w:val="-8"/>
                <w:w w:val="95"/>
                <w:sz w:val="25"/>
                <w:szCs w:val="25"/>
                <w:highlight w:val="none"/>
              </w:rPr>
              <w:t>文件第</w:t>
            </w:r>
            <w:r>
              <w:rPr>
                <w:rFonts w:ascii="Times New Roman" w:hAnsi="Times New Roman" w:eastAsia="Times New Roman" w:cs="Times New Roman"/>
                <w:i/>
                <w:iCs/>
                <w:strike/>
                <w:dstrike w:val="0"/>
                <w:color w:val="auto"/>
                <w:spacing w:val="23"/>
                <w:w w:val="95"/>
                <w:sz w:val="24"/>
                <w:szCs w:val="24"/>
                <w:highlight w:val="none"/>
              </w:rPr>
              <w:t>X</w:t>
            </w:r>
          </w:p>
          <w:p w14:paraId="44CA0270">
            <w:pPr>
              <w:pStyle w:val="17"/>
              <w:spacing w:before="25" w:line="214" w:lineRule="auto"/>
              <w:ind w:left="519"/>
              <w:rPr>
                <w:strike/>
                <w:dstrike w:val="0"/>
                <w:color w:val="auto"/>
                <w:sz w:val="25"/>
                <w:szCs w:val="25"/>
                <w:highlight w:val="none"/>
              </w:rPr>
            </w:pPr>
            <w:r>
              <w:rPr>
                <w:i/>
                <w:iCs/>
                <w:strike/>
                <w:dstrike w:val="0"/>
                <w:color w:val="auto"/>
                <w:sz w:val="25"/>
                <w:szCs w:val="25"/>
                <w:highlight w:val="none"/>
              </w:rPr>
              <w:t>页</w:t>
            </w:r>
          </w:p>
        </w:tc>
      </w:tr>
      <w:tr w14:paraId="04B51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742" w:type="dxa"/>
            <w:tcBorders>
              <w:left w:val="single" w:color="000000" w:sz="10" w:space="0"/>
            </w:tcBorders>
            <w:vAlign w:val="top"/>
          </w:tcPr>
          <w:p w14:paraId="1457B504">
            <w:pPr>
              <w:rPr>
                <w:rFonts w:ascii="Arial"/>
                <w:strike/>
                <w:dstrike w:val="0"/>
                <w:color w:val="auto"/>
                <w:sz w:val="21"/>
                <w:highlight w:val="none"/>
              </w:rPr>
            </w:pPr>
          </w:p>
        </w:tc>
        <w:tc>
          <w:tcPr>
            <w:tcW w:w="1321" w:type="dxa"/>
            <w:vAlign w:val="top"/>
          </w:tcPr>
          <w:p w14:paraId="4E4C243E">
            <w:pPr>
              <w:rPr>
                <w:rFonts w:ascii="Arial"/>
                <w:strike/>
                <w:dstrike w:val="0"/>
                <w:color w:val="auto"/>
                <w:sz w:val="21"/>
                <w:highlight w:val="none"/>
              </w:rPr>
            </w:pPr>
          </w:p>
        </w:tc>
        <w:tc>
          <w:tcPr>
            <w:tcW w:w="1146" w:type="dxa"/>
            <w:vAlign w:val="top"/>
          </w:tcPr>
          <w:p w14:paraId="3B2B5C67">
            <w:pPr>
              <w:rPr>
                <w:rFonts w:ascii="Arial"/>
                <w:strike/>
                <w:dstrike w:val="0"/>
                <w:color w:val="auto"/>
                <w:sz w:val="21"/>
                <w:highlight w:val="none"/>
              </w:rPr>
            </w:pPr>
          </w:p>
        </w:tc>
        <w:tc>
          <w:tcPr>
            <w:tcW w:w="1376" w:type="dxa"/>
            <w:vAlign w:val="top"/>
          </w:tcPr>
          <w:p w14:paraId="0319D49B">
            <w:pPr>
              <w:rPr>
                <w:rFonts w:ascii="Arial"/>
                <w:strike/>
                <w:dstrike w:val="0"/>
                <w:color w:val="auto"/>
                <w:sz w:val="21"/>
                <w:highlight w:val="none"/>
              </w:rPr>
            </w:pPr>
          </w:p>
        </w:tc>
        <w:tc>
          <w:tcPr>
            <w:tcW w:w="1685" w:type="dxa"/>
            <w:vAlign w:val="top"/>
          </w:tcPr>
          <w:p w14:paraId="7000F66D">
            <w:pPr>
              <w:rPr>
                <w:rFonts w:ascii="Arial"/>
                <w:strike/>
                <w:dstrike w:val="0"/>
                <w:color w:val="auto"/>
                <w:sz w:val="21"/>
                <w:highlight w:val="none"/>
              </w:rPr>
            </w:pPr>
          </w:p>
        </w:tc>
        <w:tc>
          <w:tcPr>
            <w:tcW w:w="1153" w:type="dxa"/>
            <w:vAlign w:val="top"/>
          </w:tcPr>
          <w:p w14:paraId="26C8F4F1">
            <w:pPr>
              <w:rPr>
                <w:rFonts w:ascii="Arial"/>
                <w:strike/>
                <w:dstrike w:val="0"/>
                <w:color w:val="auto"/>
                <w:sz w:val="21"/>
                <w:highlight w:val="none"/>
              </w:rPr>
            </w:pPr>
          </w:p>
        </w:tc>
        <w:tc>
          <w:tcPr>
            <w:tcW w:w="1211" w:type="dxa"/>
            <w:tcBorders>
              <w:right w:val="single" w:color="000000" w:sz="10" w:space="0"/>
            </w:tcBorders>
            <w:vAlign w:val="top"/>
          </w:tcPr>
          <w:p w14:paraId="7C97D935">
            <w:pPr>
              <w:rPr>
                <w:rFonts w:ascii="Arial"/>
                <w:strike/>
                <w:dstrike w:val="0"/>
                <w:color w:val="auto"/>
                <w:sz w:val="21"/>
                <w:highlight w:val="none"/>
              </w:rPr>
            </w:pPr>
          </w:p>
        </w:tc>
      </w:tr>
      <w:tr w14:paraId="69123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42" w:type="dxa"/>
            <w:tcBorders>
              <w:left w:val="single" w:color="000000" w:sz="10" w:space="0"/>
              <w:bottom w:val="single" w:color="000000" w:sz="10" w:space="0"/>
            </w:tcBorders>
            <w:vAlign w:val="top"/>
          </w:tcPr>
          <w:p w14:paraId="5B8CCA01">
            <w:pPr>
              <w:rPr>
                <w:rFonts w:ascii="Arial"/>
                <w:strike/>
                <w:dstrike w:val="0"/>
                <w:color w:val="auto"/>
                <w:sz w:val="21"/>
                <w:highlight w:val="none"/>
              </w:rPr>
            </w:pPr>
          </w:p>
        </w:tc>
        <w:tc>
          <w:tcPr>
            <w:tcW w:w="1321" w:type="dxa"/>
            <w:tcBorders>
              <w:bottom w:val="single" w:color="000000" w:sz="10" w:space="0"/>
            </w:tcBorders>
            <w:vAlign w:val="top"/>
          </w:tcPr>
          <w:p w14:paraId="3832FF86">
            <w:pPr>
              <w:rPr>
                <w:rFonts w:ascii="Arial"/>
                <w:strike/>
                <w:dstrike w:val="0"/>
                <w:color w:val="auto"/>
                <w:sz w:val="21"/>
                <w:highlight w:val="none"/>
              </w:rPr>
            </w:pPr>
          </w:p>
        </w:tc>
        <w:tc>
          <w:tcPr>
            <w:tcW w:w="1146" w:type="dxa"/>
            <w:tcBorders>
              <w:bottom w:val="single" w:color="000000" w:sz="10" w:space="0"/>
            </w:tcBorders>
            <w:vAlign w:val="top"/>
          </w:tcPr>
          <w:p w14:paraId="4C148148">
            <w:pPr>
              <w:rPr>
                <w:rFonts w:ascii="Arial"/>
                <w:strike/>
                <w:dstrike w:val="0"/>
                <w:color w:val="auto"/>
                <w:sz w:val="21"/>
                <w:highlight w:val="none"/>
              </w:rPr>
            </w:pPr>
          </w:p>
        </w:tc>
        <w:tc>
          <w:tcPr>
            <w:tcW w:w="1376" w:type="dxa"/>
            <w:tcBorders>
              <w:bottom w:val="single" w:color="000000" w:sz="10" w:space="0"/>
            </w:tcBorders>
            <w:vAlign w:val="top"/>
          </w:tcPr>
          <w:p w14:paraId="398792AF">
            <w:pPr>
              <w:rPr>
                <w:rFonts w:ascii="Arial"/>
                <w:strike/>
                <w:dstrike w:val="0"/>
                <w:color w:val="auto"/>
                <w:sz w:val="21"/>
                <w:highlight w:val="none"/>
              </w:rPr>
            </w:pPr>
          </w:p>
        </w:tc>
        <w:tc>
          <w:tcPr>
            <w:tcW w:w="1685" w:type="dxa"/>
            <w:tcBorders>
              <w:bottom w:val="single" w:color="000000" w:sz="10" w:space="0"/>
            </w:tcBorders>
            <w:vAlign w:val="top"/>
          </w:tcPr>
          <w:p w14:paraId="3491A870">
            <w:pPr>
              <w:rPr>
                <w:rFonts w:ascii="Arial"/>
                <w:strike/>
                <w:dstrike w:val="0"/>
                <w:color w:val="auto"/>
                <w:sz w:val="21"/>
                <w:highlight w:val="none"/>
              </w:rPr>
            </w:pPr>
          </w:p>
        </w:tc>
        <w:tc>
          <w:tcPr>
            <w:tcW w:w="1153" w:type="dxa"/>
            <w:tcBorders>
              <w:bottom w:val="single" w:color="000000" w:sz="10" w:space="0"/>
            </w:tcBorders>
            <w:vAlign w:val="top"/>
          </w:tcPr>
          <w:p w14:paraId="2063FE79">
            <w:pPr>
              <w:rPr>
                <w:rFonts w:ascii="Arial"/>
                <w:strike/>
                <w:dstrike w:val="0"/>
                <w:color w:val="auto"/>
                <w:sz w:val="21"/>
                <w:highlight w:val="none"/>
              </w:rPr>
            </w:pPr>
          </w:p>
        </w:tc>
        <w:tc>
          <w:tcPr>
            <w:tcW w:w="1211" w:type="dxa"/>
            <w:tcBorders>
              <w:bottom w:val="single" w:color="000000" w:sz="10" w:space="0"/>
              <w:right w:val="single" w:color="000000" w:sz="10" w:space="0"/>
            </w:tcBorders>
            <w:vAlign w:val="top"/>
          </w:tcPr>
          <w:p w14:paraId="08E4E124">
            <w:pPr>
              <w:rPr>
                <w:rFonts w:ascii="Arial"/>
                <w:strike/>
                <w:dstrike w:val="0"/>
                <w:color w:val="auto"/>
                <w:sz w:val="21"/>
                <w:highlight w:val="none"/>
              </w:rPr>
            </w:pPr>
          </w:p>
        </w:tc>
      </w:tr>
    </w:tbl>
    <w:p w14:paraId="462A1310">
      <w:pPr>
        <w:pStyle w:val="3"/>
        <w:rPr>
          <w:strike/>
          <w:dstrike w:val="0"/>
          <w:color w:val="auto"/>
          <w:highlight w:val="none"/>
        </w:rPr>
      </w:pPr>
    </w:p>
    <w:p w14:paraId="613AF3BF">
      <w:pPr>
        <w:rPr>
          <w:strike/>
          <w:dstrike w:val="0"/>
          <w:color w:val="auto"/>
          <w:highlight w:val="none"/>
        </w:rPr>
        <w:sectPr>
          <w:footerReference r:id="rId153" w:type="default"/>
          <w:pgSz w:w="11907" w:h="16841"/>
          <w:pgMar w:top="400" w:right="1527" w:bottom="1254" w:left="1588" w:header="0" w:footer="1093" w:gutter="0"/>
          <w:pgNumType w:fmt="decimal"/>
          <w:cols w:space="720" w:num="1"/>
        </w:sectPr>
      </w:pPr>
    </w:p>
    <w:p w14:paraId="182F6075">
      <w:pPr>
        <w:pStyle w:val="3"/>
        <w:spacing w:line="247" w:lineRule="auto"/>
        <w:rPr>
          <w:color w:val="auto"/>
          <w:highlight w:val="none"/>
        </w:rPr>
      </w:pPr>
    </w:p>
    <w:p w14:paraId="42BA416A">
      <w:pPr>
        <w:pStyle w:val="3"/>
        <w:spacing w:line="248" w:lineRule="auto"/>
        <w:rPr>
          <w:color w:val="auto"/>
          <w:highlight w:val="none"/>
        </w:rPr>
      </w:pPr>
    </w:p>
    <w:p w14:paraId="24D691E9">
      <w:pPr>
        <w:pStyle w:val="3"/>
        <w:spacing w:line="248" w:lineRule="auto"/>
        <w:rPr>
          <w:color w:val="auto"/>
          <w:highlight w:val="none"/>
        </w:rPr>
      </w:pPr>
    </w:p>
    <w:p w14:paraId="0BAABCAF">
      <w:pPr>
        <w:pStyle w:val="3"/>
        <w:spacing w:line="248" w:lineRule="auto"/>
        <w:rPr>
          <w:color w:val="auto"/>
          <w:highlight w:val="none"/>
        </w:rPr>
      </w:pPr>
    </w:p>
    <w:p w14:paraId="3F41FFC6">
      <w:pPr>
        <w:spacing w:before="78" w:line="220" w:lineRule="auto"/>
        <w:ind w:left="2847"/>
        <w:rPr>
          <w:rFonts w:ascii="宋体" w:hAnsi="宋体" w:eastAsia="宋体" w:cs="宋体"/>
          <w:strike/>
          <w:dstrike w:val="0"/>
          <w:color w:val="auto"/>
          <w:sz w:val="24"/>
          <w:szCs w:val="24"/>
          <w:highlight w:val="none"/>
        </w:rPr>
      </w:pPr>
      <w:r>
        <w:rPr>
          <w:rFonts w:ascii="宋体" w:hAnsi="宋体" w:eastAsia="宋体" w:cs="宋体"/>
          <w:b/>
          <w:bCs/>
          <w:strike/>
          <w:dstrike w:val="0"/>
          <w:color w:val="auto"/>
          <w:spacing w:val="-3"/>
          <w:sz w:val="24"/>
          <w:szCs w:val="24"/>
          <w:highlight w:val="none"/>
        </w:rPr>
        <w:t>近年完成的类似项目情况表</w:t>
      </w:r>
    </w:p>
    <w:p w14:paraId="437179D0">
      <w:pPr>
        <w:spacing w:before="182" w:line="220" w:lineRule="auto"/>
        <w:ind w:left="1782"/>
        <w:rPr>
          <w:rFonts w:ascii="宋体" w:hAnsi="宋体" w:eastAsia="宋体" w:cs="宋体"/>
          <w:strike/>
          <w:dstrike w:val="0"/>
          <w:color w:val="auto"/>
          <w:sz w:val="24"/>
          <w:szCs w:val="24"/>
          <w:highlight w:val="none"/>
        </w:rPr>
      </w:pPr>
      <w:r>
        <w:rPr>
          <w:rFonts w:ascii="宋体" w:hAnsi="宋体" w:eastAsia="宋体" w:cs="宋体"/>
          <w:strike/>
          <w:dstrike w:val="0"/>
          <w:color w:val="auto"/>
          <w:spacing w:val="-8"/>
          <w:sz w:val="24"/>
          <w:szCs w:val="24"/>
          <w:highlight w:val="none"/>
        </w:rPr>
        <w:t>（近年指</w:t>
      </w:r>
      <w:r>
        <w:rPr>
          <w:rFonts w:ascii="宋体" w:hAnsi="宋体" w:eastAsia="宋体" w:cs="宋体"/>
          <w:strike/>
          <w:dstrike w:val="0"/>
          <w:color w:val="auto"/>
          <w:spacing w:val="-102"/>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10"/>
          <w:sz w:val="24"/>
          <w:szCs w:val="24"/>
          <w:highlight w:val="none"/>
        </w:rPr>
        <w:t xml:space="preserve"> </w:t>
      </w:r>
      <w:r>
        <w:rPr>
          <w:rFonts w:ascii="宋体" w:hAnsi="宋体" w:eastAsia="宋体" w:cs="宋体"/>
          <w:strike/>
          <w:dstrike w:val="0"/>
          <w:color w:val="auto"/>
          <w:spacing w:val="-8"/>
          <w:sz w:val="24"/>
          <w:szCs w:val="24"/>
          <w:highlight w:val="none"/>
        </w:rPr>
        <w:t>年</w:t>
      </w:r>
      <w:r>
        <w:rPr>
          <w:rFonts w:ascii="宋体" w:hAnsi="宋体" w:eastAsia="宋体" w:cs="宋体"/>
          <w:strike/>
          <w:dstrike w:val="0"/>
          <w:color w:val="auto"/>
          <w:spacing w:val="-120"/>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104"/>
          <w:sz w:val="24"/>
          <w:szCs w:val="24"/>
          <w:highlight w:val="none"/>
        </w:rPr>
        <w:t xml:space="preserve"> </w:t>
      </w:r>
      <w:r>
        <w:rPr>
          <w:rFonts w:ascii="宋体" w:hAnsi="宋体" w:eastAsia="宋体" w:cs="宋体"/>
          <w:strike/>
          <w:dstrike w:val="0"/>
          <w:color w:val="auto"/>
          <w:spacing w:val="-8"/>
          <w:sz w:val="24"/>
          <w:szCs w:val="24"/>
          <w:highlight w:val="none"/>
        </w:rPr>
        <w:t>月</w:t>
      </w:r>
      <w:r>
        <w:rPr>
          <w:rFonts w:ascii="宋体" w:hAnsi="宋体" w:eastAsia="宋体" w:cs="宋体"/>
          <w:strike/>
          <w:dstrike w:val="0"/>
          <w:color w:val="auto"/>
          <w:spacing w:val="-120"/>
          <w:sz w:val="24"/>
          <w:szCs w:val="24"/>
          <w:highlight w:val="none"/>
        </w:rPr>
        <w:t xml:space="preserve"> </w:t>
      </w:r>
      <w:r>
        <w:rPr>
          <w:rFonts w:ascii="宋体" w:hAnsi="宋体" w:eastAsia="宋体" w:cs="宋体"/>
          <w:strike/>
          <w:dstrike w:val="0"/>
          <w:color w:val="auto"/>
          <w:sz w:val="24"/>
          <w:szCs w:val="24"/>
          <w:highlight w:val="none"/>
          <w:u w:val="single" w:color="auto"/>
        </w:rPr>
        <w:t xml:space="preserve">   </w:t>
      </w:r>
      <w:r>
        <w:rPr>
          <w:rFonts w:ascii="宋体" w:hAnsi="宋体" w:eastAsia="宋体" w:cs="宋体"/>
          <w:strike/>
          <w:dstrike w:val="0"/>
          <w:color w:val="auto"/>
          <w:spacing w:val="-70"/>
          <w:sz w:val="24"/>
          <w:szCs w:val="24"/>
          <w:highlight w:val="none"/>
        </w:rPr>
        <w:t xml:space="preserve"> </w:t>
      </w:r>
      <w:r>
        <w:rPr>
          <w:rFonts w:ascii="宋体" w:hAnsi="宋体" w:eastAsia="宋体" w:cs="宋体"/>
          <w:strike/>
          <w:dstrike w:val="0"/>
          <w:color w:val="auto"/>
          <w:spacing w:val="-8"/>
          <w:sz w:val="24"/>
          <w:szCs w:val="24"/>
          <w:highlight w:val="none"/>
        </w:rPr>
        <w:t>日至投标截止时间）</w:t>
      </w:r>
    </w:p>
    <w:p w14:paraId="1A546EA3">
      <w:pPr>
        <w:spacing w:line="144" w:lineRule="exact"/>
        <w:rPr>
          <w:strike/>
          <w:dstrike w:val="0"/>
          <w:color w:val="auto"/>
          <w:highlight w:val="none"/>
        </w:rPr>
      </w:pPr>
    </w:p>
    <w:tbl>
      <w:tblPr>
        <w:tblStyle w:val="16"/>
        <w:tblW w:w="87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7"/>
        <w:gridCol w:w="6569"/>
      </w:tblGrid>
      <w:tr w14:paraId="3B078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2207" w:type="dxa"/>
            <w:tcBorders>
              <w:top w:val="single" w:color="000000" w:sz="6" w:space="0"/>
              <w:left w:val="single" w:color="000000" w:sz="6" w:space="0"/>
            </w:tcBorders>
            <w:vAlign w:val="top"/>
          </w:tcPr>
          <w:p w14:paraId="24DFD974">
            <w:pPr>
              <w:pStyle w:val="17"/>
              <w:spacing w:before="121" w:line="222" w:lineRule="auto"/>
              <w:ind w:left="624"/>
              <w:rPr>
                <w:strike/>
                <w:dstrike w:val="0"/>
                <w:color w:val="auto"/>
                <w:sz w:val="24"/>
                <w:szCs w:val="24"/>
                <w:highlight w:val="none"/>
              </w:rPr>
            </w:pPr>
            <w:r>
              <w:rPr>
                <w:strike/>
                <w:dstrike w:val="0"/>
                <w:color w:val="auto"/>
                <w:spacing w:val="-2"/>
                <w:sz w:val="24"/>
                <w:szCs w:val="24"/>
                <w:highlight w:val="none"/>
              </w:rPr>
              <w:t>合同名称</w:t>
            </w:r>
          </w:p>
        </w:tc>
        <w:tc>
          <w:tcPr>
            <w:tcW w:w="6569" w:type="dxa"/>
            <w:tcBorders>
              <w:top w:val="single" w:color="000000" w:sz="6" w:space="0"/>
              <w:right w:val="single" w:color="000000" w:sz="6" w:space="0"/>
            </w:tcBorders>
            <w:vAlign w:val="top"/>
          </w:tcPr>
          <w:p w14:paraId="59D76108">
            <w:pPr>
              <w:rPr>
                <w:rFonts w:ascii="Arial"/>
                <w:strike/>
                <w:dstrike w:val="0"/>
                <w:color w:val="auto"/>
                <w:sz w:val="21"/>
                <w:highlight w:val="none"/>
              </w:rPr>
            </w:pPr>
          </w:p>
        </w:tc>
      </w:tr>
      <w:tr w14:paraId="3C6AD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7B53ED36">
            <w:pPr>
              <w:pStyle w:val="17"/>
              <w:spacing w:before="119" w:line="220" w:lineRule="auto"/>
              <w:ind w:left="264"/>
              <w:rPr>
                <w:strike/>
                <w:dstrike w:val="0"/>
                <w:color w:val="auto"/>
                <w:sz w:val="24"/>
                <w:szCs w:val="24"/>
                <w:highlight w:val="none"/>
              </w:rPr>
            </w:pPr>
            <w:r>
              <w:rPr>
                <w:strike/>
                <w:dstrike w:val="0"/>
                <w:color w:val="auto"/>
                <w:spacing w:val="-2"/>
                <w:sz w:val="24"/>
                <w:szCs w:val="24"/>
                <w:highlight w:val="none"/>
              </w:rPr>
              <w:t>合同项目所在地</w:t>
            </w:r>
          </w:p>
        </w:tc>
        <w:tc>
          <w:tcPr>
            <w:tcW w:w="6569" w:type="dxa"/>
            <w:tcBorders>
              <w:right w:val="single" w:color="000000" w:sz="6" w:space="0"/>
            </w:tcBorders>
            <w:vAlign w:val="top"/>
          </w:tcPr>
          <w:p w14:paraId="0F111382">
            <w:pPr>
              <w:rPr>
                <w:rFonts w:ascii="Arial"/>
                <w:strike/>
                <w:dstrike w:val="0"/>
                <w:color w:val="auto"/>
                <w:sz w:val="21"/>
                <w:highlight w:val="none"/>
              </w:rPr>
            </w:pPr>
          </w:p>
        </w:tc>
      </w:tr>
      <w:tr w14:paraId="74B6C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1A98CE3B">
            <w:pPr>
              <w:pStyle w:val="17"/>
              <w:spacing w:before="119" w:line="220" w:lineRule="auto"/>
              <w:ind w:left="506"/>
              <w:rPr>
                <w:strike/>
                <w:dstrike w:val="0"/>
                <w:color w:val="auto"/>
                <w:sz w:val="24"/>
                <w:szCs w:val="24"/>
                <w:highlight w:val="none"/>
              </w:rPr>
            </w:pPr>
            <w:r>
              <w:rPr>
                <w:strike/>
                <w:dstrike w:val="0"/>
                <w:color w:val="auto"/>
                <w:spacing w:val="-3"/>
                <w:sz w:val="24"/>
                <w:szCs w:val="24"/>
                <w:highlight w:val="none"/>
              </w:rPr>
              <w:t>发包人名称</w:t>
            </w:r>
          </w:p>
        </w:tc>
        <w:tc>
          <w:tcPr>
            <w:tcW w:w="6569" w:type="dxa"/>
            <w:tcBorders>
              <w:right w:val="single" w:color="000000" w:sz="6" w:space="0"/>
            </w:tcBorders>
            <w:vAlign w:val="top"/>
          </w:tcPr>
          <w:p w14:paraId="08D3DB21">
            <w:pPr>
              <w:rPr>
                <w:rFonts w:ascii="Arial"/>
                <w:strike/>
                <w:dstrike w:val="0"/>
                <w:color w:val="auto"/>
                <w:sz w:val="21"/>
                <w:highlight w:val="none"/>
              </w:rPr>
            </w:pPr>
          </w:p>
        </w:tc>
      </w:tr>
      <w:tr w14:paraId="5BE2B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436A691D">
            <w:pPr>
              <w:pStyle w:val="17"/>
              <w:spacing w:before="120" w:line="220" w:lineRule="auto"/>
              <w:ind w:left="506"/>
              <w:rPr>
                <w:strike/>
                <w:dstrike w:val="0"/>
                <w:color w:val="auto"/>
                <w:sz w:val="24"/>
                <w:szCs w:val="24"/>
                <w:highlight w:val="none"/>
              </w:rPr>
            </w:pPr>
            <w:r>
              <w:rPr>
                <w:strike/>
                <w:dstrike w:val="0"/>
                <w:color w:val="auto"/>
                <w:spacing w:val="-3"/>
                <w:sz w:val="24"/>
                <w:szCs w:val="24"/>
                <w:highlight w:val="none"/>
              </w:rPr>
              <w:t>发包人地址</w:t>
            </w:r>
          </w:p>
        </w:tc>
        <w:tc>
          <w:tcPr>
            <w:tcW w:w="6569" w:type="dxa"/>
            <w:tcBorders>
              <w:right w:val="single" w:color="000000" w:sz="6" w:space="0"/>
            </w:tcBorders>
            <w:vAlign w:val="top"/>
          </w:tcPr>
          <w:p w14:paraId="20601804">
            <w:pPr>
              <w:rPr>
                <w:rFonts w:ascii="Arial"/>
                <w:strike/>
                <w:dstrike w:val="0"/>
                <w:color w:val="auto"/>
                <w:sz w:val="21"/>
                <w:highlight w:val="none"/>
              </w:rPr>
            </w:pPr>
          </w:p>
        </w:tc>
      </w:tr>
      <w:tr w14:paraId="1FCD5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6C7C36D">
            <w:pPr>
              <w:pStyle w:val="17"/>
              <w:spacing w:before="121" w:line="220" w:lineRule="auto"/>
              <w:ind w:left="506"/>
              <w:rPr>
                <w:strike/>
                <w:dstrike w:val="0"/>
                <w:color w:val="auto"/>
                <w:sz w:val="24"/>
                <w:szCs w:val="24"/>
                <w:highlight w:val="none"/>
              </w:rPr>
            </w:pPr>
            <w:r>
              <w:rPr>
                <w:strike/>
                <w:dstrike w:val="0"/>
                <w:color w:val="auto"/>
                <w:spacing w:val="-3"/>
                <w:sz w:val="24"/>
                <w:szCs w:val="24"/>
                <w:highlight w:val="none"/>
              </w:rPr>
              <w:t>发包人电话</w:t>
            </w:r>
          </w:p>
        </w:tc>
        <w:tc>
          <w:tcPr>
            <w:tcW w:w="6569" w:type="dxa"/>
            <w:tcBorders>
              <w:right w:val="single" w:color="000000" w:sz="6" w:space="0"/>
            </w:tcBorders>
            <w:vAlign w:val="top"/>
          </w:tcPr>
          <w:p w14:paraId="6EEFD8E8">
            <w:pPr>
              <w:rPr>
                <w:rFonts w:ascii="Arial"/>
                <w:strike/>
                <w:dstrike w:val="0"/>
                <w:color w:val="auto"/>
                <w:sz w:val="21"/>
                <w:highlight w:val="none"/>
              </w:rPr>
            </w:pPr>
          </w:p>
        </w:tc>
      </w:tr>
      <w:tr w14:paraId="3B7B2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2207" w:type="dxa"/>
            <w:tcBorders>
              <w:left w:val="single" w:color="000000" w:sz="6" w:space="0"/>
            </w:tcBorders>
            <w:vAlign w:val="top"/>
          </w:tcPr>
          <w:p w14:paraId="7A3FE593">
            <w:pPr>
              <w:pStyle w:val="17"/>
              <w:spacing w:before="121" w:line="218" w:lineRule="auto"/>
              <w:ind w:left="503"/>
              <w:rPr>
                <w:strike/>
                <w:dstrike w:val="0"/>
                <w:color w:val="auto"/>
                <w:sz w:val="24"/>
                <w:szCs w:val="24"/>
                <w:highlight w:val="none"/>
              </w:rPr>
            </w:pPr>
            <w:r>
              <w:rPr>
                <w:strike/>
                <w:dstrike w:val="0"/>
                <w:color w:val="auto"/>
                <w:spacing w:val="-2"/>
                <w:sz w:val="24"/>
                <w:szCs w:val="24"/>
                <w:highlight w:val="none"/>
              </w:rPr>
              <w:t>签约合同价</w:t>
            </w:r>
          </w:p>
        </w:tc>
        <w:tc>
          <w:tcPr>
            <w:tcW w:w="6569" w:type="dxa"/>
            <w:tcBorders>
              <w:right w:val="single" w:color="000000" w:sz="6" w:space="0"/>
            </w:tcBorders>
            <w:vAlign w:val="top"/>
          </w:tcPr>
          <w:p w14:paraId="04B49C31">
            <w:pPr>
              <w:rPr>
                <w:rFonts w:ascii="Arial"/>
                <w:strike/>
                <w:dstrike w:val="0"/>
                <w:color w:val="auto"/>
                <w:sz w:val="21"/>
                <w:highlight w:val="none"/>
              </w:rPr>
            </w:pPr>
          </w:p>
        </w:tc>
      </w:tr>
      <w:tr w14:paraId="3AA2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68CC7E93">
            <w:pPr>
              <w:pStyle w:val="17"/>
              <w:spacing w:before="123" w:line="220" w:lineRule="auto"/>
              <w:ind w:left="624"/>
              <w:rPr>
                <w:strike/>
                <w:dstrike w:val="0"/>
                <w:color w:val="auto"/>
                <w:sz w:val="24"/>
                <w:szCs w:val="24"/>
                <w:highlight w:val="none"/>
              </w:rPr>
            </w:pPr>
            <w:r>
              <w:rPr>
                <w:strike/>
                <w:dstrike w:val="0"/>
                <w:color w:val="auto"/>
                <w:spacing w:val="-2"/>
                <w:sz w:val="24"/>
                <w:szCs w:val="24"/>
                <w:highlight w:val="none"/>
              </w:rPr>
              <w:t>开工日期</w:t>
            </w:r>
          </w:p>
        </w:tc>
        <w:tc>
          <w:tcPr>
            <w:tcW w:w="6569" w:type="dxa"/>
            <w:tcBorders>
              <w:right w:val="single" w:color="000000" w:sz="6" w:space="0"/>
            </w:tcBorders>
            <w:vAlign w:val="top"/>
          </w:tcPr>
          <w:p w14:paraId="69E457D3">
            <w:pPr>
              <w:rPr>
                <w:rFonts w:ascii="Arial"/>
                <w:strike/>
                <w:dstrike w:val="0"/>
                <w:color w:val="auto"/>
                <w:sz w:val="21"/>
                <w:highlight w:val="none"/>
              </w:rPr>
            </w:pPr>
          </w:p>
        </w:tc>
      </w:tr>
      <w:tr w14:paraId="57AAC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5DA9F531">
            <w:pPr>
              <w:pStyle w:val="17"/>
              <w:spacing w:before="123" w:line="220" w:lineRule="auto"/>
              <w:ind w:left="625"/>
              <w:rPr>
                <w:strike/>
                <w:dstrike w:val="0"/>
                <w:color w:val="auto"/>
                <w:sz w:val="24"/>
                <w:szCs w:val="24"/>
                <w:highlight w:val="none"/>
              </w:rPr>
            </w:pPr>
            <w:r>
              <w:rPr>
                <w:strike/>
                <w:dstrike w:val="0"/>
                <w:color w:val="auto"/>
                <w:spacing w:val="-3"/>
                <w:sz w:val="24"/>
                <w:szCs w:val="24"/>
                <w:highlight w:val="none"/>
              </w:rPr>
              <w:t>完工日期</w:t>
            </w:r>
          </w:p>
        </w:tc>
        <w:tc>
          <w:tcPr>
            <w:tcW w:w="6569" w:type="dxa"/>
            <w:tcBorders>
              <w:right w:val="single" w:color="000000" w:sz="6" w:space="0"/>
            </w:tcBorders>
            <w:vAlign w:val="top"/>
          </w:tcPr>
          <w:p w14:paraId="4EABCF14">
            <w:pPr>
              <w:rPr>
                <w:rFonts w:ascii="Arial"/>
                <w:strike/>
                <w:dstrike w:val="0"/>
                <w:color w:val="auto"/>
                <w:sz w:val="21"/>
                <w:highlight w:val="none"/>
              </w:rPr>
            </w:pPr>
          </w:p>
        </w:tc>
      </w:tr>
      <w:tr w14:paraId="0E552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72EFE035">
            <w:pPr>
              <w:pStyle w:val="17"/>
              <w:spacing w:before="123" w:line="220" w:lineRule="auto"/>
              <w:ind w:left="503"/>
              <w:rPr>
                <w:strike/>
                <w:dstrike w:val="0"/>
                <w:color w:val="auto"/>
                <w:sz w:val="24"/>
                <w:szCs w:val="24"/>
                <w:highlight w:val="none"/>
              </w:rPr>
            </w:pPr>
            <w:r>
              <w:rPr>
                <w:strike/>
                <w:dstrike w:val="0"/>
                <w:color w:val="auto"/>
                <w:spacing w:val="-2"/>
                <w:sz w:val="24"/>
                <w:szCs w:val="24"/>
                <w:highlight w:val="none"/>
              </w:rPr>
              <w:t>承担的工作</w:t>
            </w:r>
          </w:p>
        </w:tc>
        <w:tc>
          <w:tcPr>
            <w:tcW w:w="6569" w:type="dxa"/>
            <w:tcBorders>
              <w:right w:val="single" w:color="000000" w:sz="6" w:space="0"/>
            </w:tcBorders>
            <w:vAlign w:val="top"/>
          </w:tcPr>
          <w:p w14:paraId="4CBC6F90">
            <w:pPr>
              <w:rPr>
                <w:rFonts w:ascii="Arial"/>
                <w:strike/>
                <w:dstrike w:val="0"/>
                <w:color w:val="auto"/>
                <w:sz w:val="21"/>
                <w:highlight w:val="none"/>
              </w:rPr>
            </w:pPr>
          </w:p>
        </w:tc>
      </w:tr>
      <w:tr w14:paraId="7E774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11506FD8">
            <w:pPr>
              <w:pStyle w:val="17"/>
              <w:spacing w:before="125" w:line="220" w:lineRule="auto"/>
              <w:ind w:left="626"/>
              <w:rPr>
                <w:strike/>
                <w:dstrike w:val="0"/>
                <w:color w:val="auto"/>
                <w:sz w:val="24"/>
                <w:szCs w:val="24"/>
                <w:highlight w:val="none"/>
              </w:rPr>
            </w:pPr>
            <w:r>
              <w:rPr>
                <w:strike/>
                <w:dstrike w:val="0"/>
                <w:color w:val="auto"/>
                <w:spacing w:val="-3"/>
                <w:sz w:val="24"/>
                <w:szCs w:val="24"/>
                <w:highlight w:val="none"/>
              </w:rPr>
              <w:t>工程质量</w:t>
            </w:r>
          </w:p>
        </w:tc>
        <w:tc>
          <w:tcPr>
            <w:tcW w:w="6569" w:type="dxa"/>
            <w:tcBorders>
              <w:right w:val="single" w:color="000000" w:sz="6" w:space="0"/>
            </w:tcBorders>
            <w:vAlign w:val="top"/>
          </w:tcPr>
          <w:p w14:paraId="6226F875">
            <w:pPr>
              <w:rPr>
                <w:rFonts w:ascii="Arial"/>
                <w:strike/>
                <w:dstrike w:val="0"/>
                <w:color w:val="auto"/>
                <w:sz w:val="21"/>
                <w:highlight w:val="none"/>
              </w:rPr>
            </w:pPr>
          </w:p>
        </w:tc>
      </w:tr>
      <w:tr w14:paraId="259F2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207" w:type="dxa"/>
            <w:tcBorders>
              <w:left w:val="single" w:color="000000" w:sz="6" w:space="0"/>
            </w:tcBorders>
            <w:vAlign w:val="top"/>
          </w:tcPr>
          <w:p w14:paraId="3B773CA0">
            <w:pPr>
              <w:pStyle w:val="17"/>
              <w:spacing w:before="125" w:line="220" w:lineRule="auto"/>
              <w:ind w:left="506"/>
              <w:rPr>
                <w:strike/>
                <w:dstrike w:val="0"/>
                <w:color w:val="auto"/>
                <w:sz w:val="24"/>
                <w:szCs w:val="24"/>
                <w:highlight w:val="none"/>
              </w:rPr>
            </w:pPr>
            <w:r>
              <w:rPr>
                <w:strike/>
                <w:dstrike w:val="0"/>
                <w:color w:val="auto"/>
                <w:spacing w:val="-3"/>
                <w:sz w:val="24"/>
                <w:szCs w:val="24"/>
                <w:highlight w:val="none"/>
              </w:rPr>
              <w:t>项目负责人</w:t>
            </w:r>
          </w:p>
        </w:tc>
        <w:tc>
          <w:tcPr>
            <w:tcW w:w="6569" w:type="dxa"/>
            <w:tcBorders>
              <w:right w:val="single" w:color="000000" w:sz="6" w:space="0"/>
            </w:tcBorders>
            <w:vAlign w:val="top"/>
          </w:tcPr>
          <w:p w14:paraId="0E082A3C">
            <w:pPr>
              <w:rPr>
                <w:rFonts w:ascii="Arial"/>
                <w:strike/>
                <w:dstrike w:val="0"/>
                <w:color w:val="auto"/>
                <w:sz w:val="21"/>
                <w:highlight w:val="none"/>
              </w:rPr>
            </w:pPr>
          </w:p>
        </w:tc>
      </w:tr>
      <w:tr w14:paraId="00E49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07" w:type="dxa"/>
            <w:tcBorders>
              <w:left w:val="single" w:color="000000" w:sz="6" w:space="0"/>
            </w:tcBorders>
            <w:vAlign w:val="top"/>
          </w:tcPr>
          <w:p w14:paraId="438D893E">
            <w:pPr>
              <w:pStyle w:val="17"/>
              <w:spacing w:before="125" w:line="220" w:lineRule="auto"/>
              <w:ind w:left="266"/>
              <w:rPr>
                <w:strike/>
                <w:dstrike w:val="0"/>
                <w:color w:val="auto"/>
                <w:sz w:val="24"/>
                <w:szCs w:val="24"/>
                <w:highlight w:val="none"/>
              </w:rPr>
            </w:pPr>
            <w:r>
              <w:rPr>
                <w:strike/>
                <w:dstrike w:val="0"/>
                <w:color w:val="auto"/>
                <w:spacing w:val="-2"/>
                <w:sz w:val="24"/>
                <w:szCs w:val="24"/>
                <w:highlight w:val="none"/>
              </w:rPr>
              <w:t>项目技术负责人</w:t>
            </w:r>
          </w:p>
        </w:tc>
        <w:tc>
          <w:tcPr>
            <w:tcW w:w="6569" w:type="dxa"/>
            <w:tcBorders>
              <w:right w:val="single" w:color="000000" w:sz="6" w:space="0"/>
            </w:tcBorders>
            <w:vAlign w:val="top"/>
          </w:tcPr>
          <w:p w14:paraId="10ED979F">
            <w:pPr>
              <w:rPr>
                <w:rFonts w:ascii="Arial"/>
                <w:strike/>
                <w:dstrike w:val="0"/>
                <w:color w:val="auto"/>
                <w:sz w:val="21"/>
                <w:highlight w:val="none"/>
              </w:rPr>
            </w:pPr>
          </w:p>
        </w:tc>
      </w:tr>
      <w:tr w14:paraId="0AB24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2207" w:type="dxa"/>
            <w:tcBorders>
              <w:left w:val="single" w:color="000000" w:sz="6" w:space="0"/>
            </w:tcBorders>
            <w:vAlign w:val="top"/>
          </w:tcPr>
          <w:p w14:paraId="25805CD0">
            <w:pPr>
              <w:pStyle w:val="17"/>
              <w:spacing w:before="45" w:line="339" w:lineRule="auto"/>
              <w:ind w:left="382" w:right="143" w:hanging="238"/>
              <w:rPr>
                <w:strike/>
                <w:dstrike w:val="0"/>
                <w:color w:val="auto"/>
                <w:sz w:val="24"/>
                <w:szCs w:val="24"/>
                <w:highlight w:val="none"/>
              </w:rPr>
            </w:pPr>
            <w:r>
              <w:rPr>
                <w:strike/>
                <w:dstrike w:val="0"/>
                <w:color w:val="auto"/>
                <w:spacing w:val="-2"/>
                <w:sz w:val="24"/>
                <w:szCs w:val="24"/>
                <w:highlight w:val="none"/>
              </w:rPr>
              <w:t>监理人和总监理工程师以及电话</w:t>
            </w:r>
          </w:p>
        </w:tc>
        <w:tc>
          <w:tcPr>
            <w:tcW w:w="6569" w:type="dxa"/>
            <w:tcBorders>
              <w:right w:val="single" w:color="000000" w:sz="6" w:space="0"/>
            </w:tcBorders>
            <w:vAlign w:val="top"/>
          </w:tcPr>
          <w:p w14:paraId="1891B7E0">
            <w:pPr>
              <w:rPr>
                <w:rFonts w:ascii="Arial"/>
                <w:strike/>
                <w:dstrike w:val="0"/>
                <w:color w:val="auto"/>
                <w:sz w:val="21"/>
                <w:highlight w:val="none"/>
              </w:rPr>
            </w:pPr>
          </w:p>
        </w:tc>
      </w:tr>
      <w:tr w14:paraId="37D4C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2207" w:type="dxa"/>
            <w:tcBorders>
              <w:left w:val="single" w:color="000000" w:sz="6" w:space="0"/>
            </w:tcBorders>
            <w:vAlign w:val="top"/>
          </w:tcPr>
          <w:p w14:paraId="4ACDA37E">
            <w:pPr>
              <w:spacing w:line="320" w:lineRule="auto"/>
              <w:rPr>
                <w:rFonts w:ascii="Arial"/>
                <w:strike/>
                <w:dstrike w:val="0"/>
                <w:color w:val="auto"/>
                <w:sz w:val="21"/>
                <w:highlight w:val="none"/>
              </w:rPr>
            </w:pPr>
          </w:p>
          <w:p w14:paraId="7A3E04B1">
            <w:pPr>
              <w:spacing w:line="321" w:lineRule="auto"/>
              <w:rPr>
                <w:rFonts w:ascii="Arial"/>
                <w:strike/>
                <w:dstrike w:val="0"/>
                <w:color w:val="auto"/>
                <w:sz w:val="21"/>
                <w:highlight w:val="none"/>
              </w:rPr>
            </w:pPr>
          </w:p>
          <w:p w14:paraId="4FDF9B39">
            <w:pPr>
              <w:pStyle w:val="17"/>
              <w:spacing w:before="78" w:line="220" w:lineRule="auto"/>
              <w:ind w:left="384"/>
              <w:rPr>
                <w:strike/>
                <w:dstrike w:val="0"/>
                <w:color w:val="auto"/>
                <w:sz w:val="24"/>
                <w:szCs w:val="24"/>
                <w:highlight w:val="none"/>
              </w:rPr>
            </w:pPr>
            <w:r>
              <w:rPr>
                <w:strike/>
                <w:dstrike w:val="0"/>
                <w:color w:val="auto"/>
                <w:spacing w:val="-2"/>
                <w:sz w:val="24"/>
                <w:szCs w:val="24"/>
                <w:highlight w:val="none"/>
              </w:rPr>
              <w:t>合同项目描述</w:t>
            </w:r>
          </w:p>
        </w:tc>
        <w:tc>
          <w:tcPr>
            <w:tcW w:w="6569" w:type="dxa"/>
            <w:tcBorders>
              <w:right w:val="single" w:color="000000" w:sz="6" w:space="0"/>
            </w:tcBorders>
            <w:vAlign w:val="top"/>
          </w:tcPr>
          <w:p w14:paraId="6B0D22DB">
            <w:pPr>
              <w:rPr>
                <w:rFonts w:ascii="Arial"/>
                <w:strike/>
                <w:dstrike w:val="0"/>
                <w:color w:val="auto"/>
                <w:sz w:val="21"/>
                <w:highlight w:val="none"/>
              </w:rPr>
            </w:pPr>
          </w:p>
        </w:tc>
      </w:tr>
      <w:tr w14:paraId="25F03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0" w:hRule="atLeast"/>
        </w:trPr>
        <w:tc>
          <w:tcPr>
            <w:tcW w:w="2207" w:type="dxa"/>
            <w:tcBorders>
              <w:left w:val="single" w:color="000000" w:sz="6" w:space="0"/>
              <w:bottom w:val="single" w:color="000000" w:sz="6" w:space="0"/>
            </w:tcBorders>
            <w:vAlign w:val="top"/>
          </w:tcPr>
          <w:p w14:paraId="26F9237C">
            <w:pPr>
              <w:spacing w:line="312" w:lineRule="auto"/>
              <w:rPr>
                <w:rFonts w:ascii="Arial"/>
                <w:strike/>
                <w:dstrike w:val="0"/>
                <w:color w:val="auto"/>
                <w:sz w:val="21"/>
                <w:highlight w:val="none"/>
              </w:rPr>
            </w:pPr>
          </w:p>
          <w:p w14:paraId="06A9FC69">
            <w:pPr>
              <w:spacing w:line="312" w:lineRule="auto"/>
              <w:rPr>
                <w:rFonts w:ascii="Arial"/>
                <w:strike/>
                <w:dstrike w:val="0"/>
                <w:color w:val="auto"/>
                <w:sz w:val="21"/>
                <w:highlight w:val="none"/>
              </w:rPr>
            </w:pPr>
          </w:p>
          <w:p w14:paraId="75ECA879">
            <w:pPr>
              <w:pStyle w:val="17"/>
              <w:spacing w:before="78" w:line="221" w:lineRule="auto"/>
              <w:ind w:left="866"/>
              <w:rPr>
                <w:strike/>
                <w:dstrike w:val="0"/>
                <w:color w:val="auto"/>
                <w:sz w:val="24"/>
                <w:szCs w:val="24"/>
                <w:highlight w:val="none"/>
              </w:rPr>
            </w:pPr>
            <w:r>
              <w:rPr>
                <w:strike/>
                <w:dstrike w:val="0"/>
                <w:color w:val="auto"/>
                <w:spacing w:val="-4"/>
                <w:sz w:val="24"/>
                <w:szCs w:val="24"/>
                <w:highlight w:val="none"/>
              </w:rPr>
              <w:t>备注</w:t>
            </w:r>
          </w:p>
        </w:tc>
        <w:tc>
          <w:tcPr>
            <w:tcW w:w="6569" w:type="dxa"/>
            <w:tcBorders>
              <w:bottom w:val="single" w:color="000000" w:sz="6" w:space="0"/>
              <w:right w:val="single" w:color="000000" w:sz="6" w:space="0"/>
            </w:tcBorders>
            <w:vAlign w:val="top"/>
          </w:tcPr>
          <w:p w14:paraId="220C842F">
            <w:pPr>
              <w:pStyle w:val="17"/>
              <w:spacing w:before="241" w:line="360" w:lineRule="auto"/>
              <w:ind w:left="108" w:right="102"/>
              <w:jc w:val="both"/>
              <w:rPr>
                <w:strike/>
                <w:dstrike w:val="0"/>
                <w:color w:val="auto"/>
                <w:sz w:val="24"/>
                <w:szCs w:val="24"/>
                <w:highlight w:val="none"/>
              </w:rPr>
            </w:pPr>
            <w:r>
              <w:rPr>
                <w:strike/>
                <w:dstrike w:val="0"/>
                <w:color w:val="auto"/>
                <w:spacing w:val="4"/>
                <w:sz w:val="24"/>
                <w:szCs w:val="24"/>
                <w:highlight w:val="none"/>
              </w:rPr>
              <w:t>合同项目描述内容至少包括项目概况、本合同在项目中的地</w:t>
            </w:r>
            <w:r>
              <w:rPr>
                <w:strike/>
                <w:dstrike w:val="0"/>
                <w:color w:val="auto"/>
                <w:spacing w:val="-5"/>
                <w:sz w:val="24"/>
                <w:szCs w:val="24"/>
                <w:highlight w:val="none"/>
              </w:rPr>
              <w:t>位（部位、合同价格所占比例）和合同工程完工（竣工）验收</w:t>
            </w:r>
            <w:r>
              <w:rPr>
                <w:strike/>
                <w:dstrike w:val="0"/>
                <w:color w:val="auto"/>
                <w:spacing w:val="-4"/>
                <w:sz w:val="24"/>
                <w:szCs w:val="24"/>
                <w:highlight w:val="none"/>
              </w:rPr>
              <w:t>鉴定书有关验收结论。</w:t>
            </w:r>
          </w:p>
        </w:tc>
      </w:tr>
    </w:tbl>
    <w:p w14:paraId="229A5EA0">
      <w:pPr>
        <w:pStyle w:val="3"/>
        <w:rPr>
          <w:strike/>
          <w:dstrike w:val="0"/>
          <w:color w:val="auto"/>
          <w:highlight w:val="none"/>
        </w:rPr>
      </w:pPr>
    </w:p>
    <w:p w14:paraId="3910F75B">
      <w:pPr>
        <w:rPr>
          <w:strike/>
          <w:dstrike w:val="0"/>
          <w:color w:val="auto"/>
          <w:highlight w:val="none"/>
        </w:rPr>
        <w:sectPr>
          <w:footerReference r:id="rId154" w:type="default"/>
          <w:pgSz w:w="11907" w:h="16841"/>
          <w:pgMar w:top="400" w:right="1418" w:bottom="1254" w:left="1696" w:header="0" w:footer="1093" w:gutter="0"/>
          <w:pgNumType w:fmt="decimal"/>
          <w:cols w:space="720" w:num="1"/>
        </w:sectPr>
      </w:pPr>
    </w:p>
    <w:p w14:paraId="0F53F5B7">
      <w:pPr>
        <w:pStyle w:val="3"/>
        <w:spacing w:line="246" w:lineRule="auto"/>
        <w:rPr>
          <w:color w:val="auto"/>
          <w:highlight w:val="none"/>
        </w:rPr>
      </w:pPr>
    </w:p>
    <w:p w14:paraId="5D1B23A8">
      <w:pPr>
        <w:pStyle w:val="3"/>
        <w:spacing w:line="246" w:lineRule="auto"/>
        <w:rPr>
          <w:color w:val="auto"/>
          <w:highlight w:val="none"/>
        </w:rPr>
      </w:pPr>
    </w:p>
    <w:p w14:paraId="416D2E7E">
      <w:pPr>
        <w:pStyle w:val="3"/>
        <w:spacing w:line="246" w:lineRule="auto"/>
        <w:rPr>
          <w:color w:val="auto"/>
          <w:highlight w:val="none"/>
        </w:rPr>
      </w:pPr>
    </w:p>
    <w:p w14:paraId="08C8B1DD">
      <w:pPr>
        <w:pStyle w:val="3"/>
        <w:spacing w:line="247" w:lineRule="auto"/>
        <w:rPr>
          <w:color w:val="auto"/>
          <w:highlight w:val="none"/>
        </w:rPr>
      </w:pPr>
    </w:p>
    <w:p w14:paraId="4C9727D0">
      <w:pPr>
        <w:spacing w:before="91" w:line="219" w:lineRule="auto"/>
        <w:outlineLvl w:val="1"/>
        <w:rPr>
          <w:rFonts w:ascii="宋体" w:hAnsi="宋体" w:eastAsia="宋体" w:cs="宋体"/>
          <w:color w:val="auto"/>
          <w:sz w:val="28"/>
          <w:szCs w:val="28"/>
          <w:highlight w:val="none"/>
        </w:rPr>
      </w:pPr>
      <w:bookmarkStart w:id="1118" w:name="bookmark657"/>
      <w:bookmarkEnd w:id="1118"/>
      <w:bookmarkStart w:id="1119" w:name="_Toc4718"/>
      <w:bookmarkStart w:id="1120" w:name="_Toc15902"/>
      <w:r>
        <w:rPr>
          <w:rFonts w:ascii="宋体" w:hAnsi="宋体" w:eastAsia="宋体" w:cs="宋体"/>
          <w:b/>
          <w:bCs/>
          <w:color w:val="auto"/>
          <w:spacing w:val="-4"/>
          <w:sz w:val="28"/>
          <w:szCs w:val="28"/>
          <w:highlight w:val="none"/>
        </w:rPr>
        <w:t>三、其他材料</w:t>
      </w:r>
      <w:bookmarkEnd w:id="1119"/>
      <w:bookmarkEnd w:id="1120"/>
    </w:p>
    <w:p w14:paraId="0797F7A2">
      <w:pPr>
        <w:spacing w:line="219" w:lineRule="auto"/>
        <w:rPr>
          <w:rFonts w:ascii="宋体" w:hAnsi="宋体" w:eastAsia="宋体" w:cs="宋体"/>
          <w:color w:val="auto"/>
          <w:sz w:val="28"/>
          <w:szCs w:val="28"/>
          <w:highlight w:val="none"/>
        </w:rPr>
        <w:sectPr>
          <w:footerReference r:id="rId155" w:type="default"/>
          <w:pgSz w:w="11907" w:h="16841"/>
          <w:pgMar w:top="400" w:right="1527" w:bottom="1254" w:left="1599" w:header="0" w:footer="1093" w:gutter="0"/>
          <w:pgNumType w:fmt="decimal"/>
          <w:cols w:space="720" w:num="1"/>
        </w:sectPr>
      </w:pPr>
    </w:p>
    <w:p w14:paraId="4D9CE007">
      <w:pPr>
        <w:pStyle w:val="3"/>
        <w:spacing w:line="246" w:lineRule="auto"/>
        <w:rPr>
          <w:color w:val="auto"/>
          <w:highlight w:val="none"/>
        </w:rPr>
      </w:pPr>
    </w:p>
    <w:p w14:paraId="38A32F4B">
      <w:pPr>
        <w:pStyle w:val="3"/>
        <w:spacing w:line="246" w:lineRule="auto"/>
        <w:rPr>
          <w:color w:val="auto"/>
          <w:highlight w:val="none"/>
        </w:rPr>
      </w:pPr>
    </w:p>
    <w:p w14:paraId="3C136CC1">
      <w:pPr>
        <w:pStyle w:val="3"/>
        <w:spacing w:line="246" w:lineRule="auto"/>
        <w:rPr>
          <w:color w:val="auto"/>
          <w:highlight w:val="none"/>
        </w:rPr>
      </w:pPr>
    </w:p>
    <w:p w14:paraId="5049F011">
      <w:pPr>
        <w:pStyle w:val="3"/>
        <w:spacing w:line="246" w:lineRule="auto"/>
        <w:rPr>
          <w:color w:val="auto"/>
          <w:highlight w:val="none"/>
        </w:rPr>
      </w:pPr>
    </w:p>
    <w:p w14:paraId="0F9EE0CA">
      <w:pPr>
        <w:spacing w:before="91" w:line="220" w:lineRule="auto"/>
        <w:outlineLvl w:val="1"/>
        <w:rPr>
          <w:rFonts w:ascii="宋体" w:hAnsi="宋体" w:eastAsia="宋体" w:cs="宋体"/>
          <w:color w:val="auto"/>
          <w:sz w:val="28"/>
          <w:szCs w:val="28"/>
          <w:highlight w:val="none"/>
        </w:rPr>
      </w:pPr>
      <w:bookmarkStart w:id="1121" w:name="bookmark658"/>
      <w:bookmarkEnd w:id="1121"/>
      <w:bookmarkStart w:id="1122" w:name="_Toc19708"/>
      <w:bookmarkStart w:id="1123" w:name="_Toc30046"/>
      <w:r>
        <w:rPr>
          <w:rFonts w:ascii="宋体" w:hAnsi="宋体" w:eastAsia="宋体" w:cs="宋体"/>
          <w:b/>
          <w:bCs/>
          <w:color w:val="auto"/>
          <w:spacing w:val="-7"/>
          <w:sz w:val="28"/>
          <w:szCs w:val="28"/>
          <w:highlight w:val="none"/>
        </w:rPr>
        <w:t>四、原件的复制件</w:t>
      </w:r>
      <w:bookmarkEnd w:id="1122"/>
      <w:bookmarkEnd w:id="1123"/>
    </w:p>
    <w:p w14:paraId="752D9177">
      <w:pPr>
        <w:pStyle w:val="3"/>
        <w:spacing w:line="245" w:lineRule="auto"/>
        <w:rPr>
          <w:color w:val="auto"/>
          <w:highlight w:val="none"/>
        </w:rPr>
      </w:pPr>
    </w:p>
    <w:p w14:paraId="51B533ED">
      <w:pPr>
        <w:spacing w:before="78" w:line="219" w:lineRule="auto"/>
        <w:ind w:left="470"/>
        <w:rPr>
          <w:rFonts w:ascii="宋体" w:hAnsi="宋体" w:eastAsia="宋体" w:cs="宋体"/>
          <w:color w:val="auto"/>
          <w:sz w:val="24"/>
          <w:szCs w:val="24"/>
          <w:highlight w:val="none"/>
        </w:rPr>
      </w:pPr>
      <w:r>
        <w:rPr>
          <w:rFonts w:ascii="Times New Roman" w:hAnsi="Times New Roman" w:eastAsia="Times New Roman" w:cs="Times New Roman"/>
          <w:color w:val="auto"/>
          <w:spacing w:val="-3"/>
          <w:sz w:val="24"/>
          <w:szCs w:val="24"/>
          <w:highlight w:val="none"/>
        </w:rPr>
        <w:t>1.</w:t>
      </w:r>
      <w:r>
        <w:rPr>
          <w:rFonts w:ascii="宋体" w:hAnsi="宋体" w:eastAsia="宋体" w:cs="宋体"/>
          <w:color w:val="auto"/>
          <w:spacing w:val="-3"/>
          <w:sz w:val="24"/>
          <w:szCs w:val="24"/>
          <w:highlight w:val="none"/>
        </w:rPr>
        <w:t>详见投标人须知前附表第</w:t>
      </w:r>
      <w:r>
        <w:rPr>
          <w:rFonts w:ascii="Times New Roman" w:hAnsi="Times New Roman" w:eastAsia="Times New Roman" w:cs="Times New Roman"/>
          <w:color w:val="auto"/>
          <w:spacing w:val="-3"/>
          <w:sz w:val="24"/>
          <w:szCs w:val="24"/>
          <w:highlight w:val="none"/>
        </w:rPr>
        <w:t>10.3</w:t>
      </w:r>
      <w:r>
        <w:rPr>
          <w:rFonts w:ascii="宋体" w:hAnsi="宋体" w:eastAsia="宋体" w:cs="宋体"/>
          <w:color w:val="auto"/>
          <w:spacing w:val="-3"/>
          <w:sz w:val="24"/>
          <w:szCs w:val="24"/>
          <w:highlight w:val="none"/>
        </w:rPr>
        <w:t>款规定。</w:t>
      </w:r>
    </w:p>
    <w:p w14:paraId="2CE56314">
      <w:pPr>
        <w:spacing w:before="180" w:line="220" w:lineRule="auto"/>
        <w:ind w:left="447"/>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2.</w:t>
      </w:r>
      <w:r>
        <w:rPr>
          <w:rFonts w:ascii="宋体" w:hAnsi="宋体" w:eastAsia="宋体" w:cs="宋体"/>
          <w:color w:val="auto"/>
          <w:spacing w:val="-1"/>
          <w:sz w:val="24"/>
          <w:szCs w:val="24"/>
          <w:highlight w:val="none"/>
        </w:rPr>
        <w:t>投标人须将上述原件的复制件及其他认为必须的复制件装订入投标</w:t>
      </w:r>
      <w:r>
        <w:rPr>
          <w:rFonts w:ascii="宋体" w:hAnsi="宋体" w:eastAsia="宋体" w:cs="宋体"/>
          <w:color w:val="auto"/>
          <w:spacing w:val="-2"/>
          <w:sz w:val="24"/>
          <w:szCs w:val="24"/>
          <w:highlight w:val="none"/>
        </w:rPr>
        <w:t>文件中。</w:t>
      </w:r>
    </w:p>
    <w:p w14:paraId="15921D90">
      <w:pPr>
        <w:spacing w:line="220" w:lineRule="auto"/>
        <w:rPr>
          <w:rFonts w:ascii="宋体" w:hAnsi="宋体" w:eastAsia="宋体" w:cs="宋体"/>
          <w:color w:val="auto"/>
          <w:sz w:val="24"/>
          <w:szCs w:val="24"/>
          <w:highlight w:val="none"/>
        </w:rPr>
        <w:sectPr>
          <w:footerReference r:id="rId156" w:type="default"/>
          <w:pgSz w:w="11907" w:h="16841"/>
          <w:pgMar w:top="400" w:right="1527" w:bottom="1254" w:left="1626" w:header="0" w:footer="1093" w:gutter="0"/>
          <w:pgNumType w:fmt="decimal"/>
          <w:cols w:space="720" w:num="1"/>
        </w:sectPr>
      </w:pPr>
    </w:p>
    <w:p w14:paraId="1D71BC17">
      <w:pPr>
        <w:pStyle w:val="3"/>
        <w:spacing w:line="247" w:lineRule="auto"/>
        <w:rPr>
          <w:color w:val="auto"/>
          <w:highlight w:val="none"/>
        </w:rPr>
      </w:pPr>
    </w:p>
    <w:p w14:paraId="1D50E2ED">
      <w:pPr>
        <w:pStyle w:val="3"/>
        <w:spacing w:line="248" w:lineRule="auto"/>
        <w:rPr>
          <w:color w:val="auto"/>
          <w:highlight w:val="none"/>
        </w:rPr>
      </w:pPr>
    </w:p>
    <w:p w14:paraId="212E5B24">
      <w:pPr>
        <w:pStyle w:val="3"/>
        <w:spacing w:line="248" w:lineRule="auto"/>
        <w:rPr>
          <w:color w:val="auto"/>
          <w:highlight w:val="none"/>
        </w:rPr>
      </w:pPr>
    </w:p>
    <w:p w14:paraId="2DB6525B">
      <w:pPr>
        <w:pStyle w:val="3"/>
        <w:spacing w:line="248" w:lineRule="auto"/>
        <w:rPr>
          <w:color w:val="auto"/>
          <w:highlight w:val="none"/>
        </w:rPr>
      </w:pPr>
    </w:p>
    <w:p w14:paraId="3D2C0AF3">
      <w:pPr>
        <w:spacing w:before="78" w:line="220" w:lineRule="auto"/>
        <w:ind w:left="241"/>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1.</w:t>
      </w:r>
      <w:r>
        <w:rPr>
          <w:rFonts w:ascii="宋体" w:hAnsi="宋体" w:eastAsia="宋体" w:cs="宋体"/>
          <w:b/>
          <w:bCs/>
          <w:color w:val="auto"/>
          <w:spacing w:val="-4"/>
          <w:sz w:val="24"/>
          <w:szCs w:val="24"/>
          <w:highlight w:val="none"/>
        </w:rPr>
        <w:t>企业信用等级</w:t>
      </w:r>
    </w:p>
    <w:p w14:paraId="53F38A09">
      <w:pPr>
        <w:spacing w:line="220" w:lineRule="auto"/>
        <w:rPr>
          <w:rFonts w:ascii="宋体" w:hAnsi="宋体" w:eastAsia="宋体" w:cs="宋体"/>
          <w:color w:val="auto"/>
          <w:sz w:val="24"/>
          <w:szCs w:val="24"/>
          <w:highlight w:val="none"/>
        </w:rPr>
        <w:sectPr>
          <w:footerReference r:id="rId157" w:type="default"/>
          <w:pgSz w:w="11907" w:h="16841"/>
          <w:pgMar w:top="400" w:right="1527" w:bottom="1254" w:left="1785" w:header="0" w:footer="1093" w:gutter="0"/>
          <w:pgNumType w:fmt="decimal"/>
          <w:cols w:space="720" w:num="1"/>
        </w:sectPr>
      </w:pPr>
    </w:p>
    <w:p w14:paraId="57AF1A91">
      <w:pPr>
        <w:pStyle w:val="3"/>
        <w:spacing w:line="247" w:lineRule="auto"/>
        <w:rPr>
          <w:color w:val="auto"/>
          <w:highlight w:val="none"/>
        </w:rPr>
      </w:pPr>
    </w:p>
    <w:p w14:paraId="0A0DC2B1">
      <w:pPr>
        <w:pStyle w:val="3"/>
        <w:spacing w:line="248" w:lineRule="auto"/>
        <w:rPr>
          <w:color w:val="auto"/>
          <w:highlight w:val="none"/>
        </w:rPr>
      </w:pPr>
    </w:p>
    <w:p w14:paraId="33565D25">
      <w:pPr>
        <w:pStyle w:val="3"/>
        <w:spacing w:line="248" w:lineRule="auto"/>
        <w:rPr>
          <w:color w:val="auto"/>
          <w:highlight w:val="none"/>
        </w:rPr>
      </w:pPr>
    </w:p>
    <w:p w14:paraId="61425A9F">
      <w:pPr>
        <w:pStyle w:val="3"/>
        <w:spacing w:line="248" w:lineRule="auto"/>
        <w:rPr>
          <w:color w:val="auto"/>
          <w:highlight w:val="none"/>
        </w:rPr>
      </w:pPr>
    </w:p>
    <w:p w14:paraId="0A849796">
      <w:pPr>
        <w:spacing w:before="78" w:line="219" w:lineRule="auto"/>
        <w:ind w:left="230"/>
        <w:rPr>
          <w:rFonts w:ascii="宋体" w:hAnsi="宋体" w:eastAsia="宋体" w:cs="宋体"/>
          <w:strike/>
          <w:dstrike w:val="0"/>
          <w:color w:val="auto"/>
          <w:sz w:val="24"/>
          <w:szCs w:val="24"/>
          <w:highlight w:val="none"/>
        </w:rPr>
      </w:pPr>
      <w:r>
        <w:rPr>
          <w:rFonts w:ascii="Times New Roman" w:hAnsi="Times New Roman" w:eastAsia="Times New Roman" w:cs="Times New Roman"/>
          <w:b/>
          <w:bCs/>
          <w:strike/>
          <w:dstrike w:val="0"/>
          <w:color w:val="auto"/>
          <w:spacing w:val="-2"/>
          <w:sz w:val="24"/>
          <w:szCs w:val="24"/>
          <w:highlight w:val="none"/>
        </w:rPr>
        <w:t>2.</w:t>
      </w:r>
      <w:r>
        <w:rPr>
          <w:rFonts w:ascii="宋体" w:hAnsi="宋体" w:eastAsia="宋体" w:cs="宋体"/>
          <w:b/>
          <w:bCs/>
          <w:strike/>
          <w:dstrike w:val="0"/>
          <w:color w:val="auto"/>
          <w:spacing w:val="-2"/>
          <w:sz w:val="24"/>
          <w:szCs w:val="24"/>
          <w:highlight w:val="none"/>
        </w:rPr>
        <w:t>符合评审打分要求的类似项目业绩证明材料</w:t>
      </w:r>
    </w:p>
    <w:p w14:paraId="52B2D6D3">
      <w:pPr>
        <w:spacing w:before="176" w:line="220" w:lineRule="auto"/>
        <w:ind w:left="231"/>
        <w:rPr>
          <w:rFonts w:ascii="宋体" w:hAnsi="宋体" w:eastAsia="宋体" w:cs="宋体"/>
          <w:strike/>
          <w:dstrike w:val="0"/>
          <w:color w:val="auto"/>
          <w:sz w:val="21"/>
          <w:szCs w:val="21"/>
          <w:highlight w:val="none"/>
        </w:rPr>
      </w:pPr>
      <w:r>
        <w:rPr>
          <w:rFonts w:ascii="宋体" w:hAnsi="宋体" w:eastAsia="宋体" w:cs="宋体"/>
          <w:strike/>
          <w:dstrike w:val="0"/>
          <w:color w:val="auto"/>
          <w:spacing w:val="-1"/>
          <w:sz w:val="21"/>
          <w:szCs w:val="21"/>
          <w:highlight w:val="none"/>
        </w:rPr>
        <w:t>注：如提供的是联合体业绩，还须提供联合体协议书。</w:t>
      </w:r>
    </w:p>
    <w:p w14:paraId="7E16FD8B">
      <w:pPr>
        <w:spacing w:line="220" w:lineRule="auto"/>
        <w:rPr>
          <w:rFonts w:ascii="宋体" w:hAnsi="宋体" w:eastAsia="宋体" w:cs="宋体"/>
          <w:color w:val="auto"/>
          <w:sz w:val="21"/>
          <w:szCs w:val="21"/>
          <w:highlight w:val="none"/>
        </w:rPr>
        <w:sectPr>
          <w:footerReference r:id="rId158" w:type="default"/>
          <w:pgSz w:w="11907" w:h="16841"/>
          <w:pgMar w:top="400" w:right="1527" w:bottom="1254" w:left="1785" w:header="0" w:footer="1093" w:gutter="0"/>
          <w:pgNumType w:fmt="decimal"/>
          <w:cols w:space="720" w:num="1"/>
        </w:sectPr>
      </w:pPr>
    </w:p>
    <w:p w14:paraId="0584C025">
      <w:pPr>
        <w:pStyle w:val="3"/>
        <w:spacing w:line="248" w:lineRule="auto"/>
        <w:rPr>
          <w:color w:val="auto"/>
          <w:highlight w:val="none"/>
        </w:rPr>
      </w:pPr>
    </w:p>
    <w:p w14:paraId="410964EA">
      <w:pPr>
        <w:pStyle w:val="3"/>
        <w:spacing w:line="248" w:lineRule="auto"/>
        <w:rPr>
          <w:color w:val="auto"/>
          <w:highlight w:val="none"/>
        </w:rPr>
      </w:pPr>
    </w:p>
    <w:p w14:paraId="6CA1260E">
      <w:pPr>
        <w:pStyle w:val="3"/>
        <w:spacing w:line="248" w:lineRule="auto"/>
        <w:rPr>
          <w:color w:val="auto"/>
          <w:highlight w:val="none"/>
        </w:rPr>
      </w:pPr>
    </w:p>
    <w:p w14:paraId="500C6A9F">
      <w:pPr>
        <w:pStyle w:val="3"/>
        <w:spacing w:line="248" w:lineRule="auto"/>
        <w:rPr>
          <w:color w:val="auto"/>
          <w:highlight w:val="none"/>
        </w:rPr>
      </w:pPr>
    </w:p>
    <w:p w14:paraId="2C585070">
      <w:pPr>
        <w:spacing w:before="78" w:line="220" w:lineRule="auto"/>
        <w:ind w:left="229"/>
        <w:rPr>
          <w:rFonts w:ascii="宋体" w:hAnsi="宋体" w:eastAsia="宋体" w:cs="宋体"/>
          <w:color w:val="auto"/>
          <w:sz w:val="24"/>
          <w:szCs w:val="24"/>
          <w:highlight w:val="none"/>
        </w:rPr>
      </w:pPr>
      <w:r>
        <w:rPr>
          <w:rFonts w:ascii="Times New Roman" w:hAnsi="Times New Roman" w:eastAsia="Times New Roman" w:cs="Times New Roman"/>
          <w:b/>
          <w:bCs/>
          <w:color w:val="auto"/>
          <w:spacing w:val="-4"/>
          <w:sz w:val="24"/>
          <w:szCs w:val="24"/>
          <w:highlight w:val="none"/>
        </w:rPr>
        <w:t>3.</w:t>
      </w:r>
      <w:r>
        <w:rPr>
          <w:rFonts w:ascii="Times New Roman" w:hAnsi="Times New Roman" w:eastAsia="Times New Roman" w:cs="Times New Roman"/>
          <w:b/>
          <w:bCs/>
          <w:color w:val="auto"/>
          <w:spacing w:val="6"/>
          <w:sz w:val="24"/>
          <w:szCs w:val="24"/>
          <w:highlight w:val="none"/>
        </w:rPr>
        <w:t xml:space="preserve">  </w:t>
      </w:r>
      <w:r>
        <w:rPr>
          <w:rFonts w:ascii="宋体" w:hAnsi="宋体" w:eastAsia="宋体" w:cs="宋体"/>
          <w:b/>
          <w:bCs/>
          <w:color w:val="auto"/>
          <w:spacing w:val="-4"/>
          <w:sz w:val="24"/>
          <w:szCs w:val="24"/>
          <w:highlight w:val="none"/>
        </w:rPr>
        <w:t>其他</w:t>
      </w:r>
    </w:p>
    <w:p w14:paraId="72B65043">
      <w:pPr>
        <w:spacing w:line="220" w:lineRule="auto"/>
        <w:rPr>
          <w:rFonts w:ascii="宋体" w:hAnsi="宋体" w:eastAsia="宋体" w:cs="宋体"/>
          <w:color w:val="auto"/>
          <w:sz w:val="24"/>
          <w:szCs w:val="24"/>
          <w:highlight w:val="none"/>
        </w:rPr>
        <w:sectPr>
          <w:footerReference r:id="rId159" w:type="default"/>
          <w:pgSz w:w="11907" w:h="16841"/>
          <w:pgMar w:top="400" w:right="1527" w:bottom="1254" w:left="1785" w:header="0" w:footer="1093" w:gutter="0"/>
          <w:pgNumType w:fmt="decimal"/>
          <w:cols w:space="720" w:num="1"/>
        </w:sectPr>
      </w:pPr>
    </w:p>
    <w:p w14:paraId="4967C500">
      <w:pPr>
        <w:pStyle w:val="3"/>
        <w:spacing w:line="248" w:lineRule="auto"/>
        <w:rPr>
          <w:color w:val="auto"/>
          <w:highlight w:val="none"/>
        </w:rPr>
      </w:pPr>
    </w:p>
    <w:p w14:paraId="4681CCFF">
      <w:pPr>
        <w:pStyle w:val="3"/>
        <w:spacing w:line="248" w:lineRule="auto"/>
        <w:rPr>
          <w:color w:val="auto"/>
          <w:highlight w:val="none"/>
        </w:rPr>
      </w:pPr>
    </w:p>
    <w:p w14:paraId="2EC6692B">
      <w:pPr>
        <w:pStyle w:val="3"/>
        <w:spacing w:line="248" w:lineRule="auto"/>
        <w:rPr>
          <w:color w:val="auto"/>
          <w:highlight w:val="none"/>
        </w:rPr>
      </w:pPr>
    </w:p>
    <w:p w14:paraId="19950CD2">
      <w:pPr>
        <w:pStyle w:val="3"/>
        <w:spacing w:line="248" w:lineRule="auto"/>
        <w:rPr>
          <w:color w:val="auto"/>
          <w:highlight w:val="none"/>
        </w:rPr>
      </w:pPr>
    </w:p>
    <w:p w14:paraId="08DB9B41">
      <w:pPr>
        <w:pStyle w:val="3"/>
        <w:spacing w:line="248" w:lineRule="auto"/>
        <w:rPr>
          <w:color w:val="auto"/>
          <w:highlight w:val="none"/>
        </w:rPr>
      </w:pPr>
    </w:p>
    <w:p w14:paraId="39DC117F">
      <w:pPr>
        <w:pStyle w:val="3"/>
        <w:spacing w:line="248" w:lineRule="auto"/>
        <w:rPr>
          <w:color w:val="auto"/>
          <w:highlight w:val="none"/>
        </w:rPr>
      </w:pPr>
    </w:p>
    <w:p w14:paraId="4FC5390F">
      <w:pPr>
        <w:pStyle w:val="3"/>
        <w:spacing w:line="248" w:lineRule="auto"/>
        <w:rPr>
          <w:color w:val="auto"/>
          <w:highlight w:val="none"/>
        </w:rPr>
      </w:pPr>
    </w:p>
    <w:p w14:paraId="1621EDF2">
      <w:pPr>
        <w:pStyle w:val="3"/>
        <w:spacing w:line="248" w:lineRule="auto"/>
        <w:rPr>
          <w:color w:val="auto"/>
          <w:highlight w:val="none"/>
        </w:rPr>
      </w:pPr>
    </w:p>
    <w:p w14:paraId="750FFDC7">
      <w:pPr>
        <w:pStyle w:val="3"/>
        <w:spacing w:line="248" w:lineRule="auto"/>
        <w:rPr>
          <w:color w:val="auto"/>
          <w:highlight w:val="none"/>
        </w:rPr>
      </w:pPr>
    </w:p>
    <w:p w14:paraId="12E42998">
      <w:pPr>
        <w:pStyle w:val="3"/>
        <w:spacing w:line="248" w:lineRule="auto"/>
        <w:rPr>
          <w:color w:val="auto"/>
          <w:highlight w:val="none"/>
        </w:rPr>
      </w:pPr>
    </w:p>
    <w:p w14:paraId="1BDAE2E4">
      <w:pPr>
        <w:pStyle w:val="3"/>
        <w:spacing w:line="249" w:lineRule="auto"/>
        <w:rPr>
          <w:color w:val="auto"/>
          <w:highlight w:val="none"/>
        </w:rPr>
      </w:pPr>
    </w:p>
    <w:p w14:paraId="6FDBAE0F">
      <w:pPr>
        <w:pStyle w:val="3"/>
        <w:spacing w:line="249" w:lineRule="auto"/>
        <w:rPr>
          <w:color w:val="auto"/>
          <w:highlight w:val="none"/>
        </w:rPr>
      </w:pPr>
    </w:p>
    <w:p w14:paraId="40699015">
      <w:pPr>
        <w:tabs>
          <w:tab w:val="left" w:pos="3486"/>
        </w:tabs>
        <w:spacing w:before="81" w:line="213" w:lineRule="auto"/>
        <w:ind w:left="1326"/>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
          <w:sz w:val="24"/>
          <w:szCs w:val="24"/>
          <w:highlight w:val="none"/>
        </w:rPr>
        <w:t>（</w:t>
      </w:r>
      <w:r>
        <w:rPr>
          <w:rFonts w:ascii="宋体" w:hAnsi="宋体" w:eastAsia="宋体" w:cs="宋体"/>
          <w:i/>
          <w:iCs/>
          <w:color w:val="auto"/>
          <w:spacing w:val="-1"/>
          <w:sz w:val="25"/>
          <w:szCs w:val="25"/>
          <w:highlight w:val="none"/>
        </w:rPr>
        <w:t>项目名称</w:t>
      </w:r>
      <w:r>
        <w:rPr>
          <w:rFonts w:ascii="宋体" w:hAnsi="宋体" w:eastAsia="宋体" w:cs="宋体"/>
          <w:color w:val="auto"/>
          <w:spacing w:val="-25"/>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5"/>
          <w:sz w:val="24"/>
          <w:szCs w:val="24"/>
          <w:highlight w:val="none"/>
        </w:rPr>
        <w:t>（</w:t>
      </w:r>
      <w:r>
        <w:rPr>
          <w:rFonts w:ascii="宋体" w:hAnsi="宋体" w:eastAsia="宋体" w:cs="宋体"/>
          <w:i/>
          <w:iCs/>
          <w:color w:val="auto"/>
          <w:spacing w:val="-1"/>
          <w:sz w:val="25"/>
          <w:szCs w:val="25"/>
          <w:highlight w:val="none"/>
        </w:rPr>
        <w:t>标段名称</w:t>
      </w:r>
      <w:r>
        <w:rPr>
          <w:rFonts w:ascii="宋体" w:hAnsi="宋体" w:eastAsia="宋体" w:cs="宋体"/>
          <w:color w:val="auto"/>
          <w:spacing w:val="-1"/>
          <w:sz w:val="24"/>
          <w:szCs w:val="24"/>
          <w:highlight w:val="none"/>
        </w:rPr>
        <w:t>）</w:t>
      </w:r>
    </w:p>
    <w:p w14:paraId="1F7C77D2">
      <w:pPr>
        <w:pStyle w:val="3"/>
        <w:spacing w:line="244" w:lineRule="auto"/>
        <w:rPr>
          <w:color w:val="auto"/>
          <w:highlight w:val="none"/>
        </w:rPr>
      </w:pPr>
    </w:p>
    <w:p w14:paraId="1FBB97F9">
      <w:pPr>
        <w:pStyle w:val="3"/>
        <w:spacing w:line="245" w:lineRule="auto"/>
        <w:rPr>
          <w:color w:val="auto"/>
          <w:highlight w:val="none"/>
        </w:rPr>
      </w:pPr>
    </w:p>
    <w:p w14:paraId="66BB87B9">
      <w:pPr>
        <w:pStyle w:val="3"/>
        <w:spacing w:line="245" w:lineRule="auto"/>
        <w:rPr>
          <w:color w:val="auto"/>
          <w:highlight w:val="none"/>
        </w:rPr>
      </w:pPr>
    </w:p>
    <w:p w14:paraId="0A1125CC">
      <w:pPr>
        <w:pStyle w:val="3"/>
        <w:spacing w:line="245" w:lineRule="auto"/>
        <w:rPr>
          <w:color w:val="auto"/>
          <w:highlight w:val="none"/>
        </w:rPr>
      </w:pPr>
    </w:p>
    <w:p w14:paraId="428A58BE">
      <w:pPr>
        <w:pStyle w:val="3"/>
        <w:spacing w:line="245" w:lineRule="auto"/>
        <w:rPr>
          <w:color w:val="auto"/>
          <w:highlight w:val="none"/>
        </w:rPr>
      </w:pPr>
    </w:p>
    <w:p w14:paraId="79A54E04">
      <w:pPr>
        <w:pStyle w:val="3"/>
        <w:spacing w:line="245" w:lineRule="auto"/>
        <w:rPr>
          <w:color w:val="auto"/>
          <w:highlight w:val="none"/>
        </w:rPr>
      </w:pPr>
    </w:p>
    <w:p w14:paraId="3D2BD1F9">
      <w:pPr>
        <w:pStyle w:val="3"/>
        <w:spacing w:line="245" w:lineRule="auto"/>
        <w:rPr>
          <w:color w:val="auto"/>
          <w:highlight w:val="none"/>
        </w:rPr>
      </w:pPr>
    </w:p>
    <w:p w14:paraId="759C0D3E">
      <w:pPr>
        <w:spacing w:before="140" w:line="223" w:lineRule="auto"/>
        <w:ind w:left="3113"/>
        <w:rPr>
          <w:rFonts w:ascii="宋体" w:hAnsi="宋体" w:eastAsia="宋体" w:cs="宋体"/>
          <w:color w:val="auto"/>
          <w:sz w:val="43"/>
          <w:szCs w:val="43"/>
          <w:highlight w:val="none"/>
        </w:rPr>
      </w:pPr>
      <w:r>
        <w:rPr>
          <w:rFonts w:ascii="宋体" w:hAnsi="宋体" w:eastAsia="宋体" w:cs="宋体"/>
          <w:b/>
          <w:bCs/>
          <w:color w:val="auto"/>
          <w:spacing w:val="-14"/>
          <w:sz w:val="43"/>
          <w:szCs w:val="43"/>
          <w:highlight w:val="none"/>
        </w:rPr>
        <w:t>投</w:t>
      </w:r>
      <w:r>
        <w:rPr>
          <w:rFonts w:ascii="宋体" w:hAnsi="宋体" w:eastAsia="宋体" w:cs="宋体"/>
          <w:color w:val="auto"/>
          <w:spacing w:val="29"/>
          <w:sz w:val="43"/>
          <w:szCs w:val="43"/>
          <w:highlight w:val="none"/>
        </w:rPr>
        <w:t xml:space="preserve"> </w:t>
      </w:r>
      <w:r>
        <w:rPr>
          <w:rFonts w:ascii="宋体" w:hAnsi="宋体" w:eastAsia="宋体" w:cs="宋体"/>
          <w:b/>
          <w:bCs/>
          <w:color w:val="auto"/>
          <w:spacing w:val="-14"/>
          <w:sz w:val="43"/>
          <w:szCs w:val="43"/>
          <w:highlight w:val="none"/>
        </w:rPr>
        <w:t>标</w:t>
      </w:r>
      <w:r>
        <w:rPr>
          <w:rFonts w:ascii="宋体" w:hAnsi="宋体" w:eastAsia="宋体" w:cs="宋体"/>
          <w:color w:val="auto"/>
          <w:spacing w:val="29"/>
          <w:sz w:val="43"/>
          <w:szCs w:val="43"/>
          <w:highlight w:val="none"/>
        </w:rPr>
        <w:t xml:space="preserve"> </w:t>
      </w:r>
      <w:r>
        <w:rPr>
          <w:rFonts w:ascii="宋体" w:hAnsi="宋体" w:eastAsia="宋体" w:cs="宋体"/>
          <w:b/>
          <w:bCs/>
          <w:color w:val="auto"/>
          <w:spacing w:val="-14"/>
          <w:sz w:val="43"/>
          <w:szCs w:val="43"/>
          <w:highlight w:val="none"/>
        </w:rPr>
        <w:t>文</w:t>
      </w:r>
      <w:r>
        <w:rPr>
          <w:rFonts w:ascii="宋体" w:hAnsi="宋体" w:eastAsia="宋体" w:cs="宋体"/>
          <w:color w:val="auto"/>
          <w:spacing w:val="24"/>
          <w:sz w:val="43"/>
          <w:szCs w:val="43"/>
          <w:highlight w:val="none"/>
        </w:rPr>
        <w:t xml:space="preserve"> </w:t>
      </w:r>
      <w:r>
        <w:rPr>
          <w:rFonts w:ascii="宋体" w:hAnsi="宋体" w:eastAsia="宋体" w:cs="宋体"/>
          <w:b/>
          <w:bCs/>
          <w:color w:val="auto"/>
          <w:spacing w:val="-14"/>
          <w:sz w:val="43"/>
          <w:szCs w:val="43"/>
          <w:highlight w:val="none"/>
        </w:rPr>
        <w:t>件</w:t>
      </w:r>
    </w:p>
    <w:p w14:paraId="185F0435">
      <w:pPr>
        <w:spacing w:before="305" w:line="220" w:lineRule="auto"/>
        <w:ind w:left="372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（商务标）</w:t>
      </w:r>
    </w:p>
    <w:p w14:paraId="1E7C0283">
      <w:pPr>
        <w:pStyle w:val="3"/>
        <w:spacing w:line="247" w:lineRule="auto"/>
        <w:rPr>
          <w:color w:val="auto"/>
          <w:highlight w:val="none"/>
        </w:rPr>
      </w:pPr>
    </w:p>
    <w:p w14:paraId="66B25AB1">
      <w:pPr>
        <w:pStyle w:val="3"/>
        <w:spacing w:line="248" w:lineRule="auto"/>
        <w:rPr>
          <w:color w:val="auto"/>
          <w:highlight w:val="none"/>
        </w:rPr>
      </w:pPr>
    </w:p>
    <w:p w14:paraId="468CC221">
      <w:pPr>
        <w:pStyle w:val="3"/>
        <w:spacing w:line="248" w:lineRule="auto"/>
        <w:rPr>
          <w:color w:val="auto"/>
          <w:highlight w:val="none"/>
        </w:rPr>
      </w:pPr>
    </w:p>
    <w:p w14:paraId="5388C73B">
      <w:pPr>
        <w:pStyle w:val="3"/>
        <w:spacing w:line="248" w:lineRule="auto"/>
        <w:rPr>
          <w:color w:val="auto"/>
          <w:highlight w:val="none"/>
        </w:rPr>
      </w:pPr>
    </w:p>
    <w:p w14:paraId="56F850C5">
      <w:pPr>
        <w:pStyle w:val="3"/>
        <w:spacing w:line="248" w:lineRule="auto"/>
        <w:rPr>
          <w:color w:val="auto"/>
          <w:highlight w:val="none"/>
        </w:rPr>
      </w:pPr>
    </w:p>
    <w:p w14:paraId="7DC86856">
      <w:pPr>
        <w:pStyle w:val="3"/>
        <w:spacing w:line="248" w:lineRule="auto"/>
        <w:rPr>
          <w:color w:val="auto"/>
          <w:highlight w:val="none"/>
        </w:rPr>
      </w:pPr>
    </w:p>
    <w:p w14:paraId="71791DEC">
      <w:pPr>
        <w:pStyle w:val="3"/>
        <w:spacing w:line="248" w:lineRule="auto"/>
        <w:rPr>
          <w:color w:val="auto"/>
          <w:highlight w:val="none"/>
        </w:rPr>
      </w:pPr>
    </w:p>
    <w:p w14:paraId="560579AD">
      <w:pPr>
        <w:pStyle w:val="3"/>
        <w:spacing w:line="248" w:lineRule="auto"/>
        <w:rPr>
          <w:color w:val="auto"/>
          <w:highlight w:val="none"/>
        </w:rPr>
      </w:pPr>
    </w:p>
    <w:p w14:paraId="455C1CCC">
      <w:pPr>
        <w:pStyle w:val="3"/>
        <w:spacing w:line="248" w:lineRule="auto"/>
        <w:rPr>
          <w:color w:val="auto"/>
          <w:highlight w:val="none"/>
        </w:rPr>
      </w:pPr>
    </w:p>
    <w:p w14:paraId="256EE515">
      <w:pPr>
        <w:pStyle w:val="3"/>
        <w:spacing w:line="248" w:lineRule="auto"/>
        <w:rPr>
          <w:color w:val="auto"/>
          <w:highlight w:val="none"/>
        </w:rPr>
      </w:pPr>
    </w:p>
    <w:p w14:paraId="4469B323">
      <w:pPr>
        <w:pStyle w:val="3"/>
        <w:spacing w:line="248" w:lineRule="auto"/>
        <w:rPr>
          <w:color w:val="auto"/>
          <w:highlight w:val="none"/>
        </w:rPr>
      </w:pPr>
    </w:p>
    <w:p w14:paraId="69C46A87">
      <w:pPr>
        <w:pStyle w:val="3"/>
        <w:spacing w:line="248" w:lineRule="auto"/>
        <w:rPr>
          <w:color w:val="auto"/>
          <w:highlight w:val="none"/>
        </w:rPr>
      </w:pPr>
    </w:p>
    <w:p w14:paraId="2DEC5471">
      <w:pPr>
        <w:pStyle w:val="3"/>
        <w:spacing w:line="248" w:lineRule="auto"/>
        <w:rPr>
          <w:color w:val="auto"/>
          <w:highlight w:val="none"/>
        </w:rPr>
      </w:pPr>
    </w:p>
    <w:p w14:paraId="04293DD6">
      <w:pPr>
        <w:pStyle w:val="3"/>
        <w:spacing w:line="248" w:lineRule="auto"/>
        <w:rPr>
          <w:color w:val="auto"/>
          <w:highlight w:val="none"/>
        </w:rPr>
      </w:pPr>
    </w:p>
    <w:p w14:paraId="2D095E09">
      <w:pPr>
        <w:pStyle w:val="3"/>
        <w:spacing w:line="248" w:lineRule="auto"/>
        <w:rPr>
          <w:color w:val="auto"/>
          <w:highlight w:val="none"/>
        </w:rPr>
      </w:pPr>
    </w:p>
    <w:p w14:paraId="60C9E8F7">
      <w:pPr>
        <w:pStyle w:val="3"/>
        <w:spacing w:line="248" w:lineRule="auto"/>
        <w:rPr>
          <w:color w:val="auto"/>
          <w:highlight w:val="none"/>
        </w:rPr>
      </w:pPr>
    </w:p>
    <w:p w14:paraId="2D8D8E73">
      <w:pPr>
        <w:pStyle w:val="3"/>
        <w:spacing w:line="248" w:lineRule="auto"/>
        <w:rPr>
          <w:color w:val="auto"/>
          <w:highlight w:val="none"/>
        </w:rPr>
      </w:pPr>
    </w:p>
    <w:p w14:paraId="40F25180">
      <w:pPr>
        <w:spacing w:before="78" w:line="219" w:lineRule="auto"/>
        <w:ind w:left="112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w:t>
      </w:r>
      <w:r>
        <w:rPr>
          <w:rFonts w:ascii="宋体" w:hAnsi="宋体" w:eastAsia="宋体" w:cs="宋体"/>
          <w:color w:val="auto"/>
          <w:spacing w:val="15"/>
          <w:sz w:val="24"/>
          <w:szCs w:val="24"/>
          <w:highlight w:val="none"/>
        </w:rPr>
        <w:t xml:space="preserve">   </w:t>
      </w:r>
      <w:r>
        <w:rPr>
          <w:rFonts w:ascii="宋体" w:hAnsi="宋体" w:eastAsia="宋体" w:cs="宋体"/>
          <w:color w:val="auto"/>
          <w:spacing w:val="-1"/>
          <w:sz w:val="24"/>
          <w:szCs w:val="24"/>
          <w:highlight w:val="none"/>
        </w:rPr>
        <w:t>标</w:t>
      </w:r>
      <w:r>
        <w:rPr>
          <w:rFonts w:ascii="宋体" w:hAnsi="宋体" w:eastAsia="宋体" w:cs="宋体"/>
          <w:color w:val="auto"/>
          <w:spacing w:val="15"/>
          <w:sz w:val="24"/>
          <w:szCs w:val="24"/>
          <w:highlight w:val="none"/>
        </w:rPr>
        <w:t xml:space="preserve">   </w:t>
      </w:r>
      <w:r>
        <w:rPr>
          <w:rFonts w:ascii="宋体" w:hAnsi="宋体" w:eastAsia="宋体" w:cs="宋体"/>
          <w:color w:val="auto"/>
          <w:spacing w:val="-1"/>
          <w:sz w:val="24"/>
          <w:szCs w:val="24"/>
          <w:highlight w:val="none"/>
        </w:rPr>
        <w:t>人</w:t>
      </w:r>
      <w:r>
        <w:rPr>
          <w:rFonts w:ascii="宋体" w:hAnsi="宋体" w:eastAsia="宋体" w:cs="宋体"/>
          <w:color w:val="auto"/>
          <w:spacing w:val="-31"/>
          <w:sz w:val="24"/>
          <w:szCs w:val="24"/>
          <w:highlight w:val="none"/>
        </w:rPr>
        <w:t>：</w:t>
      </w:r>
      <w:r>
        <w:rPr>
          <w:rFonts w:ascii="宋体" w:hAnsi="宋体" w:eastAsia="宋体" w:cs="宋体"/>
          <w:color w:val="auto"/>
          <w:spacing w:val="17"/>
          <w:sz w:val="24"/>
          <w:szCs w:val="24"/>
          <w:highlight w:val="none"/>
          <w:u w:val="single" w:color="auto"/>
        </w:rPr>
        <w:t xml:space="preserve">       </w:t>
      </w:r>
      <w:r>
        <w:rPr>
          <w:rFonts w:ascii="宋体" w:hAnsi="宋体" w:eastAsia="宋体" w:cs="宋体"/>
          <w:color w:val="auto"/>
          <w:spacing w:val="-31"/>
          <w:sz w:val="24"/>
          <w:szCs w:val="24"/>
          <w:highlight w:val="none"/>
          <w:u w:val="single" w:color="auto"/>
        </w:rPr>
        <w:t>（</w:t>
      </w:r>
      <w:r>
        <w:rPr>
          <w:rFonts w:ascii="宋体" w:hAnsi="宋体" w:eastAsia="宋体" w:cs="宋体"/>
          <w:color w:val="auto"/>
          <w:spacing w:val="-1"/>
          <w:sz w:val="24"/>
          <w:szCs w:val="24"/>
          <w:highlight w:val="none"/>
          <w:u w:val="single" w:color="auto"/>
        </w:rPr>
        <w:t>盖单位公章）</w:t>
      </w:r>
      <w:r>
        <w:rPr>
          <w:rFonts w:ascii="宋体" w:hAnsi="宋体" w:eastAsia="宋体" w:cs="宋体"/>
          <w:color w:val="auto"/>
          <w:sz w:val="24"/>
          <w:szCs w:val="24"/>
          <w:highlight w:val="none"/>
          <w:u w:val="single" w:color="auto"/>
        </w:rPr>
        <w:t xml:space="preserve">            </w:t>
      </w:r>
    </w:p>
    <w:p w14:paraId="5974D8F0">
      <w:pPr>
        <w:pStyle w:val="3"/>
        <w:spacing w:line="257" w:lineRule="auto"/>
        <w:rPr>
          <w:color w:val="auto"/>
          <w:highlight w:val="none"/>
        </w:rPr>
      </w:pPr>
    </w:p>
    <w:p w14:paraId="49440A53">
      <w:pPr>
        <w:pStyle w:val="3"/>
        <w:spacing w:line="258" w:lineRule="auto"/>
        <w:rPr>
          <w:color w:val="auto"/>
          <w:highlight w:val="none"/>
        </w:rPr>
      </w:pPr>
    </w:p>
    <w:p w14:paraId="1F70B4F9">
      <w:pPr>
        <w:tabs>
          <w:tab w:val="left" w:pos="4125"/>
        </w:tabs>
        <w:spacing w:before="78" w:line="362" w:lineRule="auto"/>
        <w:ind w:left="2805" w:right="1808" w:hanging="16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法定代表人或委托代理人</w:t>
      </w:r>
      <w:r>
        <w:rPr>
          <w:rFonts w:ascii="宋体" w:hAnsi="宋体" w:eastAsia="宋体" w:cs="宋体"/>
          <w:color w:val="auto"/>
          <w:spacing w:val="-14"/>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4"/>
          <w:sz w:val="24"/>
          <w:szCs w:val="24"/>
          <w:highlight w:val="none"/>
          <w:u w:val="single" w:color="auto"/>
        </w:rPr>
        <w:t>（</w:t>
      </w:r>
      <w:r>
        <w:rPr>
          <w:rFonts w:ascii="宋体" w:hAnsi="宋体" w:eastAsia="宋体" w:cs="宋体"/>
          <w:color w:val="auto"/>
          <w:spacing w:val="2"/>
          <w:sz w:val="24"/>
          <w:szCs w:val="24"/>
          <w:highlight w:val="none"/>
          <w:u w:val="single" w:color="auto"/>
        </w:rPr>
        <w:t>签字或盖章）</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64C4CE80">
      <w:pPr>
        <w:pStyle w:val="3"/>
        <w:spacing w:line="286" w:lineRule="auto"/>
        <w:rPr>
          <w:color w:val="auto"/>
          <w:highlight w:val="none"/>
        </w:rPr>
      </w:pPr>
    </w:p>
    <w:p w14:paraId="6169948B">
      <w:pPr>
        <w:pStyle w:val="3"/>
        <w:spacing w:line="287" w:lineRule="auto"/>
        <w:rPr>
          <w:color w:val="auto"/>
          <w:highlight w:val="none"/>
        </w:rPr>
      </w:pPr>
    </w:p>
    <w:p w14:paraId="631E59E1">
      <w:pPr>
        <w:pStyle w:val="3"/>
        <w:spacing w:line="287" w:lineRule="auto"/>
        <w:rPr>
          <w:color w:val="auto"/>
          <w:highlight w:val="none"/>
        </w:rPr>
      </w:pPr>
    </w:p>
    <w:p w14:paraId="7179B249">
      <w:pPr>
        <w:pStyle w:val="3"/>
        <w:spacing w:line="287" w:lineRule="auto"/>
        <w:rPr>
          <w:color w:val="auto"/>
          <w:highlight w:val="none"/>
        </w:rPr>
      </w:pPr>
    </w:p>
    <w:p w14:paraId="2C3EFA20">
      <w:pPr>
        <w:spacing w:before="82" w:line="211" w:lineRule="auto"/>
        <w:rPr>
          <w:rFonts w:ascii="宋体" w:hAnsi="宋体" w:eastAsia="宋体" w:cs="宋体"/>
          <w:color w:val="auto"/>
          <w:sz w:val="25"/>
          <w:szCs w:val="25"/>
          <w:highlight w:val="none"/>
        </w:rPr>
      </w:pPr>
      <w:r>
        <w:rPr>
          <w:rFonts w:ascii="宋体" w:hAnsi="宋体" w:eastAsia="宋体" w:cs="宋体"/>
          <w:i/>
          <w:iCs/>
          <w:color w:val="auto"/>
          <w:spacing w:val="-19"/>
          <w:sz w:val="25"/>
          <w:szCs w:val="25"/>
          <w:highlight w:val="none"/>
        </w:rPr>
        <w:t>注：本页同时适用于封面或扉页。</w:t>
      </w:r>
    </w:p>
    <w:p w14:paraId="549DE702">
      <w:pPr>
        <w:spacing w:line="211" w:lineRule="auto"/>
        <w:rPr>
          <w:rFonts w:ascii="宋体" w:hAnsi="宋体" w:eastAsia="宋体" w:cs="宋体"/>
          <w:color w:val="auto"/>
          <w:sz w:val="25"/>
          <w:szCs w:val="25"/>
          <w:highlight w:val="none"/>
        </w:rPr>
        <w:sectPr>
          <w:footerReference r:id="rId160" w:type="default"/>
          <w:pgSz w:w="11907" w:h="16841"/>
          <w:pgMar w:top="400" w:right="1527" w:bottom="1254" w:left="1677" w:header="0" w:footer="1093" w:gutter="0"/>
          <w:pgNumType w:fmt="decimal"/>
          <w:cols w:space="720" w:num="1"/>
        </w:sectPr>
      </w:pPr>
    </w:p>
    <w:p w14:paraId="588DD5F3">
      <w:pPr>
        <w:pStyle w:val="3"/>
        <w:spacing w:line="246" w:lineRule="auto"/>
        <w:rPr>
          <w:color w:val="auto"/>
          <w:highlight w:val="none"/>
        </w:rPr>
      </w:pPr>
    </w:p>
    <w:p w14:paraId="78DAEFEB">
      <w:pPr>
        <w:pStyle w:val="3"/>
        <w:spacing w:line="246" w:lineRule="auto"/>
        <w:rPr>
          <w:color w:val="auto"/>
          <w:highlight w:val="none"/>
        </w:rPr>
      </w:pPr>
    </w:p>
    <w:p w14:paraId="24864D2E">
      <w:pPr>
        <w:pStyle w:val="3"/>
        <w:spacing w:line="246" w:lineRule="auto"/>
        <w:rPr>
          <w:color w:val="auto"/>
          <w:highlight w:val="none"/>
        </w:rPr>
      </w:pPr>
    </w:p>
    <w:p w14:paraId="0BACBA88">
      <w:pPr>
        <w:pStyle w:val="3"/>
        <w:spacing w:line="246" w:lineRule="auto"/>
        <w:rPr>
          <w:color w:val="auto"/>
          <w:highlight w:val="none"/>
        </w:rPr>
      </w:pPr>
    </w:p>
    <w:p w14:paraId="073154D1">
      <w:pPr>
        <w:spacing w:before="91" w:line="220" w:lineRule="auto"/>
        <w:ind w:left="3510"/>
        <w:outlineLvl w:val="1"/>
        <w:rPr>
          <w:rFonts w:ascii="宋体" w:hAnsi="宋体" w:eastAsia="宋体" w:cs="宋体"/>
          <w:color w:val="auto"/>
          <w:sz w:val="28"/>
          <w:szCs w:val="28"/>
          <w:highlight w:val="none"/>
        </w:rPr>
      </w:pPr>
      <w:bookmarkStart w:id="1124" w:name="bookmark659"/>
      <w:bookmarkEnd w:id="1124"/>
      <w:bookmarkStart w:id="1125" w:name="_Toc26468"/>
      <w:bookmarkStart w:id="1126" w:name="_Toc24663"/>
      <w:r>
        <w:rPr>
          <w:rFonts w:ascii="宋体" w:hAnsi="宋体" w:eastAsia="宋体" w:cs="宋体"/>
          <w:b/>
          <w:bCs/>
          <w:color w:val="auto"/>
          <w:spacing w:val="-5"/>
          <w:sz w:val="28"/>
          <w:szCs w:val="28"/>
          <w:highlight w:val="none"/>
        </w:rPr>
        <w:t>商务标目录</w:t>
      </w:r>
      <w:bookmarkEnd w:id="1125"/>
      <w:bookmarkEnd w:id="1126"/>
    </w:p>
    <w:p w14:paraId="73BCB08F">
      <w:pPr>
        <w:pStyle w:val="3"/>
        <w:spacing w:line="245" w:lineRule="auto"/>
        <w:rPr>
          <w:color w:val="auto"/>
          <w:highlight w:val="none"/>
        </w:rPr>
      </w:pPr>
    </w:p>
    <w:p w14:paraId="016BBAD9">
      <w:pPr>
        <w:spacing w:before="78" w:line="219" w:lineRule="auto"/>
        <w:ind w:left="29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）投标函及投标函附录。</w:t>
      </w:r>
    </w:p>
    <w:p w14:paraId="009E15C3">
      <w:pPr>
        <w:spacing w:before="181" w:line="218" w:lineRule="auto"/>
        <w:ind w:left="29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2</w:t>
      </w:r>
      <w:r>
        <w:rPr>
          <w:rFonts w:ascii="宋体" w:hAnsi="宋体" w:eastAsia="宋体" w:cs="宋体"/>
          <w:color w:val="auto"/>
          <w:spacing w:val="-4"/>
          <w:sz w:val="24"/>
          <w:szCs w:val="24"/>
          <w:highlight w:val="none"/>
        </w:rPr>
        <w:t>）已标价的工程量清单。</w:t>
      </w:r>
    </w:p>
    <w:p w14:paraId="5E74FBF7">
      <w:pPr>
        <w:spacing w:before="184" w:line="220" w:lineRule="auto"/>
        <w:ind w:left="29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w:t>
      </w:r>
      <w:r>
        <w:rPr>
          <w:rFonts w:ascii="Times New Roman" w:hAnsi="Times New Roman" w:eastAsia="Times New Roman" w:cs="Times New Roman"/>
          <w:color w:val="auto"/>
          <w:spacing w:val="-4"/>
          <w:sz w:val="24"/>
          <w:szCs w:val="24"/>
          <w:highlight w:val="none"/>
        </w:rPr>
        <w:t>3</w:t>
      </w:r>
      <w:r>
        <w:rPr>
          <w:rFonts w:ascii="宋体" w:hAnsi="宋体" w:eastAsia="宋体" w:cs="宋体"/>
          <w:color w:val="auto"/>
          <w:spacing w:val="-4"/>
          <w:sz w:val="24"/>
          <w:szCs w:val="24"/>
          <w:highlight w:val="none"/>
        </w:rPr>
        <w:t>）招标人要求提交的其他资料。</w:t>
      </w:r>
    </w:p>
    <w:p w14:paraId="5AE5F757">
      <w:pPr>
        <w:spacing w:line="220" w:lineRule="auto"/>
        <w:rPr>
          <w:rFonts w:ascii="宋体" w:hAnsi="宋体" w:eastAsia="宋体" w:cs="宋体"/>
          <w:color w:val="auto"/>
          <w:sz w:val="24"/>
          <w:szCs w:val="24"/>
          <w:highlight w:val="none"/>
        </w:rPr>
        <w:sectPr>
          <w:footerReference r:id="rId161" w:type="default"/>
          <w:pgSz w:w="11907" w:h="16841"/>
          <w:pgMar w:top="400" w:right="1527" w:bottom="1254" w:left="1785" w:header="0" w:footer="1093" w:gutter="0"/>
          <w:pgNumType w:fmt="decimal"/>
          <w:cols w:space="720" w:num="1"/>
        </w:sectPr>
      </w:pPr>
    </w:p>
    <w:p w14:paraId="45CE9C30">
      <w:pPr>
        <w:pStyle w:val="3"/>
        <w:spacing w:line="246" w:lineRule="auto"/>
        <w:rPr>
          <w:color w:val="auto"/>
          <w:highlight w:val="none"/>
        </w:rPr>
      </w:pPr>
    </w:p>
    <w:p w14:paraId="62934F57">
      <w:pPr>
        <w:pStyle w:val="3"/>
        <w:spacing w:line="246" w:lineRule="auto"/>
        <w:rPr>
          <w:color w:val="auto"/>
          <w:highlight w:val="none"/>
        </w:rPr>
      </w:pPr>
    </w:p>
    <w:p w14:paraId="149A27A2">
      <w:pPr>
        <w:pStyle w:val="3"/>
        <w:spacing w:line="246" w:lineRule="auto"/>
        <w:rPr>
          <w:color w:val="auto"/>
          <w:highlight w:val="none"/>
        </w:rPr>
      </w:pPr>
    </w:p>
    <w:p w14:paraId="5D796C83">
      <w:pPr>
        <w:pStyle w:val="3"/>
        <w:spacing w:line="247" w:lineRule="auto"/>
        <w:rPr>
          <w:color w:val="auto"/>
          <w:highlight w:val="none"/>
        </w:rPr>
      </w:pPr>
    </w:p>
    <w:p w14:paraId="6B0DBD8B">
      <w:pPr>
        <w:spacing w:before="91" w:line="219" w:lineRule="auto"/>
        <w:ind w:left="2864"/>
        <w:outlineLvl w:val="1"/>
        <w:rPr>
          <w:rFonts w:ascii="宋体" w:hAnsi="宋体" w:eastAsia="宋体" w:cs="宋体"/>
          <w:color w:val="auto"/>
          <w:sz w:val="28"/>
          <w:szCs w:val="28"/>
          <w:highlight w:val="none"/>
        </w:rPr>
      </w:pPr>
      <w:bookmarkStart w:id="1127" w:name="bookmark660"/>
      <w:bookmarkEnd w:id="1127"/>
      <w:bookmarkStart w:id="1128" w:name="_Toc21808"/>
      <w:bookmarkStart w:id="1129" w:name="_Toc13220"/>
      <w:r>
        <w:rPr>
          <w:rFonts w:ascii="宋体" w:hAnsi="宋体" w:eastAsia="宋体" w:cs="宋体"/>
          <w:b/>
          <w:bCs/>
          <w:color w:val="auto"/>
          <w:spacing w:val="-5"/>
          <w:sz w:val="28"/>
          <w:szCs w:val="28"/>
          <w:highlight w:val="none"/>
        </w:rPr>
        <w:t>一、投标函及投标函附录</w:t>
      </w:r>
      <w:bookmarkEnd w:id="1128"/>
      <w:bookmarkEnd w:id="1129"/>
    </w:p>
    <w:p w14:paraId="3D49E506">
      <w:pPr>
        <w:pStyle w:val="3"/>
        <w:spacing w:line="247" w:lineRule="auto"/>
        <w:rPr>
          <w:color w:val="auto"/>
          <w:highlight w:val="none"/>
        </w:rPr>
      </w:pPr>
    </w:p>
    <w:p w14:paraId="5EC64B17">
      <w:pPr>
        <w:spacing w:before="78" w:line="220" w:lineRule="auto"/>
        <w:ind w:left="15"/>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（一）投标函</w:t>
      </w:r>
    </w:p>
    <w:p w14:paraId="79F4A24D">
      <w:pPr>
        <w:tabs>
          <w:tab w:val="left" w:pos="2400"/>
        </w:tabs>
        <w:spacing w:before="179" w:line="213" w:lineRule="auto"/>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21"/>
          <w:sz w:val="24"/>
          <w:szCs w:val="24"/>
          <w:highlight w:val="none"/>
        </w:rPr>
        <w:t>（</w:t>
      </w:r>
      <w:r>
        <w:rPr>
          <w:rFonts w:ascii="宋体" w:hAnsi="宋体" w:eastAsia="宋体" w:cs="宋体"/>
          <w:color w:val="auto"/>
          <w:spacing w:val="-33"/>
          <w:sz w:val="24"/>
          <w:szCs w:val="24"/>
          <w:highlight w:val="none"/>
        </w:rPr>
        <w:t xml:space="preserve"> </w:t>
      </w:r>
      <w:r>
        <w:rPr>
          <w:rFonts w:ascii="宋体" w:hAnsi="宋体" w:eastAsia="宋体" w:cs="宋体"/>
          <w:i/>
          <w:iCs/>
          <w:color w:val="auto"/>
          <w:spacing w:val="-21"/>
          <w:sz w:val="25"/>
          <w:szCs w:val="25"/>
          <w:highlight w:val="none"/>
        </w:rPr>
        <w:t>招标人名称</w:t>
      </w:r>
      <w:r>
        <w:rPr>
          <w:rFonts w:ascii="宋体" w:hAnsi="宋体" w:eastAsia="宋体" w:cs="宋体"/>
          <w:color w:val="auto"/>
          <w:spacing w:val="-16"/>
          <w:sz w:val="24"/>
          <w:szCs w:val="24"/>
          <w:highlight w:val="none"/>
        </w:rPr>
        <w:t>）：</w:t>
      </w:r>
    </w:p>
    <w:p w14:paraId="48F9CDB6">
      <w:pPr>
        <w:spacing w:before="183" w:line="337" w:lineRule="auto"/>
        <w:ind w:left="8" w:right="1" w:firstLine="451"/>
        <w:rPr>
          <w:rFonts w:ascii="宋体" w:hAnsi="宋体" w:eastAsia="宋体" w:cs="宋体"/>
          <w:strike/>
          <w:dstrike w:val="0"/>
          <w:color w:val="auto"/>
          <w:sz w:val="24"/>
          <w:szCs w:val="24"/>
          <w:highlight w:val="none"/>
        </w:rPr>
      </w:pPr>
      <w:r>
        <w:rPr>
          <w:rFonts w:ascii="Times New Roman" w:hAnsi="Times New Roman" w:eastAsia="Times New Roman" w:cs="Times New Roman"/>
          <w:color w:val="auto"/>
          <w:spacing w:val="-3"/>
          <w:sz w:val="24"/>
          <w:szCs w:val="24"/>
          <w:highlight w:val="none"/>
        </w:rPr>
        <w:t>1</w:t>
      </w:r>
      <w:r>
        <w:rPr>
          <w:rFonts w:ascii="Times New Roman" w:hAnsi="Times New Roman" w:eastAsia="Times New Roman" w:cs="Times New Roman"/>
          <w:color w:val="auto"/>
          <w:spacing w:val="-28"/>
          <w:sz w:val="24"/>
          <w:szCs w:val="24"/>
          <w:highlight w:val="none"/>
        </w:rPr>
        <w:t xml:space="preserve"> </w:t>
      </w:r>
      <w:r>
        <w:rPr>
          <w:rFonts w:ascii="宋体" w:hAnsi="宋体" w:eastAsia="宋体" w:cs="宋体"/>
          <w:color w:val="auto"/>
          <w:spacing w:val="-3"/>
          <w:sz w:val="24"/>
          <w:szCs w:val="24"/>
          <w:highlight w:val="none"/>
        </w:rPr>
        <w:t>．我方已仔细研究了</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3"/>
          <w:sz w:val="24"/>
          <w:szCs w:val="24"/>
          <w:highlight w:val="none"/>
        </w:rPr>
        <w:t>（</w:t>
      </w:r>
      <w:r>
        <w:rPr>
          <w:rFonts w:ascii="宋体" w:hAnsi="宋体" w:eastAsia="宋体" w:cs="宋体"/>
          <w:i/>
          <w:iCs/>
          <w:color w:val="auto"/>
          <w:spacing w:val="-3"/>
          <w:sz w:val="25"/>
          <w:szCs w:val="25"/>
          <w:highlight w:val="none"/>
        </w:rPr>
        <w:t>项目名称</w:t>
      </w:r>
      <w:r>
        <w:rPr>
          <w:rFonts w:ascii="宋体" w:hAnsi="宋体" w:eastAsia="宋体" w:cs="宋体"/>
          <w:color w:val="auto"/>
          <w:spacing w:val="-35"/>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35"/>
          <w:sz w:val="24"/>
          <w:szCs w:val="24"/>
          <w:highlight w:val="none"/>
        </w:rPr>
        <w:t>（</w:t>
      </w:r>
      <w:r>
        <w:rPr>
          <w:rFonts w:ascii="宋体" w:hAnsi="宋体" w:eastAsia="宋体" w:cs="宋体"/>
          <w:i/>
          <w:iCs/>
          <w:color w:val="auto"/>
          <w:spacing w:val="-3"/>
          <w:sz w:val="25"/>
          <w:szCs w:val="25"/>
          <w:highlight w:val="none"/>
        </w:rPr>
        <w:t>标段名称</w:t>
      </w:r>
      <w:r>
        <w:rPr>
          <w:rFonts w:ascii="宋体" w:hAnsi="宋体" w:eastAsia="宋体" w:cs="宋体"/>
          <w:color w:val="auto"/>
          <w:spacing w:val="-3"/>
          <w:sz w:val="24"/>
          <w:szCs w:val="24"/>
          <w:highlight w:val="none"/>
        </w:rPr>
        <w:t>）招标</w:t>
      </w:r>
      <w:r>
        <w:rPr>
          <w:rFonts w:ascii="宋体" w:hAnsi="宋体" w:eastAsia="宋体" w:cs="宋体"/>
          <w:color w:val="auto"/>
          <w:spacing w:val="-1"/>
          <w:sz w:val="24"/>
          <w:szCs w:val="24"/>
          <w:highlight w:val="none"/>
        </w:rPr>
        <w:t>文件的全部内容，愿意以人民币（大写）</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97"/>
          <w:sz w:val="24"/>
          <w:szCs w:val="24"/>
          <w:highlight w:val="none"/>
        </w:rPr>
        <w:t xml:space="preserve"> </w:t>
      </w:r>
      <w:r>
        <w:rPr>
          <w:rFonts w:ascii="宋体" w:hAnsi="宋体" w:eastAsia="宋体" w:cs="宋体"/>
          <w:color w:val="auto"/>
          <w:spacing w:val="-1"/>
          <w:sz w:val="24"/>
          <w:szCs w:val="24"/>
          <w:highlight w:val="none"/>
        </w:rPr>
        <w:t>元(￥</w:t>
      </w:r>
      <w:r>
        <w:rPr>
          <w:rFonts w:ascii="宋体" w:hAnsi="宋体" w:eastAsia="宋体" w:cs="宋体"/>
          <w:color w:val="auto"/>
          <w:spacing w:val="-96"/>
          <w:sz w:val="24"/>
          <w:szCs w:val="24"/>
          <w:highlight w:val="none"/>
        </w:rPr>
        <w:t xml:space="preserve"> </w:t>
      </w:r>
      <w:r>
        <w:rPr>
          <w:rFonts w:ascii="宋体" w:hAnsi="宋体" w:eastAsia="宋体" w:cs="宋体"/>
          <w:color w:val="auto"/>
          <w:spacing w:val="20"/>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
          <w:sz w:val="24"/>
          <w:szCs w:val="24"/>
          <w:highlight w:val="none"/>
        </w:rPr>
        <w:t>元）的投</w:t>
      </w:r>
      <w:r>
        <w:rPr>
          <w:rFonts w:ascii="宋体" w:hAnsi="宋体" w:eastAsia="宋体" w:cs="宋体"/>
          <w:color w:val="auto"/>
          <w:sz w:val="24"/>
          <w:szCs w:val="24"/>
          <w:highlight w:val="none"/>
        </w:rPr>
        <w:t>标总报价，工期</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z w:val="24"/>
          <w:szCs w:val="24"/>
          <w:highlight w:val="none"/>
        </w:rPr>
        <w:t>个月（日历天</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rPr>
        <w:t>按合同约定实施和完成承包工程，修补工</w:t>
      </w:r>
      <w:r>
        <w:rPr>
          <w:rFonts w:ascii="宋体" w:hAnsi="宋体" w:eastAsia="宋体" w:cs="宋体"/>
          <w:color w:val="auto"/>
          <w:spacing w:val="9"/>
          <w:sz w:val="24"/>
          <w:szCs w:val="24"/>
          <w:highlight w:val="none"/>
        </w:rPr>
        <w:t>程中的任何缺陷，工程质量达到</w:t>
      </w:r>
      <w:r>
        <w:rPr>
          <w:rFonts w:ascii="宋体" w:hAnsi="宋体" w:eastAsia="宋体" w:cs="宋体"/>
          <w:color w:val="auto"/>
          <w:spacing w:val="-88"/>
          <w:sz w:val="24"/>
          <w:szCs w:val="24"/>
          <w:highlight w:val="none"/>
        </w:rPr>
        <w:t xml:space="preserve"> </w:t>
      </w:r>
      <w:r>
        <w:rPr>
          <w:rFonts w:ascii="宋体" w:hAnsi="宋体" w:eastAsia="宋体" w:cs="宋体"/>
          <w:color w:val="auto"/>
          <w:spacing w:val="9"/>
          <w:sz w:val="24"/>
          <w:szCs w:val="24"/>
          <w:highlight w:val="none"/>
          <w:u w:val="single" w:color="auto"/>
        </w:rPr>
        <w:t xml:space="preserve">        </w:t>
      </w:r>
      <w:r>
        <w:rPr>
          <w:rFonts w:ascii="宋体" w:hAnsi="宋体" w:eastAsia="宋体" w:cs="宋体"/>
          <w:color w:val="auto"/>
          <w:spacing w:val="9"/>
          <w:sz w:val="24"/>
          <w:szCs w:val="24"/>
          <w:highlight w:val="none"/>
        </w:rPr>
        <w:t>，项目负责人</w:t>
      </w:r>
      <w:r>
        <w:rPr>
          <w:rFonts w:ascii="宋体" w:hAnsi="宋体" w:eastAsia="宋体" w:cs="宋体"/>
          <w:color w:val="auto"/>
          <w:spacing w:val="-106"/>
          <w:sz w:val="24"/>
          <w:szCs w:val="24"/>
          <w:highlight w:val="none"/>
        </w:rPr>
        <w:t xml:space="preserve"> </w:t>
      </w:r>
      <w:r>
        <w:rPr>
          <w:rFonts w:ascii="宋体" w:hAnsi="宋体" w:eastAsia="宋体" w:cs="宋体"/>
          <w:color w:val="auto"/>
          <w:spacing w:val="9"/>
          <w:sz w:val="24"/>
          <w:szCs w:val="24"/>
          <w:highlight w:val="none"/>
          <w:u w:val="single" w:color="auto"/>
        </w:rPr>
        <w:t xml:space="preserve">           </w:t>
      </w:r>
      <w:r>
        <w:rPr>
          <w:rFonts w:ascii="宋体" w:hAnsi="宋体" w:eastAsia="宋体" w:cs="宋体"/>
          <w:color w:val="auto"/>
          <w:spacing w:val="-73"/>
          <w:sz w:val="24"/>
          <w:szCs w:val="24"/>
          <w:highlight w:val="none"/>
        </w:rPr>
        <w:t xml:space="preserve"> </w:t>
      </w:r>
      <w:r>
        <w:rPr>
          <w:rFonts w:ascii="宋体" w:hAnsi="宋体" w:eastAsia="宋体" w:cs="宋体"/>
          <w:color w:val="auto"/>
          <w:spacing w:val="9"/>
          <w:sz w:val="24"/>
          <w:szCs w:val="24"/>
          <w:highlight w:val="none"/>
        </w:rPr>
        <w:t>（身份证号</w:t>
      </w:r>
      <w:r>
        <w:rPr>
          <w:rFonts w:ascii="宋体" w:hAnsi="宋体" w:eastAsia="宋体" w:cs="宋体"/>
          <w:color w:val="auto"/>
          <w:spacing w:val="-7"/>
          <w:sz w:val="24"/>
          <w:szCs w:val="24"/>
          <w:highlight w:val="none"/>
        </w:rPr>
        <w:t>码</w:t>
      </w:r>
      <w:r>
        <w:rPr>
          <w:rFonts w:ascii="宋体" w:hAnsi="宋体" w:eastAsia="宋体" w:cs="宋体"/>
          <w:color w:val="auto"/>
          <w:spacing w:val="-7"/>
          <w:sz w:val="24"/>
          <w:szCs w:val="24"/>
          <w:highlight w:val="none"/>
          <w:u w:val="single" w:color="auto"/>
        </w:rPr>
        <w:t xml:space="preserve">        ，联系电话</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40"/>
          <w:sz w:val="24"/>
          <w:szCs w:val="24"/>
          <w:highlight w:val="none"/>
        </w:rPr>
        <w:t>）；</w:t>
      </w:r>
      <w:r>
        <w:rPr>
          <w:rFonts w:ascii="宋体" w:hAnsi="宋体" w:eastAsia="宋体" w:cs="宋体"/>
          <w:color w:val="auto"/>
          <w:spacing w:val="-7"/>
          <w:sz w:val="24"/>
          <w:szCs w:val="24"/>
          <w:highlight w:val="none"/>
        </w:rPr>
        <w:t>技术负责人</w:t>
      </w:r>
      <w:r>
        <w:rPr>
          <w:rFonts w:ascii="宋体" w:hAnsi="宋体" w:eastAsia="宋体" w:cs="宋体"/>
          <w:color w:val="auto"/>
          <w:spacing w:val="12"/>
          <w:sz w:val="24"/>
          <w:szCs w:val="24"/>
          <w:highlight w:val="none"/>
          <w:u w:val="single" w:color="auto"/>
        </w:rPr>
        <w:t xml:space="preserve">          </w:t>
      </w:r>
      <w:r>
        <w:rPr>
          <w:rFonts w:ascii="宋体" w:hAnsi="宋体" w:eastAsia="宋体" w:cs="宋体"/>
          <w:color w:val="auto"/>
          <w:spacing w:val="-7"/>
          <w:sz w:val="24"/>
          <w:szCs w:val="24"/>
          <w:highlight w:val="none"/>
        </w:rPr>
        <w:t>（身份证号码</w:t>
      </w:r>
      <w:r>
        <w:rPr>
          <w:rFonts w:ascii="宋体" w:hAnsi="宋体" w:eastAsia="宋体" w:cs="宋体"/>
          <w:color w:val="auto"/>
          <w:spacing w:val="-108"/>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7"/>
          <w:sz w:val="24"/>
          <w:szCs w:val="24"/>
          <w:highlight w:val="none"/>
          <w:u w:val="single" w:color="auto"/>
        </w:rPr>
        <w:t>，</w:t>
      </w:r>
      <w:r>
        <w:rPr>
          <w:rFonts w:ascii="宋体" w:hAnsi="宋体" w:eastAsia="宋体" w:cs="宋体"/>
          <w:color w:val="auto"/>
          <w:spacing w:val="6"/>
          <w:sz w:val="24"/>
          <w:szCs w:val="24"/>
          <w:highlight w:val="none"/>
          <w:u w:val="single" w:color="auto"/>
        </w:rPr>
        <w:t>联系电话</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79"/>
          <w:sz w:val="24"/>
          <w:szCs w:val="24"/>
          <w:highlight w:val="none"/>
        </w:rPr>
        <w:t xml:space="preserve"> </w:t>
      </w:r>
      <w:r>
        <w:rPr>
          <w:rFonts w:ascii="宋体" w:hAnsi="宋体" w:eastAsia="宋体" w:cs="宋体"/>
          <w:color w:val="auto"/>
          <w:spacing w:val="-12"/>
          <w:sz w:val="24"/>
          <w:szCs w:val="24"/>
          <w:highlight w:val="none"/>
        </w:rPr>
        <w:t>）</w:t>
      </w:r>
      <w:r>
        <w:rPr>
          <w:rFonts w:ascii="宋体" w:hAnsi="宋体" w:eastAsia="宋体" w:cs="宋体"/>
          <w:color w:val="auto"/>
          <w:spacing w:val="-69"/>
          <w:sz w:val="24"/>
          <w:szCs w:val="24"/>
          <w:highlight w:val="none"/>
        </w:rPr>
        <w:t xml:space="preserve"> </w:t>
      </w:r>
      <w:r>
        <w:rPr>
          <w:rFonts w:ascii="宋体" w:hAnsi="宋体" w:eastAsia="宋体" w:cs="宋体"/>
          <w:color w:val="auto"/>
          <w:spacing w:val="-12"/>
          <w:sz w:val="24"/>
          <w:szCs w:val="24"/>
          <w:highlight w:val="none"/>
        </w:rPr>
        <w:t>；</w:t>
      </w:r>
      <w:r>
        <w:rPr>
          <w:rFonts w:ascii="宋体" w:hAnsi="宋体" w:eastAsia="宋体" w:cs="宋体"/>
          <w:strike/>
          <w:dstrike w:val="0"/>
          <w:color w:val="auto"/>
          <w:spacing w:val="6"/>
          <w:sz w:val="24"/>
          <w:szCs w:val="24"/>
          <w:highlight w:val="none"/>
        </w:rPr>
        <w:t>副项目负责人</w:t>
      </w:r>
      <w:r>
        <w:rPr>
          <w:rFonts w:ascii="宋体" w:hAnsi="宋体" w:eastAsia="宋体" w:cs="宋体"/>
          <w:strike/>
          <w:dstrike w:val="0"/>
          <w:color w:val="auto"/>
          <w:spacing w:val="-90"/>
          <w:sz w:val="24"/>
          <w:szCs w:val="24"/>
          <w:highlight w:val="none"/>
        </w:rPr>
        <w:t xml:space="preserve"> </w:t>
      </w:r>
      <w:r>
        <w:rPr>
          <w:rFonts w:ascii="宋体" w:hAnsi="宋体" w:eastAsia="宋体" w:cs="宋体"/>
          <w:strike/>
          <w:dstrike w:val="0"/>
          <w:color w:val="auto"/>
          <w:spacing w:val="14"/>
          <w:sz w:val="24"/>
          <w:szCs w:val="24"/>
          <w:highlight w:val="none"/>
          <w:u w:val="single" w:color="auto"/>
        </w:rPr>
        <w:t xml:space="preserve">        </w:t>
      </w:r>
      <w:r>
        <w:rPr>
          <w:rFonts w:ascii="宋体" w:hAnsi="宋体" w:eastAsia="宋体" w:cs="宋体"/>
          <w:strike/>
          <w:dstrike w:val="0"/>
          <w:color w:val="auto"/>
          <w:spacing w:val="-55"/>
          <w:sz w:val="24"/>
          <w:szCs w:val="24"/>
          <w:highlight w:val="none"/>
        </w:rPr>
        <w:t xml:space="preserve"> </w:t>
      </w:r>
      <w:r>
        <w:rPr>
          <w:rFonts w:ascii="宋体" w:hAnsi="宋体" w:eastAsia="宋体" w:cs="宋体"/>
          <w:strike/>
          <w:dstrike w:val="0"/>
          <w:color w:val="auto"/>
          <w:spacing w:val="6"/>
          <w:sz w:val="24"/>
          <w:szCs w:val="24"/>
          <w:highlight w:val="none"/>
        </w:rPr>
        <w:t>（身份证号</w:t>
      </w:r>
      <w:r>
        <w:rPr>
          <w:rFonts w:ascii="宋体" w:hAnsi="宋体" w:eastAsia="宋体" w:cs="宋体"/>
          <w:strike/>
          <w:dstrike w:val="0"/>
          <w:color w:val="auto"/>
          <w:spacing w:val="-86"/>
          <w:sz w:val="24"/>
          <w:szCs w:val="24"/>
          <w:highlight w:val="none"/>
        </w:rPr>
        <w:t xml:space="preserve"> </w:t>
      </w:r>
      <w:r>
        <w:rPr>
          <w:rFonts w:ascii="宋体" w:hAnsi="宋体" w:eastAsia="宋体" w:cs="宋体"/>
          <w:strike/>
          <w:dstrike w:val="0"/>
          <w:color w:val="auto"/>
          <w:spacing w:val="6"/>
          <w:sz w:val="24"/>
          <w:szCs w:val="24"/>
          <w:highlight w:val="none"/>
          <w:u w:val="single" w:color="auto"/>
        </w:rPr>
        <w:t xml:space="preserve">       </w:t>
      </w:r>
      <w:r>
        <w:rPr>
          <w:rFonts w:ascii="宋体" w:hAnsi="宋体" w:eastAsia="宋体" w:cs="宋体"/>
          <w:strike/>
          <w:dstrike w:val="0"/>
          <w:color w:val="auto"/>
          <w:spacing w:val="5"/>
          <w:sz w:val="24"/>
          <w:szCs w:val="24"/>
          <w:highlight w:val="none"/>
          <w:u w:val="single" w:color="auto"/>
        </w:rPr>
        <w:t xml:space="preserve">   ，联系电</w:t>
      </w:r>
      <w:r>
        <w:rPr>
          <w:rFonts w:ascii="宋体" w:hAnsi="宋体" w:eastAsia="宋体" w:cs="宋体"/>
          <w:strike/>
          <w:dstrike w:val="0"/>
          <w:color w:val="auto"/>
          <w:spacing w:val="-15"/>
          <w:sz w:val="24"/>
          <w:szCs w:val="24"/>
          <w:highlight w:val="none"/>
          <w:u w:val="single" w:color="auto"/>
        </w:rPr>
        <w:t>话</w:t>
      </w:r>
      <w:r>
        <w:rPr>
          <w:rFonts w:ascii="宋体" w:hAnsi="宋体" w:eastAsia="宋体" w:cs="宋体"/>
          <w:strike/>
          <w:dstrike w:val="0"/>
          <w:color w:val="auto"/>
          <w:spacing w:val="17"/>
          <w:sz w:val="24"/>
          <w:szCs w:val="24"/>
          <w:highlight w:val="none"/>
          <w:u w:val="single" w:color="auto"/>
        </w:rPr>
        <w:t xml:space="preserve">       </w:t>
      </w:r>
      <w:r>
        <w:rPr>
          <w:rFonts w:ascii="宋体" w:hAnsi="宋体" w:eastAsia="宋体" w:cs="宋体"/>
          <w:strike/>
          <w:dstrike w:val="0"/>
          <w:color w:val="auto"/>
          <w:spacing w:val="-84"/>
          <w:sz w:val="24"/>
          <w:szCs w:val="24"/>
          <w:highlight w:val="none"/>
        </w:rPr>
        <w:t xml:space="preserve"> </w:t>
      </w:r>
      <w:r>
        <w:rPr>
          <w:rFonts w:ascii="宋体" w:hAnsi="宋体" w:eastAsia="宋体" w:cs="宋体"/>
          <w:strike/>
          <w:dstrike w:val="0"/>
          <w:color w:val="auto"/>
          <w:spacing w:val="-15"/>
          <w:sz w:val="24"/>
          <w:szCs w:val="24"/>
          <w:highlight w:val="none"/>
        </w:rPr>
        <w:t>）。</w:t>
      </w:r>
    </w:p>
    <w:p w14:paraId="197BA2CA">
      <w:pPr>
        <w:spacing w:before="179" w:line="219" w:lineRule="auto"/>
        <w:ind w:left="485"/>
        <w:rPr>
          <w:rFonts w:ascii="宋体" w:hAnsi="宋体" w:eastAsia="宋体" w:cs="宋体"/>
          <w:color w:val="auto"/>
          <w:sz w:val="24"/>
          <w:szCs w:val="24"/>
          <w:highlight w:val="none"/>
        </w:rPr>
      </w:pPr>
      <w:r>
        <w:rPr>
          <w:rFonts w:ascii="Times New Roman" w:hAnsi="Times New Roman" w:eastAsia="Times New Roman" w:cs="Times New Roman"/>
          <w:color w:val="auto"/>
          <w:spacing w:val="-2"/>
          <w:sz w:val="24"/>
          <w:szCs w:val="24"/>
          <w:highlight w:val="none"/>
        </w:rPr>
        <w:t>2</w:t>
      </w:r>
      <w:r>
        <w:rPr>
          <w:rFonts w:ascii="Times New Roman" w:hAnsi="Times New Roman" w:eastAsia="Times New Roman" w:cs="Times New Roman"/>
          <w:color w:val="auto"/>
          <w:spacing w:val="-28"/>
          <w:sz w:val="24"/>
          <w:szCs w:val="24"/>
          <w:highlight w:val="none"/>
        </w:rPr>
        <w:t xml:space="preserve"> </w:t>
      </w:r>
      <w:r>
        <w:rPr>
          <w:rFonts w:ascii="宋体" w:hAnsi="宋体" w:eastAsia="宋体" w:cs="宋体"/>
          <w:color w:val="auto"/>
          <w:spacing w:val="-2"/>
          <w:sz w:val="24"/>
          <w:szCs w:val="24"/>
          <w:highlight w:val="none"/>
        </w:rPr>
        <w:t>．我方承诺在投标有效期内不补充、修改、替代或者</w:t>
      </w:r>
      <w:r>
        <w:rPr>
          <w:rFonts w:ascii="宋体" w:hAnsi="宋体" w:eastAsia="宋体" w:cs="宋体"/>
          <w:color w:val="auto"/>
          <w:spacing w:val="-3"/>
          <w:sz w:val="24"/>
          <w:szCs w:val="24"/>
          <w:highlight w:val="none"/>
        </w:rPr>
        <w:t>撤回本投标文件。</w:t>
      </w:r>
    </w:p>
    <w:p w14:paraId="41B8A142">
      <w:pPr>
        <w:spacing w:before="181" w:line="291" w:lineRule="auto"/>
        <w:ind w:left="135" w:right="1" w:firstLine="353"/>
        <w:rPr>
          <w:rFonts w:ascii="宋体" w:hAnsi="宋体" w:eastAsia="宋体" w:cs="宋体"/>
          <w:color w:val="auto"/>
          <w:sz w:val="24"/>
          <w:szCs w:val="24"/>
          <w:highlight w:val="none"/>
        </w:rPr>
      </w:pPr>
      <w:r>
        <w:rPr>
          <w:rFonts w:ascii="Times New Roman" w:hAnsi="Times New Roman" w:eastAsia="Times New Roman" w:cs="Times New Roman"/>
          <w:color w:val="auto"/>
          <w:spacing w:val="-14"/>
          <w:sz w:val="24"/>
          <w:szCs w:val="24"/>
          <w:highlight w:val="none"/>
        </w:rPr>
        <w:t>3</w:t>
      </w:r>
      <w:r>
        <w:rPr>
          <w:rFonts w:ascii="宋体" w:hAnsi="宋体" w:eastAsia="宋体" w:cs="宋体"/>
          <w:color w:val="auto"/>
          <w:spacing w:val="-13"/>
          <w:sz w:val="24"/>
          <w:szCs w:val="24"/>
          <w:highlight w:val="none"/>
        </w:rPr>
        <w:t>．随同本投标函递交投标保证金一份，金额为人民币（大写）</w:t>
      </w:r>
      <w:r>
        <w:rPr>
          <w:rFonts w:ascii="宋体" w:hAnsi="宋体" w:eastAsia="宋体" w:cs="宋体"/>
          <w:color w:val="auto"/>
          <w:spacing w:val="-13"/>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2"/>
          <w:sz w:val="24"/>
          <w:szCs w:val="24"/>
          <w:highlight w:val="none"/>
        </w:rPr>
        <w:t>元</w:t>
      </w:r>
      <w:r>
        <w:rPr>
          <w:rFonts w:ascii="宋体" w:hAnsi="宋体" w:eastAsia="宋体" w:cs="宋体"/>
          <w:color w:val="auto"/>
          <w:spacing w:val="2"/>
          <w:sz w:val="24"/>
          <w:szCs w:val="24"/>
          <w:highlight w:val="none"/>
        </w:rPr>
        <w:t>(￥</w:t>
      </w:r>
      <w:r>
        <w:rPr>
          <w:rFonts w:ascii="宋体" w:hAnsi="宋体" w:eastAsia="宋体" w:cs="宋体"/>
          <w:color w:val="auto"/>
          <w:spacing w:val="-95"/>
          <w:sz w:val="24"/>
          <w:szCs w:val="24"/>
          <w:highlight w:val="none"/>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85"/>
          <w:sz w:val="24"/>
          <w:szCs w:val="24"/>
          <w:highlight w:val="none"/>
        </w:rPr>
        <w:t xml:space="preserve"> </w:t>
      </w:r>
      <w:r>
        <w:rPr>
          <w:rFonts w:ascii="宋体" w:hAnsi="宋体" w:eastAsia="宋体" w:cs="宋体"/>
          <w:color w:val="auto"/>
          <w:spacing w:val="2"/>
          <w:sz w:val="24"/>
          <w:szCs w:val="24"/>
          <w:highlight w:val="none"/>
        </w:rPr>
        <w:t>)。</w:t>
      </w:r>
    </w:p>
    <w:p w14:paraId="29EC4E4F">
      <w:pPr>
        <w:spacing w:before="177" w:line="220" w:lineRule="auto"/>
        <w:ind w:left="483"/>
        <w:rPr>
          <w:rFonts w:ascii="宋体" w:hAnsi="宋体" w:eastAsia="宋体" w:cs="宋体"/>
          <w:color w:val="auto"/>
          <w:sz w:val="24"/>
          <w:szCs w:val="24"/>
          <w:highlight w:val="none"/>
        </w:rPr>
      </w:pPr>
      <w:r>
        <w:rPr>
          <w:rFonts w:ascii="Times New Roman" w:hAnsi="Times New Roman" w:eastAsia="Times New Roman" w:cs="Times New Roman"/>
          <w:color w:val="auto"/>
          <w:spacing w:val="-10"/>
          <w:sz w:val="24"/>
          <w:szCs w:val="24"/>
          <w:highlight w:val="none"/>
        </w:rPr>
        <w:t>4</w:t>
      </w:r>
      <w:r>
        <w:rPr>
          <w:rFonts w:ascii="Times New Roman" w:hAnsi="Times New Roman" w:eastAsia="Times New Roman" w:cs="Times New Roman"/>
          <w:color w:val="auto"/>
          <w:spacing w:val="-29"/>
          <w:sz w:val="24"/>
          <w:szCs w:val="24"/>
          <w:highlight w:val="none"/>
        </w:rPr>
        <w:t xml:space="preserve"> </w:t>
      </w:r>
      <w:r>
        <w:rPr>
          <w:rFonts w:ascii="宋体" w:hAnsi="宋体" w:eastAsia="宋体" w:cs="宋体"/>
          <w:color w:val="auto"/>
          <w:spacing w:val="-10"/>
          <w:sz w:val="24"/>
          <w:szCs w:val="24"/>
          <w:highlight w:val="none"/>
        </w:rPr>
        <w:t>．如我方中标：</w:t>
      </w:r>
    </w:p>
    <w:p w14:paraId="7AEBBCC8">
      <w:pPr>
        <w:spacing w:before="181" w:line="290" w:lineRule="auto"/>
        <w:ind w:left="32" w:right="1" w:firstLine="46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1</w:t>
      </w:r>
      <w:r>
        <w:rPr>
          <w:rFonts w:ascii="宋体" w:hAnsi="宋体" w:eastAsia="宋体" w:cs="宋体"/>
          <w:color w:val="auto"/>
          <w:spacing w:val="-2"/>
          <w:sz w:val="24"/>
          <w:szCs w:val="24"/>
          <w:highlight w:val="none"/>
        </w:rPr>
        <w:t>）</w:t>
      </w:r>
      <w:r>
        <w:rPr>
          <w:rFonts w:ascii="宋体" w:hAnsi="宋体" w:eastAsia="宋体" w:cs="宋体"/>
          <w:color w:val="auto"/>
          <w:spacing w:val="-35"/>
          <w:sz w:val="24"/>
          <w:szCs w:val="24"/>
          <w:highlight w:val="none"/>
        </w:rPr>
        <w:t xml:space="preserve"> </w:t>
      </w:r>
      <w:r>
        <w:rPr>
          <w:rFonts w:ascii="宋体" w:hAnsi="宋体" w:eastAsia="宋体" w:cs="宋体"/>
          <w:color w:val="auto"/>
          <w:spacing w:val="-2"/>
          <w:sz w:val="24"/>
          <w:szCs w:val="24"/>
          <w:highlight w:val="none"/>
        </w:rPr>
        <w:t>我方承诺在收到中标通知书后，在中标通知书规定的期限内与你</w:t>
      </w:r>
      <w:r>
        <w:rPr>
          <w:rFonts w:ascii="宋体" w:hAnsi="宋体" w:eastAsia="宋体" w:cs="宋体"/>
          <w:color w:val="auto"/>
          <w:spacing w:val="-3"/>
          <w:sz w:val="24"/>
          <w:szCs w:val="24"/>
          <w:highlight w:val="none"/>
        </w:rPr>
        <w:t>方签订合</w:t>
      </w:r>
      <w:r>
        <w:rPr>
          <w:rFonts w:ascii="宋体" w:hAnsi="宋体" w:eastAsia="宋体" w:cs="宋体"/>
          <w:color w:val="auto"/>
          <w:spacing w:val="-17"/>
          <w:sz w:val="24"/>
          <w:szCs w:val="24"/>
          <w:highlight w:val="none"/>
        </w:rPr>
        <w:t>同。</w:t>
      </w:r>
    </w:p>
    <w:p w14:paraId="5EFD138D">
      <w:pPr>
        <w:spacing w:before="180" w:line="219" w:lineRule="auto"/>
        <w:ind w:left="49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）随同本投标函递交的投标函附录属于合同文件的组成部分。</w:t>
      </w:r>
    </w:p>
    <w:p w14:paraId="4C036143">
      <w:pPr>
        <w:spacing w:before="181" w:line="220" w:lineRule="auto"/>
        <w:ind w:left="49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3</w:t>
      </w:r>
      <w:r>
        <w:rPr>
          <w:rFonts w:ascii="宋体" w:hAnsi="宋体" w:eastAsia="宋体" w:cs="宋体"/>
          <w:color w:val="auto"/>
          <w:spacing w:val="-2"/>
          <w:sz w:val="24"/>
          <w:szCs w:val="24"/>
          <w:highlight w:val="none"/>
        </w:rPr>
        <w:t>）我方承诺按照招标文件规定向你方递交履约担保。</w:t>
      </w:r>
    </w:p>
    <w:p w14:paraId="38F7290F">
      <w:pPr>
        <w:spacing w:before="182" w:line="220" w:lineRule="auto"/>
        <w:ind w:left="49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4</w:t>
      </w:r>
      <w:r>
        <w:rPr>
          <w:rFonts w:ascii="宋体" w:hAnsi="宋体" w:eastAsia="宋体" w:cs="宋体"/>
          <w:color w:val="auto"/>
          <w:spacing w:val="-2"/>
          <w:sz w:val="24"/>
          <w:szCs w:val="24"/>
          <w:highlight w:val="none"/>
        </w:rPr>
        <w:t>）我方承诺在合同约定的期限内完成并移交全部合同工程。</w:t>
      </w:r>
    </w:p>
    <w:p w14:paraId="3B1D109B">
      <w:pPr>
        <w:spacing w:before="183" w:line="288" w:lineRule="auto"/>
        <w:ind w:left="8" w:right="1" w:firstLine="483"/>
        <w:rPr>
          <w:rFonts w:ascii="宋体" w:hAnsi="宋体" w:eastAsia="宋体" w:cs="宋体"/>
          <w:color w:val="auto"/>
          <w:sz w:val="24"/>
          <w:szCs w:val="24"/>
          <w:highlight w:val="none"/>
        </w:rPr>
      </w:pPr>
      <w:r>
        <w:rPr>
          <w:rFonts w:ascii="Times New Roman" w:hAnsi="Times New Roman" w:eastAsia="Times New Roman" w:cs="Times New Roman"/>
          <w:color w:val="auto"/>
          <w:sz w:val="24"/>
          <w:szCs w:val="24"/>
          <w:highlight w:val="none"/>
        </w:rPr>
        <w:t>5</w:t>
      </w:r>
      <w:r>
        <w:rPr>
          <w:rFonts w:ascii="Times New Roman" w:hAnsi="Times New Roman" w:eastAsia="Times New Roman" w:cs="Times New Roman"/>
          <w:color w:val="auto"/>
          <w:spacing w:val="-28"/>
          <w:sz w:val="24"/>
          <w:szCs w:val="24"/>
          <w:highlight w:val="none"/>
        </w:rPr>
        <w:t xml:space="preserve"> </w:t>
      </w:r>
      <w:r>
        <w:rPr>
          <w:rFonts w:ascii="宋体" w:hAnsi="宋体" w:eastAsia="宋体" w:cs="宋体"/>
          <w:color w:val="auto"/>
          <w:sz w:val="24"/>
          <w:szCs w:val="24"/>
          <w:highlight w:val="none"/>
        </w:rPr>
        <w:t>．我方在此声明，所递交的投标文件及有</w:t>
      </w:r>
      <w:r>
        <w:rPr>
          <w:rFonts w:ascii="宋体" w:hAnsi="宋体" w:eastAsia="宋体" w:cs="宋体"/>
          <w:color w:val="auto"/>
          <w:spacing w:val="-1"/>
          <w:sz w:val="24"/>
          <w:szCs w:val="24"/>
          <w:highlight w:val="none"/>
        </w:rPr>
        <w:t>关资料内容完整、真实和准确，且不</w:t>
      </w:r>
      <w:r>
        <w:rPr>
          <w:rFonts w:ascii="宋体" w:hAnsi="宋体" w:eastAsia="宋体" w:cs="宋体"/>
          <w:color w:val="auto"/>
          <w:spacing w:val="-2"/>
          <w:sz w:val="24"/>
          <w:szCs w:val="24"/>
          <w:highlight w:val="none"/>
        </w:rPr>
        <w:t>存在第</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章投标人须知第</w:t>
      </w:r>
      <w:r>
        <w:rPr>
          <w:rFonts w:ascii="Times New Roman" w:hAnsi="Times New Roman" w:eastAsia="Times New Roman" w:cs="Times New Roman"/>
          <w:color w:val="auto"/>
          <w:spacing w:val="-2"/>
          <w:sz w:val="24"/>
          <w:szCs w:val="24"/>
          <w:highlight w:val="none"/>
        </w:rPr>
        <w:t>1.4.3</w:t>
      </w:r>
      <w:r>
        <w:rPr>
          <w:rFonts w:ascii="宋体" w:hAnsi="宋体" w:eastAsia="宋体" w:cs="宋体"/>
          <w:color w:val="auto"/>
          <w:spacing w:val="-2"/>
          <w:sz w:val="24"/>
          <w:szCs w:val="24"/>
          <w:highlight w:val="none"/>
        </w:rPr>
        <w:t>项规定的任何一种情形。</w:t>
      </w:r>
    </w:p>
    <w:p w14:paraId="2D8D36FE">
      <w:pPr>
        <w:spacing w:before="183" w:line="220" w:lineRule="auto"/>
        <w:ind w:left="490"/>
        <w:rPr>
          <w:rFonts w:ascii="宋体" w:hAnsi="宋体" w:eastAsia="宋体" w:cs="宋体"/>
          <w:color w:val="auto"/>
          <w:sz w:val="24"/>
          <w:szCs w:val="24"/>
          <w:highlight w:val="none"/>
        </w:rPr>
      </w:pPr>
      <w:r>
        <w:rPr>
          <w:rFonts w:ascii="Times New Roman" w:hAnsi="Times New Roman" w:eastAsia="Times New Roman" w:cs="Times New Roman"/>
          <w:color w:val="auto"/>
          <w:spacing w:val="-1"/>
          <w:sz w:val="24"/>
          <w:szCs w:val="24"/>
          <w:highlight w:val="none"/>
        </w:rPr>
        <w:t xml:space="preserve">6.  </w:t>
      </w:r>
      <w:r>
        <w:rPr>
          <w:rFonts w:ascii="Times New Roman" w:hAnsi="Times New Roman" w:eastAsia="Times New Roman" w:cs="Times New Roman"/>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（其他补充说明）。</w:t>
      </w:r>
    </w:p>
    <w:p w14:paraId="10B77D4E">
      <w:pPr>
        <w:spacing w:before="180" w:line="219" w:lineRule="auto"/>
        <w:ind w:left="303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 标</w:t>
      </w:r>
      <w:r>
        <w:rPr>
          <w:rFonts w:ascii="宋体" w:hAnsi="宋体" w:eastAsia="宋体" w:cs="宋体"/>
          <w:color w:val="auto"/>
          <w:spacing w:val="11"/>
          <w:sz w:val="24"/>
          <w:szCs w:val="24"/>
          <w:highlight w:val="none"/>
        </w:rPr>
        <w:t xml:space="preserve"> </w:t>
      </w:r>
      <w:r>
        <w:rPr>
          <w:rFonts w:ascii="宋体" w:hAnsi="宋体" w:eastAsia="宋体" w:cs="宋体"/>
          <w:color w:val="auto"/>
          <w:spacing w:val="-3"/>
          <w:sz w:val="24"/>
          <w:szCs w:val="24"/>
          <w:highlight w:val="none"/>
        </w:rPr>
        <w:t>人</w:t>
      </w:r>
      <w:r>
        <w:rPr>
          <w:rFonts w:ascii="宋体" w:hAnsi="宋体" w:eastAsia="宋体" w:cs="宋体"/>
          <w:color w:val="auto"/>
          <w:spacing w:val="-4"/>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3"/>
          <w:sz w:val="24"/>
          <w:szCs w:val="24"/>
          <w:highlight w:val="none"/>
        </w:rPr>
        <w:t>盖单位公章）</w:t>
      </w:r>
    </w:p>
    <w:p w14:paraId="725BB62A">
      <w:pPr>
        <w:spacing w:before="184" w:line="219" w:lineRule="auto"/>
        <w:ind w:left="305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法定代表人或委托代理人</w:t>
      </w:r>
      <w:r>
        <w:rPr>
          <w:rFonts w:ascii="宋体" w:hAnsi="宋体" w:eastAsia="宋体" w:cs="宋体"/>
          <w:color w:val="auto"/>
          <w:spacing w:val="-14"/>
          <w:sz w:val="24"/>
          <w:szCs w:val="24"/>
          <w:highlight w:val="none"/>
        </w:rPr>
        <w:t>：</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14"/>
          <w:sz w:val="24"/>
          <w:szCs w:val="24"/>
          <w:highlight w:val="none"/>
          <w:u w:val="single" w:color="auto"/>
        </w:rPr>
        <w:t>（</w:t>
      </w:r>
      <w:r>
        <w:rPr>
          <w:rFonts w:ascii="宋体" w:hAnsi="宋体" w:eastAsia="宋体" w:cs="宋体"/>
          <w:color w:val="auto"/>
          <w:spacing w:val="1"/>
          <w:sz w:val="24"/>
          <w:szCs w:val="24"/>
          <w:highlight w:val="none"/>
          <w:u w:val="single" w:color="auto"/>
        </w:rPr>
        <w:t>签字或盖章）</w:t>
      </w:r>
      <w:r>
        <w:rPr>
          <w:rFonts w:ascii="宋体" w:hAnsi="宋体" w:eastAsia="宋体" w:cs="宋体"/>
          <w:color w:val="auto"/>
          <w:sz w:val="24"/>
          <w:szCs w:val="24"/>
          <w:highlight w:val="none"/>
          <w:u w:val="single" w:color="auto"/>
        </w:rPr>
        <w:t xml:space="preserve">     </w:t>
      </w:r>
    </w:p>
    <w:p w14:paraId="4F4CC6A6">
      <w:pPr>
        <w:spacing w:before="181" w:line="229" w:lineRule="auto"/>
        <w:ind w:left="303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地</w:t>
      </w:r>
      <w:r>
        <w:rPr>
          <w:rFonts w:ascii="宋体" w:hAnsi="宋体" w:eastAsia="宋体" w:cs="宋体"/>
          <w:color w:val="auto"/>
          <w:spacing w:val="2"/>
          <w:sz w:val="24"/>
          <w:szCs w:val="24"/>
          <w:highlight w:val="none"/>
        </w:rPr>
        <w:t xml:space="preserve">    </w:t>
      </w:r>
      <w:r>
        <w:rPr>
          <w:rFonts w:ascii="宋体" w:hAnsi="宋体" w:eastAsia="宋体" w:cs="宋体"/>
          <w:color w:val="auto"/>
          <w:spacing w:val="-4"/>
          <w:sz w:val="24"/>
          <w:szCs w:val="24"/>
          <w:highlight w:val="none"/>
        </w:rPr>
        <w:t>址：</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5"/>
          <w:sz w:val="24"/>
          <w:szCs w:val="24"/>
          <w:highlight w:val="none"/>
          <w:u w:val="single" w:color="auto"/>
        </w:rPr>
        <w:t xml:space="preserve">         </w:t>
      </w:r>
    </w:p>
    <w:p w14:paraId="5F51C7B5">
      <w:pPr>
        <w:spacing w:before="169" w:line="220" w:lineRule="auto"/>
        <w:ind w:left="3061"/>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电子信箱：</w:t>
      </w:r>
      <w:r>
        <w:rPr>
          <w:rFonts w:ascii="宋体" w:hAnsi="宋体" w:eastAsia="宋体" w:cs="宋体"/>
          <w:color w:val="auto"/>
          <w:sz w:val="24"/>
          <w:szCs w:val="24"/>
          <w:highlight w:val="none"/>
          <w:u w:val="single" w:color="auto"/>
        </w:rPr>
        <w:t xml:space="preserve">                </w:t>
      </w:r>
    </w:p>
    <w:p w14:paraId="387BB82D">
      <w:pPr>
        <w:spacing w:before="180" w:line="222" w:lineRule="auto"/>
        <w:ind w:left="3061"/>
        <w:rPr>
          <w:rFonts w:ascii="宋体" w:hAnsi="宋体" w:eastAsia="宋体" w:cs="宋体"/>
          <w:color w:val="auto"/>
          <w:sz w:val="24"/>
          <w:szCs w:val="24"/>
          <w:highlight w:val="none"/>
        </w:rPr>
      </w:pPr>
      <w:r>
        <w:rPr>
          <w:rFonts w:ascii="宋体" w:hAnsi="宋体" w:eastAsia="宋体" w:cs="宋体"/>
          <w:color w:val="auto"/>
          <w:spacing w:val="-16"/>
          <w:sz w:val="24"/>
          <w:szCs w:val="24"/>
          <w:highlight w:val="none"/>
        </w:rPr>
        <w:t>电</w:t>
      </w:r>
      <w:r>
        <w:rPr>
          <w:rFonts w:ascii="宋体" w:hAnsi="宋体" w:eastAsia="宋体" w:cs="宋体"/>
          <w:color w:val="auto"/>
          <w:spacing w:val="2"/>
          <w:sz w:val="24"/>
          <w:szCs w:val="24"/>
          <w:highlight w:val="none"/>
        </w:rPr>
        <w:t xml:space="preserve">    </w:t>
      </w:r>
      <w:r>
        <w:rPr>
          <w:rFonts w:ascii="宋体" w:hAnsi="宋体" w:eastAsia="宋体" w:cs="宋体"/>
          <w:color w:val="auto"/>
          <w:spacing w:val="-16"/>
          <w:sz w:val="24"/>
          <w:szCs w:val="24"/>
          <w:highlight w:val="none"/>
        </w:rPr>
        <w:t>话：</w:t>
      </w:r>
      <w:r>
        <w:rPr>
          <w:rFonts w:ascii="宋体" w:hAnsi="宋体" w:eastAsia="宋体" w:cs="宋体"/>
          <w:color w:val="auto"/>
          <w:sz w:val="24"/>
          <w:szCs w:val="24"/>
          <w:highlight w:val="none"/>
          <w:u w:val="single" w:color="auto"/>
        </w:rPr>
        <w:t xml:space="preserve">                </w:t>
      </w:r>
    </w:p>
    <w:p w14:paraId="7DAE3667">
      <w:pPr>
        <w:spacing w:before="179" w:line="220" w:lineRule="auto"/>
        <w:ind w:left="305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邮政编码：</w:t>
      </w:r>
      <w:r>
        <w:rPr>
          <w:rFonts w:ascii="宋体" w:hAnsi="宋体" w:eastAsia="宋体" w:cs="宋体"/>
          <w:color w:val="auto"/>
          <w:sz w:val="24"/>
          <w:szCs w:val="24"/>
          <w:highlight w:val="none"/>
          <w:u w:val="single" w:color="auto"/>
        </w:rPr>
        <w:t xml:space="preserve">                </w:t>
      </w:r>
    </w:p>
    <w:p w14:paraId="39BF854C">
      <w:pPr>
        <w:tabs>
          <w:tab w:val="left" w:pos="4200"/>
        </w:tabs>
        <w:spacing w:before="180" w:line="220" w:lineRule="auto"/>
        <w:ind w:left="3479"/>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10"/>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pacing w:val="40"/>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3D0E9FFE">
      <w:pPr>
        <w:spacing w:line="220" w:lineRule="auto"/>
        <w:rPr>
          <w:rFonts w:ascii="宋体" w:hAnsi="宋体" w:eastAsia="宋体" w:cs="宋体"/>
          <w:color w:val="auto"/>
          <w:sz w:val="24"/>
          <w:szCs w:val="24"/>
          <w:highlight w:val="none"/>
        </w:rPr>
        <w:sectPr>
          <w:footerReference r:id="rId162" w:type="default"/>
          <w:pgSz w:w="11907" w:h="16841"/>
          <w:pgMar w:top="400" w:right="1527" w:bottom="1254" w:left="1588" w:header="0" w:footer="1093" w:gutter="0"/>
          <w:pgNumType w:fmt="decimal"/>
          <w:cols w:space="720" w:num="1"/>
        </w:sectPr>
      </w:pPr>
    </w:p>
    <w:p w14:paraId="5AA555F7">
      <w:pPr>
        <w:pStyle w:val="3"/>
        <w:spacing w:line="280" w:lineRule="auto"/>
        <w:rPr>
          <w:color w:val="auto"/>
          <w:highlight w:val="none"/>
        </w:rPr>
      </w:pPr>
    </w:p>
    <w:p w14:paraId="439F2EB7">
      <w:pPr>
        <w:pStyle w:val="3"/>
        <w:spacing w:line="280" w:lineRule="auto"/>
        <w:rPr>
          <w:color w:val="auto"/>
          <w:highlight w:val="none"/>
        </w:rPr>
      </w:pPr>
    </w:p>
    <w:p w14:paraId="77DAD461">
      <w:pPr>
        <w:pStyle w:val="3"/>
        <w:spacing w:line="280" w:lineRule="auto"/>
        <w:rPr>
          <w:color w:val="auto"/>
          <w:highlight w:val="none"/>
        </w:rPr>
      </w:pPr>
    </w:p>
    <w:p w14:paraId="62BCEE02">
      <w:pPr>
        <w:pStyle w:val="3"/>
        <w:spacing w:line="281" w:lineRule="auto"/>
        <w:rPr>
          <w:color w:val="auto"/>
          <w:highlight w:val="none"/>
        </w:rPr>
      </w:pPr>
    </w:p>
    <w:p w14:paraId="3DF1FD38">
      <w:pPr>
        <w:pStyle w:val="3"/>
        <w:spacing w:line="281" w:lineRule="auto"/>
        <w:rPr>
          <w:color w:val="auto"/>
          <w:highlight w:val="none"/>
        </w:rPr>
      </w:pPr>
    </w:p>
    <w:p w14:paraId="1DF334F9">
      <w:pPr>
        <w:spacing w:before="78" w:line="219" w:lineRule="auto"/>
        <w:ind w:left="15"/>
        <w:rPr>
          <w:rFonts w:ascii="宋体" w:hAnsi="宋体" w:eastAsia="宋体" w:cs="宋体"/>
          <w:color w:val="auto"/>
          <w:sz w:val="24"/>
          <w:szCs w:val="24"/>
          <w:highlight w:val="none"/>
        </w:rPr>
      </w:pPr>
      <w:r>
        <w:rPr>
          <w:rFonts w:ascii="宋体" w:hAnsi="宋体" w:eastAsia="宋体" w:cs="宋体"/>
          <w:b/>
          <w:bCs/>
          <w:color w:val="auto"/>
          <w:spacing w:val="-11"/>
          <w:sz w:val="24"/>
          <w:szCs w:val="24"/>
          <w:highlight w:val="none"/>
        </w:rPr>
        <w:t>（二）</w:t>
      </w:r>
      <w:r>
        <w:rPr>
          <w:rFonts w:ascii="宋体" w:hAnsi="宋体" w:eastAsia="宋体" w:cs="宋体"/>
          <w:color w:val="auto"/>
          <w:spacing w:val="-69"/>
          <w:sz w:val="24"/>
          <w:szCs w:val="24"/>
          <w:highlight w:val="none"/>
        </w:rPr>
        <w:t xml:space="preserve"> </w:t>
      </w:r>
      <w:r>
        <w:rPr>
          <w:rFonts w:ascii="宋体" w:hAnsi="宋体" w:eastAsia="宋体" w:cs="宋体"/>
          <w:b/>
          <w:bCs/>
          <w:color w:val="auto"/>
          <w:spacing w:val="-11"/>
          <w:sz w:val="24"/>
          <w:szCs w:val="24"/>
          <w:highlight w:val="none"/>
        </w:rPr>
        <w:t>投标函附录</w:t>
      </w:r>
    </w:p>
    <w:p w14:paraId="10F1DA70">
      <w:pPr>
        <w:spacing w:line="147" w:lineRule="exact"/>
        <w:rPr>
          <w:color w:val="auto"/>
          <w:highlight w:val="none"/>
        </w:rPr>
      </w:pPr>
    </w:p>
    <w:tbl>
      <w:tblPr>
        <w:tblStyle w:val="16"/>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7"/>
        <w:gridCol w:w="2437"/>
        <w:gridCol w:w="1699"/>
        <w:gridCol w:w="2688"/>
        <w:gridCol w:w="1248"/>
      </w:tblGrid>
      <w:tr w14:paraId="72FD4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937" w:type="dxa"/>
            <w:tcBorders>
              <w:top w:val="single" w:color="000000" w:sz="6" w:space="0"/>
              <w:left w:val="single" w:color="000000" w:sz="6" w:space="0"/>
            </w:tcBorders>
            <w:vAlign w:val="top"/>
          </w:tcPr>
          <w:p w14:paraId="26BE64DB">
            <w:pPr>
              <w:pStyle w:val="17"/>
              <w:spacing w:before="258" w:line="221" w:lineRule="auto"/>
              <w:ind w:left="226"/>
              <w:rPr>
                <w:color w:val="auto"/>
                <w:sz w:val="24"/>
                <w:szCs w:val="24"/>
                <w:highlight w:val="none"/>
              </w:rPr>
            </w:pPr>
            <w:r>
              <w:rPr>
                <w:color w:val="auto"/>
                <w:spacing w:val="-3"/>
                <w:sz w:val="24"/>
                <w:szCs w:val="24"/>
                <w:highlight w:val="none"/>
              </w:rPr>
              <w:t>序号</w:t>
            </w:r>
          </w:p>
        </w:tc>
        <w:tc>
          <w:tcPr>
            <w:tcW w:w="2437" w:type="dxa"/>
            <w:tcBorders>
              <w:top w:val="single" w:color="000000" w:sz="6" w:space="0"/>
            </w:tcBorders>
            <w:vAlign w:val="top"/>
          </w:tcPr>
          <w:p w14:paraId="4B630A69">
            <w:pPr>
              <w:pStyle w:val="17"/>
              <w:spacing w:before="258" w:line="220" w:lineRule="auto"/>
              <w:ind w:left="739"/>
              <w:rPr>
                <w:color w:val="auto"/>
                <w:sz w:val="24"/>
                <w:szCs w:val="24"/>
                <w:highlight w:val="none"/>
              </w:rPr>
            </w:pPr>
            <w:r>
              <w:rPr>
                <w:color w:val="auto"/>
                <w:spacing w:val="-3"/>
                <w:sz w:val="24"/>
                <w:szCs w:val="24"/>
                <w:highlight w:val="none"/>
              </w:rPr>
              <w:t>条款名称</w:t>
            </w:r>
          </w:p>
        </w:tc>
        <w:tc>
          <w:tcPr>
            <w:tcW w:w="1699" w:type="dxa"/>
            <w:tcBorders>
              <w:top w:val="single" w:color="000000" w:sz="6" w:space="0"/>
            </w:tcBorders>
            <w:vAlign w:val="top"/>
          </w:tcPr>
          <w:p w14:paraId="39F477D0">
            <w:pPr>
              <w:pStyle w:val="17"/>
              <w:spacing w:before="258" w:line="220" w:lineRule="auto"/>
              <w:ind w:left="255"/>
              <w:rPr>
                <w:color w:val="auto"/>
                <w:sz w:val="24"/>
                <w:szCs w:val="24"/>
                <w:highlight w:val="none"/>
              </w:rPr>
            </w:pPr>
            <w:r>
              <w:rPr>
                <w:color w:val="auto"/>
                <w:spacing w:val="-2"/>
                <w:sz w:val="24"/>
                <w:szCs w:val="24"/>
                <w:highlight w:val="none"/>
              </w:rPr>
              <w:t>合同条款号</w:t>
            </w:r>
          </w:p>
        </w:tc>
        <w:tc>
          <w:tcPr>
            <w:tcW w:w="2688" w:type="dxa"/>
            <w:tcBorders>
              <w:top w:val="single" w:color="000000" w:sz="6" w:space="0"/>
            </w:tcBorders>
            <w:vAlign w:val="top"/>
          </w:tcPr>
          <w:p w14:paraId="63868408">
            <w:pPr>
              <w:pStyle w:val="17"/>
              <w:spacing w:before="258" w:line="220" w:lineRule="auto"/>
              <w:ind w:left="876"/>
              <w:rPr>
                <w:color w:val="auto"/>
                <w:sz w:val="24"/>
                <w:szCs w:val="24"/>
                <w:highlight w:val="none"/>
              </w:rPr>
            </w:pPr>
            <w:r>
              <w:rPr>
                <w:color w:val="auto"/>
                <w:spacing w:val="-3"/>
                <w:sz w:val="24"/>
                <w:szCs w:val="24"/>
                <w:highlight w:val="none"/>
              </w:rPr>
              <w:t>约定内容</w:t>
            </w:r>
          </w:p>
        </w:tc>
        <w:tc>
          <w:tcPr>
            <w:tcW w:w="1248" w:type="dxa"/>
            <w:tcBorders>
              <w:top w:val="single" w:color="000000" w:sz="6" w:space="0"/>
              <w:right w:val="single" w:color="000000" w:sz="6" w:space="0"/>
            </w:tcBorders>
            <w:vAlign w:val="top"/>
          </w:tcPr>
          <w:p w14:paraId="519B76EF">
            <w:pPr>
              <w:pStyle w:val="17"/>
              <w:spacing w:before="258" w:line="221" w:lineRule="auto"/>
              <w:ind w:left="391"/>
              <w:rPr>
                <w:color w:val="auto"/>
                <w:sz w:val="24"/>
                <w:szCs w:val="24"/>
                <w:highlight w:val="none"/>
              </w:rPr>
            </w:pPr>
            <w:r>
              <w:rPr>
                <w:color w:val="auto"/>
                <w:spacing w:val="-4"/>
                <w:sz w:val="24"/>
                <w:szCs w:val="24"/>
                <w:highlight w:val="none"/>
              </w:rPr>
              <w:t>备注</w:t>
            </w:r>
          </w:p>
        </w:tc>
      </w:tr>
      <w:tr w14:paraId="409CE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937" w:type="dxa"/>
            <w:tcBorders>
              <w:left w:val="single" w:color="000000" w:sz="6" w:space="0"/>
            </w:tcBorders>
            <w:vAlign w:val="top"/>
          </w:tcPr>
          <w:p w14:paraId="55F01B43">
            <w:pPr>
              <w:spacing w:before="300" w:line="186" w:lineRule="auto"/>
              <w:ind w:left="425"/>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1</w:t>
            </w:r>
          </w:p>
        </w:tc>
        <w:tc>
          <w:tcPr>
            <w:tcW w:w="2437" w:type="dxa"/>
            <w:vAlign w:val="top"/>
          </w:tcPr>
          <w:p w14:paraId="4EAC9380">
            <w:pPr>
              <w:pStyle w:val="17"/>
              <w:spacing w:before="100" w:line="220" w:lineRule="auto"/>
              <w:ind w:left="617"/>
              <w:rPr>
                <w:color w:val="auto"/>
                <w:sz w:val="24"/>
                <w:szCs w:val="24"/>
                <w:highlight w:val="none"/>
              </w:rPr>
            </w:pPr>
            <w:r>
              <w:rPr>
                <w:color w:val="auto"/>
                <w:spacing w:val="-2"/>
                <w:sz w:val="24"/>
                <w:szCs w:val="24"/>
                <w:highlight w:val="none"/>
              </w:rPr>
              <w:t>缺陷责任期</w:t>
            </w:r>
          </w:p>
          <w:p w14:paraId="12AC7D41">
            <w:pPr>
              <w:pStyle w:val="17"/>
              <w:spacing w:before="25" w:line="220" w:lineRule="auto"/>
              <w:ind w:left="144"/>
              <w:rPr>
                <w:color w:val="auto"/>
                <w:sz w:val="24"/>
                <w:szCs w:val="24"/>
                <w:highlight w:val="none"/>
              </w:rPr>
            </w:pPr>
            <w:r>
              <w:rPr>
                <w:color w:val="auto"/>
                <w:spacing w:val="-4"/>
                <w:sz w:val="24"/>
                <w:szCs w:val="24"/>
                <w:highlight w:val="none"/>
              </w:rPr>
              <w:t>（工程质量保修期）</w:t>
            </w:r>
          </w:p>
        </w:tc>
        <w:tc>
          <w:tcPr>
            <w:tcW w:w="1699" w:type="dxa"/>
            <w:vAlign w:val="top"/>
          </w:tcPr>
          <w:p w14:paraId="01B1F75E">
            <w:pPr>
              <w:spacing w:before="300" w:line="186" w:lineRule="auto"/>
              <w:ind w:left="544"/>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4"/>
                <w:sz w:val="24"/>
                <w:szCs w:val="24"/>
                <w:highlight w:val="none"/>
              </w:rPr>
              <w:t>1.1.4.5</w:t>
            </w:r>
          </w:p>
        </w:tc>
        <w:tc>
          <w:tcPr>
            <w:tcW w:w="2688" w:type="dxa"/>
            <w:vAlign w:val="top"/>
          </w:tcPr>
          <w:p w14:paraId="2AF1D891">
            <w:pPr>
              <w:rPr>
                <w:rFonts w:ascii="Arial"/>
                <w:color w:val="auto"/>
                <w:sz w:val="21"/>
                <w:highlight w:val="none"/>
              </w:rPr>
            </w:pPr>
          </w:p>
        </w:tc>
        <w:tc>
          <w:tcPr>
            <w:tcW w:w="1248" w:type="dxa"/>
            <w:tcBorders>
              <w:right w:val="single" w:color="000000" w:sz="6" w:space="0"/>
            </w:tcBorders>
            <w:vAlign w:val="top"/>
          </w:tcPr>
          <w:p w14:paraId="2EE2B244">
            <w:pPr>
              <w:rPr>
                <w:rFonts w:ascii="Arial"/>
                <w:color w:val="auto"/>
                <w:sz w:val="21"/>
                <w:highlight w:val="none"/>
              </w:rPr>
            </w:pPr>
          </w:p>
        </w:tc>
      </w:tr>
      <w:tr w14:paraId="503A4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37" w:type="dxa"/>
            <w:tcBorders>
              <w:left w:val="single" w:color="000000" w:sz="6" w:space="0"/>
            </w:tcBorders>
            <w:vAlign w:val="top"/>
          </w:tcPr>
          <w:p w14:paraId="3D7366EF">
            <w:pPr>
              <w:spacing w:before="300" w:line="186" w:lineRule="auto"/>
              <w:ind w:left="402"/>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2</w:t>
            </w:r>
          </w:p>
        </w:tc>
        <w:tc>
          <w:tcPr>
            <w:tcW w:w="2437" w:type="dxa"/>
            <w:vAlign w:val="top"/>
          </w:tcPr>
          <w:p w14:paraId="2F68824F">
            <w:pPr>
              <w:pStyle w:val="17"/>
              <w:spacing w:before="258" w:line="220" w:lineRule="auto"/>
              <w:ind w:left="980"/>
              <w:rPr>
                <w:color w:val="auto"/>
                <w:sz w:val="24"/>
                <w:szCs w:val="24"/>
                <w:highlight w:val="none"/>
              </w:rPr>
            </w:pPr>
            <w:r>
              <w:rPr>
                <w:color w:val="auto"/>
                <w:spacing w:val="-4"/>
                <w:sz w:val="24"/>
                <w:szCs w:val="24"/>
                <w:highlight w:val="none"/>
              </w:rPr>
              <w:t>分包</w:t>
            </w:r>
          </w:p>
        </w:tc>
        <w:tc>
          <w:tcPr>
            <w:tcW w:w="1699" w:type="dxa"/>
            <w:vAlign w:val="top"/>
          </w:tcPr>
          <w:p w14:paraId="725EA33C">
            <w:pPr>
              <w:spacing w:before="300" w:line="186" w:lineRule="auto"/>
              <w:ind w:left="699"/>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1"/>
                <w:sz w:val="24"/>
                <w:szCs w:val="24"/>
                <w:highlight w:val="none"/>
              </w:rPr>
              <w:t>4.3</w:t>
            </w:r>
          </w:p>
        </w:tc>
        <w:tc>
          <w:tcPr>
            <w:tcW w:w="2688" w:type="dxa"/>
            <w:vAlign w:val="top"/>
          </w:tcPr>
          <w:p w14:paraId="26C142AC">
            <w:pPr>
              <w:rPr>
                <w:rFonts w:ascii="Arial"/>
                <w:color w:val="auto"/>
                <w:sz w:val="21"/>
                <w:highlight w:val="none"/>
              </w:rPr>
            </w:pPr>
          </w:p>
        </w:tc>
        <w:tc>
          <w:tcPr>
            <w:tcW w:w="1248" w:type="dxa"/>
            <w:tcBorders>
              <w:right w:val="single" w:color="000000" w:sz="6" w:space="0"/>
            </w:tcBorders>
            <w:vAlign w:val="top"/>
          </w:tcPr>
          <w:p w14:paraId="61E5BB1E">
            <w:pPr>
              <w:rPr>
                <w:rFonts w:ascii="Arial"/>
                <w:color w:val="auto"/>
                <w:sz w:val="21"/>
                <w:highlight w:val="none"/>
              </w:rPr>
            </w:pPr>
          </w:p>
        </w:tc>
      </w:tr>
      <w:tr w14:paraId="2A0F7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937" w:type="dxa"/>
            <w:tcBorders>
              <w:left w:val="single" w:color="000000" w:sz="6" w:space="0"/>
            </w:tcBorders>
            <w:vAlign w:val="top"/>
          </w:tcPr>
          <w:p w14:paraId="1279B5BE">
            <w:pPr>
              <w:spacing w:before="304" w:line="186" w:lineRule="auto"/>
              <w:ind w:left="407"/>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3</w:t>
            </w:r>
          </w:p>
        </w:tc>
        <w:tc>
          <w:tcPr>
            <w:tcW w:w="2437" w:type="dxa"/>
            <w:vAlign w:val="top"/>
          </w:tcPr>
          <w:p w14:paraId="3F96553E">
            <w:pPr>
              <w:pStyle w:val="17"/>
              <w:spacing w:before="261" w:line="220" w:lineRule="auto"/>
              <w:ind w:left="620"/>
              <w:rPr>
                <w:color w:val="auto"/>
                <w:sz w:val="24"/>
                <w:szCs w:val="24"/>
                <w:highlight w:val="none"/>
              </w:rPr>
            </w:pPr>
            <w:r>
              <w:rPr>
                <w:color w:val="auto"/>
                <w:spacing w:val="-2"/>
                <w:sz w:val="24"/>
                <w:szCs w:val="24"/>
                <w:highlight w:val="none"/>
              </w:rPr>
              <w:t>投标有效期</w:t>
            </w:r>
          </w:p>
        </w:tc>
        <w:tc>
          <w:tcPr>
            <w:tcW w:w="1699" w:type="dxa"/>
            <w:vAlign w:val="top"/>
          </w:tcPr>
          <w:p w14:paraId="21EAF74B">
            <w:pPr>
              <w:spacing w:before="300" w:line="190" w:lineRule="auto"/>
              <w:ind w:left="811"/>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w:t>
            </w:r>
          </w:p>
        </w:tc>
        <w:tc>
          <w:tcPr>
            <w:tcW w:w="2688" w:type="dxa"/>
            <w:vAlign w:val="top"/>
          </w:tcPr>
          <w:p w14:paraId="4C13A978">
            <w:pPr>
              <w:rPr>
                <w:rFonts w:ascii="Arial"/>
                <w:color w:val="auto"/>
                <w:sz w:val="21"/>
                <w:highlight w:val="none"/>
              </w:rPr>
            </w:pPr>
          </w:p>
        </w:tc>
        <w:tc>
          <w:tcPr>
            <w:tcW w:w="1248" w:type="dxa"/>
            <w:tcBorders>
              <w:right w:val="single" w:color="000000" w:sz="6" w:space="0"/>
            </w:tcBorders>
            <w:vAlign w:val="top"/>
          </w:tcPr>
          <w:p w14:paraId="76B7617B">
            <w:pPr>
              <w:rPr>
                <w:rFonts w:ascii="Arial"/>
                <w:color w:val="auto"/>
                <w:sz w:val="21"/>
                <w:highlight w:val="none"/>
              </w:rPr>
            </w:pPr>
          </w:p>
        </w:tc>
      </w:tr>
      <w:tr w14:paraId="0625C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937" w:type="dxa"/>
            <w:tcBorders>
              <w:left w:val="single" w:color="000000" w:sz="6" w:space="0"/>
            </w:tcBorders>
            <w:vAlign w:val="top"/>
          </w:tcPr>
          <w:p w14:paraId="223F21C9">
            <w:pPr>
              <w:spacing w:before="306" w:line="186" w:lineRule="auto"/>
              <w:ind w:left="401"/>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4</w:t>
            </w:r>
          </w:p>
        </w:tc>
        <w:tc>
          <w:tcPr>
            <w:tcW w:w="2437" w:type="dxa"/>
            <w:vAlign w:val="top"/>
          </w:tcPr>
          <w:p w14:paraId="70E29704">
            <w:pPr>
              <w:pStyle w:val="17"/>
              <w:spacing w:before="262" w:line="220" w:lineRule="auto"/>
              <w:ind w:left="501"/>
              <w:rPr>
                <w:color w:val="auto"/>
                <w:sz w:val="24"/>
                <w:szCs w:val="24"/>
                <w:highlight w:val="none"/>
              </w:rPr>
            </w:pPr>
            <w:r>
              <w:rPr>
                <w:color w:val="auto"/>
                <w:spacing w:val="-2"/>
                <w:sz w:val="24"/>
                <w:szCs w:val="24"/>
                <w:highlight w:val="none"/>
              </w:rPr>
              <w:t>企业信用等级</w:t>
            </w:r>
          </w:p>
        </w:tc>
        <w:tc>
          <w:tcPr>
            <w:tcW w:w="1699" w:type="dxa"/>
            <w:vAlign w:val="top"/>
          </w:tcPr>
          <w:p w14:paraId="12E6D1BD">
            <w:pPr>
              <w:spacing w:before="302" w:line="190" w:lineRule="auto"/>
              <w:ind w:left="811"/>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w:t>
            </w:r>
          </w:p>
        </w:tc>
        <w:tc>
          <w:tcPr>
            <w:tcW w:w="2688" w:type="dxa"/>
            <w:vAlign w:val="top"/>
          </w:tcPr>
          <w:p w14:paraId="68610E5F">
            <w:pPr>
              <w:pStyle w:val="17"/>
              <w:tabs>
                <w:tab w:val="left" w:pos="1643"/>
              </w:tabs>
              <w:spacing w:before="262" w:line="222" w:lineRule="auto"/>
              <w:ind w:left="1284"/>
              <w:rPr>
                <w:color w:val="auto"/>
                <w:sz w:val="24"/>
                <w:szCs w:val="24"/>
                <w:highlight w:val="none"/>
              </w:rPr>
            </w:pPr>
            <w:r>
              <w:rPr>
                <w:color w:val="auto"/>
                <w:sz w:val="24"/>
                <w:szCs w:val="24"/>
                <w:highlight w:val="none"/>
                <w:u w:val="single" w:color="auto"/>
              </w:rPr>
              <w:tab/>
            </w:r>
            <w:r>
              <w:rPr>
                <w:color w:val="auto"/>
                <w:spacing w:val="-107"/>
                <w:sz w:val="24"/>
                <w:szCs w:val="24"/>
                <w:highlight w:val="none"/>
              </w:rPr>
              <w:t xml:space="preserve"> </w:t>
            </w:r>
            <w:r>
              <w:rPr>
                <w:color w:val="auto"/>
                <w:sz w:val="24"/>
                <w:szCs w:val="24"/>
                <w:highlight w:val="none"/>
              </w:rPr>
              <w:t>级</w:t>
            </w:r>
          </w:p>
        </w:tc>
        <w:tc>
          <w:tcPr>
            <w:tcW w:w="1248" w:type="dxa"/>
            <w:tcBorders>
              <w:right w:val="single" w:color="000000" w:sz="6" w:space="0"/>
            </w:tcBorders>
            <w:vAlign w:val="top"/>
          </w:tcPr>
          <w:p w14:paraId="3084CE9B">
            <w:pPr>
              <w:rPr>
                <w:rFonts w:ascii="Arial"/>
                <w:color w:val="auto"/>
                <w:sz w:val="21"/>
                <w:highlight w:val="none"/>
              </w:rPr>
            </w:pPr>
          </w:p>
        </w:tc>
      </w:tr>
      <w:tr w14:paraId="5B04D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1" w:hRule="atLeast"/>
        </w:trPr>
        <w:tc>
          <w:tcPr>
            <w:tcW w:w="937" w:type="dxa"/>
            <w:tcBorders>
              <w:left w:val="single" w:color="000000" w:sz="6" w:space="0"/>
            </w:tcBorders>
            <w:vAlign w:val="top"/>
          </w:tcPr>
          <w:p w14:paraId="14DEC41D">
            <w:pPr>
              <w:spacing w:line="375" w:lineRule="auto"/>
              <w:rPr>
                <w:rFonts w:ascii="Arial"/>
                <w:color w:val="auto"/>
                <w:sz w:val="21"/>
                <w:highlight w:val="none"/>
              </w:rPr>
            </w:pPr>
          </w:p>
          <w:p w14:paraId="34B44F81">
            <w:pPr>
              <w:spacing w:before="69" w:line="74" w:lineRule="exact"/>
              <w:ind w:left="244"/>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tc>
        <w:tc>
          <w:tcPr>
            <w:tcW w:w="2437" w:type="dxa"/>
            <w:vAlign w:val="top"/>
          </w:tcPr>
          <w:p w14:paraId="7B15B8F3">
            <w:pPr>
              <w:spacing w:line="375" w:lineRule="auto"/>
              <w:rPr>
                <w:rFonts w:ascii="Arial"/>
                <w:color w:val="auto"/>
                <w:sz w:val="21"/>
                <w:highlight w:val="none"/>
              </w:rPr>
            </w:pPr>
          </w:p>
          <w:p w14:paraId="790E2EB5">
            <w:pPr>
              <w:spacing w:before="69" w:line="74" w:lineRule="exact"/>
              <w:ind w:left="995"/>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tc>
        <w:tc>
          <w:tcPr>
            <w:tcW w:w="1699" w:type="dxa"/>
            <w:vAlign w:val="top"/>
          </w:tcPr>
          <w:p w14:paraId="5A91800A">
            <w:pPr>
              <w:spacing w:line="375" w:lineRule="auto"/>
              <w:rPr>
                <w:rFonts w:ascii="Arial"/>
                <w:color w:val="auto"/>
                <w:sz w:val="21"/>
                <w:highlight w:val="none"/>
              </w:rPr>
            </w:pPr>
          </w:p>
          <w:p w14:paraId="32F47709">
            <w:pPr>
              <w:spacing w:before="69" w:line="74" w:lineRule="exact"/>
              <w:ind w:left="631"/>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tc>
        <w:tc>
          <w:tcPr>
            <w:tcW w:w="2688" w:type="dxa"/>
            <w:vAlign w:val="top"/>
          </w:tcPr>
          <w:p w14:paraId="20AB637B">
            <w:pPr>
              <w:spacing w:line="375" w:lineRule="auto"/>
              <w:rPr>
                <w:rFonts w:ascii="Arial"/>
                <w:color w:val="auto"/>
                <w:sz w:val="21"/>
                <w:highlight w:val="none"/>
              </w:rPr>
            </w:pPr>
          </w:p>
          <w:p w14:paraId="40AA624E">
            <w:pPr>
              <w:spacing w:before="69" w:line="74" w:lineRule="exact"/>
              <w:ind w:left="1128"/>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tc>
        <w:tc>
          <w:tcPr>
            <w:tcW w:w="1248" w:type="dxa"/>
            <w:tcBorders>
              <w:right w:val="single" w:color="000000" w:sz="6" w:space="0"/>
            </w:tcBorders>
            <w:vAlign w:val="top"/>
          </w:tcPr>
          <w:p w14:paraId="6AF9850E">
            <w:pPr>
              <w:rPr>
                <w:rFonts w:ascii="Arial"/>
                <w:color w:val="auto"/>
                <w:sz w:val="21"/>
                <w:highlight w:val="none"/>
              </w:rPr>
            </w:pPr>
          </w:p>
        </w:tc>
      </w:tr>
      <w:tr w14:paraId="106C9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937" w:type="dxa"/>
            <w:tcBorders>
              <w:left w:val="single" w:color="000000" w:sz="6" w:space="0"/>
              <w:bottom w:val="single" w:color="000000" w:sz="6" w:space="0"/>
            </w:tcBorders>
            <w:vAlign w:val="top"/>
          </w:tcPr>
          <w:p w14:paraId="3212BD2B">
            <w:pPr>
              <w:spacing w:line="379" w:lineRule="auto"/>
              <w:rPr>
                <w:rFonts w:ascii="Arial"/>
                <w:color w:val="auto"/>
                <w:sz w:val="21"/>
                <w:highlight w:val="none"/>
              </w:rPr>
            </w:pPr>
          </w:p>
          <w:p w14:paraId="4AC3AF96">
            <w:pPr>
              <w:spacing w:before="69" w:line="75" w:lineRule="exact"/>
              <w:ind w:left="244"/>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tc>
        <w:tc>
          <w:tcPr>
            <w:tcW w:w="2437" w:type="dxa"/>
            <w:tcBorders>
              <w:bottom w:val="single" w:color="000000" w:sz="6" w:space="0"/>
            </w:tcBorders>
            <w:vAlign w:val="top"/>
          </w:tcPr>
          <w:p w14:paraId="0DFB1A6D">
            <w:pPr>
              <w:spacing w:line="379" w:lineRule="auto"/>
              <w:rPr>
                <w:rFonts w:ascii="Arial"/>
                <w:color w:val="auto"/>
                <w:sz w:val="21"/>
                <w:highlight w:val="none"/>
              </w:rPr>
            </w:pPr>
          </w:p>
          <w:p w14:paraId="76C54593">
            <w:pPr>
              <w:spacing w:before="69" w:line="75" w:lineRule="exact"/>
              <w:ind w:left="995"/>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tc>
        <w:tc>
          <w:tcPr>
            <w:tcW w:w="1699" w:type="dxa"/>
            <w:tcBorders>
              <w:bottom w:val="single" w:color="000000" w:sz="6" w:space="0"/>
            </w:tcBorders>
            <w:vAlign w:val="top"/>
          </w:tcPr>
          <w:p w14:paraId="708A6F34">
            <w:pPr>
              <w:spacing w:line="379" w:lineRule="auto"/>
              <w:rPr>
                <w:rFonts w:ascii="Arial"/>
                <w:color w:val="auto"/>
                <w:sz w:val="21"/>
                <w:highlight w:val="none"/>
              </w:rPr>
            </w:pPr>
          </w:p>
          <w:p w14:paraId="048BE83A">
            <w:pPr>
              <w:spacing w:before="69" w:line="75" w:lineRule="exact"/>
              <w:ind w:left="631"/>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tc>
        <w:tc>
          <w:tcPr>
            <w:tcW w:w="2688" w:type="dxa"/>
            <w:tcBorders>
              <w:bottom w:val="single" w:color="000000" w:sz="6" w:space="0"/>
            </w:tcBorders>
            <w:vAlign w:val="top"/>
          </w:tcPr>
          <w:p w14:paraId="080C475E">
            <w:pPr>
              <w:spacing w:line="379" w:lineRule="auto"/>
              <w:rPr>
                <w:rFonts w:ascii="Arial"/>
                <w:color w:val="auto"/>
                <w:sz w:val="21"/>
                <w:highlight w:val="none"/>
              </w:rPr>
            </w:pPr>
          </w:p>
          <w:p w14:paraId="05AC88BF">
            <w:pPr>
              <w:spacing w:before="69" w:line="75" w:lineRule="exact"/>
              <w:ind w:left="1128"/>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tc>
        <w:tc>
          <w:tcPr>
            <w:tcW w:w="1248" w:type="dxa"/>
            <w:tcBorders>
              <w:bottom w:val="single" w:color="000000" w:sz="6" w:space="0"/>
              <w:right w:val="single" w:color="000000" w:sz="6" w:space="0"/>
            </w:tcBorders>
            <w:vAlign w:val="top"/>
          </w:tcPr>
          <w:p w14:paraId="6FBB3905">
            <w:pPr>
              <w:rPr>
                <w:rFonts w:ascii="Arial"/>
                <w:color w:val="auto"/>
                <w:sz w:val="21"/>
                <w:highlight w:val="none"/>
              </w:rPr>
            </w:pPr>
          </w:p>
        </w:tc>
      </w:tr>
    </w:tbl>
    <w:p w14:paraId="576CEB92">
      <w:pPr>
        <w:pStyle w:val="3"/>
        <w:rPr>
          <w:color w:val="auto"/>
          <w:highlight w:val="none"/>
        </w:rPr>
      </w:pPr>
    </w:p>
    <w:p w14:paraId="41DC84F3">
      <w:pPr>
        <w:rPr>
          <w:color w:val="auto"/>
          <w:highlight w:val="none"/>
        </w:rPr>
        <w:sectPr>
          <w:footerReference r:id="rId163" w:type="default"/>
          <w:pgSz w:w="11907" w:h="16841"/>
          <w:pgMar w:top="400" w:right="1293" w:bottom="1254" w:left="1588" w:header="0" w:footer="1093" w:gutter="0"/>
          <w:pgNumType w:fmt="decimal"/>
          <w:cols w:space="720" w:num="1"/>
        </w:sectPr>
      </w:pPr>
    </w:p>
    <w:p w14:paraId="2920C447">
      <w:pPr>
        <w:pStyle w:val="3"/>
        <w:spacing w:line="246" w:lineRule="auto"/>
        <w:rPr>
          <w:color w:val="auto"/>
          <w:highlight w:val="none"/>
        </w:rPr>
      </w:pPr>
    </w:p>
    <w:p w14:paraId="799C5646">
      <w:pPr>
        <w:pStyle w:val="3"/>
        <w:spacing w:line="246" w:lineRule="auto"/>
        <w:rPr>
          <w:color w:val="auto"/>
          <w:highlight w:val="none"/>
        </w:rPr>
      </w:pPr>
    </w:p>
    <w:p w14:paraId="130F9492">
      <w:pPr>
        <w:pStyle w:val="3"/>
        <w:spacing w:line="246" w:lineRule="auto"/>
        <w:rPr>
          <w:color w:val="auto"/>
          <w:highlight w:val="none"/>
        </w:rPr>
      </w:pPr>
    </w:p>
    <w:p w14:paraId="69F73C15">
      <w:pPr>
        <w:pStyle w:val="3"/>
        <w:spacing w:line="246" w:lineRule="auto"/>
        <w:rPr>
          <w:color w:val="auto"/>
          <w:highlight w:val="none"/>
        </w:rPr>
      </w:pPr>
    </w:p>
    <w:p w14:paraId="425BE171">
      <w:pPr>
        <w:spacing w:before="91" w:line="219" w:lineRule="auto"/>
        <w:ind w:left="2806"/>
        <w:outlineLvl w:val="1"/>
        <w:rPr>
          <w:rFonts w:ascii="宋体" w:hAnsi="宋体" w:eastAsia="宋体" w:cs="宋体"/>
          <w:color w:val="auto"/>
          <w:sz w:val="28"/>
          <w:szCs w:val="28"/>
          <w:highlight w:val="none"/>
        </w:rPr>
      </w:pPr>
      <w:bookmarkStart w:id="1130" w:name="bookmark661"/>
      <w:bookmarkEnd w:id="1130"/>
      <w:bookmarkStart w:id="1131" w:name="_Toc23945"/>
      <w:bookmarkStart w:id="1132" w:name="_Toc20333"/>
      <w:r>
        <w:rPr>
          <w:rFonts w:ascii="宋体" w:hAnsi="宋体" w:eastAsia="宋体" w:cs="宋体"/>
          <w:b/>
          <w:bCs/>
          <w:color w:val="auto"/>
          <w:spacing w:val="-5"/>
          <w:sz w:val="28"/>
          <w:szCs w:val="28"/>
          <w:highlight w:val="none"/>
        </w:rPr>
        <w:t>二、已标价工程量清单</w:t>
      </w:r>
      <w:bookmarkEnd w:id="1131"/>
      <w:bookmarkEnd w:id="1132"/>
    </w:p>
    <w:p w14:paraId="1B576AB1">
      <w:pPr>
        <w:spacing w:line="219" w:lineRule="auto"/>
        <w:rPr>
          <w:rFonts w:ascii="宋体" w:hAnsi="宋体" w:eastAsia="宋体" w:cs="宋体"/>
          <w:color w:val="auto"/>
          <w:sz w:val="28"/>
          <w:szCs w:val="28"/>
          <w:highlight w:val="none"/>
        </w:rPr>
        <w:sectPr>
          <w:footerReference r:id="rId164" w:type="default"/>
          <w:pgSz w:w="11907" w:h="16841"/>
          <w:pgMar w:top="400" w:right="1527" w:bottom="1254" w:left="1785" w:header="0" w:footer="1093" w:gutter="0"/>
          <w:pgNumType w:fmt="decimal"/>
          <w:cols w:space="720" w:num="1"/>
        </w:sectPr>
      </w:pPr>
    </w:p>
    <w:p w14:paraId="533CDD6C">
      <w:pPr>
        <w:pStyle w:val="3"/>
        <w:spacing w:line="259" w:lineRule="auto"/>
        <w:rPr>
          <w:color w:val="auto"/>
          <w:highlight w:val="none"/>
        </w:rPr>
      </w:pPr>
    </w:p>
    <w:p w14:paraId="33766781">
      <w:pPr>
        <w:pStyle w:val="3"/>
        <w:spacing w:line="259" w:lineRule="auto"/>
        <w:rPr>
          <w:color w:val="auto"/>
          <w:highlight w:val="none"/>
        </w:rPr>
      </w:pPr>
    </w:p>
    <w:p w14:paraId="2792CD8A">
      <w:pPr>
        <w:pStyle w:val="3"/>
        <w:spacing w:line="259" w:lineRule="auto"/>
        <w:rPr>
          <w:color w:val="auto"/>
          <w:highlight w:val="none"/>
        </w:rPr>
      </w:pPr>
    </w:p>
    <w:p w14:paraId="69542AB2">
      <w:pPr>
        <w:pStyle w:val="3"/>
        <w:spacing w:line="259" w:lineRule="auto"/>
        <w:rPr>
          <w:color w:val="auto"/>
          <w:highlight w:val="none"/>
        </w:rPr>
      </w:pPr>
    </w:p>
    <w:p w14:paraId="119F3A40">
      <w:pPr>
        <w:pStyle w:val="3"/>
        <w:spacing w:line="259" w:lineRule="auto"/>
        <w:rPr>
          <w:color w:val="auto"/>
          <w:highlight w:val="none"/>
        </w:rPr>
      </w:pPr>
    </w:p>
    <w:p w14:paraId="6E49EE05">
      <w:pPr>
        <w:pStyle w:val="3"/>
        <w:spacing w:line="260" w:lineRule="auto"/>
        <w:rPr>
          <w:color w:val="auto"/>
          <w:highlight w:val="none"/>
        </w:rPr>
      </w:pPr>
    </w:p>
    <w:p w14:paraId="30751FB8">
      <w:pPr>
        <w:pStyle w:val="3"/>
        <w:spacing w:line="260" w:lineRule="auto"/>
        <w:rPr>
          <w:color w:val="auto"/>
          <w:highlight w:val="none"/>
        </w:rPr>
      </w:pPr>
    </w:p>
    <w:p w14:paraId="42262E31">
      <w:pPr>
        <w:tabs>
          <w:tab w:val="left" w:pos="3717"/>
        </w:tabs>
        <w:spacing w:before="78" w:line="220" w:lineRule="auto"/>
        <w:ind w:left="3101"/>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3"/>
          <w:sz w:val="24"/>
          <w:szCs w:val="24"/>
          <w:highlight w:val="none"/>
          <w:u w:val="single" w:color="auto"/>
        </w:rPr>
        <w:t>（项目名称及标段名称）</w:t>
      </w:r>
      <w:r>
        <w:rPr>
          <w:rFonts w:ascii="宋体" w:hAnsi="宋体" w:eastAsia="宋体" w:cs="宋体"/>
          <w:color w:val="auto"/>
          <w:spacing w:val="1"/>
          <w:sz w:val="24"/>
          <w:szCs w:val="24"/>
          <w:highlight w:val="none"/>
          <w:u w:val="single" w:color="auto"/>
        </w:rPr>
        <w:t xml:space="preserve">    </w:t>
      </w:r>
    </w:p>
    <w:p w14:paraId="54F92EE5">
      <w:pPr>
        <w:pStyle w:val="3"/>
        <w:spacing w:line="260" w:lineRule="auto"/>
        <w:rPr>
          <w:color w:val="auto"/>
          <w:highlight w:val="none"/>
        </w:rPr>
      </w:pPr>
    </w:p>
    <w:p w14:paraId="32291F3E">
      <w:pPr>
        <w:pStyle w:val="3"/>
        <w:spacing w:line="261" w:lineRule="auto"/>
        <w:rPr>
          <w:color w:val="auto"/>
          <w:highlight w:val="none"/>
        </w:rPr>
      </w:pPr>
    </w:p>
    <w:p w14:paraId="40182392">
      <w:pPr>
        <w:pStyle w:val="3"/>
        <w:spacing w:line="261" w:lineRule="auto"/>
        <w:rPr>
          <w:color w:val="auto"/>
          <w:highlight w:val="none"/>
        </w:rPr>
      </w:pPr>
    </w:p>
    <w:p w14:paraId="324C0C05">
      <w:pPr>
        <w:pStyle w:val="3"/>
        <w:spacing w:line="261" w:lineRule="auto"/>
        <w:rPr>
          <w:color w:val="auto"/>
          <w:highlight w:val="none"/>
        </w:rPr>
      </w:pPr>
    </w:p>
    <w:p w14:paraId="16C51E4D">
      <w:pPr>
        <w:pStyle w:val="3"/>
        <w:spacing w:line="261" w:lineRule="auto"/>
        <w:rPr>
          <w:color w:val="auto"/>
          <w:highlight w:val="none"/>
        </w:rPr>
      </w:pPr>
    </w:p>
    <w:p w14:paraId="5D8AD226">
      <w:pPr>
        <w:spacing w:before="139" w:line="226" w:lineRule="auto"/>
        <w:ind w:left="2918"/>
        <w:rPr>
          <w:rFonts w:ascii="黑体" w:hAnsi="黑体" w:eastAsia="黑体" w:cs="黑体"/>
          <w:color w:val="auto"/>
          <w:sz w:val="43"/>
          <w:szCs w:val="43"/>
          <w:highlight w:val="none"/>
        </w:rPr>
      </w:pPr>
      <w:r>
        <w:rPr>
          <w:rFonts w:ascii="黑体" w:hAnsi="黑体" w:eastAsia="黑体" w:cs="黑体"/>
          <w:color w:val="auto"/>
          <w:spacing w:val="7"/>
          <w:sz w:val="43"/>
          <w:szCs w:val="43"/>
          <w:highlight w:val="none"/>
        </w:rPr>
        <w:t>工程量清单报价表</w:t>
      </w:r>
    </w:p>
    <w:p w14:paraId="108DF82E">
      <w:pPr>
        <w:pStyle w:val="3"/>
        <w:spacing w:line="249" w:lineRule="auto"/>
        <w:rPr>
          <w:color w:val="auto"/>
          <w:highlight w:val="none"/>
        </w:rPr>
      </w:pPr>
    </w:p>
    <w:p w14:paraId="1F3B0A09">
      <w:pPr>
        <w:pStyle w:val="3"/>
        <w:spacing w:line="249" w:lineRule="auto"/>
        <w:rPr>
          <w:color w:val="auto"/>
          <w:highlight w:val="none"/>
        </w:rPr>
      </w:pPr>
    </w:p>
    <w:p w14:paraId="0D090458">
      <w:pPr>
        <w:pStyle w:val="3"/>
        <w:spacing w:line="249" w:lineRule="auto"/>
        <w:rPr>
          <w:color w:val="auto"/>
          <w:highlight w:val="none"/>
        </w:rPr>
      </w:pPr>
    </w:p>
    <w:p w14:paraId="554B3B65">
      <w:pPr>
        <w:pStyle w:val="3"/>
        <w:spacing w:line="249" w:lineRule="auto"/>
        <w:rPr>
          <w:color w:val="auto"/>
          <w:highlight w:val="none"/>
        </w:rPr>
      </w:pPr>
    </w:p>
    <w:p w14:paraId="6A524F2B">
      <w:pPr>
        <w:pStyle w:val="3"/>
        <w:spacing w:line="249" w:lineRule="auto"/>
        <w:rPr>
          <w:color w:val="auto"/>
          <w:highlight w:val="none"/>
        </w:rPr>
      </w:pPr>
    </w:p>
    <w:p w14:paraId="2C370AF7">
      <w:pPr>
        <w:pStyle w:val="3"/>
        <w:spacing w:line="249" w:lineRule="auto"/>
        <w:rPr>
          <w:color w:val="auto"/>
          <w:highlight w:val="none"/>
        </w:rPr>
      </w:pPr>
    </w:p>
    <w:p w14:paraId="592FEF89">
      <w:pPr>
        <w:pStyle w:val="3"/>
        <w:spacing w:line="249" w:lineRule="auto"/>
        <w:rPr>
          <w:color w:val="auto"/>
          <w:highlight w:val="none"/>
        </w:rPr>
      </w:pPr>
    </w:p>
    <w:p w14:paraId="1E88434E">
      <w:pPr>
        <w:pStyle w:val="3"/>
        <w:spacing w:line="249" w:lineRule="auto"/>
        <w:rPr>
          <w:color w:val="auto"/>
          <w:highlight w:val="none"/>
        </w:rPr>
      </w:pPr>
    </w:p>
    <w:p w14:paraId="0BCEB846">
      <w:pPr>
        <w:pStyle w:val="3"/>
        <w:spacing w:line="250" w:lineRule="auto"/>
        <w:rPr>
          <w:color w:val="auto"/>
          <w:highlight w:val="none"/>
        </w:rPr>
      </w:pPr>
    </w:p>
    <w:p w14:paraId="3A4D95A1">
      <w:pPr>
        <w:pStyle w:val="3"/>
        <w:spacing w:line="250" w:lineRule="auto"/>
        <w:rPr>
          <w:color w:val="auto"/>
          <w:highlight w:val="none"/>
        </w:rPr>
      </w:pPr>
    </w:p>
    <w:p w14:paraId="2C3580E7">
      <w:pPr>
        <w:pStyle w:val="3"/>
        <w:spacing w:line="250" w:lineRule="auto"/>
        <w:rPr>
          <w:color w:val="auto"/>
          <w:highlight w:val="none"/>
        </w:rPr>
      </w:pPr>
    </w:p>
    <w:p w14:paraId="2B952265">
      <w:pPr>
        <w:pStyle w:val="3"/>
        <w:spacing w:line="250" w:lineRule="auto"/>
        <w:rPr>
          <w:color w:val="auto"/>
          <w:highlight w:val="none"/>
        </w:rPr>
      </w:pPr>
    </w:p>
    <w:p w14:paraId="2F87FC9E">
      <w:pPr>
        <w:pStyle w:val="3"/>
        <w:spacing w:line="250" w:lineRule="auto"/>
        <w:rPr>
          <w:color w:val="auto"/>
          <w:highlight w:val="none"/>
        </w:rPr>
      </w:pPr>
    </w:p>
    <w:p w14:paraId="48D0BD83">
      <w:pPr>
        <w:pStyle w:val="3"/>
        <w:spacing w:line="250" w:lineRule="auto"/>
        <w:rPr>
          <w:color w:val="auto"/>
          <w:highlight w:val="none"/>
        </w:rPr>
      </w:pPr>
    </w:p>
    <w:p w14:paraId="07EAC415">
      <w:pPr>
        <w:pStyle w:val="3"/>
        <w:spacing w:line="250" w:lineRule="auto"/>
        <w:rPr>
          <w:color w:val="auto"/>
          <w:highlight w:val="none"/>
        </w:rPr>
      </w:pPr>
    </w:p>
    <w:p w14:paraId="280508ED">
      <w:pPr>
        <w:pStyle w:val="3"/>
        <w:spacing w:line="250" w:lineRule="auto"/>
        <w:rPr>
          <w:color w:val="auto"/>
          <w:highlight w:val="none"/>
        </w:rPr>
      </w:pPr>
    </w:p>
    <w:p w14:paraId="7036F628">
      <w:pPr>
        <w:pStyle w:val="3"/>
        <w:spacing w:line="250" w:lineRule="auto"/>
        <w:rPr>
          <w:color w:val="auto"/>
          <w:highlight w:val="none"/>
        </w:rPr>
      </w:pPr>
    </w:p>
    <w:p w14:paraId="555524DD">
      <w:pPr>
        <w:spacing w:before="78" w:line="389" w:lineRule="auto"/>
        <w:ind w:left="6" w:right="1049" w:firstLine="1"/>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投</w:t>
      </w:r>
      <w:r>
        <w:rPr>
          <w:rFonts w:ascii="宋体" w:hAnsi="宋体" w:eastAsia="宋体" w:cs="宋体"/>
          <w:color w:val="auto"/>
          <w:spacing w:val="20"/>
          <w:sz w:val="24"/>
          <w:szCs w:val="24"/>
          <w:highlight w:val="none"/>
        </w:rPr>
        <w:t xml:space="preserve">    </w:t>
      </w:r>
      <w:r>
        <w:rPr>
          <w:rFonts w:ascii="宋体" w:hAnsi="宋体" w:eastAsia="宋体" w:cs="宋体"/>
          <w:color w:val="auto"/>
          <w:spacing w:val="-6"/>
          <w:sz w:val="24"/>
          <w:szCs w:val="24"/>
          <w:highlight w:val="none"/>
        </w:rPr>
        <w:t>标</w:t>
      </w:r>
      <w:r>
        <w:rPr>
          <w:rFonts w:ascii="宋体" w:hAnsi="宋体" w:eastAsia="宋体" w:cs="宋体"/>
          <w:color w:val="auto"/>
          <w:spacing w:val="20"/>
          <w:sz w:val="24"/>
          <w:szCs w:val="24"/>
          <w:highlight w:val="none"/>
        </w:rPr>
        <w:t xml:space="preserve">    </w:t>
      </w:r>
      <w:r>
        <w:rPr>
          <w:rFonts w:ascii="宋体" w:hAnsi="宋体" w:eastAsia="宋体" w:cs="宋体"/>
          <w:color w:val="auto"/>
          <w:spacing w:val="-6"/>
          <w:sz w:val="24"/>
          <w:szCs w:val="24"/>
          <w:highlight w:val="none"/>
        </w:rPr>
        <w:t>人</w:t>
      </w:r>
      <w:r>
        <w:rPr>
          <w:rFonts w:ascii="宋体" w:hAnsi="宋体" w:eastAsia="宋体" w:cs="宋体"/>
          <w:color w:val="auto"/>
          <w:spacing w:val="50"/>
          <w:sz w:val="24"/>
          <w:szCs w:val="24"/>
          <w:highlight w:val="none"/>
        </w:rPr>
        <w:t xml:space="preserve"> </w:t>
      </w:r>
      <w:r>
        <w:rPr>
          <w:rFonts w:ascii="宋体" w:hAnsi="宋体" w:eastAsia="宋体" w:cs="宋体"/>
          <w:color w:val="auto"/>
          <w:spacing w:val="-5"/>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b/>
          <w:bCs/>
          <w:color w:val="auto"/>
          <w:spacing w:val="-5"/>
          <w:sz w:val="24"/>
          <w:szCs w:val="24"/>
          <w:highlight w:val="none"/>
          <w:u w:val="single" w:color="auto"/>
        </w:rPr>
        <w:t>（</w:t>
      </w:r>
      <w:r>
        <w:rPr>
          <w:rFonts w:ascii="宋体" w:hAnsi="宋体" w:eastAsia="宋体" w:cs="宋体"/>
          <w:b/>
          <w:bCs/>
          <w:color w:val="auto"/>
          <w:spacing w:val="-6"/>
          <w:sz w:val="24"/>
          <w:szCs w:val="24"/>
          <w:highlight w:val="none"/>
          <w:u w:val="single" w:color="auto"/>
        </w:rPr>
        <w:t>全称</w:t>
      </w:r>
      <w:r>
        <w:rPr>
          <w:rFonts w:ascii="宋体" w:hAnsi="宋体" w:eastAsia="宋体" w:cs="宋体"/>
          <w:b/>
          <w:bCs/>
          <w:color w:val="auto"/>
          <w:spacing w:val="-5"/>
          <w:sz w:val="24"/>
          <w:szCs w:val="24"/>
          <w:highlight w:val="none"/>
          <w:u w:val="single" w:color="auto"/>
        </w:rPr>
        <w:t>）</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95"/>
          <w:sz w:val="24"/>
          <w:szCs w:val="24"/>
          <w:highlight w:val="none"/>
        </w:rPr>
        <w:t xml:space="preserve"> </w:t>
      </w:r>
      <w:r>
        <w:rPr>
          <w:rFonts w:ascii="宋体" w:hAnsi="宋体" w:eastAsia="宋体" w:cs="宋体"/>
          <w:color w:val="auto"/>
          <w:spacing w:val="-5"/>
          <w:sz w:val="24"/>
          <w:szCs w:val="24"/>
          <w:highlight w:val="none"/>
        </w:rPr>
        <w:t>（</w:t>
      </w:r>
      <w:r>
        <w:rPr>
          <w:rFonts w:ascii="宋体" w:hAnsi="宋体" w:eastAsia="宋体" w:cs="宋体"/>
          <w:color w:val="auto"/>
          <w:spacing w:val="-6"/>
          <w:sz w:val="24"/>
          <w:szCs w:val="24"/>
          <w:highlight w:val="none"/>
        </w:rPr>
        <w:t>盖单位公章）</w:t>
      </w:r>
      <w:r>
        <w:rPr>
          <w:rFonts w:ascii="宋体" w:hAnsi="宋体" w:eastAsia="宋体" w:cs="宋体"/>
          <w:color w:val="auto"/>
          <w:spacing w:val="-9"/>
          <w:sz w:val="24"/>
          <w:szCs w:val="24"/>
          <w:highlight w:val="none"/>
        </w:rPr>
        <w:t>法</w:t>
      </w:r>
      <w:r>
        <w:rPr>
          <w:rFonts w:ascii="宋体" w:hAnsi="宋体" w:eastAsia="宋体" w:cs="宋体"/>
          <w:color w:val="auto"/>
          <w:spacing w:val="-29"/>
          <w:sz w:val="24"/>
          <w:szCs w:val="24"/>
          <w:highlight w:val="none"/>
        </w:rPr>
        <w:t xml:space="preserve"> </w:t>
      </w:r>
      <w:r>
        <w:rPr>
          <w:rFonts w:ascii="宋体" w:hAnsi="宋体" w:eastAsia="宋体" w:cs="宋体"/>
          <w:color w:val="auto"/>
          <w:spacing w:val="-9"/>
          <w:sz w:val="24"/>
          <w:szCs w:val="24"/>
          <w:highlight w:val="none"/>
        </w:rPr>
        <w:t>定</w:t>
      </w:r>
      <w:r>
        <w:rPr>
          <w:rFonts w:ascii="宋体" w:hAnsi="宋体" w:eastAsia="宋体" w:cs="宋体"/>
          <w:color w:val="auto"/>
          <w:spacing w:val="-35"/>
          <w:sz w:val="24"/>
          <w:szCs w:val="24"/>
          <w:highlight w:val="none"/>
        </w:rPr>
        <w:t xml:space="preserve"> </w:t>
      </w:r>
      <w:r>
        <w:rPr>
          <w:rFonts w:ascii="宋体" w:hAnsi="宋体" w:eastAsia="宋体" w:cs="宋体"/>
          <w:color w:val="auto"/>
          <w:spacing w:val="-9"/>
          <w:sz w:val="24"/>
          <w:szCs w:val="24"/>
          <w:highlight w:val="none"/>
        </w:rPr>
        <w:t>代</w:t>
      </w:r>
      <w:r>
        <w:rPr>
          <w:rFonts w:ascii="宋体" w:hAnsi="宋体" w:eastAsia="宋体" w:cs="宋体"/>
          <w:color w:val="auto"/>
          <w:spacing w:val="-35"/>
          <w:sz w:val="24"/>
          <w:szCs w:val="24"/>
          <w:highlight w:val="none"/>
        </w:rPr>
        <w:t xml:space="preserve"> </w:t>
      </w:r>
      <w:r>
        <w:rPr>
          <w:rFonts w:ascii="宋体" w:hAnsi="宋体" w:eastAsia="宋体" w:cs="宋体"/>
          <w:color w:val="auto"/>
          <w:spacing w:val="-9"/>
          <w:sz w:val="24"/>
          <w:szCs w:val="24"/>
          <w:highlight w:val="none"/>
        </w:rPr>
        <w:t>表</w:t>
      </w:r>
      <w:r>
        <w:rPr>
          <w:rFonts w:ascii="宋体" w:hAnsi="宋体" w:eastAsia="宋体" w:cs="宋体"/>
          <w:color w:val="auto"/>
          <w:spacing w:val="-32"/>
          <w:sz w:val="24"/>
          <w:szCs w:val="24"/>
          <w:highlight w:val="none"/>
        </w:rPr>
        <w:t xml:space="preserve"> </w:t>
      </w:r>
      <w:r>
        <w:rPr>
          <w:rFonts w:ascii="宋体" w:hAnsi="宋体" w:eastAsia="宋体" w:cs="宋体"/>
          <w:color w:val="auto"/>
          <w:spacing w:val="-9"/>
          <w:sz w:val="24"/>
          <w:szCs w:val="24"/>
          <w:highlight w:val="none"/>
        </w:rPr>
        <w:t>人</w:t>
      </w:r>
      <w:r>
        <w:rPr>
          <w:rFonts w:ascii="宋体" w:hAnsi="宋体" w:eastAsia="宋体" w:cs="宋体"/>
          <w:color w:val="auto"/>
          <w:spacing w:val="-31"/>
          <w:sz w:val="24"/>
          <w:szCs w:val="24"/>
          <w:highlight w:val="none"/>
        </w:rPr>
        <w:t xml:space="preserve"> </w:t>
      </w:r>
      <w:r>
        <w:rPr>
          <w:rFonts w:ascii="宋体" w:hAnsi="宋体" w:eastAsia="宋体" w:cs="宋体"/>
          <w:color w:val="auto"/>
          <w:spacing w:val="-9"/>
          <w:sz w:val="24"/>
          <w:szCs w:val="24"/>
          <w:highlight w:val="none"/>
        </w:rPr>
        <w:t>或</w:t>
      </w:r>
    </w:p>
    <w:p w14:paraId="3B50CEDA">
      <w:pPr>
        <w:spacing w:before="1" w:line="218" w:lineRule="auto"/>
        <w:ind w:left="4"/>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委</w:t>
      </w:r>
      <w:r>
        <w:rPr>
          <w:rFonts w:ascii="宋体" w:hAnsi="宋体" w:eastAsia="宋体" w:cs="宋体"/>
          <w:color w:val="auto"/>
          <w:spacing w:val="45"/>
          <w:sz w:val="24"/>
          <w:szCs w:val="24"/>
          <w:highlight w:val="none"/>
        </w:rPr>
        <w:t xml:space="preserve"> </w:t>
      </w:r>
      <w:r>
        <w:rPr>
          <w:rFonts w:ascii="宋体" w:hAnsi="宋体" w:eastAsia="宋体" w:cs="宋体"/>
          <w:color w:val="auto"/>
          <w:spacing w:val="-6"/>
          <w:sz w:val="24"/>
          <w:szCs w:val="24"/>
          <w:highlight w:val="none"/>
        </w:rPr>
        <w:t>托</w:t>
      </w:r>
      <w:r>
        <w:rPr>
          <w:rFonts w:ascii="宋体" w:hAnsi="宋体" w:eastAsia="宋体" w:cs="宋体"/>
          <w:color w:val="auto"/>
          <w:spacing w:val="44"/>
          <w:sz w:val="24"/>
          <w:szCs w:val="24"/>
          <w:highlight w:val="none"/>
        </w:rPr>
        <w:t xml:space="preserve"> </w:t>
      </w:r>
      <w:r>
        <w:rPr>
          <w:rFonts w:ascii="宋体" w:hAnsi="宋体" w:eastAsia="宋体" w:cs="宋体"/>
          <w:color w:val="auto"/>
          <w:spacing w:val="-6"/>
          <w:sz w:val="24"/>
          <w:szCs w:val="24"/>
          <w:highlight w:val="none"/>
        </w:rPr>
        <w:t>代</w:t>
      </w:r>
      <w:r>
        <w:rPr>
          <w:rFonts w:ascii="宋体" w:hAnsi="宋体" w:eastAsia="宋体" w:cs="宋体"/>
          <w:color w:val="auto"/>
          <w:spacing w:val="49"/>
          <w:sz w:val="24"/>
          <w:szCs w:val="24"/>
          <w:highlight w:val="none"/>
        </w:rPr>
        <w:t xml:space="preserve"> </w:t>
      </w:r>
      <w:r>
        <w:rPr>
          <w:rFonts w:ascii="宋体" w:hAnsi="宋体" w:eastAsia="宋体" w:cs="宋体"/>
          <w:color w:val="auto"/>
          <w:spacing w:val="-6"/>
          <w:sz w:val="24"/>
          <w:szCs w:val="24"/>
          <w:highlight w:val="none"/>
        </w:rPr>
        <w:t>理</w:t>
      </w:r>
      <w:r>
        <w:rPr>
          <w:rFonts w:ascii="宋体" w:hAnsi="宋体" w:eastAsia="宋体" w:cs="宋体"/>
          <w:color w:val="auto"/>
          <w:spacing w:val="47"/>
          <w:sz w:val="24"/>
          <w:szCs w:val="24"/>
          <w:highlight w:val="none"/>
        </w:rPr>
        <w:t xml:space="preserve"> </w:t>
      </w:r>
      <w:r>
        <w:rPr>
          <w:rFonts w:ascii="宋体" w:hAnsi="宋体" w:eastAsia="宋体" w:cs="宋体"/>
          <w:color w:val="auto"/>
          <w:spacing w:val="-6"/>
          <w:sz w:val="24"/>
          <w:szCs w:val="24"/>
          <w:highlight w:val="none"/>
        </w:rPr>
        <w:t>人</w:t>
      </w:r>
      <w:r>
        <w:rPr>
          <w:rFonts w:ascii="宋体" w:hAnsi="宋体" w:eastAsia="宋体" w:cs="宋体"/>
          <w:color w:val="auto"/>
          <w:spacing w:val="44"/>
          <w:sz w:val="24"/>
          <w:szCs w:val="24"/>
          <w:highlight w:val="none"/>
        </w:rPr>
        <w:t xml:space="preserve"> </w:t>
      </w:r>
      <w:r>
        <w:rPr>
          <w:rFonts w:ascii="宋体" w:hAnsi="宋体" w:eastAsia="宋体" w:cs="宋体"/>
          <w:color w:val="auto"/>
          <w:spacing w:val="-7"/>
          <w:sz w:val="24"/>
          <w:szCs w:val="24"/>
          <w:highlight w:val="none"/>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95"/>
          <w:sz w:val="24"/>
          <w:szCs w:val="24"/>
          <w:highlight w:val="none"/>
        </w:rPr>
        <w:t xml:space="preserve"> </w:t>
      </w:r>
      <w:r>
        <w:rPr>
          <w:rFonts w:ascii="宋体" w:hAnsi="宋体" w:eastAsia="宋体" w:cs="宋体"/>
          <w:color w:val="auto"/>
          <w:spacing w:val="-7"/>
          <w:sz w:val="24"/>
          <w:szCs w:val="24"/>
          <w:highlight w:val="none"/>
        </w:rPr>
        <w:t>（</w:t>
      </w:r>
      <w:r>
        <w:rPr>
          <w:rFonts w:ascii="宋体" w:hAnsi="宋体" w:eastAsia="宋体" w:cs="宋体"/>
          <w:color w:val="auto"/>
          <w:spacing w:val="-6"/>
          <w:sz w:val="24"/>
          <w:szCs w:val="24"/>
          <w:highlight w:val="none"/>
        </w:rPr>
        <w:t>签字或盖章）</w:t>
      </w:r>
    </w:p>
    <w:p w14:paraId="53506549">
      <w:pPr>
        <w:pStyle w:val="3"/>
        <w:spacing w:line="329" w:lineRule="auto"/>
        <w:rPr>
          <w:color w:val="auto"/>
          <w:highlight w:val="none"/>
        </w:rPr>
      </w:pPr>
    </w:p>
    <w:p w14:paraId="465E9F3B">
      <w:pPr>
        <w:pStyle w:val="3"/>
        <w:spacing w:line="329" w:lineRule="auto"/>
        <w:rPr>
          <w:color w:val="auto"/>
          <w:highlight w:val="none"/>
        </w:rPr>
      </w:pPr>
    </w:p>
    <w:p w14:paraId="3FA34C55">
      <w:pPr>
        <w:spacing w:before="78" w:line="218" w:lineRule="auto"/>
        <w:ind w:left="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造</w:t>
      </w:r>
      <w:r>
        <w:rPr>
          <w:rFonts w:ascii="宋体" w:hAnsi="宋体" w:eastAsia="宋体" w:cs="宋体"/>
          <w:color w:val="auto"/>
          <w:spacing w:val="47"/>
          <w:sz w:val="24"/>
          <w:szCs w:val="24"/>
          <w:highlight w:val="none"/>
        </w:rPr>
        <w:t xml:space="preserve"> </w:t>
      </w:r>
      <w:r>
        <w:rPr>
          <w:rFonts w:ascii="宋体" w:hAnsi="宋体" w:eastAsia="宋体" w:cs="宋体"/>
          <w:color w:val="auto"/>
          <w:spacing w:val="-5"/>
          <w:sz w:val="24"/>
          <w:szCs w:val="24"/>
          <w:highlight w:val="none"/>
        </w:rPr>
        <w:t>价</w:t>
      </w:r>
      <w:r>
        <w:rPr>
          <w:rFonts w:ascii="宋体" w:hAnsi="宋体" w:eastAsia="宋体" w:cs="宋体"/>
          <w:color w:val="auto"/>
          <w:spacing w:val="49"/>
          <w:sz w:val="24"/>
          <w:szCs w:val="24"/>
          <w:highlight w:val="none"/>
        </w:rPr>
        <w:t xml:space="preserve"> </w:t>
      </w:r>
      <w:r>
        <w:rPr>
          <w:rFonts w:ascii="宋体" w:hAnsi="宋体" w:eastAsia="宋体" w:cs="宋体"/>
          <w:color w:val="auto"/>
          <w:spacing w:val="-5"/>
          <w:sz w:val="24"/>
          <w:szCs w:val="24"/>
          <w:highlight w:val="none"/>
        </w:rPr>
        <w:t>工</w:t>
      </w:r>
      <w:r>
        <w:rPr>
          <w:rFonts w:ascii="宋体" w:hAnsi="宋体" w:eastAsia="宋体" w:cs="宋体"/>
          <w:color w:val="auto"/>
          <w:spacing w:val="44"/>
          <w:sz w:val="24"/>
          <w:szCs w:val="24"/>
          <w:highlight w:val="none"/>
        </w:rPr>
        <w:t xml:space="preserve"> </w:t>
      </w:r>
      <w:r>
        <w:rPr>
          <w:rFonts w:ascii="宋体" w:hAnsi="宋体" w:eastAsia="宋体" w:cs="宋体"/>
          <w:color w:val="auto"/>
          <w:spacing w:val="-5"/>
          <w:sz w:val="24"/>
          <w:szCs w:val="24"/>
          <w:highlight w:val="none"/>
        </w:rPr>
        <w:t>程</w:t>
      </w:r>
      <w:r>
        <w:rPr>
          <w:rFonts w:ascii="宋体" w:hAnsi="宋体" w:eastAsia="宋体" w:cs="宋体"/>
          <w:color w:val="auto"/>
          <w:spacing w:val="49"/>
          <w:sz w:val="24"/>
          <w:szCs w:val="24"/>
          <w:highlight w:val="none"/>
        </w:rPr>
        <w:t xml:space="preserve"> </w:t>
      </w:r>
      <w:r>
        <w:rPr>
          <w:rFonts w:ascii="宋体" w:hAnsi="宋体" w:eastAsia="宋体" w:cs="宋体"/>
          <w:color w:val="auto"/>
          <w:spacing w:val="-5"/>
          <w:sz w:val="24"/>
          <w:szCs w:val="24"/>
          <w:highlight w:val="none"/>
        </w:rPr>
        <w:t>师</w:t>
      </w:r>
      <w:r>
        <w:rPr>
          <w:rFonts w:ascii="宋体" w:hAnsi="宋体" w:eastAsia="宋体" w:cs="宋体"/>
          <w:color w:val="auto"/>
          <w:spacing w:val="45"/>
          <w:sz w:val="24"/>
          <w:szCs w:val="24"/>
          <w:highlight w:val="none"/>
        </w:rPr>
        <w:t xml:space="preserve"> </w:t>
      </w:r>
      <w:r>
        <w:rPr>
          <w:rFonts w:ascii="宋体" w:hAnsi="宋体" w:eastAsia="宋体" w:cs="宋体"/>
          <w:color w:val="auto"/>
          <w:spacing w:val="-5"/>
          <w:sz w:val="24"/>
          <w:szCs w:val="24"/>
          <w:highlight w:val="none"/>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95"/>
          <w:sz w:val="24"/>
          <w:szCs w:val="24"/>
          <w:highlight w:val="none"/>
        </w:rPr>
        <w:t xml:space="preserve"> </w:t>
      </w:r>
      <w:r>
        <w:rPr>
          <w:rFonts w:ascii="宋体" w:hAnsi="宋体" w:eastAsia="宋体" w:cs="宋体"/>
          <w:color w:val="auto"/>
          <w:spacing w:val="-5"/>
          <w:sz w:val="24"/>
          <w:szCs w:val="24"/>
          <w:highlight w:val="none"/>
        </w:rPr>
        <w:t>（签字并盖执业专用章）</w:t>
      </w:r>
    </w:p>
    <w:p w14:paraId="306526AF">
      <w:pPr>
        <w:pStyle w:val="3"/>
        <w:spacing w:line="329" w:lineRule="auto"/>
        <w:rPr>
          <w:color w:val="auto"/>
          <w:highlight w:val="none"/>
        </w:rPr>
      </w:pPr>
    </w:p>
    <w:p w14:paraId="4BB55150">
      <w:pPr>
        <w:pStyle w:val="3"/>
        <w:spacing w:line="329" w:lineRule="auto"/>
        <w:rPr>
          <w:color w:val="auto"/>
          <w:highlight w:val="none"/>
        </w:rPr>
      </w:pPr>
    </w:p>
    <w:p w14:paraId="281A8A93">
      <w:pPr>
        <w:spacing w:before="78" w:line="220" w:lineRule="auto"/>
        <w:rPr>
          <w:rFonts w:ascii="宋体" w:hAnsi="宋体" w:eastAsia="宋体" w:cs="宋体"/>
          <w:color w:val="auto"/>
          <w:sz w:val="24"/>
          <w:szCs w:val="24"/>
          <w:highlight w:val="none"/>
        </w:rPr>
      </w:pPr>
      <w:r>
        <w:rPr>
          <w:rFonts w:ascii="宋体" w:hAnsi="宋体" w:eastAsia="宋体" w:cs="宋体"/>
          <w:color w:val="auto"/>
          <w:spacing w:val="-21"/>
          <w:sz w:val="24"/>
          <w:szCs w:val="24"/>
          <w:highlight w:val="none"/>
        </w:rPr>
        <w:t>编</w:t>
      </w:r>
      <w:r>
        <w:rPr>
          <w:rFonts w:ascii="宋体" w:hAnsi="宋体" w:eastAsia="宋体" w:cs="宋体"/>
          <w:color w:val="auto"/>
          <w:spacing w:val="4"/>
          <w:sz w:val="24"/>
          <w:szCs w:val="24"/>
          <w:highlight w:val="none"/>
        </w:rPr>
        <w:t xml:space="preserve">   </w:t>
      </w:r>
      <w:r>
        <w:rPr>
          <w:rFonts w:ascii="宋体" w:hAnsi="宋体" w:eastAsia="宋体" w:cs="宋体"/>
          <w:color w:val="auto"/>
          <w:spacing w:val="-21"/>
          <w:sz w:val="24"/>
          <w:szCs w:val="24"/>
          <w:highlight w:val="none"/>
        </w:rPr>
        <w:t>制</w:t>
      </w:r>
      <w:r>
        <w:rPr>
          <w:rFonts w:ascii="宋体" w:hAnsi="宋体" w:eastAsia="宋体" w:cs="宋体"/>
          <w:color w:val="auto"/>
          <w:spacing w:val="11"/>
          <w:sz w:val="24"/>
          <w:szCs w:val="24"/>
          <w:highlight w:val="none"/>
        </w:rPr>
        <w:t xml:space="preserve">  </w:t>
      </w:r>
      <w:r>
        <w:rPr>
          <w:rFonts w:ascii="宋体" w:hAnsi="宋体" w:eastAsia="宋体" w:cs="宋体"/>
          <w:color w:val="auto"/>
          <w:spacing w:val="-21"/>
          <w:sz w:val="24"/>
          <w:szCs w:val="24"/>
          <w:highlight w:val="none"/>
        </w:rPr>
        <w:t>时</w:t>
      </w:r>
      <w:r>
        <w:rPr>
          <w:rFonts w:ascii="宋体" w:hAnsi="宋体" w:eastAsia="宋体" w:cs="宋体"/>
          <w:color w:val="auto"/>
          <w:spacing w:val="14"/>
          <w:sz w:val="24"/>
          <w:szCs w:val="24"/>
          <w:highlight w:val="none"/>
        </w:rPr>
        <w:t xml:space="preserve">  </w:t>
      </w:r>
      <w:r>
        <w:rPr>
          <w:rFonts w:ascii="宋体" w:hAnsi="宋体" w:eastAsia="宋体" w:cs="宋体"/>
          <w:color w:val="auto"/>
          <w:spacing w:val="-21"/>
          <w:sz w:val="24"/>
          <w:szCs w:val="24"/>
          <w:highlight w:val="none"/>
        </w:rPr>
        <w:t>间</w:t>
      </w:r>
      <w:r>
        <w:rPr>
          <w:rFonts w:ascii="宋体" w:hAnsi="宋体" w:eastAsia="宋体" w:cs="宋体"/>
          <w:color w:val="auto"/>
          <w:spacing w:val="76"/>
          <w:sz w:val="24"/>
          <w:szCs w:val="24"/>
          <w:highlight w:val="none"/>
        </w:rPr>
        <w:t xml:space="preserve"> </w:t>
      </w:r>
      <w:r>
        <w:rPr>
          <w:rFonts w:ascii="宋体" w:hAnsi="宋体" w:eastAsia="宋体" w:cs="宋体"/>
          <w:color w:val="auto"/>
          <w:spacing w:val="-21"/>
          <w:sz w:val="24"/>
          <w:szCs w:val="24"/>
          <w:highlight w:val="none"/>
        </w:rPr>
        <w:t>：</w:t>
      </w:r>
      <w:r>
        <w:rPr>
          <w:rFonts w:ascii="宋体" w:hAnsi="宋体" w:eastAsia="宋体" w:cs="宋体"/>
          <w:color w:val="auto"/>
          <w:sz w:val="24"/>
          <w:szCs w:val="24"/>
          <w:highlight w:val="none"/>
          <w:u w:val="single" w:color="auto"/>
        </w:rPr>
        <w:t xml:space="preserve">                                   </w:t>
      </w:r>
    </w:p>
    <w:p w14:paraId="76A9BF44">
      <w:pPr>
        <w:spacing w:line="220" w:lineRule="auto"/>
        <w:rPr>
          <w:rFonts w:ascii="宋体" w:hAnsi="宋体" w:eastAsia="宋体" w:cs="宋体"/>
          <w:color w:val="auto"/>
          <w:sz w:val="24"/>
          <w:szCs w:val="24"/>
          <w:highlight w:val="none"/>
        </w:rPr>
        <w:sectPr>
          <w:footerReference r:id="rId165" w:type="default"/>
          <w:pgSz w:w="11907" w:h="16841"/>
          <w:pgMar w:top="400" w:right="1527" w:bottom="1254" w:left="1321" w:header="0" w:footer="1093" w:gutter="0"/>
          <w:pgNumType w:fmt="decimal"/>
          <w:cols w:space="720" w:num="1"/>
        </w:sectPr>
      </w:pPr>
    </w:p>
    <w:p w14:paraId="3EFBE550">
      <w:pPr>
        <w:pStyle w:val="3"/>
        <w:spacing w:line="270" w:lineRule="auto"/>
        <w:rPr>
          <w:color w:val="auto"/>
          <w:highlight w:val="none"/>
        </w:rPr>
      </w:pPr>
    </w:p>
    <w:p w14:paraId="697433B1">
      <w:pPr>
        <w:pStyle w:val="3"/>
        <w:spacing w:line="270" w:lineRule="auto"/>
        <w:rPr>
          <w:color w:val="auto"/>
          <w:highlight w:val="none"/>
        </w:rPr>
      </w:pPr>
    </w:p>
    <w:p w14:paraId="25FCA75A">
      <w:pPr>
        <w:pStyle w:val="3"/>
        <w:spacing w:line="270" w:lineRule="auto"/>
        <w:rPr>
          <w:color w:val="auto"/>
          <w:highlight w:val="none"/>
        </w:rPr>
      </w:pPr>
    </w:p>
    <w:p w14:paraId="1B3FC470">
      <w:pPr>
        <w:pStyle w:val="3"/>
        <w:spacing w:line="271" w:lineRule="auto"/>
        <w:rPr>
          <w:color w:val="auto"/>
          <w:highlight w:val="none"/>
        </w:rPr>
      </w:pPr>
    </w:p>
    <w:p w14:paraId="74C3C57E">
      <w:pPr>
        <w:pStyle w:val="3"/>
        <w:spacing w:line="271" w:lineRule="auto"/>
        <w:rPr>
          <w:color w:val="auto"/>
          <w:highlight w:val="none"/>
        </w:rPr>
      </w:pPr>
    </w:p>
    <w:p w14:paraId="0DC735DC">
      <w:pPr>
        <w:spacing w:before="169" w:line="218" w:lineRule="auto"/>
        <w:ind w:left="2973"/>
        <w:rPr>
          <w:rFonts w:ascii="宋体" w:hAnsi="宋体" w:eastAsia="宋体" w:cs="宋体"/>
          <w:color w:val="auto"/>
          <w:sz w:val="52"/>
          <w:szCs w:val="52"/>
          <w:highlight w:val="none"/>
        </w:rPr>
      </w:pPr>
      <w:r>
        <w:rPr>
          <w:rFonts w:ascii="宋体" w:hAnsi="宋体" w:eastAsia="宋体" w:cs="宋体"/>
          <w:b/>
          <w:bCs/>
          <w:color w:val="auto"/>
          <w:spacing w:val="-26"/>
          <w:sz w:val="52"/>
          <w:szCs w:val="52"/>
          <w:highlight w:val="none"/>
        </w:rPr>
        <w:t>投</w:t>
      </w:r>
      <w:r>
        <w:rPr>
          <w:rFonts w:ascii="宋体" w:hAnsi="宋体" w:eastAsia="宋体" w:cs="宋体"/>
          <w:color w:val="auto"/>
          <w:spacing w:val="26"/>
          <w:sz w:val="52"/>
          <w:szCs w:val="52"/>
          <w:highlight w:val="none"/>
        </w:rPr>
        <w:t xml:space="preserve"> </w:t>
      </w:r>
      <w:r>
        <w:rPr>
          <w:rFonts w:ascii="宋体" w:hAnsi="宋体" w:eastAsia="宋体" w:cs="宋体"/>
          <w:b/>
          <w:bCs/>
          <w:color w:val="auto"/>
          <w:spacing w:val="-26"/>
          <w:sz w:val="52"/>
          <w:szCs w:val="52"/>
          <w:highlight w:val="none"/>
        </w:rPr>
        <w:t>标</w:t>
      </w:r>
      <w:r>
        <w:rPr>
          <w:rFonts w:ascii="宋体" w:hAnsi="宋体" w:eastAsia="宋体" w:cs="宋体"/>
          <w:color w:val="auto"/>
          <w:spacing w:val="36"/>
          <w:sz w:val="52"/>
          <w:szCs w:val="52"/>
          <w:highlight w:val="none"/>
        </w:rPr>
        <w:t xml:space="preserve"> </w:t>
      </w:r>
      <w:r>
        <w:rPr>
          <w:rFonts w:ascii="宋体" w:hAnsi="宋体" w:eastAsia="宋体" w:cs="宋体"/>
          <w:b/>
          <w:bCs/>
          <w:color w:val="auto"/>
          <w:spacing w:val="-26"/>
          <w:sz w:val="52"/>
          <w:szCs w:val="52"/>
          <w:highlight w:val="none"/>
        </w:rPr>
        <w:t>总</w:t>
      </w:r>
      <w:r>
        <w:rPr>
          <w:rFonts w:ascii="宋体" w:hAnsi="宋体" w:eastAsia="宋体" w:cs="宋体"/>
          <w:color w:val="auto"/>
          <w:spacing w:val="24"/>
          <w:sz w:val="52"/>
          <w:szCs w:val="52"/>
          <w:highlight w:val="none"/>
        </w:rPr>
        <w:t xml:space="preserve"> </w:t>
      </w:r>
      <w:r>
        <w:rPr>
          <w:rFonts w:ascii="宋体" w:hAnsi="宋体" w:eastAsia="宋体" w:cs="宋体"/>
          <w:b/>
          <w:bCs/>
          <w:color w:val="auto"/>
          <w:spacing w:val="-26"/>
          <w:sz w:val="52"/>
          <w:szCs w:val="52"/>
          <w:highlight w:val="none"/>
        </w:rPr>
        <w:t>价</w:t>
      </w:r>
    </w:p>
    <w:p w14:paraId="322DD11C">
      <w:pPr>
        <w:pStyle w:val="3"/>
        <w:spacing w:line="344" w:lineRule="auto"/>
        <w:rPr>
          <w:color w:val="auto"/>
          <w:highlight w:val="none"/>
        </w:rPr>
      </w:pPr>
    </w:p>
    <w:p w14:paraId="6727F0BB">
      <w:pPr>
        <w:pStyle w:val="3"/>
        <w:spacing w:line="345" w:lineRule="auto"/>
        <w:rPr>
          <w:color w:val="auto"/>
          <w:highlight w:val="none"/>
        </w:rPr>
      </w:pPr>
    </w:p>
    <w:p w14:paraId="38D5D141">
      <w:pPr>
        <w:spacing w:before="78" w:line="220" w:lineRule="auto"/>
        <w:ind w:left="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工  程  名</w:t>
      </w:r>
      <w:r>
        <w:rPr>
          <w:rFonts w:ascii="宋体" w:hAnsi="宋体" w:eastAsia="宋体" w:cs="宋体"/>
          <w:color w:val="auto"/>
          <w:spacing w:val="4"/>
          <w:sz w:val="24"/>
          <w:szCs w:val="24"/>
          <w:highlight w:val="none"/>
        </w:rPr>
        <w:t xml:space="preserve">  </w:t>
      </w:r>
      <w:r>
        <w:rPr>
          <w:rFonts w:ascii="宋体" w:hAnsi="宋体" w:eastAsia="宋体" w:cs="宋体"/>
          <w:color w:val="auto"/>
          <w:spacing w:val="-1"/>
          <w:sz w:val="24"/>
          <w:szCs w:val="24"/>
          <w:highlight w:val="none"/>
        </w:rPr>
        <w:t>称</w:t>
      </w:r>
      <w:r>
        <w:rPr>
          <w:rFonts w:ascii="宋体" w:hAnsi="宋体" w:eastAsia="宋体" w:cs="宋体"/>
          <w:color w:val="auto"/>
          <w:spacing w:val="-2"/>
          <w:sz w:val="24"/>
          <w:szCs w:val="24"/>
          <w:highlight w:val="none"/>
        </w:rPr>
        <w:t>：</w:t>
      </w:r>
      <w:r>
        <w:rPr>
          <w:rFonts w:ascii="宋体" w:hAnsi="宋体" w:eastAsia="宋体" w:cs="宋体"/>
          <w:color w:val="auto"/>
          <w:spacing w:val="13"/>
          <w:sz w:val="24"/>
          <w:szCs w:val="24"/>
          <w:highlight w:val="none"/>
          <w:u w:val="single" w:color="auto"/>
        </w:rPr>
        <w:t xml:space="preserve">         </w:t>
      </w:r>
      <w:r>
        <w:rPr>
          <w:rFonts w:ascii="宋体" w:hAnsi="宋体" w:eastAsia="宋体" w:cs="宋体"/>
          <w:color w:val="auto"/>
          <w:spacing w:val="-2"/>
          <w:sz w:val="24"/>
          <w:szCs w:val="24"/>
          <w:highlight w:val="none"/>
          <w:u w:val="single" w:color="auto"/>
        </w:rPr>
        <w:t>（</w:t>
      </w:r>
      <w:r>
        <w:rPr>
          <w:rFonts w:ascii="宋体" w:hAnsi="宋体" w:eastAsia="宋体" w:cs="宋体"/>
          <w:color w:val="auto"/>
          <w:spacing w:val="-1"/>
          <w:sz w:val="24"/>
          <w:szCs w:val="24"/>
          <w:highlight w:val="none"/>
          <w:u w:val="single" w:color="auto"/>
        </w:rPr>
        <w:t>项目名称及标段名称）</w:t>
      </w:r>
      <w:r>
        <w:rPr>
          <w:rFonts w:ascii="宋体" w:hAnsi="宋体" w:eastAsia="宋体" w:cs="宋体"/>
          <w:color w:val="auto"/>
          <w:sz w:val="24"/>
          <w:szCs w:val="24"/>
          <w:highlight w:val="none"/>
          <w:u w:val="single" w:color="auto"/>
        </w:rPr>
        <w:t xml:space="preserve">       </w:t>
      </w:r>
    </w:p>
    <w:p w14:paraId="4EF1A059">
      <w:pPr>
        <w:pStyle w:val="3"/>
        <w:spacing w:line="256" w:lineRule="auto"/>
        <w:rPr>
          <w:color w:val="auto"/>
          <w:highlight w:val="none"/>
        </w:rPr>
      </w:pPr>
    </w:p>
    <w:p w14:paraId="18276245">
      <w:pPr>
        <w:pStyle w:val="3"/>
        <w:spacing w:line="257" w:lineRule="auto"/>
        <w:rPr>
          <w:color w:val="auto"/>
          <w:highlight w:val="none"/>
        </w:rPr>
      </w:pPr>
    </w:p>
    <w:p w14:paraId="23E8A003">
      <w:pPr>
        <w:spacing w:before="78" w:line="218" w:lineRule="auto"/>
        <w:ind w:left="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投标总价（小写</w:t>
      </w:r>
      <w:r>
        <w:rPr>
          <w:rFonts w:ascii="宋体" w:hAnsi="宋体" w:eastAsia="宋体" w:cs="宋体"/>
          <w:color w:val="auto"/>
          <w:sz w:val="24"/>
          <w:szCs w:val="24"/>
          <w:highlight w:val="none"/>
        </w:rPr>
        <w:t>）：</w:t>
      </w:r>
      <w:r>
        <w:rPr>
          <w:rFonts w:ascii="宋体" w:hAnsi="宋体" w:eastAsia="宋体" w:cs="宋体"/>
          <w:color w:val="auto"/>
          <w:sz w:val="24"/>
          <w:szCs w:val="24"/>
          <w:highlight w:val="none"/>
          <w:u w:val="single" w:color="auto"/>
        </w:rPr>
        <w:t xml:space="preserve">                                 </w:t>
      </w:r>
    </w:p>
    <w:p w14:paraId="7ADC7445">
      <w:pPr>
        <w:pStyle w:val="3"/>
        <w:spacing w:line="258" w:lineRule="auto"/>
        <w:rPr>
          <w:color w:val="auto"/>
          <w:highlight w:val="none"/>
        </w:rPr>
      </w:pPr>
    </w:p>
    <w:p w14:paraId="369CCF92">
      <w:pPr>
        <w:pStyle w:val="3"/>
        <w:spacing w:line="258" w:lineRule="auto"/>
        <w:rPr>
          <w:color w:val="auto"/>
          <w:highlight w:val="none"/>
        </w:rPr>
      </w:pPr>
    </w:p>
    <w:p w14:paraId="6E961066">
      <w:pPr>
        <w:spacing w:before="78" w:line="220" w:lineRule="auto"/>
        <w:ind w:left="96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（大写</w:t>
      </w:r>
      <w:r>
        <w:rPr>
          <w:rFonts w:ascii="宋体" w:hAnsi="宋体" w:eastAsia="宋体" w:cs="宋体"/>
          <w:color w:val="auto"/>
          <w:spacing w:val="-3"/>
          <w:sz w:val="24"/>
          <w:szCs w:val="24"/>
          <w:highlight w:val="none"/>
        </w:rPr>
        <w:t>）：</w:t>
      </w:r>
      <w:r>
        <w:rPr>
          <w:rFonts w:ascii="宋体" w:hAnsi="宋体" w:eastAsia="宋体" w:cs="宋体"/>
          <w:color w:val="auto"/>
          <w:sz w:val="24"/>
          <w:szCs w:val="24"/>
          <w:highlight w:val="none"/>
          <w:u w:val="single" w:color="auto"/>
        </w:rPr>
        <w:t xml:space="preserve">                                 </w:t>
      </w:r>
    </w:p>
    <w:p w14:paraId="6601648E">
      <w:pPr>
        <w:pStyle w:val="3"/>
        <w:spacing w:line="257" w:lineRule="auto"/>
        <w:rPr>
          <w:color w:val="auto"/>
          <w:highlight w:val="none"/>
        </w:rPr>
      </w:pPr>
    </w:p>
    <w:p w14:paraId="7C584B0D">
      <w:pPr>
        <w:pStyle w:val="3"/>
        <w:spacing w:line="258" w:lineRule="auto"/>
        <w:rPr>
          <w:color w:val="auto"/>
          <w:highlight w:val="none"/>
        </w:rPr>
      </w:pPr>
    </w:p>
    <w:p w14:paraId="4A4FD463">
      <w:pPr>
        <w:spacing w:before="78" w:line="219" w:lineRule="auto"/>
        <w:ind w:left="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    标</w:t>
      </w:r>
      <w:r>
        <w:rPr>
          <w:rFonts w:ascii="宋体" w:hAnsi="宋体" w:eastAsia="宋体" w:cs="宋体"/>
          <w:color w:val="auto"/>
          <w:spacing w:val="2"/>
          <w:sz w:val="24"/>
          <w:szCs w:val="24"/>
          <w:highlight w:val="none"/>
        </w:rPr>
        <w:t xml:space="preserve">    </w:t>
      </w:r>
      <w:r>
        <w:rPr>
          <w:rFonts w:ascii="宋体" w:hAnsi="宋体" w:eastAsia="宋体" w:cs="宋体"/>
          <w:color w:val="auto"/>
          <w:spacing w:val="-2"/>
          <w:sz w:val="24"/>
          <w:szCs w:val="24"/>
          <w:highlight w:val="none"/>
        </w:rPr>
        <w:t>人：</w:t>
      </w:r>
      <w:r>
        <w:rPr>
          <w:rFonts w:ascii="宋体" w:hAnsi="宋体" w:eastAsia="宋体" w:cs="宋体"/>
          <w:color w:val="auto"/>
          <w:spacing w:val="12"/>
          <w:sz w:val="24"/>
          <w:szCs w:val="24"/>
          <w:highlight w:val="none"/>
          <w:u w:val="single" w:color="auto"/>
        </w:rPr>
        <w:t xml:space="preserve">          </w:t>
      </w:r>
      <w:r>
        <w:rPr>
          <w:rFonts w:ascii="宋体" w:hAnsi="宋体" w:eastAsia="宋体" w:cs="宋体"/>
          <w:color w:val="auto"/>
          <w:spacing w:val="-2"/>
          <w:sz w:val="24"/>
          <w:szCs w:val="24"/>
          <w:highlight w:val="none"/>
          <w:u w:val="single" w:color="auto"/>
        </w:rPr>
        <w:t>（全称）</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
          <w:sz w:val="24"/>
          <w:szCs w:val="24"/>
          <w:highlight w:val="none"/>
        </w:rPr>
        <w:t>（盖单位公章）</w:t>
      </w:r>
    </w:p>
    <w:p w14:paraId="782B530D">
      <w:pPr>
        <w:pStyle w:val="3"/>
        <w:spacing w:line="257" w:lineRule="auto"/>
        <w:rPr>
          <w:color w:val="auto"/>
          <w:highlight w:val="none"/>
        </w:rPr>
      </w:pPr>
    </w:p>
    <w:p w14:paraId="4E031D6B">
      <w:pPr>
        <w:pStyle w:val="3"/>
        <w:spacing w:line="257" w:lineRule="auto"/>
        <w:rPr>
          <w:color w:val="auto"/>
          <w:highlight w:val="none"/>
        </w:rPr>
      </w:pPr>
    </w:p>
    <w:p w14:paraId="06769991">
      <w:pPr>
        <w:spacing w:before="78" w:line="219" w:lineRule="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法定代表人或委托代理人</w:t>
      </w:r>
      <w:r>
        <w:rPr>
          <w:rFonts w:ascii="宋体" w:hAnsi="宋体" w:eastAsia="宋体" w:cs="宋体"/>
          <w:color w:val="auto"/>
          <w:spacing w:val="4"/>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2"/>
          <w:sz w:val="24"/>
          <w:szCs w:val="24"/>
          <w:highlight w:val="none"/>
        </w:rPr>
        <w:t>签字或盖章）</w:t>
      </w:r>
    </w:p>
    <w:p w14:paraId="0A619DD4">
      <w:pPr>
        <w:pStyle w:val="3"/>
        <w:spacing w:line="257" w:lineRule="auto"/>
        <w:rPr>
          <w:color w:val="auto"/>
          <w:highlight w:val="none"/>
        </w:rPr>
      </w:pPr>
    </w:p>
    <w:p w14:paraId="190106A8">
      <w:pPr>
        <w:pStyle w:val="3"/>
        <w:spacing w:line="257" w:lineRule="auto"/>
        <w:rPr>
          <w:color w:val="auto"/>
          <w:highlight w:val="none"/>
        </w:rPr>
      </w:pPr>
    </w:p>
    <w:p w14:paraId="7ABEB72D">
      <w:pPr>
        <w:spacing w:before="79" w:line="220" w:lineRule="auto"/>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编</w:t>
      </w:r>
      <w:r>
        <w:rPr>
          <w:rFonts w:ascii="宋体" w:hAnsi="宋体" w:eastAsia="宋体" w:cs="宋体"/>
          <w:color w:val="auto"/>
          <w:spacing w:val="5"/>
          <w:sz w:val="24"/>
          <w:szCs w:val="24"/>
          <w:highlight w:val="none"/>
        </w:rPr>
        <w:t xml:space="preserve">  </w:t>
      </w:r>
      <w:r>
        <w:rPr>
          <w:rFonts w:ascii="宋体" w:hAnsi="宋体" w:eastAsia="宋体" w:cs="宋体"/>
          <w:color w:val="auto"/>
          <w:spacing w:val="-8"/>
          <w:sz w:val="24"/>
          <w:szCs w:val="24"/>
          <w:highlight w:val="none"/>
        </w:rPr>
        <w:t>制</w:t>
      </w:r>
      <w:r>
        <w:rPr>
          <w:rFonts w:ascii="宋体" w:hAnsi="宋体" w:eastAsia="宋体" w:cs="宋体"/>
          <w:color w:val="auto"/>
          <w:spacing w:val="10"/>
          <w:sz w:val="24"/>
          <w:szCs w:val="24"/>
          <w:highlight w:val="none"/>
        </w:rPr>
        <w:t xml:space="preserve">  </w:t>
      </w:r>
      <w:r>
        <w:rPr>
          <w:rFonts w:ascii="宋体" w:hAnsi="宋体" w:eastAsia="宋体" w:cs="宋体"/>
          <w:color w:val="auto"/>
          <w:spacing w:val="-8"/>
          <w:sz w:val="24"/>
          <w:szCs w:val="24"/>
          <w:highlight w:val="none"/>
        </w:rPr>
        <w:t>时</w:t>
      </w:r>
      <w:r>
        <w:rPr>
          <w:rFonts w:ascii="宋体" w:hAnsi="宋体" w:eastAsia="宋体" w:cs="宋体"/>
          <w:color w:val="auto"/>
          <w:spacing w:val="14"/>
          <w:sz w:val="24"/>
          <w:szCs w:val="24"/>
          <w:highlight w:val="none"/>
        </w:rPr>
        <w:t xml:space="preserve">  </w:t>
      </w:r>
      <w:r>
        <w:rPr>
          <w:rFonts w:ascii="宋体" w:hAnsi="宋体" w:eastAsia="宋体" w:cs="宋体"/>
          <w:color w:val="auto"/>
          <w:spacing w:val="-8"/>
          <w:sz w:val="24"/>
          <w:szCs w:val="24"/>
          <w:highlight w:val="none"/>
        </w:rPr>
        <w:t>间：</w:t>
      </w:r>
      <w:r>
        <w:rPr>
          <w:rFonts w:ascii="宋体" w:hAnsi="宋体" w:eastAsia="宋体" w:cs="宋体"/>
          <w:color w:val="auto"/>
          <w:spacing w:val="-8"/>
          <w:sz w:val="24"/>
          <w:szCs w:val="24"/>
          <w:highlight w:val="none"/>
          <w:u w:val="single" w:color="auto"/>
        </w:rPr>
        <w:t xml:space="preserve">                                  </w:t>
      </w:r>
    </w:p>
    <w:p w14:paraId="14BC5222">
      <w:pPr>
        <w:spacing w:line="220" w:lineRule="auto"/>
        <w:rPr>
          <w:rFonts w:ascii="宋体" w:hAnsi="宋体" w:eastAsia="宋体" w:cs="宋体"/>
          <w:color w:val="auto"/>
          <w:sz w:val="24"/>
          <w:szCs w:val="24"/>
          <w:highlight w:val="none"/>
        </w:rPr>
        <w:sectPr>
          <w:footerReference r:id="rId166" w:type="default"/>
          <w:pgSz w:w="11907" w:h="16841"/>
          <w:pgMar w:top="400" w:right="1527" w:bottom="1254" w:left="1599" w:header="0" w:footer="1093" w:gutter="0"/>
          <w:pgNumType w:fmt="decimal"/>
          <w:cols w:space="720" w:num="1"/>
        </w:sectPr>
      </w:pPr>
    </w:p>
    <w:p w14:paraId="72C00AA8">
      <w:pPr>
        <w:pStyle w:val="3"/>
        <w:spacing w:line="248" w:lineRule="auto"/>
        <w:rPr>
          <w:color w:val="auto"/>
          <w:highlight w:val="none"/>
        </w:rPr>
      </w:pPr>
    </w:p>
    <w:p w14:paraId="3CE2F2D1">
      <w:pPr>
        <w:pStyle w:val="3"/>
        <w:spacing w:line="248" w:lineRule="auto"/>
        <w:rPr>
          <w:color w:val="auto"/>
          <w:highlight w:val="none"/>
        </w:rPr>
      </w:pPr>
    </w:p>
    <w:p w14:paraId="017444D9">
      <w:pPr>
        <w:pStyle w:val="3"/>
        <w:spacing w:line="248" w:lineRule="auto"/>
        <w:rPr>
          <w:color w:val="auto"/>
          <w:highlight w:val="none"/>
        </w:rPr>
      </w:pPr>
    </w:p>
    <w:p w14:paraId="32FADF20">
      <w:pPr>
        <w:pStyle w:val="3"/>
        <w:spacing w:line="248" w:lineRule="auto"/>
        <w:rPr>
          <w:color w:val="auto"/>
          <w:highlight w:val="none"/>
        </w:rPr>
      </w:pPr>
    </w:p>
    <w:p w14:paraId="2F4BB782">
      <w:pPr>
        <w:spacing w:before="78" w:line="218" w:lineRule="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造价工程师注册证书</w:t>
      </w:r>
    </w:p>
    <w:p w14:paraId="00572D06">
      <w:pPr>
        <w:spacing w:line="218" w:lineRule="auto"/>
        <w:rPr>
          <w:rFonts w:ascii="宋体" w:hAnsi="宋体" w:eastAsia="宋体" w:cs="宋体"/>
          <w:color w:val="auto"/>
          <w:sz w:val="24"/>
          <w:szCs w:val="24"/>
          <w:highlight w:val="none"/>
        </w:rPr>
        <w:sectPr>
          <w:footerReference r:id="rId167" w:type="default"/>
          <w:pgSz w:w="11907" w:h="16841"/>
          <w:pgMar w:top="400" w:right="1527" w:bottom="1254" w:left="1597" w:header="0" w:footer="1093" w:gutter="0"/>
          <w:pgNumType w:fmt="decimal"/>
          <w:cols w:space="720" w:num="1"/>
        </w:sectPr>
      </w:pPr>
    </w:p>
    <w:p w14:paraId="5FF47FA0">
      <w:pPr>
        <w:pStyle w:val="3"/>
        <w:spacing w:line="246" w:lineRule="auto"/>
        <w:rPr>
          <w:color w:val="auto"/>
          <w:highlight w:val="none"/>
        </w:rPr>
      </w:pPr>
    </w:p>
    <w:p w14:paraId="5E14D4A4">
      <w:pPr>
        <w:pStyle w:val="3"/>
        <w:spacing w:line="246" w:lineRule="auto"/>
        <w:rPr>
          <w:color w:val="auto"/>
          <w:highlight w:val="none"/>
        </w:rPr>
      </w:pPr>
    </w:p>
    <w:p w14:paraId="787C2DBE">
      <w:pPr>
        <w:pStyle w:val="3"/>
        <w:spacing w:line="246" w:lineRule="auto"/>
        <w:rPr>
          <w:color w:val="auto"/>
          <w:highlight w:val="none"/>
        </w:rPr>
      </w:pPr>
    </w:p>
    <w:p w14:paraId="1D755C72">
      <w:pPr>
        <w:pStyle w:val="3"/>
        <w:spacing w:line="246" w:lineRule="auto"/>
        <w:rPr>
          <w:color w:val="auto"/>
          <w:highlight w:val="none"/>
        </w:rPr>
      </w:pPr>
    </w:p>
    <w:p w14:paraId="68D8BB61">
      <w:pPr>
        <w:spacing w:before="91" w:line="219" w:lineRule="auto"/>
        <w:ind w:left="3023"/>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工程量清单计价汇总表</w:t>
      </w:r>
    </w:p>
    <w:p w14:paraId="527D6168">
      <w:pPr>
        <w:pStyle w:val="3"/>
        <w:spacing w:line="269" w:lineRule="auto"/>
        <w:rPr>
          <w:color w:val="auto"/>
          <w:highlight w:val="none"/>
        </w:rPr>
      </w:pPr>
    </w:p>
    <w:p w14:paraId="6B1C3B2D">
      <w:pPr>
        <w:pStyle w:val="3"/>
        <w:spacing w:line="269" w:lineRule="auto"/>
        <w:rPr>
          <w:color w:val="auto"/>
          <w:highlight w:val="none"/>
        </w:rPr>
      </w:pPr>
    </w:p>
    <w:p w14:paraId="66E2E294">
      <w:pPr>
        <w:spacing w:before="78" w:line="220" w:lineRule="auto"/>
        <w:ind w:left="3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第</w:t>
      </w:r>
      <w:r>
        <w:rPr>
          <w:rFonts w:ascii="宋体" w:hAnsi="宋体" w:eastAsia="宋体" w:cs="宋体"/>
          <w:color w:val="auto"/>
          <w:spacing w:val="12"/>
          <w:sz w:val="24"/>
          <w:szCs w:val="24"/>
          <w:highlight w:val="none"/>
        </w:rPr>
        <w:t xml:space="preserve">  </w:t>
      </w:r>
      <w:r>
        <w:rPr>
          <w:rFonts w:ascii="宋体" w:hAnsi="宋体" w:eastAsia="宋体" w:cs="宋体"/>
          <w:color w:val="auto"/>
          <w:spacing w:val="-2"/>
          <w:sz w:val="24"/>
          <w:szCs w:val="24"/>
          <w:highlight w:val="none"/>
        </w:rPr>
        <w:t>页共</w:t>
      </w:r>
      <w:r>
        <w:rPr>
          <w:rFonts w:ascii="宋体" w:hAnsi="宋体" w:eastAsia="宋体" w:cs="宋体"/>
          <w:color w:val="auto"/>
          <w:spacing w:val="7"/>
          <w:sz w:val="24"/>
          <w:szCs w:val="24"/>
          <w:highlight w:val="none"/>
        </w:rPr>
        <w:t xml:space="preserve">  </w:t>
      </w:r>
      <w:r>
        <w:rPr>
          <w:rFonts w:ascii="宋体" w:hAnsi="宋体" w:eastAsia="宋体" w:cs="宋体"/>
          <w:color w:val="auto"/>
          <w:spacing w:val="-2"/>
          <w:sz w:val="24"/>
          <w:szCs w:val="24"/>
          <w:highlight w:val="none"/>
        </w:rPr>
        <w:t>页</w:t>
      </w:r>
    </w:p>
    <w:p w14:paraId="75877835">
      <w:pPr>
        <w:spacing w:line="146" w:lineRule="exact"/>
        <w:rPr>
          <w:color w:val="auto"/>
          <w:highlight w:val="none"/>
        </w:rPr>
      </w:pPr>
    </w:p>
    <w:tbl>
      <w:tblPr>
        <w:tblStyle w:val="16"/>
        <w:tblW w:w="88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gridCol w:w="4710"/>
        <w:gridCol w:w="2528"/>
      </w:tblGrid>
      <w:tr w14:paraId="56F34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574" w:type="dxa"/>
            <w:tcBorders>
              <w:top w:val="single" w:color="000000" w:sz="6" w:space="0"/>
              <w:left w:val="single" w:color="000000" w:sz="6" w:space="0"/>
            </w:tcBorders>
            <w:vAlign w:val="top"/>
          </w:tcPr>
          <w:p w14:paraId="49F0DCB8">
            <w:pPr>
              <w:pStyle w:val="17"/>
              <w:spacing w:before="143" w:line="221" w:lineRule="auto"/>
              <w:ind w:left="550"/>
              <w:rPr>
                <w:color w:val="auto"/>
                <w:sz w:val="24"/>
                <w:szCs w:val="24"/>
                <w:highlight w:val="none"/>
              </w:rPr>
            </w:pPr>
            <w:r>
              <w:rPr>
                <w:color w:val="auto"/>
                <w:spacing w:val="-3"/>
                <w:sz w:val="24"/>
                <w:szCs w:val="24"/>
                <w:highlight w:val="none"/>
              </w:rPr>
              <w:t>序号</w:t>
            </w:r>
          </w:p>
        </w:tc>
        <w:tc>
          <w:tcPr>
            <w:tcW w:w="4710" w:type="dxa"/>
            <w:tcBorders>
              <w:top w:val="single" w:color="000000" w:sz="6" w:space="0"/>
            </w:tcBorders>
            <w:vAlign w:val="top"/>
          </w:tcPr>
          <w:p w14:paraId="13C95992">
            <w:pPr>
              <w:pStyle w:val="17"/>
              <w:spacing w:before="143" w:line="220" w:lineRule="auto"/>
              <w:ind w:left="1644"/>
              <w:rPr>
                <w:color w:val="auto"/>
                <w:sz w:val="24"/>
                <w:szCs w:val="24"/>
                <w:highlight w:val="none"/>
              </w:rPr>
            </w:pPr>
            <w:r>
              <w:rPr>
                <w:color w:val="auto"/>
                <w:spacing w:val="-2"/>
                <w:sz w:val="24"/>
                <w:szCs w:val="24"/>
                <w:highlight w:val="none"/>
              </w:rPr>
              <w:t>工程项目名称</w:t>
            </w:r>
          </w:p>
        </w:tc>
        <w:tc>
          <w:tcPr>
            <w:tcW w:w="2528" w:type="dxa"/>
            <w:tcBorders>
              <w:top w:val="single" w:color="000000" w:sz="6" w:space="0"/>
              <w:right w:val="single" w:color="000000" w:sz="6" w:space="0"/>
            </w:tcBorders>
            <w:vAlign w:val="top"/>
          </w:tcPr>
          <w:p w14:paraId="0C2DD248">
            <w:pPr>
              <w:pStyle w:val="17"/>
              <w:spacing w:before="143" w:line="220" w:lineRule="auto"/>
              <w:ind w:left="670"/>
              <w:rPr>
                <w:color w:val="auto"/>
                <w:sz w:val="24"/>
                <w:szCs w:val="24"/>
                <w:highlight w:val="none"/>
              </w:rPr>
            </w:pPr>
            <w:r>
              <w:rPr>
                <w:color w:val="auto"/>
                <w:spacing w:val="-5"/>
                <w:sz w:val="24"/>
                <w:szCs w:val="24"/>
                <w:highlight w:val="none"/>
              </w:rPr>
              <w:t>金额（元）</w:t>
            </w:r>
          </w:p>
        </w:tc>
      </w:tr>
      <w:tr w14:paraId="1B693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42E2D8F4">
            <w:pPr>
              <w:rPr>
                <w:rFonts w:ascii="Arial"/>
                <w:color w:val="auto"/>
                <w:sz w:val="21"/>
                <w:highlight w:val="none"/>
              </w:rPr>
            </w:pPr>
          </w:p>
        </w:tc>
        <w:tc>
          <w:tcPr>
            <w:tcW w:w="4710" w:type="dxa"/>
            <w:vAlign w:val="top"/>
          </w:tcPr>
          <w:p w14:paraId="7E01AFF7">
            <w:pPr>
              <w:rPr>
                <w:rFonts w:ascii="Arial"/>
                <w:color w:val="auto"/>
                <w:sz w:val="21"/>
                <w:highlight w:val="none"/>
              </w:rPr>
            </w:pPr>
          </w:p>
        </w:tc>
        <w:tc>
          <w:tcPr>
            <w:tcW w:w="2528" w:type="dxa"/>
            <w:tcBorders>
              <w:right w:val="single" w:color="000000" w:sz="6" w:space="0"/>
            </w:tcBorders>
            <w:vAlign w:val="top"/>
          </w:tcPr>
          <w:p w14:paraId="2F1980AD">
            <w:pPr>
              <w:rPr>
                <w:rFonts w:ascii="Arial"/>
                <w:color w:val="auto"/>
                <w:sz w:val="21"/>
                <w:highlight w:val="none"/>
              </w:rPr>
            </w:pPr>
          </w:p>
        </w:tc>
      </w:tr>
      <w:tr w14:paraId="06F16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3AC357BE">
            <w:pPr>
              <w:rPr>
                <w:rFonts w:ascii="Arial"/>
                <w:color w:val="auto"/>
                <w:sz w:val="21"/>
                <w:highlight w:val="none"/>
              </w:rPr>
            </w:pPr>
          </w:p>
        </w:tc>
        <w:tc>
          <w:tcPr>
            <w:tcW w:w="4710" w:type="dxa"/>
            <w:vAlign w:val="top"/>
          </w:tcPr>
          <w:p w14:paraId="157DC453">
            <w:pPr>
              <w:rPr>
                <w:rFonts w:ascii="Arial"/>
                <w:color w:val="auto"/>
                <w:sz w:val="21"/>
                <w:highlight w:val="none"/>
              </w:rPr>
            </w:pPr>
          </w:p>
        </w:tc>
        <w:tc>
          <w:tcPr>
            <w:tcW w:w="2528" w:type="dxa"/>
            <w:tcBorders>
              <w:right w:val="single" w:color="000000" w:sz="6" w:space="0"/>
            </w:tcBorders>
            <w:vAlign w:val="top"/>
          </w:tcPr>
          <w:p w14:paraId="7D894D43">
            <w:pPr>
              <w:rPr>
                <w:rFonts w:ascii="Arial"/>
                <w:color w:val="auto"/>
                <w:sz w:val="21"/>
                <w:highlight w:val="none"/>
              </w:rPr>
            </w:pPr>
          </w:p>
        </w:tc>
      </w:tr>
      <w:tr w14:paraId="5C8CA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441C50E5">
            <w:pPr>
              <w:rPr>
                <w:rFonts w:ascii="Arial"/>
                <w:color w:val="auto"/>
                <w:sz w:val="21"/>
                <w:highlight w:val="none"/>
              </w:rPr>
            </w:pPr>
          </w:p>
        </w:tc>
        <w:tc>
          <w:tcPr>
            <w:tcW w:w="4710" w:type="dxa"/>
            <w:vAlign w:val="top"/>
          </w:tcPr>
          <w:p w14:paraId="38F39F06">
            <w:pPr>
              <w:rPr>
                <w:rFonts w:ascii="Arial"/>
                <w:color w:val="auto"/>
                <w:sz w:val="21"/>
                <w:highlight w:val="none"/>
              </w:rPr>
            </w:pPr>
          </w:p>
        </w:tc>
        <w:tc>
          <w:tcPr>
            <w:tcW w:w="2528" w:type="dxa"/>
            <w:tcBorders>
              <w:right w:val="single" w:color="000000" w:sz="6" w:space="0"/>
            </w:tcBorders>
            <w:vAlign w:val="top"/>
          </w:tcPr>
          <w:p w14:paraId="23CCE6B9">
            <w:pPr>
              <w:rPr>
                <w:rFonts w:ascii="Arial"/>
                <w:color w:val="auto"/>
                <w:sz w:val="21"/>
                <w:highlight w:val="none"/>
              </w:rPr>
            </w:pPr>
          </w:p>
        </w:tc>
      </w:tr>
      <w:tr w14:paraId="1E7D1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30E8B175">
            <w:pPr>
              <w:rPr>
                <w:rFonts w:ascii="Arial"/>
                <w:color w:val="auto"/>
                <w:sz w:val="21"/>
                <w:highlight w:val="none"/>
              </w:rPr>
            </w:pPr>
          </w:p>
        </w:tc>
        <w:tc>
          <w:tcPr>
            <w:tcW w:w="4710" w:type="dxa"/>
            <w:vAlign w:val="top"/>
          </w:tcPr>
          <w:p w14:paraId="1F12E827">
            <w:pPr>
              <w:rPr>
                <w:rFonts w:ascii="Arial"/>
                <w:color w:val="auto"/>
                <w:sz w:val="21"/>
                <w:highlight w:val="none"/>
              </w:rPr>
            </w:pPr>
          </w:p>
        </w:tc>
        <w:tc>
          <w:tcPr>
            <w:tcW w:w="2528" w:type="dxa"/>
            <w:tcBorders>
              <w:right w:val="single" w:color="000000" w:sz="6" w:space="0"/>
            </w:tcBorders>
            <w:vAlign w:val="top"/>
          </w:tcPr>
          <w:p w14:paraId="0B5A73D7">
            <w:pPr>
              <w:rPr>
                <w:rFonts w:ascii="Arial"/>
                <w:color w:val="auto"/>
                <w:sz w:val="21"/>
                <w:highlight w:val="none"/>
              </w:rPr>
            </w:pPr>
          </w:p>
        </w:tc>
      </w:tr>
      <w:tr w14:paraId="6DC17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63EDCEC5">
            <w:pPr>
              <w:rPr>
                <w:rFonts w:ascii="Arial"/>
                <w:color w:val="auto"/>
                <w:sz w:val="21"/>
                <w:highlight w:val="none"/>
              </w:rPr>
            </w:pPr>
          </w:p>
        </w:tc>
        <w:tc>
          <w:tcPr>
            <w:tcW w:w="4710" w:type="dxa"/>
            <w:vAlign w:val="top"/>
          </w:tcPr>
          <w:p w14:paraId="1F476079">
            <w:pPr>
              <w:rPr>
                <w:rFonts w:ascii="Arial"/>
                <w:color w:val="auto"/>
                <w:sz w:val="21"/>
                <w:highlight w:val="none"/>
              </w:rPr>
            </w:pPr>
          </w:p>
        </w:tc>
        <w:tc>
          <w:tcPr>
            <w:tcW w:w="2528" w:type="dxa"/>
            <w:tcBorders>
              <w:right w:val="single" w:color="000000" w:sz="6" w:space="0"/>
            </w:tcBorders>
            <w:vAlign w:val="top"/>
          </w:tcPr>
          <w:p w14:paraId="1DB39349">
            <w:pPr>
              <w:rPr>
                <w:rFonts w:ascii="Arial"/>
                <w:color w:val="auto"/>
                <w:sz w:val="21"/>
                <w:highlight w:val="none"/>
              </w:rPr>
            </w:pPr>
          </w:p>
        </w:tc>
      </w:tr>
      <w:tr w14:paraId="45652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19926818">
            <w:pPr>
              <w:rPr>
                <w:rFonts w:ascii="Arial"/>
                <w:color w:val="auto"/>
                <w:sz w:val="21"/>
                <w:highlight w:val="none"/>
              </w:rPr>
            </w:pPr>
          </w:p>
        </w:tc>
        <w:tc>
          <w:tcPr>
            <w:tcW w:w="4710" w:type="dxa"/>
            <w:vAlign w:val="top"/>
          </w:tcPr>
          <w:p w14:paraId="0024E303">
            <w:pPr>
              <w:rPr>
                <w:rFonts w:ascii="Arial"/>
                <w:color w:val="auto"/>
                <w:sz w:val="21"/>
                <w:highlight w:val="none"/>
              </w:rPr>
            </w:pPr>
          </w:p>
        </w:tc>
        <w:tc>
          <w:tcPr>
            <w:tcW w:w="2528" w:type="dxa"/>
            <w:tcBorders>
              <w:right w:val="single" w:color="000000" w:sz="6" w:space="0"/>
            </w:tcBorders>
            <w:vAlign w:val="top"/>
          </w:tcPr>
          <w:p w14:paraId="7A957A18">
            <w:pPr>
              <w:rPr>
                <w:rFonts w:ascii="Arial"/>
                <w:color w:val="auto"/>
                <w:sz w:val="21"/>
                <w:highlight w:val="none"/>
              </w:rPr>
            </w:pPr>
          </w:p>
        </w:tc>
      </w:tr>
      <w:tr w14:paraId="74FFF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0F87C37E">
            <w:pPr>
              <w:rPr>
                <w:rFonts w:ascii="Arial"/>
                <w:color w:val="auto"/>
                <w:sz w:val="21"/>
                <w:highlight w:val="none"/>
              </w:rPr>
            </w:pPr>
          </w:p>
        </w:tc>
        <w:tc>
          <w:tcPr>
            <w:tcW w:w="4710" w:type="dxa"/>
            <w:vAlign w:val="top"/>
          </w:tcPr>
          <w:p w14:paraId="2653899A">
            <w:pPr>
              <w:rPr>
                <w:rFonts w:ascii="Arial"/>
                <w:color w:val="auto"/>
                <w:sz w:val="21"/>
                <w:highlight w:val="none"/>
              </w:rPr>
            </w:pPr>
          </w:p>
        </w:tc>
        <w:tc>
          <w:tcPr>
            <w:tcW w:w="2528" w:type="dxa"/>
            <w:tcBorders>
              <w:right w:val="single" w:color="000000" w:sz="6" w:space="0"/>
            </w:tcBorders>
            <w:vAlign w:val="top"/>
          </w:tcPr>
          <w:p w14:paraId="44FE67CB">
            <w:pPr>
              <w:rPr>
                <w:rFonts w:ascii="Arial"/>
                <w:color w:val="auto"/>
                <w:sz w:val="21"/>
                <w:highlight w:val="none"/>
              </w:rPr>
            </w:pPr>
          </w:p>
        </w:tc>
      </w:tr>
      <w:tr w14:paraId="40526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798E6D14">
            <w:pPr>
              <w:rPr>
                <w:rFonts w:ascii="Arial"/>
                <w:color w:val="auto"/>
                <w:sz w:val="21"/>
                <w:highlight w:val="none"/>
              </w:rPr>
            </w:pPr>
          </w:p>
        </w:tc>
        <w:tc>
          <w:tcPr>
            <w:tcW w:w="4710" w:type="dxa"/>
            <w:vAlign w:val="top"/>
          </w:tcPr>
          <w:p w14:paraId="26CA12F8">
            <w:pPr>
              <w:rPr>
                <w:rFonts w:ascii="Arial"/>
                <w:color w:val="auto"/>
                <w:sz w:val="21"/>
                <w:highlight w:val="none"/>
              </w:rPr>
            </w:pPr>
          </w:p>
        </w:tc>
        <w:tc>
          <w:tcPr>
            <w:tcW w:w="2528" w:type="dxa"/>
            <w:tcBorders>
              <w:right w:val="single" w:color="000000" w:sz="6" w:space="0"/>
            </w:tcBorders>
            <w:vAlign w:val="top"/>
          </w:tcPr>
          <w:p w14:paraId="387735A9">
            <w:pPr>
              <w:rPr>
                <w:rFonts w:ascii="Arial"/>
                <w:color w:val="auto"/>
                <w:sz w:val="21"/>
                <w:highlight w:val="none"/>
              </w:rPr>
            </w:pPr>
          </w:p>
        </w:tc>
      </w:tr>
      <w:tr w14:paraId="5288C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574" w:type="dxa"/>
            <w:tcBorders>
              <w:left w:val="single" w:color="000000" w:sz="6" w:space="0"/>
            </w:tcBorders>
            <w:vAlign w:val="top"/>
          </w:tcPr>
          <w:p w14:paraId="0B819F54">
            <w:pPr>
              <w:rPr>
                <w:rFonts w:ascii="Arial"/>
                <w:color w:val="auto"/>
                <w:sz w:val="21"/>
                <w:highlight w:val="none"/>
              </w:rPr>
            </w:pPr>
          </w:p>
        </w:tc>
        <w:tc>
          <w:tcPr>
            <w:tcW w:w="4710" w:type="dxa"/>
            <w:vAlign w:val="top"/>
          </w:tcPr>
          <w:p w14:paraId="33EA747D">
            <w:pPr>
              <w:rPr>
                <w:rFonts w:ascii="Arial"/>
                <w:color w:val="auto"/>
                <w:sz w:val="21"/>
                <w:highlight w:val="none"/>
              </w:rPr>
            </w:pPr>
          </w:p>
        </w:tc>
        <w:tc>
          <w:tcPr>
            <w:tcW w:w="2528" w:type="dxa"/>
            <w:tcBorders>
              <w:right w:val="single" w:color="000000" w:sz="6" w:space="0"/>
            </w:tcBorders>
            <w:vAlign w:val="top"/>
          </w:tcPr>
          <w:p w14:paraId="10F8BFEE">
            <w:pPr>
              <w:rPr>
                <w:rFonts w:ascii="Arial"/>
                <w:color w:val="auto"/>
                <w:sz w:val="21"/>
                <w:highlight w:val="none"/>
              </w:rPr>
            </w:pPr>
          </w:p>
        </w:tc>
      </w:tr>
      <w:tr w14:paraId="52917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574" w:type="dxa"/>
            <w:tcBorders>
              <w:left w:val="single" w:color="000000" w:sz="6" w:space="0"/>
            </w:tcBorders>
            <w:vAlign w:val="top"/>
          </w:tcPr>
          <w:p w14:paraId="780E57BD">
            <w:pPr>
              <w:rPr>
                <w:rFonts w:ascii="Arial"/>
                <w:color w:val="auto"/>
                <w:sz w:val="21"/>
                <w:highlight w:val="none"/>
              </w:rPr>
            </w:pPr>
          </w:p>
        </w:tc>
        <w:tc>
          <w:tcPr>
            <w:tcW w:w="4710" w:type="dxa"/>
            <w:vAlign w:val="top"/>
          </w:tcPr>
          <w:p w14:paraId="4406953F">
            <w:pPr>
              <w:rPr>
                <w:rFonts w:ascii="Arial"/>
                <w:color w:val="auto"/>
                <w:sz w:val="21"/>
                <w:highlight w:val="none"/>
              </w:rPr>
            </w:pPr>
          </w:p>
        </w:tc>
        <w:tc>
          <w:tcPr>
            <w:tcW w:w="2528" w:type="dxa"/>
            <w:tcBorders>
              <w:right w:val="single" w:color="000000" w:sz="6" w:space="0"/>
            </w:tcBorders>
            <w:vAlign w:val="top"/>
          </w:tcPr>
          <w:p w14:paraId="0830A3EF">
            <w:pPr>
              <w:rPr>
                <w:rFonts w:ascii="Arial"/>
                <w:color w:val="auto"/>
                <w:sz w:val="21"/>
                <w:highlight w:val="none"/>
              </w:rPr>
            </w:pPr>
          </w:p>
        </w:tc>
      </w:tr>
      <w:tr w14:paraId="08D2E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574" w:type="dxa"/>
            <w:tcBorders>
              <w:left w:val="single" w:color="000000" w:sz="6" w:space="0"/>
              <w:bottom w:val="single" w:color="000000" w:sz="6" w:space="0"/>
            </w:tcBorders>
            <w:vAlign w:val="top"/>
          </w:tcPr>
          <w:p w14:paraId="4FD213B3">
            <w:pPr>
              <w:rPr>
                <w:rFonts w:ascii="Arial"/>
                <w:color w:val="auto"/>
                <w:sz w:val="21"/>
                <w:highlight w:val="none"/>
              </w:rPr>
            </w:pPr>
          </w:p>
        </w:tc>
        <w:tc>
          <w:tcPr>
            <w:tcW w:w="4710" w:type="dxa"/>
            <w:tcBorders>
              <w:bottom w:val="single" w:color="000000" w:sz="6" w:space="0"/>
            </w:tcBorders>
            <w:vAlign w:val="top"/>
          </w:tcPr>
          <w:p w14:paraId="57493F0E">
            <w:pPr>
              <w:pStyle w:val="17"/>
              <w:spacing w:before="152" w:line="221" w:lineRule="auto"/>
              <w:ind w:left="7"/>
              <w:rPr>
                <w:color w:val="auto"/>
                <w:sz w:val="24"/>
                <w:szCs w:val="24"/>
                <w:highlight w:val="none"/>
              </w:rPr>
            </w:pPr>
            <w:r>
              <w:rPr>
                <w:color w:val="auto"/>
                <w:spacing w:val="-3"/>
                <w:sz w:val="24"/>
                <w:szCs w:val="24"/>
                <w:highlight w:val="none"/>
              </w:rPr>
              <w:t>合计</w:t>
            </w:r>
          </w:p>
        </w:tc>
        <w:tc>
          <w:tcPr>
            <w:tcW w:w="2528" w:type="dxa"/>
            <w:tcBorders>
              <w:bottom w:val="single" w:color="000000" w:sz="6" w:space="0"/>
              <w:right w:val="single" w:color="000000" w:sz="6" w:space="0"/>
            </w:tcBorders>
            <w:vAlign w:val="top"/>
          </w:tcPr>
          <w:p w14:paraId="10DC4AEE">
            <w:pPr>
              <w:rPr>
                <w:rFonts w:ascii="Arial"/>
                <w:color w:val="auto"/>
                <w:sz w:val="21"/>
                <w:highlight w:val="none"/>
              </w:rPr>
            </w:pPr>
          </w:p>
        </w:tc>
      </w:tr>
    </w:tbl>
    <w:p w14:paraId="25BA1B19">
      <w:pPr>
        <w:spacing w:before="36" w:line="218" w:lineRule="auto"/>
        <w:ind w:left="3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注：不允许在工程量清单计价汇总表中增加优惠一</w:t>
      </w:r>
      <w:r>
        <w:rPr>
          <w:rFonts w:ascii="宋体" w:hAnsi="宋体" w:eastAsia="宋体" w:cs="宋体"/>
          <w:color w:val="auto"/>
          <w:spacing w:val="-2"/>
          <w:sz w:val="24"/>
          <w:szCs w:val="24"/>
          <w:highlight w:val="none"/>
        </w:rPr>
        <w:t>栏，应在单价中优惠。</w:t>
      </w:r>
    </w:p>
    <w:p w14:paraId="16EFB37E">
      <w:pPr>
        <w:pStyle w:val="3"/>
        <w:spacing w:line="249" w:lineRule="auto"/>
        <w:rPr>
          <w:color w:val="auto"/>
          <w:highlight w:val="none"/>
        </w:rPr>
      </w:pPr>
    </w:p>
    <w:p w14:paraId="1A73E656">
      <w:pPr>
        <w:pStyle w:val="3"/>
        <w:spacing w:line="250" w:lineRule="auto"/>
        <w:rPr>
          <w:color w:val="auto"/>
          <w:highlight w:val="none"/>
        </w:rPr>
      </w:pPr>
    </w:p>
    <w:p w14:paraId="59E07D62">
      <w:pPr>
        <w:pStyle w:val="3"/>
        <w:spacing w:line="250" w:lineRule="auto"/>
        <w:rPr>
          <w:color w:val="auto"/>
          <w:highlight w:val="none"/>
        </w:rPr>
      </w:pPr>
    </w:p>
    <w:p w14:paraId="6C26114F">
      <w:pPr>
        <w:pStyle w:val="3"/>
        <w:spacing w:line="250" w:lineRule="auto"/>
        <w:rPr>
          <w:color w:val="auto"/>
          <w:highlight w:val="none"/>
        </w:rPr>
      </w:pPr>
    </w:p>
    <w:p w14:paraId="0C01B9F9">
      <w:pPr>
        <w:pStyle w:val="3"/>
        <w:spacing w:line="250" w:lineRule="auto"/>
        <w:rPr>
          <w:color w:val="auto"/>
          <w:highlight w:val="none"/>
        </w:rPr>
      </w:pPr>
    </w:p>
    <w:p w14:paraId="05237603">
      <w:pPr>
        <w:pStyle w:val="3"/>
        <w:spacing w:line="250" w:lineRule="auto"/>
        <w:rPr>
          <w:color w:val="auto"/>
          <w:highlight w:val="none"/>
        </w:rPr>
      </w:pPr>
    </w:p>
    <w:p w14:paraId="05BAB9D9">
      <w:pPr>
        <w:pStyle w:val="3"/>
        <w:spacing w:line="250" w:lineRule="auto"/>
        <w:rPr>
          <w:color w:val="auto"/>
          <w:highlight w:val="none"/>
        </w:rPr>
      </w:pPr>
    </w:p>
    <w:p w14:paraId="17EC08DA">
      <w:pPr>
        <w:spacing w:before="78" w:line="219" w:lineRule="auto"/>
        <w:ind w:left="195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法定代表人或委托代理人</w:t>
      </w:r>
      <w:r>
        <w:rPr>
          <w:rFonts w:ascii="宋体" w:hAnsi="宋体" w:eastAsia="宋体" w:cs="宋体"/>
          <w:color w:val="auto"/>
          <w:spacing w:val="-14"/>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4"/>
          <w:sz w:val="24"/>
          <w:szCs w:val="24"/>
          <w:highlight w:val="none"/>
          <w:u w:val="single" w:color="auto"/>
        </w:rPr>
        <w:t>（</w:t>
      </w:r>
      <w:r>
        <w:rPr>
          <w:rFonts w:ascii="宋体" w:hAnsi="宋体" w:eastAsia="宋体" w:cs="宋体"/>
          <w:color w:val="auto"/>
          <w:spacing w:val="2"/>
          <w:sz w:val="24"/>
          <w:szCs w:val="24"/>
          <w:highlight w:val="none"/>
          <w:u w:val="single" w:color="auto"/>
        </w:rPr>
        <w:t>签字或盖章）</w:t>
      </w:r>
      <w:r>
        <w:rPr>
          <w:rFonts w:ascii="宋体" w:hAnsi="宋体" w:eastAsia="宋体" w:cs="宋体"/>
          <w:color w:val="auto"/>
          <w:sz w:val="24"/>
          <w:szCs w:val="24"/>
          <w:highlight w:val="none"/>
          <w:u w:val="single" w:color="auto"/>
        </w:rPr>
        <w:t xml:space="preserve">      </w:t>
      </w:r>
    </w:p>
    <w:p w14:paraId="25D11247">
      <w:pPr>
        <w:spacing w:line="219" w:lineRule="auto"/>
        <w:rPr>
          <w:rFonts w:ascii="宋体" w:hAnsi="宋体" w:eastAsia="宋体" w:cs="宋体"/>
          <w:color w:val="auto"/>
          <w:sz w:val="24"/>
          <w:szCs w:val="24"/>
          <w:highlight w:val="none"/>
        </w:rPr>
        <w:sectPr>
          <w:footerReference r:id="rId168" w:type="default"/>
          <w:pgSz w:w="11907" w:h="16841"/>
          <w:pgMar w:top="400" w:right="1511" w:bottom="1254" w:left="1567" w:header="0" w:footer="1093" w:gutter="0"/>
          <w:pgNumType w:fmt="decimal"/>
          <w:cols w:space="720" w:num="1"/>
        </w:sectPr>
      </w:pPr>
    </w:p>
    <w:p w14:paraId="7EA4D5FE">
      <w:pPr>
        <w:pStyle w:val="3"/>
        <w:spacing w:line="283" w:lineRule="auto"/>
        <w:rPr>
          <w:color w:val="auto"/>
          <w:highlight w:val="none"/>
        </w:rPr>
      </w:pPr>
    </w:p>
    <w:p w14:paraId="6AA95F55">
      <w:pPr>
        <w:pStyle w:val="3"/>
        <w:spacing w:line="283" w:lineRule="auto"/>
        <w:rPr>
          <w:color w:val="auto"/>
          <w:highlight w:val="none"/>
        </w:rPr>
      </w:pPr>
    </w:p>
    <w:p w14:paraId="45217E9F">
      <w:pPr>
        <w:pStyle w:val="3"/>
        <w:spacing w:line="283" w:lineRule="auto"/>
        <w:rPr>
          <w:color w:val="auto"/>
          <w:highlight w:val="none"/>
        </w:rPr>
      </w:pPr>
    </w:p>
    <w:p w14:paraId="225F54F6">
      <w:pPr>
        <w:pStyle w:val="3"/>
        <w:spacing w:line="283" w:lineRule="auto"/>
        <w:rPr>
          <w:color w:val="auto"/>
          <w:highlight w:val="none"/>
        </w:rPr>
      </w:pPr>
    </w:p>
    <w:p w14:paraId="4960A8A3">
      <w:pPr>
        <w:spacing w:before="91" w:line="219" w:lineRule="auto"/>
        <w:ind w:left="4797"/>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建筑工程分类分项工程量清单计价表</w:t>
      </w:r>
    </w:p>
    <w:p w14:paraId="64F5A7CD">
      <w:pPr>
        <w:spacing w:before="205" w:line="212" w:lineRule="auto"/>
        <w:ind w:left="6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2"/>
          <w:sz w:val="24"/>
          <w:szCs w:val="24"/>
          <w:highlight w:val="none"/>
        </w:rPr>
        <w:t xml:space="preserve">        第  页共  页</w:t>
      </w:r>
    </w:p>
    <w:tbl>
      <w:tblPr>
        <w:tblStyle w:val="16"/>
        <w:tblW w:w="14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1841"/>
        <w:gridCol w:w="2407"/>
        <w:gridCol w:w="2831"/>
        <w:gridCol w:w="851"/>
        <w:gridCol w:w="990"/>
        <w:gridCol w:w="993"/>
        <w:gridCol w:w="1132"/>
        <w:gridCol w:w="1273"/>
        <w:gridCol w:w="971"/>
      </w:tblGrid>
      <w:tr w14:paraId="6EDC5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760" w:type="dxa"/>
            <w:tcBorders>
              <w:top w:val="single" w:color="000000" w:sz="6" w:space="0"/>
              <w:left w:val="single" w:color="000000" w:sz="6" w:space="0"/>
            </w:tcBorders>
            <w:vAlign w:val="top"/>
          </w:tcPr>
          <w:p w14:paraId="387E98FF">
            <w:pPr>
              <w:pStyle w:val="17"/>
              <w:spacing w:before="268" w:line="221" w:lineRule="auto"/>
              <w:ind w:left="142"/>
              <w:rPr>
                <w:color w:val="auto"/>
                <w:sz w:val="24"/>
                <w:szCs w:val="24"/>
                <w:highlight w:val="none"/>
              </w:rPr>
            </w:pPr>
            <w:r>
              <w:rPr>
                <w:color w:val="auto"/>
                <w:spacing w:val="-3"/>
                <w:sz w:val="24"/>
                <w:szCs w:val="24"/>
                <w:highlight w:val="none"/>
              </w:rPr>
              <w:t>序号</w:t>
            </w:r>
          </w:p>
        </w:tc>
        <w:tc>
          <w:tcPr>
            <w:tcW w:w="1841" w:type="dxa"/>
            <w:tcBorders>
              <w:top w:val="single" w:color="000000" w:sz="6" w:space="0"/>
            </w:tcBorders>
            <w:vAlign w:val="top"/>
          </w:tcPr>
          <w:p w14:paraId="5065920D">
            <w:pPr>
              <w:pStyle w:val="17"/>
              <w:spacing w:before="267" w:line="220" w:lineRule="auto"/>
              <w:ind w:left="448"/>
              <w:rPr>
                <w:color w:val="auto"/>
                <w:sz w:val="24"/>
                <w:szCs w:val="24"/>
                <w:highlight w:val="none"/>
              </w:rPr>
            </w:pPr>
            <w:r>
              <w:rPr>
                <w:color w:val="auto"/>
                <w:spacing w:val="-3"/>
                <w:sz w:val="24"/>
                <w:szCs w:val="24"/>
                <w:highlight w:val="none"/>
              </w:rPr>
              <w:t>项目编码</w:t>
            </w:r>
          </w:p>
        </w:tc>
        <w:tc>
          <w:tcPr>
            <w:tcW w:w="2407" w:type="dxa"/>
            <w:tcBorders>
              <w:top w:val="single" w:color="000000" w:sz="6" w:space="0"/>
            </w:tcBorders>
            <w:vAlign w:val="top"/>
          </w:tcPr>
          <w:p w14:paraId="61D075B6">
            <w:pPr>
              <w:pStyle w:val="17"/>
              <w:spacing w:before="268" w:line="220" w:lineRule="auto"/>
              <w:ind w:left="731"/>
              <w:rPr>
                <w:color w:val="auto"/>
                <w:sz w:val="24"/>
                <w:szCs w:val="24"/>
                <w:highlight w:val="none"/>
              </w:rPr>
            </w:pPr>
            <w:r>
              <w:rPr>
                <w:color w:val="auto"/>
                <w:spacing w:val="-3"/>
                <w:sz w:val="24"/>
                <w:szCs w:val="24"/>
                <w:highlight w:val="none"/>
              </w:rPr>
              <w:t>项目名称</w:t>
            </w:r>
          </w:p>
        </w:tc>
        <w:tc>
          <w:tcPr>
            <w:tcW w:w="2831" w:type="dxa"/>
            <w:tcBorders>
              <w:top w:val="single" w:color="000000" w:sz="6" w:space="0"/>
            </w:tcBorders>
            <w:vAlign w:val="top"/>
          </w:tcPr>
          <w:p w14:paraId="0D412C27">
            <w:pPr>
              <w:pStyle w:val="17"/>
              <w:spacing w:before="115"/>
              <w:ind w:left="943" w:right="931" w:firstLine="3"/>
              <w:rPr>
                <w:color w:val="auto"/>
                <w:sz w:val="24"/>
                <w:szCs w:val="24"/>
                <w:highlight w:val="none"/>
              </w:rPr>
            </w:pPr>
            <w:r>
              <w:rPr>
                <w:color w:val="auto"/>
                <w:spacing w:val="-4"/>
                <w:sz w:val="24"/>
                <w:szCs w:val="24"/>
                <w:highlight w:val="none"/>
              </w:rPr>
              <w:t>项目主要</w:t>
            </w:r>
            <w:r>
              <w:rPr>
                <w:color w:val="auto"/>
                <w:spacing w:val="-11"/>
                <w:sz w:val="24"/>
                <w:szCs w:val="24"/>
                <w:highlight w:val="none"/>
              </w:rPr>
              <w:t>特</w:t>
            </w:r>
            <w:r>
              <w:rPr>
                <w:color w:val="auto"/>
                <w:spacing w:val="3"/>
                <w:sz w:val="24"/>
                <w:szCs w:val="24"/>
                <w:highlight w:val="none"/>
              </w:rPr>
              <w:t xml:space="preserve">    </w:t>
            </w:r>
            <w:r>
              <w:rPr>
                <w:color w:val="auto"/>
                <w:spacing w:val="-11"/>
                <w:sz w:val="24"/>
                <w:szCs w:val="24"/>
                <w:highlight w:val="none"/>
              </w:rPr>
              <w:t>征</w:t>
            </w:r>
          </w:p>
        </w:tc>
        <w:tc>
          <w:tcPr>
            <w:tcW w:w="851" w:type="dxa"/>
            <w:tcBorders>
              <w:top w:val="single" w:color="000000" w:sz="6" w:space="0"/>
            </w:tcBorders>
            <w:vAlign w:val="top"/>
          </w:tcPr>
          <w:p w14:paraId="40EEAA2C">
            <w:pPr>
              <w:pStyle w:val="17"/>
              <w:spacing w:before="114" w:line="221" w:lineRule="auto"/>
              <w:ind w:left="195"/>
              <w:rPr>
                <w:color w:val="auto"/>
                <w:sz w:val="24"/>
                <w:szCs w:val="24"/>
                <w:highlight w:val="none"/>
              </w:rPr>
            </w:pPr>
            <w:r>
              <w:rPr>
                <w:color w:val="auto"/>
                <w:spacing w:val="-3"/>
                <w:sz w:val="24"/>
                <w:szCs w:val="24"/>
                <w:highlight w:val="none"/>
              </w:rPr>
              <w:t>计量</w:t>
            </w:r>
          </w:p>
          <w:p w14:paraId="7E2DDF39">
            <w:pPr>
              <w:pStyle w:val="17"/>
              <w:spacing w:before="22" w:line="220" w:lineRule="auto"/>
              <w:ind w:left="197"/>
              <w:rPr>
                <w:color w:val="auto"/>
                <w:sz w:val="24"/>
                <w:szCs w:val="24"/>
                <w:highlight w:val="none"/>
              </w:rPr>
            </w:pPr>
            <w:r>
              <w:rPr>
                <w:color w:val="auto"/>
                <w:spacing w:val="-3"/>
                <w:sz w:val="24"/>
                <w:szCs w:val="24"/>
                <w:highlight w:val="none"/>
              </w:rPr>
              <w:t>单位</w:t>
            </w:r>
          </w:p>
        </w:tc>
        <w:tc>
          <w:tcPr>
            <w:tcW w:w="990" w:type="dxa"/>
            <w:tcBorders>
              <w:top w:val="single" w:color="000000" w:sz="6" w:space="0"/>
            </w:tcBorders>
            <w:vAlign w:val="top"/>
          </w:tcPr>
          <w:p w14:paraId="2438025B">
            <w:pPr>
              <w:pStyle w:val="17"/>
              <w:spacing w:before="115" w:line="220" w:lineRule="auto"/>
              <w:ind w:left="266"/>
              <w:rPr>
                <w:color w:val="auto"/>
                <w:sz w:val="24"/>
                <w:szCs w:val="24"/>
                <w:highlight w:val="none"/>
              </w:rPr>
            </w:pPr>
            <w:r>
              <w:rPr>
                <w:color w:val="auto"/>
                <w:spacing w:val="-4"/>
                <w:sz w:val="24"/>
                <w:szCs w:val="24"/>
                <w:highlight w:val="none"/>
              </w:rPr>
              <w:t>工程</w:t>
            </w:r>
          </w:p>
          <w:p w14:paraId="0ECE4958">
            <w:pPr>
              <w:pStyle w:val="17"/>
              <w:spacing w:before="22" w:line="220" w:lineRule="auto"/>
              <w:ind w:left="265"/>
              <w:rPr>
                <w:color w:val="auto"/>
                <w:sz w:val="24"/>
                <w:szCs w:val="24"/>
                <w:highlight w:val="none"/>
              </w:rPr>
            </w:pPr>
            <w:r>
              <w:rPr>
                <w:color w:val="auto"/>
                <w:spacing w:val="-3"/>
                <w:sz w:val="24"/>
                <w:szCs w:val="24"/>
                <w:highlight w:val="none"/>
              </w:rPr>
              <w:t>数量</w:t>
            </w:r>
          </w:p>
        </w:tc>
        <w:tc>
          <w:tcPr>
            <w:tcW w:w="993" w:type="dxa"/>
            <w:tcBorders>
              <w:top w:val="single" w:color="000000" w:sz="6" w:space="0"/>
            </w:tcBorders>
            <w:vAlign w:val="top"/>
          </w:tcPr>
          <w:p w14:paraId="648E1B65">
            <w:pPr>
              <w:pStyle w:val="17"/>
              <w:spacing w:before="113" w:line="241" w:lineRule="auto"/>
              <w:ind w:left="153" w:right="145" w:firstLine="115"/>
              <w:rPr>
                <w:color w:val="auto"/>
                <w:sz w:val="24"/>
                <w:szCs w:val="24"/>
                <w:highlight w:val="none"/>
              </w:rPr>
            </w:pPr>
            <w:r>
              <w:rPr>
                <w:color w:val="auto"/>
                <w:spacing w:val="-6"/>
                <w:sz w:val="24"/>
                <w:szCs w:val="24"/>
                <w:highlight w:val="none"/>
              </w:rPr>
              <w:t>单价</w:t>
            </w:r>
            <w:r>
              <w:rPr>
                <w:color w:val="auto"/>
                <w:spacing w:val="-11"/>
                <w:sz w:val="24"/>
                <w:szCs w:val="24"/>
                <w:highlight w:val="none"/>
              </w:rPr>
              <w:t>（元）</w:t>
            </w:r>
          </w:p>
        </w:tc>
        <w:tc>
          <w:tcPr>
            <w:tcW w:w="1132" w:type="dxa"/>
            <w:tcBorders>
              <w:top w:val="single" w:color="000000" w:sz="6" w:space="0"/>
            </w:tcBorders>
            <w:vAlign w:val="top"/>
          </w:tcPr>
          <w:p w14:paraId="6D08D20F">
            <w:pPr>
              <w:pStyle w:val="17"/>
              <w:spacing w:before="113" w:line="241" w:lineRule="auto"/>
              <w:ind w:left="224" w:right="214" w:firstLine="114"/>
              <w:rPr>
                <w:color w:val="auto"/>
                <w:sz w:val="24"/>
                <w:szCs w:val="24"/>
                <w:highlight w:val="none"/>
              </w:rPr>
            </w:pPr>
            <w:r>
              <w:rPr>
                <w:color w:val="auto"/>
                <w:spacing w:val="-6"/>
                <w:sz w:val="24"/>
                <w:szCs w:val="24"/>
                <w:highlight w:val="none"/>
              </w:rPr>
              <w:t>合价</w:t>
            </w:r>
            <w:r>
              <w:rPr>
                <w:color w:val="auto"/>
                <w:spacing w:val="-11"/>
                <w:sz w:val="24"/>
                <w:szCs w:val="24"/>
                <w:highlight w:val="none"/>
              </w:rPr>
              <w:t>（元）</w:t>
            </w:r>
          </w:p>
        </w:tc>
        <w:tc>
          <w:tcPr>
            <w:tcW w:w="1273" w:type="dxa"/>
            <w:tcBorders>
              <w:top w:val="single" w:color="000000" w:sz="6" w:space="0"/>
            </w:tcBorders>
            <w:vAlign w:val="top"/>
          </w:tcPr>
          <w:p w14:paraId="50506D19">
            <w:pPr>
              <w:pStyle w:val="17"/>
              <w:spacing w:before="114" w:line="220" w:lineRule="auto"/>
              <w:ind w:left="172"/>
              <w:rPr>
                <w:color w:val="auto"/>
                <w:sz w:val="24"/>
                <w:szCs w:val="24"/>
                <w:highlight w:val="none"/>
              </w:rPr>
            </w:pPr>
            <w:r>
              <w:rPr>
                <w:color w:val="auto"/>
                <w:spacing w:val="-3"/>
                <w:sz w:val="24"/>
                <w:szCs w:val="24"/>
                <w:highlight w:val="none"/>
              </w:rPr>
              <w:t>主要技术</w:t>
            </w:r>
          </w:p>
          <w:p w14:paraId="3E551FA2">
            <w:pPr>
              <w:pStyle w:val="17"/>
              <w:spacing w:before="23" w:line="220" w:lineRule="auto"/>
              <w:ind w:left="172"/>
              <w:rPr>
                <w:color w:val="auto"/>
                <w:sz w:val="24"/>
                <w:szCs w:val="24"/>
                <w:highlight w:val="none"/>
              </w:rPr>
            </w:pPr>
            <w:r>
              <w:rPr>
                <w:color w:val="auto"/>
                <w:spacing w:val="-3"/>
                <w:sz w:val="24"/>
                <w:szCs w:val="24"/>
                <w:highlight w:val="none"/>
              </w:rPr>
              <w:t>条款编码</w:t>
            </w:r>
          </w:p>
        </w:tc>
        <w:tc>
          <w:tcPr>
            <w:tcW w:w="971" w:type="dxa"/>
            <w:tcBorders>
              <w:top w:val="single" w:color="000000" w:sz="6" w:space="0"/>
              <w:right w:val="single" w:color="000000" w:sz="6" w:space="0"/>
            </w:tcBorders>
            <w:vAlign w:val="top"/>
          </w:tcPr>
          <w:p w14:paraId="0721887C">
            <w:pPr>
              <w:pStyle w:val="17"/>
              <w:spacing w:before="268" w:line="221" w:lineRule="auto"/>
              <w:ind w:left="256"/>
              <w:rPr>
                <w:color w:val="auto"/>
                <w:sz w:val="24"/>
                <w:szCs w:val="24"/>
                <w:highlight w:val="none"/>
              </w:rPr>
            </w:pPr>
            <w:r>
              <w:rPr>
                <w:color w:val="auto"/>
                <w:spacing w:val="-4"/>
                <w:sz w:val="24"/>
                <w:szCs w:val="24"/>
                <w:highlight w:val="none"/>
              </w:rPr>
              <w:t>备注</w:t>
            </w:r>
          </w:p>
        </w:tc>
      </w:tr>
      <w:tr w14:paraId="4EA60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7AB19155">
            <w:pPr>
              <w:rPr>
                <w:rFonts w:ascii="Arial"/>
                <w:color w:val="auto"/>
                <w:sz w:val="21"/>
                <w:highlight w:val="none"/>
              </w:rPr>
            </w:pPr>
          </w:p>
        </w:tc>
        <w:tc>
          <w:tcPr>
            <w:tcW w:w="1841" w:type="dxa"/>
            <w:vAlign w:val="top"/>
          </w:tcPr>
          <w:p w14:paraId="20B28BBF">
            <w:pPr>
              <w:rPr>
                <w:rFonts w:ascii="Arial"/>
                <w:color w:val="auto"/>
                <w:sz w:val="21"/>
                <w:highlight w:val="none"/>
              </w:rPr>
            </w:pPr>
          </w:p>
        </w:tc>
        <w:tc>
          <w:tcPr>
            <w:tcW w:w="2407" w:type="dxa"/>
            <w:vAlign w:val="top"/>
          </w:tcPr>
          <w:p w14:paraId="58D504A8">
            <w:pPr>
              <w:rPr>
                <w:rFonts w:ascii="Arial"/>
                <w:color w:val="auto"/>
                <w:sz w:val="21"/>
                <w:highlight w:val="none"/>
              </w:rPr>
            </w:pPr>
          </w:p>
        </w:tc>
        <w:tc>
          <w:tcPr>
            <w:tcW w:w="2831" w:type="dxa"/>
            <w:vAlign w:val="top"/>
          </w:tcPr>
          <w:p w14:paraId="0CF02779">
            <w:pPr>
              <w:rPr>
                <w:rFonts w:ascii="Arial"/>
                <w:color w:val="auto"/>
                <w:sz w:val="21"/>
                <w:highlight w:val="none"/>
              </w:rPr>
            </w:pPr>
          </w:p>
        </w:tc>
        <w:tc>
          <w:tcPr>
            <w:tcW w:w="851" w:type="dxa"/>
            <w:vAlign w:val="top"/>
          </w:tcPr>
          <w:p w14:paraId="38496505">
            <w:pPr>
              <w:rPr>
                <w:rFonts w:ascii="Arial"/>
                <w:color w:val="auto"/>
                <w:sz w:val="21"/>
                <w:highlight w:val="none"/>
              </w:rPr>
            </w:pPr>
          </w:p>
        </w:tc>
        <w:tc>
          <w:tcPr>
            <w:tcW w:w="990" w:type="dxa"/>
            <w:vAlign w:val="top"/>
          </w:tcPr>
          <w:p w14:paraId="0E41E545">
            <w:pPr>
              <w:rPr>
                <w:rFonts w:ascii="Arial"/>
                <w:color w:val="auto"/>
                <w:sz w:val="21"/>
                <w:highlight w:val="none"/>
              </w:rPr>
            </w:pPr>
          </w:p>
        </w:tc>
        <w:tc>
          <w:tcPr>
            <w:tcW w:w="993" w:type="dxa"/>
            <w:vAlign w:val="top"/>
          </w:tcPr>
          <w:p w14:paraId="596AF559">
            <w:pPr>
              <w:rPr>
                <w:rFonts w:ascii="Arial"/>
                <w:color w:val="auto"/>
                <w:sz w:val="21"/>
                <w:highlight w:val="none"/>
              </w:rPr>
            </w:pPr>
          </w:p>
        </w:tc>
        <w:tc>
          <w:tcPr>
            <w:tcW w:w="1132" w:type="dxa"/>
            <w:vAlign w:val="top"/>
          </w:tcPr>
          <w:p w14:paraId="4518F1DB">
            <w:pPr>
              <w:rPr>
                <w:rFonts w:ascii="Arial"/>
                <w:color w:val="auto"/>
                <w:sz w:val="21"/>
                <w:highlight w:val="none"/>
              </w:rPr>
            </w:pPr>
          </w:p>
        </w:tc>
        <w:tc>
          <w:tcPr>
            <w:tcW w:w="1273" w:type="dxa"/>
            <w:vAlign w:val="top"/>
          </w:tcPr>
          <w:p w14:paraId="11B7FF2D">
            <w:pPr>
              <w:rPr>
                <w:rFonts w:ascii="Arial"/>
                <w:color w:val="auto"/>
                <w:sz w:val="21"/>
                <w:highlight w:val="none"/>
              </w:rPr>
            </w:pPr>
          </w:p>
        </w:tc>
        <w:tc>
          <w:tcPr>
            <w:tcW w:w="971" w:type="dxa"/>
            <w:tcBorders>
              <w:right w:val="single" w:color="000000" w:sz="6" w:space="0"/>
            </w:tcBorders>
            <w:vAlign w:val="top"/>
          </w:tcPr>
          <w:p w14:paraId="7DF5A2AA">
            <w:pPr>
              <w:rPr>
                <w:rFonts w:ascii="Arial"/>
                <w:color w:val="auto"/>
                <w:sz w:val="21"/>
                <w:highlight w:val="none"/>
              </w:rPr>
            </w:pPr>
          </w:p>
        </w:tc>
      </w:tr>
      <w:tr w14:paraId="1716D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60" w:type="dxa"/>
            <w:tcBorders>
              <w:left w:val="single" w:color="000000" w:sz="6" w:space="0"/>
            </w:tcBorders>
            <w:vAlign w:val="top"/>
          </w:tcPr>
          <w:p w14:paraId="702ACDA9">
            <w:pPr>
              <w:rPr>
                <w:rFonts w:ascii="Arial"/>
                <w:color w:val="auto"/>
                <w:sz w:val="21"/>
                <w:highlight w:val="none"/>
              </w:rPr>
            </w:pPr>
          </w:p>
        </w:tc>
        <w:tc>
          <w:tcPr>
            <w:tcW w:w="1841" w:type="dxa"/>
            <w:vAlign w:val="top"/>
          </w:tcPr>
          <w:p w14:paraId="2953FFFB">
            <w:pPr>
              <w:rPr>
                <w:rFonts w:ascii="Arial"/>
                <w:color w:val="auto"/>
                <w:sz w:val="21"/>
                <w:highlight w:val="none"/>
              </w:rPr>
            </w:pPr>
          </w:p>
        </w:tc>
        <w:tc>
          <w:tcPr>
            <w:tcW w:w="2407" w:type="dxa"/>
            <w:vAlign w:val="top"/>
          </w:tcPr>
          <w:p w14:paraId="08EC2545">
            <w:pPr>
              <w:rPr>
                <w:rFonts w:ascii="Arial"/>
                <w:color w:val="auto"/>
                <w:sz w:val="21"/>
                <w:highlight w:val="none"/>
              </w:rPr>
            </w:pPr>
          </w:p>
        </w:tc>
        <w:tc>
          <w:tcPr>
            <w:tcW w:w="2831" w:type="dxa"/>
            <w:vAlign w:val="top"/>
          </w:tcPr>
          <w:p w14:paraId="7E8B7A22">
            <w:pPr>
              <w:rPr>
                <w:rFonts w:ascii="Arial"/>
                <w:color w:val="auto"/>
                <w:sz w:val="21"/>
                <w:highlight w:val="none"/>
              </w:rPr>
            </w:pPr>
          </w:p>
        </w:tc>
        <w:tc>
          <w:tcPr>
            <w:tcW w:w="851" w:type="dxa"/>
            <w:vAlign w:val="top"/>
          </w:tcPr>
          <w:p w14:paraId="44F2193B">
            <w:pPr>
              <w:rPr>
                <w:rFonts w:ascii="Arial"/>
                <w:color w:val="auto"/>
                <w:sz w:val="21"/>
                <w:highlight w:val="none"/>
              </w:rPr>
            </w:pPr>
          </w:p>
        </w:tc>
        <w:tc>
          <w:tcPr>
            <w:tcW w:w="990" w:type="dxa"/>
            <w:vAlign w:val="top"/>
          </w:tcPr>
          <w:p w14:paraId="1FEB6F8A">
            <w:pPr>
              <w:rPr>
                <w:rFonts w:ascii="Arial"/>
                <w:color w:val="auto"/>
                <w:sz w:val="21"/>
                <w:highlight w:val="none"/>
              </w:rPr>
            </w:pPr>
          </w:p>
        </w:tc>
        <w:tc>
          <w:tcPr>
            <w:tcW w:w="993" w:type="dxa"/>
            <w:vAlign w:val="top"/>
          </w:tcPr>
          <w:p w14:paraId="29539266">
            <w:pPr>
              <w:rPr>
                <w:rFonts w:ascii="Arial"/>
                <w:color w:val="auto"/>
                <w:sz w:val="21"/>
                <w:highlight w:val="none"/>
              </w:rPr>
            </w:pPr>
          </w:p>
        </w:tc>
        <w:tc>
          <w:tcPr>
            <w:tcW w:w="1132" w:type="dxa"/>
            <w:vAlign w:val="top"/>
          </w:tcPr>
          <w:p w14:paraId="05C64799">
            <w:pPr>
              <w:rPr>
                <w:rFonts w:ascii="Arial"/>
                <w:color w:val="auto"/>
                <w:sz w:val="21"/>
                <w:highlight w:val="none"/>
              </w:rPr>
            </w:pPr>
          </w:p>
        </w:tc>
        <w:tc>
          <w:tcPr>
            <w:tcW w:w="1273" w:type="dxa"/>
            <w:vAlign w:val="top"/>
          </w:tcPr>
          <w:p w14:paraId="597987CE">
            <w:pPr>
              <w:rPr>
                <w:rFonts w:ascii="Arial"/>
                <w:color w:val="auto"/>
                <w:sz w:val="21"/>
                <w:highlight w:val="none"/>
              </w:rPr>
            </w:pPr>
          </w:p>
        </w:tc>
        <w:tc>
          <w:tcPr>
            <w:tcW w:w="971" w:type="dxa"/>
            <w:tcBorders>
              <w:right w:val="single" w:color="000000" w:sz="6" w:space="0"/>
            </w:tcBorders>
            <w:vAlign w:val="top"/>
          </w:tcPr>
          <w:p w14:paraId="01AF2F57">
            <w:pPr>
              <w:rPr>
                <w:rFonts w:ascii="Arial"/>
                <w:color w:val="auto"/>
                <w:sz w:val="21"/>
                <w:highlight w:val="none"/>
              </w:rPr>
            </w:pPr>
          </w:p>
        </w:tc>
      </w:tr>
      <w:tr w14:paraId="682C4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26352B93">
            <w:pPr>
              <w:rPr>
                <w:rFonts w:ascii="Arial"/>
                <w:color w:val="auto"/>
                <w:sz w:val="21"/>
                <w:highlight w:val="none"/>
              </w:rPr>
            </w:pPr>
          </w:p>
        </w:tc>
        <w:tc>
          <w:tcPr>
            <w:tcW w:w="1841" w:type="dxa"/>
            <w:vAlign w:val="top"/>
          </w:tcPr>
          <w:p w14:paraId="1BDB6A47">
            <w:pPr>
              <w:rPr>
                <w:rFonts w:ascii="Arial"/>
                <w:color w:val="auto"/>
                <w:sz w:val="21"/>
                <w:highlight w:val="none"/>
              </w:rPr>
            </w:pPr>
          </w:p>
        </w:tc>
        <w:tc>
          <w:tcPr>
            <w:tcW w:w="2407" w:type="dxa"/>
            <w:vAlign w:val="top"/>
          </w:tcPr>
          <w:p w14:paraId="1617C0C0">
            <w:pPr>
              <w:rPr>
                <w:rFonts w:ascii="Arial"/>
                <w:color w:val="auto"/>
                <w:sz w:val="21"/>
                <w:highlight w:val="none"/>
              </w:rPr>
            </w:pPr>
          </w:p>
        </w:tc>
        <w:tc>
          <w:tcPr>
            <w:tcW w:w="2831" w:type="dxa"/>
            <w:vAlign w:val="top"/>
          </w:tcPr>
          <w:p w14:paraId="5453007D">
            <w:pPr>
              <w:rPr>
                <w:rFonts w:ascii="Arial"/>
                <w:color w:val="auto"/>
                <w:sz w:val="21"/>
                <w:highlight w:val="none"/>
              </w:rPr>
            </w:pPr>
          </w:p>
        </w:tc>
        <w:tc>
          <w:tcPr>
            <w:tcW w:w="851" w:type="dxa"/>
            <w:vAlign w:val="top"/>
          </w:tcPr>
          <w:p w14:paraId="27108DF2">
            <w:pPr>
              <w:rPr>
                <w:rFonts w:ascii="Arial"/>
                <w:color w:val="auto"/>
                <w:sz w:val="21"/>
                <w:highlight w:val="none"/>
              </w:rPr>
            </w:pPr>
          </w:p>
        </w:tc>
        <w:tc>
          <w:tcPr>
            <w:tcW w:w="990" w:type="dxa"/>
            <w:vAlign w:val="top"/>
          </w:tcPr>
          <w:p w14:paraId="5D8A6BF4">
            <w:pPr>
              <w:rPr>
                <w:rFonts w:ascii="Arial"/>
                <w:color w:val="auto"/>
                <w:sz w:val="21"/>
                <w:highlight w:val="none"/>
              </w:rPr>
            </w:pPr>
          </w:p>
        </w:tc>
        <w:tc>
          <w:tcPr>
            <w:tcW w:w="993" w:type="dxa"/>
            <w:vAlign w:val="top"/>
          </w:tcPr>
          <w:p w14:paraId="234E78D1">
            <w:pPr>
              <w:rPr>
                <w:rFonts w:ascii="Arial"/>
                <w:color w:val="auto"/>
                <w:sz w:val="21"/>
                <w:highlight w:val="none"/>
              </w:rPr>
            </w:pPr>
          </w:p>
        </w:tc>
        <w:tc>
          <w:tcPr>
            <w:tcW w:w="1132" w:type="dxa"/>
            <w:vAlign w:val="top"/>
          </w:tcPr>
          <w:p w14:paraId="0DC7AB19">
            <w:pPr>
              <w:rPr>
                <w:rFonts w:ascii="Arial"/>
                <w:color w:val="auto"/>
                <w:sz w:val="21"/>
                <w:highlight w:val="none"/>
              </w:rPr>
            </w:pPr>
          </w:p>
        </w:tc>
        <w:tc>
          <w:tcPr>
            <w:tcW w:w="1273" w:type="dxa"/>
            <w:vAlign w:val="top"/>
          </w:tcPr>
          <w:p w14:paraId="4885F206">
            <w:pPr>
              <w:rPr>
                <w:rFonts w:ascii="Arial"/>
                <w:color w:val="auto"/>
                <w:sz w:val="21"/>
                <w:highlight w:val="none"/>
              </w:rPr>
            </w:pPr>
          </w:p>
        </w:tc>
        <w:tc>
          <w:tcPr>
            <w:tcW w:w="971" w:type="dxa"/>
            <w:tcBorders>
              <w:right w:val="single" w:color="000000" w:sz="6" w:space="0"/>
            </w:tcBorders>
            <w:vAlign w:val="top"/>
          </w:tcPr>
          <w:p w14:paraId="197E702E">
            <w:pPr>
              <w:rPr>
                <w:rFonts w:ascii="Arial"/>
                <w:color w:val="auto"/>
                <w:sz w:val="21"/>
                <w:highlight w:val="none"/>
              </w:rPr>
            </w:pPr>
          </w:p>
        </w:tc>
      </w:tr>
      <w:tr w14:paraId="7CF96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07F150E8">
            <w:pPr>
              <w:rPr>
                <w:rFonts w:ascii="Arial"/>
                <w:color w:val="auto"/>
                <w:sz w:val="21"/>
                <w:highlight w:val="none"/>
              </w:rPr>
            </w:pPr>
          </w:p>
        </w:tc>
        <w:tc>
          <w:tcPr>
            <w:tcW w:w="1841" w:type="dxa"/>
            <w:vAlign w:val="top"/>
          </w:tcPr>
          <w:p w14:paraId="23E01A63">
            <w:pPr>
              <w:rPr>
                <w:rFonts w:ascii="Arial"/>
                <w:color w:val="auto"/>
                <w:sz w:val="21"/>
                <w:highlight w:val="none"/>
              </w:rPr>
            </w:pPr>
          </w:p>
        </w:tc>
        <w:tc>
          <w:tcPr>
            <w:tcW w:w="2407" w:type="dxa"/>
            <w:vAlign w:val="top"/>
          </w:tcPr>
          <w:p w14:paraId="5A2E65B0">
            <w:pPr>
              <w:rPr>
                <w:rFonts w:ascii="Arial"/>
                <w:color w:val="auto"/>
                <w:sz w:val="21"/>
                <w:highlight w:val="none"/>
              </w:rPr>
            </w:pPr>
          </w:p>
        </w:tc>
        <w:tc>
          <w:tcPr>
            <w:tcW w:w="2831" w:type="dxa"/>
            <w:vAlign w:val="top"/>
          </w:tcPr>
          <w:p w14:paraId="3C11E163">
            <w:pPr>
              <w:rPr>
                <w:rFonts w:ascii="Arial"/>
                <w:color w:val="auto"/>
                <w:sz w:val="21"/>
                <w:highlight w:val="none"/>
              </w:rPr>
            </w:pPr>
          </w:p>
        </w:tc>
        <w:tc>
          <w:tcPr>
            <w:tcW w:w="851" w:type="dxa"/>
            <w:vAlign w:val="top"/>
          </w:tcPr>
          <w:p w14:paraId="43ECC097">
            <w:pPr>
              <w:rPr>
                <w:rFonts w:ascii="Arial"/>
                <w:color w:val="auto"/>
                <w:sz w:val="21"/>
                <w:highlight w:val="none"/>
              </w:rPr>
            </w:pPr>
          </w:p>
        </w:tc>
        <w:tc>
          <w:tcPr>
            <w:tcW w:w="990" w:type="dxa"/>
            <w:vAlign w:val="top"/>
          </w:tcPr>
          <w:p w14:paraId="00E801DE">
            <w:pPr>
              <w:rPr>
                <w:rFonts w:ascii="Arial"/>
                <w:color w:val="auto"/>
                <w:sz w:val="21"/>
                <w:highlight w:val="none"/>
              </w:rPr>
            </w:pPr>
          </w:p>
        </w:tc>
        <w:tc>
          <w:tcPr>
            <w:tcW w:w="993" w:type="dxa"/>
            <w:vAlign w:val="top"/>
          </w:tcPr>
          <w:p w14:paraId="64F4B25A">
            <w:pPr>
              <w:rPr>
                <w:rFonts w:ascii="Arial"/>
                <w:color w:val="auto"/>
                <w:sz w:val="21"/>
                <w:highlight w:val="none"/>
              </w:rPr>
            </w:pPr>
          </w:p>
        </w:tc>
        <w:tc>
          <w:tcPr>
            <w:tcW w:w="1132" w:type="dxa"/>
            <w:vAlign w:val="top"/>
          </w:tcPr>
          <w:p w14:paraId="7DE4A37C">
            <w:pPr>
              <w:rPr>
                <w:rFonts w:ascii="Arial"/>
                <w:color w:val="auto"/>
                <w:sz w:val="21"/>
                <w:highlight w:val="none"/>
              </w:rPr>
            </w:pPr>
          </w:p>
        </w:tc>
        <w:tc>
          <w:tcPr>
            <w:tcW w:w="1273" w:type="dxa"/>
            <w:vAlign w:val="top"/>
          </w:tcPr>
          <w:p w14:paraId="155DE7AF">
            <w:pPr>
              <w:rPr>
                <w:rFonts w:ascii="Arial"/>
                <w:color w:val="auto"/>
                <w:sz w:val="21"/>
                <w:highlight w:val="none"/>
              </w:rPr>
            </w:pPr>
          </w:p>
        </w:tc>
        <w:tc>
          <w:tcPr>
            <w:tcW w:w="971" w:type="dxa"/>
            <w:tcBorders>
              <w:right w:val="single" w:color="000000" w:sz="6" w:space="0"/>
            </w:tcBorders>
            <w:vAlign w:val="top"/>
          </w:tcPr>
          <w:p w14:paraId="5627BCEB">
            <w:pPr>
              <w:rPr>
                <w:rFonts w:ascii="Arial"/>
                <w:color w:val="auto"/>
                <w:sz w:val="21"/>
                <w:highlight w:val="none"/>
              </w:rPr>
            </w:pPr>
          </w:p>
        </w:tc>
      </w:tr>
      <w:tr w14:paraId="4CAFF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08E8F210">
            <w:pPr>
              <w:rPr>
                <w:rFonts w:ascii="Arial"/>
                <w:color w:val="auto"/>
                <w:sz w:val="21"/>
                <w:highlight w:val="none"/>
              </w:rPr>
            </w:pPr>
          </w:p>
        </w:tc>
        <w:tc>
          <w:tcPr>
            <w:tcW w:w="1841" w:type="dxa"/>
            <w:vAlign w:val="top"/>
          </w:tcPr>
          <w:p w14:paraId="39F772A5">
            <w:pPr>
              <w:rPr>
                <w:rFonts w:ascii="Arial"/>
                <w:color w:val="auto"/>
                <w:sz w:val="21"/>
                <w:highlight w:val="none"/>
              </w:rPr>
            </w:pPr>
          </w:p>
        </w:tc>
        <w:tc>
          <w:tcPr>
            <w:tcW w:w="2407" w:type="dxa"/>
            <w:vAlign w:val="top"/>
          </w:tcPr>
          <w:p w14:paraId="70BD34A3">
            <w:pPr>
              <w:rPr>
                <w:rFonts w:ascii="Arial"/>
                <w:color w:val="auto"/>
                <w:sz w:val="21"/>
                <w:highlight w:val="none"/>
              </w:rPr>
            </w:pPr>
          </w:p>
        </w:tc>
        <w:tc>
          <w:tcPr>
            <w:tcW w:w="2831" w:type="dxa"/>
            <w:vAlign w:val="top"/>
          </w:tcPr>
          <w:p w14:paraId="0CCF5D5E">
            <w:pPr>
              <w:rPr>
                <w:rFonts w:ascii="Arial"/>
                <w:color w:val="auto"/>
                <w:sz w:val="21"/>
                <w:highlight w:val="none"/>
              </w:rPr>
            </w:pPr>
          </w:p>
        </w:tc>
        <w:tc>
          <w:tcPr>
            <w:tcW w:w="851" w:type="dxa"/>
            <w:vAlign w:val="top"/>
          </w:tcPr>
          <w:p w14:paraId="5B0517AD">
            <w:pPr>
              <w:rPr>
                <w:rFonts w:ascii="Arial"/>
                <w:color w:val="auto"/>
                <w:sz w:val="21"/>
                <w:highlight w:val="none"/>
              </w:rPr>
            </w:pPr>
          </w:p>
        </w:tc>
        <w:tc>
          <w:tcPr>
            <w:tcW w:w="990" w:type="dxa"/>
            <w:vAlign w:val="top"/>
          </w:tcPr>
          <w:p w14:paraId="5993B32C">
            <w:pPr>
              <w:rPr>
                <w:rFonts w:ascii="Arial"/>
                <w:color w:val="auto"/>
                <w:sz w:val="21"/>
                <w:highlight w:val="none"/>
              </w:rPr>
            </w:pPr>
          </w:p>
        </w:tc>
        <w:tc>
          <w:tcPr>
            <w:tcW w:w="993" w:type="dxa"/>
            <w:vAlign w:val="top"/>
          </w:tcPr>
          <w:p w14:paraId="6562D6D5">
            <w:pPr>
              <w:rPr>
                <w:rFonts w:ascii="Arial"/>
                <w:color w:val="auto"/>
                <w:sz w:val="21"/>
                <w:highlight w:val="none"/>
              </w:rPr>
            </w:pPr>
          </w:p>
        </w:tc>
        <w:tc>
          <w:tcPr>
            <w:tcW w:w="1132" w:type="dxa"/>
            <w:vAlign w:val="top"/>
          </w:tcPr>
          <w:p w14:paraId="2B4F7B9A">
            <w:pPr>
              <w:rPr>
                <w:rFonts w:ascii="Arial"/>
                <w:color w:val="auto"/>
                <w:sz w:val="21"/>
                <w:highlight w:val="none"/>
              </w:rPr>
            </w:pPr>
          </w:p>
        </w:tc>
        <w:tc>
          <w:tcPr>
            <w:tcW w:w="1273" w:type="dxa"/>
            <w:vAlign w:val="top"/>
          </w:tcPr>
          <w:p w14:paraId="0258C43E">
            <w:pPr>
              <w:rPr>
                <w:rFonts w:ascii="Arial"/>
                <w:color w:val="auto"/>
                <w:sz w:val="21"/>
                <w:highlight w:val="none"/>
              </w:rPr>
            </w:pPr>
          </w:p>
        </w:tc>
        <w:tc>
          <w:tcPr>
            <w:tcW w:w="971" w:type="dxa"/>
            <w:tcBorders>
              <w:right w:val="single" w:color="000000" w:sz="6" w:space="0"/>
            </w:tcBorders>
            <w:vAlign w:val="top"/>
          </w:tcPr>
          <w:p w14:paraId="464849AE">
            <w:pPr>
              <w:rPr>
                <w:rFonts w:ascii="Arial"/>
                <w:color w:val="auto"/>
                <w:sz w:val="21"/>
                <w:highlight w:val="none"/>
              </w:rPr>
            </w:pPr>
          </w:p>
        </w:tc>
      </w:tr>
      <w:tr w14:paraId="2C72D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77DC9BD1">
            <w:pPr>
              <w:rPr>
                <w:rFonts w:ascii="Arial"/>
                <w:color w:val="auto"/>
                <w:sz w:val="21"/>
                <w:highlight w:val="none"/>
              </w:rPr>
            </w:pPr>
          </w:p>
        </w:tc>
        <w:tc>
          <w:tcPr>
            <w:tcW w:w="1841" w:type="dxa"/>
            <w:vAlign w:val="top"/>
          </w:tcPr>
          <w:p w14:paraId="146E1A6C">
            <w:pPr>
              <w:rPr>
                <w:rFonts w:ascii="Arial"/>
                <w:color w:val="auto"/>
                <w:sz w:val="21"/>
                <w:highlight w:val="none"/>
              </w:rPr>
            </w:pPr>
          </w:p>
        </w:tc>
        <w:tc>
          <w:tcPr>
            <w:tcW w:w="2407" w:type="dxa"/>
            <w:vAlign w:val="top"/>
          </w:tcPr>
          <w:p w14:paraId="312623B7">
            <w:pPr>
              <w:rPr>
                <w:rFonts w:ascii="Arial"/>
                <w:color w:val="auto"/>
                <w:sz w:val="21"/>
                <w:highlight w:val="none"/>
              </w:rPr>
            </w:pPr>
          </w:p>
        </w:tc>
        <w:tc>
          <w:tcPr>
            <w:tcW w:w="2831" w:type="dxa"/>
            <w:vAlign w:val="top"/>
          </w:tcPr>
          <w:p w14:paraId="55A2D653">
            <w:pPr>
              <w:rPr>
                <w:rFonts w:ascii="Arial"/>
                <w:color w:val="auto"/>
                <w:sz w:val="21"/>
                <w:highlight w:val="none"/>
              </w:rPr>
            </w:pPr>
          </w:p>
        </w:tc>
        <w:tc>
          <w:tcPr>
            <w:tcW w:w="851" w:type="dxa"/>
            <w:vAlign w:val="top"/>
          </w:tcPr>
          <w:p w14:paraId="30A6FC27">
            <w:pPr>
              <w:rPr>
                <w:rFonts w:ascii="Arial"/>
                <w:color w:val="auto"/>
                <w:sz w:val="21"/>
                <w:highlight w:val="none"/>
              </w:rPr>
            </w:pPr>
          </w:p>
        </w:tc>
        <w:tc>
          <w:tcPr>
            <w:tcW w:w="990" w:type="dxa"/>
            <w:vAlign w:val="top"/>
          </w:tcPr>
          <w:p w14:paraId="12B1B482">
            <w:pPr>
              <w:rPr>
                <w:rFonts w:ascii="Arial"/>
                <w:color w:val="auto"/>
                <w:sz w:val="21"/>
                <w:highlight w:val="none"/>
              </w:rPr>
            </w:pPr>
          </w:p>
        </w:tc>
        <w:tc>
          <w:tcPr>
            <w:tcW w:w="993" w:type="dxa"/>
            <w:vAlign w:val="top"/>
          </w:tcPr>
          <w:p w14:paraId="74DC4BC7">
            <w:pPr>
              <w:rPr>
                <w:rFonts w:ascii="Arial"/>
                <w:color w:val="auto"/>
                <w:sz w:val="21"/>
                <w:highlight w:val="none"/>
              </w:rPr>
            </w:pPr>
          </w:p>
        </w:tc>
        <w:tc>
          <w:tcPr>
            <w:tcW w:w="1132" w:type="dxa"/>
            <w:vAlign w:val="top"/>
          </w:tcPr>
          <w:p w14:paraId="2EE15E1F">
            <w:pPr>
              <w:rPr>
                <w:rFonts w:ascii="Arial"/>
                <w:color w:val="auto"/>
                <w:sz w:val="21"/>
                <w:highlight w:val="none"/>
              </w:rPr>
            </w:pPr>
          </w:p>
        </w:tc>
        <w:tc>
          <w:tcPr>
            <w:tcW w:w="1273" w:type="dxa"/>
            <w:vAlign w:val="top"/>
          </w:tcPr>
          <w:p w14:paraId="5D7C7D8C">
            <w:pPr>
              <w:rPr>
                <w:rFonts w:ascii="Arial"/>
                <w:color w:val="auto"/>
                <w:sz w:val="21"/>
                <w:highlight w:val="none"/>
              </w:rPr>
            </w:pPr>
          </w:p>
        </w:tc>
        <w:tc>
          <w:tcPr>
            <w:tcW w:w="971" w:type="dxa"/>
            <w:tcBorders>
              <w:right w:val="single" w:color="000000" w:sz="6" w:space="0"/>
            </w:tcBorders>
            <w:vAlign w:val="top"/>
          </w:tcPr>
          <w:p w14:paraId="4A834279">
            <w:pPr>
              <w:rPr>
                <w:rFonts w:ascii="Arial"/>
                <w:color w:val="auto"/>
                <w:sz w:val="21"/>
                <w:highlight w:val="none"/>
              </w:rPr>
            </w:pPr>
          </w:p>
        </w:tc>
      </w:tr>
      <w:tr w14:paraId="65DC8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6D1F1F3E">
            <w:pPr>
              <w:rPr>
                <w:rFonts w:ascii="Arial"/>
                <w:color w:val="auto"/>
                <w:sz w:val="21"/>
                <w:highlight w:val="none"/>
              </w:rPr>
            </w:pPr>
          </w:p>
        </w:tc>
        <w:tc>
          <w:tcPr>
            <w:tcW w:w="1841" w:type="dxa"/>
            <w:vAlign w:val="top"/>
          </w:tcPr>
          <w:p w14:paraId="0CCD79E1">
            <w:pPr>
              <w:rPr>
                <w:rFonts w:ascii="Arial"/>
                <w:color w:val="auto"/>
                <w:sz w:val="21"/>
                <w:highlight w:val="none"/>
              </w:rPr>
            </w:pPr>
          </w:p>
        </w:tc>
        <w:tc>
          <w:tcPr>
            <w:tcW w:w="2407" w:type="dxa"/>
            <w:vAlign w:val="top"/>
          </w:tcPr>
          <w:p w14:paraId="50CEFEE8">
            <w:pPr>
              <w:rPr>
                <w:rFonts w:ascii="Arial"/>
                <w:color w:val="auto"/>
                <w:sz w:val="21"/>
                <w:highlight w:val="none"/>
              </w:rPr>
            </w:pPr>
          </w:p>
        </w:tc>
        <w:tc>
          <w:tcPr>
            <w:tcW w:w="2831" w:type="dxa"/>
            <w:vAlign w:val="top"/>
          </w:tcPr>
          <w:p w14:paraId="5B89B373">
            <w:pPr>
              <w:rPr>
                <w:rFonts w:ascii="Arial"/>
                <w:color w:val="auto"/>
                <w:sz w:val="21"/>
                <w:highlight w:val="none"/>
              </w:rPr>
            </w:pPr>
          </w:p>
        </w:tc>
        <w:tc>
          <w:tcPr>
            <w:tcW w:w="851" w:type="dxa"/>
            <w:vAlign w:val="top"/>
          </w:tcPr>
          <w:p w14:paraId="263B7D4D">
            <w:pPr>
              <w:rPr>
                <w:rFonts w:ascii="Arial"/>
                <w:color w:val="auto"/>
                <w:sz w:val="21"/>
                <w:highlight w:val="none"/>
              </w:rPr>
            </w:pPr>
          </w:p>
        </w:tc>
        <w:tc>
          <w:tcPr>
            <w:tcW w:w="990" w:type="dxa"/>
            <w:vAlign w:val="top"/>
          </w:tcPr>
          <w:p w14:paraId="5334C4B6">
            <w:pPr>
              <w:rPr>
                <w:rFonts w:ascii="Arial"/>
                <w:color w:val="auto"/>
                <w:sz w:val="21"/>
                <w:highlight w:val="none"/>
              </w:rPr>
            </w:pPr>
          </w:p>
        </w:tc>
        <w:tc>
          <w:tcPr>
            <w:tcW w:w="993" w:type="dxa"/>
            <w:vAlign w:val="top"/>
          </w:tcPr>
          <w:p w14:paraId="36F3C395">
            <w:pPr>
              <w:rPr>
                <w:rFonts w:ascii="Arial"/>
                <w:color w:val="auto"/>
                <w:sz w:val="21"/>
                <w:highlight w:val="none"/>
              </w:rPr>
            </w:pPr>
          </w:p>
        </w:tc>
        <w:tc>
          <w:tcPr>
            <w:tcW w:w="1132" w:type="dxa"/>
            <w:vAlign w:val="top"/>
          </w:tcPr>
          <w:p w14:paraId="4A86952C">
            <w:pPr>
              <w:rPr>
                <w:rFonts w:ascii="Arial"/>
                <w:color w:val="auto"/>
                <w:sz w:val="21"/>
                <w:highlight w:val="none"/>
              </w:rPr>
            </w:pPr>
          </w:p>
        </w:tc>
        <w:tc>
          <w:tcPr>
            <w:tcW w:w="1273" w:type="dxa"/>
            <w:vAlign w:val="top"/>
          </w:tcPr>
          <w:p w14:paraId="25A4821B">
            <w:pPr>
              <w:rPr>
                <w:rFonts w:ascii="Arial"/>
                <w:color w:val="auto"/>
                <w:sz w:val="21"/>
                <w:highlight w:val="none"/>
              </w:rPr>
            </w:pPr>
          </w:p>
        </w:tc>
        <w:tc>
          <w:tcPr>
            <w:tcW w:w="971" w:type="dxa"/>
            <w:tcBorders>
              <w:right w:val="single" w:color="000000" w:sz="6" w:space="0"/>
            </w:tcBorders>
            <w:vAlign w:val="top"/>
          </w:tcPr>
          <w:p w14:paraId="08BA9FD5">
            <w:pPr>
              <w:rPr>
                <w:rFonts w:ascii="Arial"/>
                <w:color w:val="auto"/>
                <w:sz w:val="21"/>
                <w:highlight w:val="none"/>
              </w:rPr>
            </w:pPr>
          </w:p>
        </w:tc>
      </w:tr>
      <w:tr w14:paraId="4CFB5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5991F349">
            <w:pPr>
              <w:rPr>
                <w:rFonts w:ascii="Arial"/>
                <w:color w:val="auto"/>
                <w:sz w:val="21"/>
                <w:highlight w:val="none"/>
              </w:rPr>
            </w:pPr>
          </w:p>
        </w:tc>
        <w:tc>
          <w:tcPr>
            <w:tcW w:w="1841" w:type="dxa"/>
            <w:vAlign w:val="top"/>
          </w:tcPr>
          <w:p w14:paraId="3A0B5D15">
            <w:pPr>
              <w:rPr>
                <w:rFonts w:ascii="Arial"/>
                <w:color w:val="auto"/>
                <w:sz w:val="21"/>
                <w:highlight w:val="none"/>
              </w:rPr>
            </w:pPr>
          </w:p>
        </w:tc>
        <w:tc>
          <w:tcPr>
            <w:tcW w:w="2407" w:type="dxa"/>
            <w:vAlign w:val="top"/>
          </w:tcPr>
          <w:p w14:paraId="39D72D70">
            <w:pPr>
              <w:rPr>
                <w:rFonts w:ascii="Arial"/>
                <w:color w:val="auto"/>
                <w:sz w:val="21"/>
                <w:highlight w:val="none"/>
              </w:rPr>
            </w:pPr>
          </w:p>
        </w:tc>
        <w:tc>
          <w:tcPr>
            <w:tcW w:w="2831" w:type="dxa"/>
            <w:vAlign w:val="top"/>
          </w:tcPr>
          <w:p w14:paraId="58DCFE9E">
            <w:pPr>
              <w:rPr>
                <w:rFonts w:ascii="Arial"/>
                <w:color w:val="auto"/>
                <w:sz w:val="21"/>
                <w:highlight w:val="none"/>
              </w:rPr>
            </w:pPr>
          </w:p>
        </w:tc>
        <w:tc>
          <w:tcPr>
            <w:tcW w:w="851" w:type="dxa"/>
            <w:vAlign w:val="top"/>
          </w:tcPr>
          <w:p w14:paraId="146B9F0C">
            <w:pPr>
              <w:rPr>
                <w:rFonts w:ascii="Arial"/>
                <w:color w:val="auto"/>
                <w:sz w:val="21"/>
                <w:highlight w:val="none"/>
              </w:rPr>
            </w:pPr>
          </w:p>
        </w:tc>
        <w:tc>
          <w:tcPr>
            <w:tcW w:w="990" w:type="dxa"/>
            <w:vAlign w:val="top"/>
          </w:tcPr>
          <w:p w14:paraId="58F22E47">
            <w:pPr>
              <w:rPr>
                <w:rFonts w:ascii="Arial"/>
                <w:color w:val="auto"/>
                <w:sz w:val="21"/>
                <w:highlight w:val="none"/>
              </w:rPr>
            </w:pPr>
          </w:p>
        </w:tc>
        <w:tc>
          <w:tcPr>
            <w:tcW w:w="993" w:type="dxa"/>
            <w:vAlign w:val="top"/>
          </w:tcPr>
          <w:p w14:paraId="156EB2B5">
            <w:pPr>
              <w:rPr>
                <w:rFonts w:ascii="Arial"/>
                <w:color w:val="auto"/>
                <w:sz w:val="21"/>
                <w:highlight w:val="none"/>
              </w:rPr>
            </w:pPr>
          </w:p>
        </w:tc>
        <w:tc>
          <w:tcPr>
            <w:tcW w:w="1132" w:type="dxa"/>
            <w:vAlign w:val="top"/>
          </w:tcPr>
          <w:p w14:paraId="3F9FBBB7">
            <w:pPr>
              <w:rPr>
                <w:rFonts w:ascii="Arial"/>
                <w:color w:val="auto"/>
                <w:sz w:val="21"/>
                <w:highlight w:val="none"/>
              </w:rPr>
            </w:pPr>
          </w:p>
        </w:tc>
        <w:tc>
          <w:tcPr>
            <w:tcW w:w="1273" w:type="dxa"/>
            <w:vAlign w:val="top"/>
          </w:tcPr>
          <w:p w14:paraId="03756CA9">
            <w:pPr>
              <w:rPr>
                <w:rFonts w:ascii="Arial"/>
                <w:color w:val="auto"/>
                <w:sz w:val="21"/>
                <w:highlight w:val="none"/>
              </w:rPr>
            </w:pPr>
          </w:p>
        </w:tc>
        <w:tc>
          <w:tcPr>
            <w:tcW w:w="971" w:type="dxa"/>
            <w:tcBorders>
              <w:right w:val="single" w:color="000000" w:sz="6" w:space="0"/>
            </w:tcBorders>
            <w:vAlign w:val="top"/>
          </w:tcPr>
          <w:p w14:paraId="6AC2CC8F">
            <w:pPr>
              <w:rPr>
                <w:rFonts w:ascii="Arial"/>
                <w:color w:val="auto"/>
                <w:sz w:val="21"/>
                <w:highlight w:val="none"/>
              </w:rPr>
            </w:pPr>
          </w:p>
        </w:tc>
      </w:tr>
      <w:tr w14:paraId="4244D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6A4982F6">
            <w:pPr>
              <w:rPr>
                <w:rFonts w:ascii="Arial"/>
                <w:color w:val="auto"/>
                <w:sz w:val="21"/>
                <w:highlight w:val="none"/>
              </w:rPr>
            </w:pPr>
          </w:p>
        </w:tc>
        <w:tc>
          <w:tcPr>
            <w:tcW w:w="1841" w:type="dxa"/>
            <w:vAlign w:val="top"/>
          </w:tcPr>
          <w:p w14:paraId="1E07DAC5">
            <w:pPr>
              <w:rPr>
                <w:rFonts w:ascii="Arial"/>
                <w:color w:val="auto"/>
                <w:sz w:val="21"/>
                <w:highlight w:val="none"/>
              </w:rPr>
            </w:pPr>
          </w:p>
        </w:tc>
        <w:tc>
          <w:tcPr>
            <w:tcW w:w="2407" w:type="dxa"/>
            <w:vAlign w:val="top"/>
          </w:tcPr>
          <w:p w14:paraId="3156BC9F">
            <w:pPr>
              <w:rPr>
                <w:rFonts w:ascii="Arial"/>
                <w:color w:val="auto"/>
                <w:sz w:val="21"/>
                <w:highlight w:val="none"/>
              </w:rPr>
            </w:pPr>
          </w:p>
        </w:tc>
        <w:tc>
          <w:tcPr>
            <w:tcW w:w="2831" w:type="dxa"/>
            <w:vAlign w:val="top"/>
          </w:tcPr>
          <w:p w14:paraId="0B1477F3">
            <w:pPr>
              <w:rPr>
                <w:rFonts w:ascii="Arial"/>
                <w:color w:val="auto"/>
                <w:sz w:val="21"/>
                <w:highlight w:val="none"/>
              </w:rPr>
            </w:pPr>
          </w:p>
        </w:tc>
        <w:tc>
          <w:tcPr>
            <w:tcW w:w="851" w:type="dxa"/>
            <w:vAlign w:val="top"/>
          </w:tcPr>
          <w:p w14:paraId="00B9A5CA">
            <w:pPr>
              <w:rPr>
                <w:rFonts w:ascii="Arial"/>
                <w:color w:val="auto"/>
                <w:sz w:val="21"/>
                <w:highlight w:val="none"/>
              </w:rPr>
            </w:pPr>
          </w:p>
        </w:tc>
        <w:tc>
          <w:tcPr>
            <w:tcW w:w="990" w:type="dxa"/>
            <w:vAlign w:val="top"/>
          </w:tcPr>
          <w:p w14:paraId="6079F68A">
            <w:pPr>
              <w:rPr>
                <w:rFonts w:ascii="Arial"/>
                <w:color w:val="auto"/>
                <w:sz w:val="21"/>
                <w:highlight w:val="none"/>
              </w:rPr>
            </w:pPr>
          </w:p>
        </w:tc>
        <w:tc>
          <w:tcPr>
            <w:tcW w:w="993" w:type="dxa"/>
            <w:vAlign w:val="top"/>
          </w:tcPr>
          <w:p w14:paraId="39F9D1C0">
            <w:pPr>
              <w:rPr>
                <w:rFonts w:ascii="Arial"/>
                <w:color w:val="auto"/>
                <w:sz w:val="21"/>
                <w:highlight w:val="none"/>
              </w:rPr>
            </w:pPr>
          </w:p>
        </w:tc>
        <w:tc>
          <w:tcPr>
            <w:tcW w:w="1132" w:type="dxa"/>
            <w:vAlign w:val="top"/>
          </w:tcPr>
          <w:p w14:paraId="365F268F">
            <w:pPr>
              <w:rPr>
                <w:rFonts w:ascii="Arial"/>
                <w:color w:val="auto"/>
                <w:sz w:val="21"/>
                <w:highlight w:val="none"/>
              </w:rPr>
            </w:pPr>
          </w:p>
        </w:tc>
        <w:tc>
          <w:tcPr>
            <w:tcW w:w="1273" w:type="dxa"/>
            <w:vAlign w:val="top"/>
          </w:tcPr>
          <w:p w14:paraId="09586615">
            <w:pPr>
              <w:rPr>
                <w:rFonts w:ascii="Arial"/>
                <w:color w:val="auto"/>
                <w:sz w:val="21"/>
                <w:highlight w:val="none"/>
              </w:rPr>
            </w:pPr>
          </w:p>
        </w:tc>
        <w:tc>
          <w:tcPr>
            <w:tcW w:w="971" w:type="dxa"/>
            <w:tcBorders>
              <w:right w:val="single" w:color="000000" w:sz="6" w:space="0"/>
            </w:tcBorders>
            <w:vAlign w:val="top"/>
          </w:tcPr>
          <w:p w14:paraId="3B4B42BB">
            <w:pPr>
              <w:rPr>
                <w:rFonts w:ascii="Arial"/>
                <w:color w:val="auto"/>
                <w:sz w:val="21"/>
                <w:highlight w:val="none"/>
              </w:rPr>
            </w:pPr>
          </w:p>
        </w:tc>
      </w:tr>
      <w:tr w14:paraId="6A917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5DAB6B3E">
            <w:pPr>
              <w:rPr>
                <w:rFonts w:ascii="Arial"/>
                <w:color w:val="auto"/>
                <w:sz w:val="21"/>
                <w:highlight w:val="none"/>
              </w:rPr>
            </w:pPr>
          </w:p>
        </w:tc>
        <w:tc>
          <w:tcPr>
            <w:tcW w:w="1841" w:type="dxa"/>
            <w:vAlign w:val="top"/>
          </w:tcPr>
          <w:p w14:paraId="42C3C224">
            <w:pPr>
              <w:rPr>
                <w:rFonts w:ascii="Arial"/>
                <w:color w:val="auto"/>
                <w:sz w:val="21"/>
                <w:highlight w:val="none"/>
              </w:rPr>
            </w:pPr>
          </w:p>
        </w:tc>
        <w:tc>
          <w:tcPr>
            <w:tcW w:w="2407" w:type="dxa"/>
            <w:vAlign w:val="top"/>
          </w:tcPr>
          <w:p w14:paraId="3B57BF1A">
            <w:pPr>
              <w:rPr>
                <w:rFonts w:ascii="Arial"/>
                <w:color w:val="auto"/>
                <w:sz w:val="21"/>
                <w:highlight w:val="none"/>
              </w:rPr>
            </w:pPr>
          </w:p>
        </w:tc>
        <w:tc>
          <w:tcPr>
            <w:tcW w:w="2831" w:type="dxa"/>
            <w:vAlign w:val="top"/>
          </w:tcPr>
          <w:p w14:paraId="3F89729A">
            <w:pPr>
              <w:rPr>
                <w:rFonts w:ascii="Arial"/>
                <w:color w:val="auto"/>
                <w:sz w:val="21"/>
                <w:highlight w:val="none"/>
              </w:rPr>
            </w:pPr>
          </w:p>
        </w:tc>
        <w:tc>
          <w:tcPr>
            <w:tcW w:w="851" w:type="dxa"/>
            <w:vAlign w:val="top"/>
          </w:tcPr>
          <w:p w14:paraId="3152BC5C">
            <w:pPr>
              <w:rPr>
                <w:rFonts w:ascii="Arial"/>
                <w:color w:val="auto"/>
                <w:sz w:val="21"/>
                <w:highlight w:val="none"/>
              </w:rPr>
            </w:pPr>
          </w:p>
        </w:tc>
        <w:tc>
          <w:tcPr>
            <w:tcW w:w="990" w:type="dxa"/>
            <w:vAlign w:val="top"/>
          </w:tcPr>
          <w:p w14:paraId="549747F4">
            <w:pPr>
              <w:rPr>
                <w:rFonts w:ascii="Arial"/>
                <w:color w:val="auto"/>
                <w:sz w:val="21"/>
                <w:highlight w:val="none"/>
              </w:rPr>
            </w:pPr>
          </w:p>
        </w:tc>
        <w:tc>
          <w:tcPr>
            <w:tcW w:w="993" w:type="dxa"/>
            <w:vAlign w:val="top"/>
          </w:tcPr>
          <w:p w14:paraId="1D517A8C">
            <w:pPr>
              <w:rPr>
                <w:rFonts w:ascii="Arial"/>
                <w:color w:val="auto"/>
                <w:sz w:val="21"/>
                <w:highlight w:val="none"/>
              </w:rPr>
            </w:pPr>
          </w:p>
        </w:tc>
        <w:tc>
          <w:tcPr>
            <w:tcW w:w="1132" w:type="dxa"/>
            <w:vAlign w:val="top"/>
          </w:tcPr>
          <w:p w14:paraId="22BC28A8">
            <w:pPr>
              <w:rPr>
                <w:rFonts w:ascii="Arial"/>
                <w:color w:val="auto"/>
                <w:sz w:val="21"/>
                <w:highlight w:val="none"/>
              </w:rPr>
            </w:pPr>
          </w:p>
        </w:tc>
        <w:tc>
          <w:tcPr>
            <w:tcW w:w="1273" w:type="dxa"/>
            <w:vAlign w:val="top"/>
          </w:tcPr>
          <w:p w14:paraId="36864477">
            <w:pPr>
              <w:rPr>
                <w:rFonts w:ascii="Arial"/>
                <w:color w:val="auto"/>
                <w:sz w:val="21"/>
                <w:highlight w:val="none"/>
              </w:rPr>
            </w:pPr>
          </w:p>
        </w:tc>
        <w:tc>
          <w:tcPr>
            <w:tcW w:w="971" w:type="dxa"/>
            <w:tcBorders>
              <w:right w:val="single" w:color="000000" w:sz="6" w:space="0"/>
            </w:tcBorders>
            <w:vAlign w:val="top"/>
          </w:tcPr>
          <w:p w14:paraId="5712B3B8">
            <w:pPr>
              <w:rPr>
                <w:rFonts w:ascii="Arial"/>
                <w:color w:val="auto"/>
                <w:sz w:val="21"/>
                <w:highlight w:val="none"/>
              </w:rPr>
            </w:pPr>
          </w:p>
        </w:tc>
      </w:tr>
      <w:tr w14:paraId="0BDFD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60" w:type="dxa"/>
            <w:tcBorders>
              <w:left w:val="single" w:color="000000" w:sz="6" w:space="0"/>
              <w:bottom w:val="single" w:color="000000" w:sz="6" w:space="0"/>
            </w:tcBorders>
            <w:vAlign w:val="top"/>
          </w:tcPr>
          <w:p w14:paraId="087DD8BF">
            <w:pPr>
              <w:rPr>
                <w:rFonts w:ascii="Arial"/>
                <w:color w:val="auto"/>
                <w:sz w:val="21"/>
                <w:highlight w:val="none"/>
              </w:rPr>
            </w:pPr>
          </w:p>
        </w:tc>
        <w:tc>
          <w:tcPr>
            <w:tcW w:w="1841" w:type="dxa"/>
            <w:tcBorders>
              <w:bottom w:val="single" w:color="000000" w:sz="6" w:space="0"/>
            </w:tcBorders>
            <w:vAlign w:val="top"/>
          </w:tcPr>
          <w:p w14:paraId="64797E2B">
            <w:pPr>
              <w:rPr>
                <w:rFonts w:ascii="Arial"/>
                <w:color w:val="auto"/>
                <w:sz w:val="21"/>
                <w:highlight w:val="none"/>
              </w:rPr>
            </w:pPr>
          </w:p>
        </w:tc>
        <w:tc>
          <w:tcPr>
            <w:tcW w:w="2407" w:type="dxa"/>
            <w:tcBorders>
              <w:bottom w:val="single" w:color="000000" w:sz="6" w:space="0"/>
            </w:tcBorders>
            <w:vAlign w:val="top"/>
          </w:tcPr>
          <w:p w14:paraId="6192E4F7">
            <w:pPr>
              <w:pStyle w:val="17"/>
              <w:spacing w:before="174" w:line="221" w:lineRule="auto"/>
              <w:ind w:left="848"/>
              <w:rPr>
                <w:color w:val="auto"/>
                <w:sz w:val="24"/>
                <w:szCs w:val="24"/>
                <w:highlight w:val="none"/>
              </w:rPr>
            </w:pPr>
            <w:r>
              <w:rPr>
                <w:color w:val="auto"/>
                <w:spacing w:val="-6"/>
                <w:sz w:val="24"/>
                <w:szCs w:val="24"/>
                <w:highlight w:val="none"/>
              </w:rPr>
              <w:t>合</w:t>
            </w:r>
            <w:r>
              <w:rPr>
                <w:color w:val="auto"/>
                <w:spacing w:val="5"/>
                <w:sz w:val="24"/>
                <w:szCs w:val="24"/>
                <w:highlight w:val="none"/>
              </w:rPr>
              <w:t xml:space="preserve">  </w:t>
            </w:r>
            <w:r>
              <w:rPr>
                <w:color w:val="auto"/>
                <w:spacing w:val="-6"/>
                <w:sz w:val="24"/>
                <w:szCs w:val="24"/>
                <w:highlight w:val="none"/>
              </w:rPr>
              <w:t>计</w:t>
            </w:r>
          </w:p>
        </w:tc>
        <w:tc>
          <w:tcPr>
            <w:tcW w:w="2831" w:type="dxa"/>
            <w:tcBorders>
              <w:bottom w:val="single" w:color="000000" w:sz="6" w:space="0"/>
            </w:tcBorders>
            <w:vAlign w:val="top"/>
          </w:tcPr>
          <w:p w14:paraId="69FB5785">
            <w:pPr>
              <w:rPr>
                <w:rFonts w:ascii="Arial"/>
                <w:color w:val="auto"/>
                <w:sz w:val="21"/>
                <w:highlight w:val="none"/>
              </w:rPr>
            </w:pPr>
          </w:p>
        </w:tc>
        <w:tc>
          <w:tcPr>
            <w:tcW w:w="851" w:type="dxa"/>
            <w:tcBorders>
              <w:bottom w:val="single" w:color="000000" w:sz="6" w:space="0"/>
            </w:tcBorders>
            <w:vAlign w:val="top"/>
          </w:tcPr>
          <w:p w14:paraId="014791FB">
            <w:pPr>
              <w:rPr>
                <w:rFonts w:ascii="Arial"/>
                <w:color w:val="auto"/>
                <w:sz w:val="21"/>
                <w:highlight w:val="none"/>
              </w:rPr>
            </w:pPr>
          </w:p>
        </w:tc>
        <w:tc>
          <w:tcPr>
            <w:tcW w:w="990" w:type="dxa"/>
            <w:tcBorders>
              <w:bottom w:val="single" w:color="000000" w:sz="6" w:space="0"/>
            </w:tcBorders>
            <w:vAlign w:val="top"/>
          </w:tcPr>
          <w:p w14:paraId="66B25351">
            <w:pPr>
              <w:rPr>
                <w:rFonts w:ascii="Arial"/>
                <w:color w:val="auto"/>
                <w:sz w:val="21"/>
                <w:highlight w:val="none"/>
              </w:rPr>
            </w:pPr>
          </w:p>
        </w:tc>
        <w:tc>
          <w:tcPr>
            <w:tcW w:w="993" w:type="dxa"/>
            <w:tcBorders>
              <w:bottom w:val="single" w:color="000000" w:sz="6" w:space="0"/>
            </w:tcBorders>
            <w:vAlign w:val="top"/>
          </w:tcPr>
          <w:p w14:paraId="73575920">
            <w:pPr>
              <w:rPr>
                <w:rFonts w:ascii="Arial"/>
                <w:color w:val="auto"/>
                <w:sz w:val="21"/>
                <w:highlight w:val="none"/>
              </w:rPr>
            </w:pPr>
          </w:p>
        </w:tc>
        <w:tc>
          <w:tcPr>
            <w:tcW w:w="1132" w:type="dxa"/>
            <w:tcBorders>
              <w:bottom w:val="single" w:color="000000" w:sz="6" w:space="0"/>
            </w:tcBorders>
            <w:vAlign w:val="top"/>
          </w:tcPr>
          <w:p w14:paraId="1AE6723C">
            <w:pPr>
              <w:rPr>
                <w:rFonts w:ascii="Arial"/>
                <w:color w:val="auto"/>
                <w:sz w:val="21"/>
                <w:highlight w:val="none"/>
              </w:rPr>
            </w:pPr>
          </w:p>
        </w:tc>
        <w:tc>
          <w:tcPr>
            <w:tcW w:w="1273" w:type="dxa"/>
            <w:tcBorders>
              <w:bottom w:val="single" w:color="000000" w:sz="6" w:space="0"/>
            </w:tcBorders>
            <w:vAlign w:val="top"/>
          </w:tcPr>
          <w:p w14:paraId="251762E6">
            <w:pPr>
              <w:rPr>
                <w:rFonts w:ascii="Arial"/>
                <w:color w:val="auto"/>
                <w:sz w:val="21"/>
                <w:highlight w:val="none"/>
              </w:rPr>
            </w:pPr>
          </w:p>
        </w:tc>
        <w:tc>
          <w:tcPr>
            <w:tcW w:w="971" w:type="dxa"/>
            <w:tcBorders>
              <w:bottom w:val="single" w:color="000000" w:sz="6" w:space="0"/>
              <w:right w:val="single" w:color="000000" w:sz="6" w:space="0"/>
            </w:tcBorders>
            <w:vAlign w:val="top"/>
          </w:tcPr>
          <w:p w14:paraId="19974BBD">
            <w:pPr>
              <w:rPr>
                <w:rFonts w:ascii="Arial"/>
                <w:color w:val="auto"/>
                <w:sz w:val="21"/>
                <w:highlight w:val="none"/>
              </w:rPr>
            </w:pPr>
          </w:p>
        </w:tc>
      </w:tr>
    </w:tbl>
    <w:p w14:paraId="1C9F19CF">
      <w:pPr>
        <w:spacing w:before="311" w:line="219" w:lineRule="auto"/>
        <w:ind w:left="6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法定代表人或委托代理人</w:t>
      </w:r>
      <w:r>
        <w:rPr>
          <w:rFonts w:ascii="宋体" w:hAnsi="宋体" w:eastAsia="宋体" w:cs="宋体"/>
          <w:color w:val="auto"/>
          <w:spacing w:val="-11"/>
          <w:sz w:val="24"/>
          <w:szCs w:val="24"/>
          <w:highlight w:val="none"/>
        </w:rPr>
        <w:t>：</w:t>
      </w:r>
      <w:r>
        <w:rPr>
          <w:rFonts w:ascii="宋体" w:hAnsi="宋体" w:eastAsia="宋体" w:cs="宋体"/>
          <w:color w:val="auto"/>
          <w:spacing w:val="30"/>
          <w:sz w:val="24"/>
          <w:szCs w:val="24"/>
          <w:highlight w:val="none"/>
          <w:u w:val="single" w:color="auto"/>
        </w:rPr>
        <w:t xml:space="preserve">    </w:t>
      </w:r>
      <w:r>
        <w:rPr>
          <w:rFonts w:ascii="宋体" w:hAnsi="宋体" w:eastAsia="宋体" w:cs="宋体"/>
          <w:color w:val="auto"/>
          <w:spacing w:val="-11"/>
          <w:sz w:val="24"/>
          <w:szCs w:val="24"/>
          <w:highlight w:val="none"/>
          <w:u w:val="single" w:color="auto"/>
        </w:rPr>
        <w:t>（</w:t>
      </w:r>
      <w:r>
        <w:rPr>
          <w:rFonts w:ascii="宋体" w:hAnsi="宋体" w:eastAsia="宋体" w:cs="宋体"/>
          <w:color w:val="auto"/>
          <w:spacing w:val="1"/>
          <w:sz w:val="24"/>
          <w:szCs w:val="24"/>
          <w:highlight w:val="none"/>
          <w:u w:val="single" w:color="auto"/>
        </w:rPr>
        <w:t>签字或盖章）</w:t>
      </w:r>
      <w:r>
        <w:rPr>
          <w:rFonts w:ascii="宋体" w:hAnsi="宋体" w:eastAsia="宋体" w:cs="宋体"/>
          <w:color w:val="auto"/>
          <w:sz w:val="24"/>
          <w:szCs w:val="24"/>
          <w:highlight w:val="none"/>
          <w:u w:val="single" w:color="auto"/>
        </w:rPr>
        <w:t xml:space="preserve">      </w:t>
      </w:r>
    </w:p>
    <w:p w14:paraId="27A51F8A">
      <w:pPr>
        <w:spacing w:line="219" w:lineRule="auto"/>
        <w:rPr>
          <w:rFonts w:ascii="宋体" w:hAnsi="宋体" w:eastAsia="宋体" w:cs="宋体"/>
          <w:color w:val="auto"/>
          <w:sz w:val="24"/>
          <w:szCs w:val="24"/>
          <w:highlight w:val="none"/>
        </w:rPr>
        <w:sectPr>
          <w:footerReference r:id="rId169" w:type="default"/>
          <w:pgSz w:w="16841" w:h="11907"/>
          <w:pgMar w:top="400" w:right="1389" w:bottom="1252" w:left="1387" w:header="0" w:footer="1091" w:gutter="0"/>
          <w:pgNumType w:fmt="decimal"/>
          <w:cols w:space="720" w:num="1"/>
        </w:sectPr>
      </w:pPr>
    </w:p>
    <w:p w14:paraId="17B8D64A">
      <w:pPr>
        <w:pStyle w:val="3"/>
        <w:spacing w:line="283" w:lineRule="auto"/>
        <w:rPr>
          <w:color w:val="auto"/>
          <w:highlight w:val="none"/>
        </w:rPr>
      </w:pPr>
    </w:p>
    <w:p w14:paraId="55A16BFF">
      <w:pPr>
        <w:pStyle w:val="3"/>
        <w:spacing w:line="283" w:lineRule="auto"/>
        <w:rPr>
          <w:color w:val="auto"/>
          <w:highlight w:val="none"/>
        </w:rPr>
      </w:pPr>
    </w:p>
    <w:p w14:paraId="4E374500">
      <w:pPr>
        <w:pStyle w:val="3"/>
        <w:spacing w:line="283" w:lineRule="auto"/>
        <w:rPr>
          <w:color w:val="auto"/>
          <w:highlight w:val="none"/>
        </w:rPr>
      </w:pPr>
    </w:p>
    <w:p w14:paraId="77BCA2E4">
      <w:pPr>
        <w:pStyle w:val="3"/>
        <w:spacing w:line="283" w:lineRule="auto"/>
        <w:rPr>
          <w:color w:val="auto"/>
          <w:highlight w:val="none"/>
        </w:rPr>
      </w:pPr>
    </w:p>
    <w:p w14:paraId="7263A81B">
      <w:pPr>
        <w:spacing w:before="91" w:line="219" w:lineRule="auto"/>
        <w:ind w:left="4049"/>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机电设备及安装工程分类分项工程量清单计价表</w:t>
      </w:r>
    </w:p>
    <w:p w14:paraId="7C02EAC7">
      <w:pPr>
        <w:spacing w:before="205" w:line="212" w:lineRule="auto"/>
        <w:ind w:left="2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2"/>
          <w:sz w:val="24"/>
          <w:szCs w:val="24"/>
          <w:highlight w:val="none"/>
        </w:rPr>
        <w:t xml:space="preserve">        第  页共  页</w:t>
      </w:r>
    </w:p>
    <w:tbl>
      <w:tblPr>
        <w:tblStyle w:val="16"/>
        <w:tblW w:w="1396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556"/>
        <w:gridCol w:w="2126"/>
        <w:gridCol w:w="1980"/>
        <w:gridCol w:w="851"/>
        <w:gridCol w:w="849"/>
        <w:gridCol w:w="1134"/>
        <w:gridCol w:w="990"/>
        <w:gridCol w:w="992"/>
        <w:gridCol w:w="849"/>
        <w:gridCol w:w="1131"/>
        <w:gridCol w:w="789"/>
      </w:tblGrid>
      <w:tr w14:paraId="2BA3A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22" w:type="dxa"/>
            <w:vMerge w:val="restart"/>
            <w:tcBorders>
              <w:top w:val="single" w:color="000000" w:sz="6" w:space="0"/>
              <w:left w:val="single" w:color="000000" w:sz="6" w:space="0"/>
              <w:bottom w:val="nil"/>
            </w:tcBorders>
            <w:vAlign w:val="top"/>
          </w:tcPr>
          <w:p w14:paraId="37F95065">
            <w:pPr>
              <w:spacing w:line="303" w:lineRule="auto"/>
              <w:rPr>
                <w:rFonts w:ascii="Arial"/>
                <w:color w:val="auto"/>
                <w:sz w:val="21"/>
                <w:highlight w:val="none"/>
              </w:rPr>
            </w:pPr>
          </w:p>
          <w:p w14:paraId="658DBA1A">
            <w:pPr>
              <w:pStyle w:val="17"/>
              <w:spacing w:before="78" w:line="221" w:lineRule="auto"/>
              <w:ind w:left="120"/>
              <w:rPr>
                <w:color w:val="auto"/>
                <w:sz w:val="24"/>
                <w:szCs w:val="24"/>
                <w:highlight w:val="none"/>
              </w:rPr>
            </w:pPr>
            <w:r>
              <w:rPr>
                <w:color w:val="auto"/>
                <w:spacing w:val="-3"/>
                <w:sz w:val="24"/>
                <w:szCs w:val="24"/>
                <w:highlight w:val="none"/>
              </w:rPr>
              <w:t>序号</w:t>
            </w:r>
          </w:p>
        </w:tc>
        <w:tc>
          <w:tcPr>
            <w:tcW w:w="1556" w:type="dxa"/>
            <w:vMerge w:val="restart"/>
            <w:tcBorders>
              <w:top w:val="single" w:color="000000" w:sz="6" w:space="0"/>
              <w:bottom w:val="nil"/>
            </w:tcBorders>
            <w:vAlign w:val="top"/>
          </w:tcPr>
          <w:p w14:paraId="4F387ABF">
            <w:pPr>
              <w:spacing w:line="303" w:lineRule="auto"/>
              <w:rPr>
                <w:rFonts w:ascii="Arial"/>
                <w:color w:val="auto"/>
                <w:sz w:val="21"/>
                <w:highlight w:val="none"/>
              </w:rPr>
            </w:pPr>
          </w:p>
          <w:p w14:paraId="537A342D">
            <w:pPr>
              <w:pStyle w:val="17"/>
              <w:spacing w:before="78" w:line="220" w:lineRule="auto"/>
              <w:ind w:left="301"/>
              <w:rPr>
                <w:color w:val="auto"/>
                <w:sz w:val="24"/>
                <w:szCs w:val="24"/>
                <w:highlight w:val="none"/>
              </w:rPr>
            </w:pPr>
            <w:r>
              <w:rPr>
                <w:color w:val="auto"/>
                <w:spacing w:val="-3"/>
                <w:sz w:val="24"/>
                <w:szCs w:val="24"/>
                <w:highlight w:val="none"/>
              </w:rPr>
              <w:t>项目编码</w:t>
            </w:r>
          </w:p>
        </w:tc>
        <w:tc>
          <w:tcPr>
            <w:tcW w:w="2126" w:type="dxa"/>
            <w:vMerge w:val="restart"/>
            <w:tcBorders>
              <w:top w:val="single" w:color="000000" w:sz="6" w:space="0"/>
              <w:bottom w:val="nil"/>
            </w:tcBorders>
            <w:vAlign w:val="top"/>
          </w:tcPr>
          <w:p w14:paraId="1391F056">
            <w:pPr>
              <w:spacing w:line="304" w:lineRule="auto"/>
              <w:rPr>
                <w:rFonts w:ascii="Arial"/>
                <w:color w:val="auto"/>
                <w:sz w:val="21"/>
                <w:highlight w:val="none"/>
              </w:rPr>
            </w:pPr>
          </w:p>
          <w:p w14:paraId="73CD2D4E">
            <w:pPr>
              <w:pStyle w:val="17"/>
              <w:spacing w:before="78" w:line="220" w:lineRule="auto"/>
              <w:ind w:left="588"/>
              <w:rPr>
                <w:color w:val="auto"/>
                <w:sz w:val="24"/>
                <w:szCs w:val="24"/>
                <w:highlight w:val="none"/>
              </w:rPr>
            </w:pPr>
            <w:r>
              <w:rPr>
                <w:color w:val="auto"/>
                <w:spacing w:val="-3"/>
                <w:sz w:val="24"/>
                <w:szCs w:val="24"/>
                <w:highlight w:val="none"/>
              </w:rPr>
              <w:t>项目名称</w:t>
            </w:r>
          </w:p>
        </w:tc>
        <w:tc>
          <w:tcPr>
            <w:tcW w:w="1980" w:type="dxa"/>
            <w:vMerge w:val="restart"/>
            <w:tcBorders>
              <w:top w:val="single" w:color="000000" w:sz="6" w:space="0"/>
              <w:bottom w:val="nil"/>
            </w:tcBorders>
            <w:vAlign w:val="top"/>
          </w:tcPr>
          <w:p w14:paraId="1662C0FF">
            <w:pPr>
              <w:pStyle w:val="17"/>
              <w:spacing w:before="227" w:line="242" w:lineRule="auto"/>
              <w:ind w:left="515" w:right="509" w:firstLine="3"/>
              <w:rPr>
                <w:color w:val="auto"/>
                <w:sz w:val="24"/>
                <w:szCs w:val="24"/>
                <w:highlight w:val="none"/>
              </w:rPr>
            </w:pPr>
            <w:r>
              <w:rPr>
                <w:color w:val="auto"/>
                <w:spacing w:val="-4"/>
                <w:sz w:val="24"/>
                <w:szCs w:val="24"/>
                <w:highlight w:val="none"/>
              </w:rPr>
              <w:t>项目主要</w:t>
            </w:r>
            <w:r>
              <w:rPr>
                <w:color w:val="auto"/>
                <w:spacing w:val="-11"/>
                <w:sz w:val="24"/>
                <w:szCs w:val="24"/>
                <w:highlight w:val="none"/>
              </w:rPr>
              <w:t>特</w:t>
            </w:r>
            <w:r>
              <w:rPr>
                <w:color w:val="auto"/>
                <w:spacing w:val="3"/>
                <w:sz w:val="24"/>
                <w:szCs w:val="24"/>
                <w:highlight w:val="none"/>
              </w:rPr>
              <w:t xml:space="preserve">    </w:t>
            </w:r>
            <w:r>
              <w:rPr>
                <w:color w:val="auto"/>
                <w:spacing w:val="-11"/>
                <w:sz w:val="24"/>
                <w:szCs w:val="24"/>
                <w:highlight w:val="none"/>
              </w:rPr>
              <w:t>征</w:t>
            </w:r>
          </w:p>
        </w:tc>
        <w:tc>
          <w:tcPr>
            <w:tcW w:w="851" w:type="dxa"/>
            <w:vMerge w:val="restart"/>
            <w:tcBorders>
              <w:top w:val="single" w:color="000000" w:sz="6" w:space="0"/>
              <w:bottom w:val="nil"/>
            </w:tcBorders>
            <w:vAlign w:val="top"/>
          </w:tcPr>
          <w:p w14:paraId="314A1BA9">
            <w:pPr>
              <w:pStyle w:val="17"/>
              <w:spacing w:before="228" w:line="242" w:lineRule="auto"/>
              <w:ind w:left="192" w:right="184" w:hanging="1"/>
              <w:rPr>
                <w:color w:val="auto"/>
                <w:sz w:val="24"/>
                <w:szCs w:val="24"/>
                <w:highlight w:val="none"/>
              </w:rPr>
            </w:pPr>
            <w:r>
              <w:rPr>
                <w:color w:val="auto"/>
                <w:spacing w:val="-5"/>
                <w:sz w:val="24"/>
                <w:szCs w:val="24"/>
                <w:highlight w:val="none"/>
              </w:rPr>
              <w:t>计量</w:t>
            </w:r>
            <w:r>
              <w:rPr>
                <w:color w:val="auto"/>
                <w:spacing w:val="-6"/>
                <w:sz w:val="24"/>
                <w:szCs w:val="24"/>
                <w:highlight w:val="none"/>
              </w:rPr>
              <w:t>单位</w:t>
            </w:r>
          </w:p>
        </w:tc>
        <w:tc>
          <w:tcPr>
            <w:tcW w:w="849" w:type="dxa"/>
            <w:vMerge w:val="restart"/>
            <w:tcBorders>
              <w:top w:val="single" w:color="000000" w:sz="6" w:space="0"/>
              <w:bottom w:val="nil"/>
            </w:tcBorders>
            <w:vAlign w:val="top"/>
          </w:tcPr>
          <w:p w14:paraId="3B678FBE">
            <w:pPr>
              <w:pStyle w:val="17"/>
              <w:spacing w:before="227" w:line="242" w:lineRule="auto"/>
              <w:ind w:left="194" w:right="181"/>
              <w:rPr>
                <w:color w:val="auto"/>
                <w:sz w:val="24"/>
                <w:szCs w:val="24"/>
                <w:highlight w:val="none"/>
              </w:rPr>
            </w:pPr>
            <w:r>
              <w:rPr>
                <w:color w:val="auto"/>
                <w:spacing w:val="-7"/>
                <w:sz w:val="24"/>
                <w:szCs w:val="24"/>
                <w:highlight w:val="none"/>
              </w:rPr>
              <w:t>工程</w:t>
            </w:r>
            <w:r>
              <w:rPr>
                <w:color w:val="auto"/>
                <w:spacing w:val="-6"/>
                <w:sz w:val="24"/>
                <w:szCs w:val="24"/>
                <w:highlight w:val="none"/>
              </w:rPr>
              <w:t>数量</w:t>
            </w:r>
          </w:p>
        </w:tc>
        <w:tc>
          <w:tcPr>
            <w:tcW w:w="2124" w:type="dxa"/>
            <w:gridSpan w:val="2"/>
            <w:tcBorders>
              <w:top w:val="single" w:color="000000" w:sz="6" w:space="0"/>
            </w:tcBorders>
            <w:vAlign w:val="top"/>
          </w:tcPr>
          <w:p w14:paraId="2CF9FE28">
            <w:pPr>
              <w:pStyle w:val="17"/>
              <w:spacing w:before="131" w:line="218" w:lineRule="auto"/>
              <w:ind w:left="473"/>
              <w:rPr>
                <w:color w:val="auto"/>
                <w:sz w:val="24"/>
                <w:szCs w:val="24"/>
                <w:highlight w:val="none"/>
              </w:rPr>
            </w:pPr>
            <w:r>
              <w:rPr>
                <w:color w:val="auto"/>
                <w:spacing w:val="-5"/>
                <w:sz w:val="24"/>
                <w:szCs w:val="24"/>
                <w:highlight w:val="none"/>
              </w:rPr>
              <w:t>单价（元）</w:t>
            </w:r>
          </w:p>
        </w:tc>
        <w:tc>
          <w:tcPr>
            <w:tcW w:w="1841" w:type="dxa"/>
            <w:gridSpan w:val="2"/>
            <w:tcBorders>
              <w:top w:val="single" w:color="000000" w:sz="6" w:space="0"/>
            </w:tcBorders>
            <w:vAlign w:val="top"/>
          </w:tcPr>
          <w:p w14:paraId="7A16D4E1">
            <w:pPr>
              <w:pStyle w:val="17"/>
              <w:spacing w:before="131" w:line="218" w:lineRule="auto"/>
              <w:ind w:left="333"/>
              <w:rPr>
                <w:color w:val="auto"/>
                <w:sz w:val="24"/>
                <w:szCs w:val="24"/>
                <w:highlight w:val="none"/>
              </w:rPr>
            </w:pPr>
            <w:r>
              <w:rPr>
                <w:color w:val="auto"/>
                <w:spacing w:val="-5"/>
                <w:sz w:val="24"/>
                <w:szCs w:val="24"/>
                <w:highlight w:val="none"/>
              </w:rPr>
              <w:t>合价（元）</w:t>
            </w:r>
          </w:p>
        </w:tc>
        <w:tc>
          <w:tcPr>
            <w:tcW w:w="1131" w:type="dxa"/>
            <w:vMerge w:val="restart"/>
            <w:tcBorders>
              <w:top w:val="single" w:color="000000" w:sz="6" w:space="0"/>
              <w:bottom w:val="nil"/>
            </w:tcBorders>
            <w:vAlign w:val="top"/>
          </w:tcPr>
          <w:p w14:paraId="5251B543">
            <w:pPr>
              <w:pStyle w:val="17"/>
              <w:spacing w:before="227" w:line="242" w:lineRule="auto"/>
              <w:ind w:left="101" w:right="76"/>
              <w:rPr>
                <w:color w:val="auto"/>
                <w:sz w:val="24"/>
                <w:szCs w:val="24"/>
                <w:highlight w:val="none"/>
              </w:rPr>
            </w:pPr>
            <w:r>
              <w:rPr>
                <w:color w:val="auto"/>
                <w:spacing w:val="-3"/>
                <w:sz w:val="24"/>
                <w:szCs w:val="24"/>
                <w:highlight w:val="none"/>
              </w:rPr>
              <w:t>主要技术条款编码</w:t>
            </w:r>
          </w:p>
        </w:tc>
        <w:tc>
          <w:tcPr>
            <w:tcW w:w="789" w:type="dxa"/>
            <w:vMerge w:val="restart"/>
            <w:tcBorders>
              <w:top w:val="single" w:color="000000" w:sz="6" w:space="0"/>
              <w:bottom w:val="nil"/>
              <w:right w:val="single" w:color="000000" w:sz="6" w:space="0"/>
            </w:tcBorders>
            <w:vAlign w:val="top"/>
          </w:tcPr>
          <w:p w14:paraId="234F63F7">
            <w:pPr>
              <w:spacing w:line="303" w:lineRule="auto"/>
              <w:rPr>
                <w:rFonts w:ascii="Arial"/>
                <w:color w:val="auto"/>
                <w:sz w:val="21"/>
                <w:highlight w:val="none"/>
              </w:rPr>
            </w:pPr>
          </w:p>
          <w:p w14:paraId="43B52874">
            <w:pPr>
              <w:pStyle w:val="17"/>
              <w:spacing w:before="78" w:line="221" w:lineRule="auto"/>
              <w:ind w:left="163"/>
              <w:rPr>
                <w:color w:val="auto"/>
                <w:sz w:val="24"/>
                <w:szCs w:val="24"/>
                <w:highlight w:val="none"/>
              </w:rPr>
            </w:pPr>
            <w:r>
              <w:rPr>
                <w:color w:val="auto"/>
                <w:spacing w:val="-4"/>
                <w:sz w:val="24"/>
                <w:szCs w:val="24"/>
                <w:highlight w:val="none"/>
              </w:rPr>
              <w:t>备注</w:t>
            </w:r>
          </w:p>
        </w:tc>
      </w:tr>
      <w:tr w14:paraId="73674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22" w:type="dxa"/>
            <w:vMerge w:val="continue"/>
            <w:tcBorders>
              <w:top w:val="nil"/>
              <w:left w:val="single" w:color="000000" w:sz="6" w:space="0"/>
            </w:tcBorders>
            <w:vAlign w:val="top"/>
          </w:tcPr>
          <w:p w14:paraId="7384A0FA">
            <w:pPr>
              <w:rPr>
                <w:rFonts w:ascii="Arial"/>
                <w:color w:val="auto"/>
                <w:sz w:val="21"/>
                <w:highlight w:val="none"/>
              </w:rPr>
            </w:pPr>
          </w:p>
        </w:tc>
        <w:tc>
          <w:tcPr>
            <w:tcW w:w="1556" w:type="dxa"/>
            <w:vMerge w:val="continue"/>
            <w:tcBorders>
              <w:top w:val="nil"/>
            </w:tcBorders>
            <w:vAlign w:val="top"/>
          </w:tcPr>
          <w:p w14:paraId="279A3BAA">
            <w:pPr>
              <w:rPr>
                <w:rFonts w:ascii="Arial"/>
                <w:color w:val="auto"/>
                <w:sz w:val="21"/>
                <w:highlight w:val="none"/>
              </w:rPr>
            </w:pPr>
          </w:p>
        </w:tc>
        <w:tc>
          <w:tcPr>
            <w:tcW w:w="2126" w:type="dxa"/>
            <w:vMerge w:val="continue"/>
            <w:tcBorders>
              <w:top w:val="nil"/>
            </w:tcBorders>
            <w:vAlign w:val="top"/>
          </w:tcPr>
          <w:p w14:paraId="5532E9EA">
            <w:pPr>
              <w:rPr>
                <w:rFonts w:ascii="Arial"/>
                <w:color w:val="auto"/>
                <w:sz w:val="21"/>
                <w:highlight w:val="none"/>
              </w:rPr>
            </w:pPr>
          </w:p>
        </w:tc>
        <w:tc>
          <w:tcPr>
            <w:tcW w:w="1980" w:type="dxa"/>
            <w:vMerge w:val="continue"/>
            <w:tcBorders>
              <w:top w:val="nil"/>
            </w:tcBorders>
            <w:vAlign w:val="top"/>
          </w:tcPr>
          <w:p w14:paraId="07E5A252">
            <w:pPr>
              <w:rPr>
                <w:rFonts w:ascii="Arial"/>
                <w:color w:val="auto"/>
                <w:sz w:val="21"/>
                <w:highlight w:val="none"/>
              </w:rPr>
            </w:pPr>
          </w:p>
        </w:tc>
        <w:tc>
          <w:tcPr>
            <w:tcW w:w="851" w:type="dxa"/>
            <w:vMerge w:val="continue"/>
            <w:tcBorders>
              <w:top w:val="nil"/>
            </w:tcBorders>
            <w:vAlign w:val="top"/>
          </w:tcPr>
          <w:p w14:paraId="456C195E">
            <w:pPr>
              <w:rPr>
                <w:rFonts w:ascii="Arial"/>
                <w:color w:val="auto"/>
                <w:sz w:val="21"/>
                <w:highlight w:val="none"/>
              </w:rPr>
            </w:pPr>
          </w:p>
        </w:tc>
        <w:tc>
          <w:tcPr>
            <w:tcW w:w="849" w:type="dxa"/>
            <w:vMerge w:val="continue"/>
            <w:tcBorders>
              <w:top w:val="nil"/>
            </w:tcBorders>
            <w:vAlign w:val="top"/>
          </w:tcPr>
          <w:p w14:paraId="090E8A6E">
            <w:pPr>
              <w:rPr>
                <w:rFonts w:ascii="Arial"/>
                <w:color w:val="auto"/>
                <w:sz w:val="21"/>
                <w:highlight w:val="none"/>
              </w:rPr>
            </w:pPr>
          </w:p>
        </w:tc>
        <w:tc>
          <w:tcPr>
            <w:tcW w:w="1134" w:type="dxa"/>
            <w:vAlign w:val="top"/>
          </w:tcPr>
          <w:p w14:paraId="073CB0CF">
            <w:pPr>
              <w:pStyle w:val="17"/>
              <w:spacing w:before="128" w:line="220" w:lineRule="auto"/>
              <w:ind w:left="218"/>
              <w:rPr>
                <w:color w:val="auto"/>
                <w:sz w:val="24"/>
                <w:szCs w:val="24"/>
                <w:highlight w:val="none"/>
              </w:rPr>
            </w:pPr>
            <w:r>
              <w:rPr>
                <w:color w:val="auto"/>
                <w:spacing w:val="-3"/>
                <w:sz w:val="24"/>
                <w:szCs w:val="24"/>
                <w:highlight w:val="none"/>
              </w:rPr>
              <w:t>设备费</w:t>
            </w:r>
          </w:p>
        </w:tc>
        <w:tc>
          <w:tcPr>
            <w:tcW w:w="990" w:type="dxa"/>
            <w:vAlign w:val="top"/>
          </w:tcPr>
          <w:p w14:paraId="1918E9E6">
            <w:pPr>
              <w:pStyle w:val="17"/>
              <w:spacing w:before="128" w:line="220" w:lineRule="auto"/>
              <w:ind w:left="146"/>
              <w:rPr>
                <w:color w:val="auto"/>
                <w:sz w:val="24"/>
                <w:szCs w:val="24"/>
                <w:highlight w:val="none"/>
              </w:rPr>
            </w:pPr>
            <w:r>
              <w:rPr>
                <w:color w:val="auto"/>
                <w:spacing w:val="-4"/>
                <w:sz w:val="24"/>
                <w:szCs w:val="24"/>
                <w:highlight w:val="none"/>
              </w:rPr>
              <w:t>安装费</w:t>
            </w:r>
          </w:p>
        </w:tc>
        <w:tc>
          <w:tcPr>
            <w:tcW w:w="992" w:type="dxa"/>
            <w:vAlign w:val="top"/>
          </w:tcPr>
          <w:p w14:paraId="2A4B1DFE">
            <w:pPr>
              <w:pStyle w:val="17"/>
              <w:spacing w:before="128" w:line="220" w:lineRule="auto"/>
              <w:ind w:left="151"/>
              <w:rPr>
                <w:color w:val="auto"/>
                <w:sz w:val="24"/>
                <w:szCs w:val="24"/>
                <w:highlight w:val="none"/>
              </w:rPr>
            </w:pPr>
            <w:r>
              <w:rPr>
                <w:color w:val="auto"/>
                <w:spacing w:val="-3"/>
                <w:sz w:val="24"/>
                <w:szCs w:val="24"/>
                <w:highlight w:val="none"/>
              </w:rPr>
              <w:t>设备费</w:t>
            </w:r>
          </w:p>
        </w:tc>
        <w:tc>
          <w:tcPr>
            <w:tcW w:w="849" w:type="dxa"/>
            <w:vAlign w:val="top"/>
          </w:tcPr>
          <w:p w14:paraId="3198032B">
            <w:pPr>
              <w:pStyle w:val="17"/>
              <w:spacing w:before="128" w:line="220" w:lineRule="auto"/>
              <w:ind w:left="81"/>
              <w:rPr>
                <w:color w:val="auto"/>
                <w:sz w:val="24"/>
                <w:szCs w:val="24"/>
                <w:highlight w:val="none"/>
              </w:rPr>
            </w:pPr>
            <w:r>
              <w:rPr>
                <w:color w:val="auto"/>
                <w:spacing w:val="-4"/>
                <w:sz w:val="24"/>
                <w:szCs w:val="24"/>
                <w:highlight w:val="none"/>
              </w:rPr>
              <w:t>安装费</w:t>
            </w:r>
          </w:p>
        </w:tc>
        <w:tc>
          <w:tcPr>
            <w:tcW w:w="1131" w:type="dxa"/>
            <w:vMerge w:val="continue"/>
            <w:tcBorders>
              <w:top w:val="nil"/>
            </w:tcBorders>
            <w:vAlign w:val="top"/>
          </w:tcPr>
          <w:p w14:paraId="7C39667C">
            <w:pPr>
              <w:rPr>
                <w:rFonts w:ascii="Arial"/>
                <w:color w:val="auto"/>
                <w:sz w:val="21"/>
                <w:highlight w:val="none"/>
              </w:rPr>
            </w:pPr>
          </w:p>
        </w:tc>
        <w:tc>
          <w:tcPr>
            <w:tcW w:w="789" w:type="dxa"/>
            <w:vMerge w:val="continue"/>
            <w:tcBorders>
              <w:top w:val="nil"/>
              <w:right w:val="single" w:color="000000" w:sz="6" w:space="0"/>
            </w:tcBorders>
            <w:vAlign w:val="top"/>
          </w:tcPr>
          <w:p w14:paraId="0AFB1BE0">
            <w:pPr>
              <w:rPr>
                <w:rFonts w:ascii="Arial"/>
                <w:color w:val="auto"/>
                <w:sz w:val="21"/>
                <w:highlight w:val="none"/>
              </w:rPr>
            </w:pPr>
          </w:p>
        </w:tc>
      </w:tr>
      <w:tr w14:paraId="48C7A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0022FC40">
            <w:pPr>
              <w:rPr>
                <w:rFonts w:ascii="Arial"/>
                <w:color w:val="auto"/>
                <w:sz w:val="21"/>
                <w:highlight w:val="none"/>
              </w:rPr>
            </w:pPr>
          </w:p>
        </w:tc>
        <w:tc>
          <w:tcPr>
            <w:tcW w:w="1556" w:type="dxa"/>
            <w:vAlign w:val="top"/>
          </w:tcPr>
          <w:p w14:paraId="60C95767">
            <w:pPr>
              <w:rPr>
                <w:rFonts w:ascii="Arial"/>
                <w:color w:val="auto"/>
                <w:sz w:val="21"/>
                <w:highlight w:val="none"/>
              </w:rPr>
            </w:pPr>
          </w:p>
        </w:tc>
        <w:tc>
          <w:tcPr>
            <w:tcW w:w="2126" w:type="dxa"/>
            <w:vAlign w:val="top"/>
          </w:tcPr>
          <w:p w14:paraId="5F12DD58">
            <w:pPr>
              <w:rPr>
                <w:rFonts w:ascii="Arial"/>
                <w:color w:val="auto"/>
                <w:sz w:val="21"/>
                <w:highlight w:val="none"/>
              </w:rPr>
            </w:pPr>
          </w:p>
        </w:tc>
        <w:tc>
          <w:tcPr>
            <w:tcW w:w="1980" w:type="dxa"/>
            <w:vAlign w:val="top"/>
          </w:tcPr>
          <w:p w14:paraId="61C08FE2">
            <w:pPr>
              <w:rPr>
                <w:rFonts w:ascii="Arial"/>
                <w:color w:val="auto"/>
                <w:sz w:val="21"/>
                <w:highlight w:val="none"/>
              </w:rPr>
            </w:pPr>
          </w:p>
        </w:tc>
        <w:tc>
          <w:tcPr>
            <w:tcW w:w="851" w:type="dxa"/>
            <w:vAlign w:val="top"/>
          </w:tcPr>
          <w:p w14:paraId="7D80122C">
            <w:pPr>
              <w:rPr>
                <w:rFonts w:ascii="Arial"/>
                <w:color w:val="auto"/>
                <w:sz w:val="21"/>
                <w:highlight w:val="none"/>
              </w:rPr>
            </w:pPr>
          </w:p>
        </w:tc>
        <w:tc>
          <w:tcPr>
            <w:tcW w:w="849" w:type="dxa"/>
            <w:vAlign w:val="top"/>
          </w:tcPr>
          <w:p w14:paraId="13CC641F">
            <w:pPr>
              <w:rPr>
                <w:rFonts w:ascii="Arial"/>
                <w:color w:val="auto"/>
                <w:sz w:val="21"/>
                <w:highlight w:val="none"/>
              </w:rPr>
            </w:pPr>
          </w:p>
        </w:tc>
        <w:tc>
          <w:tcPr>
            <w:tcW w:w="1134" w:type="dxa"/>
            <w:vAlign w:val="top"/>
          </w:tcPr>
          <w:p w14:paraId="6C4D4391">
            <w:pPr>
              <w:rPr>
                <w:rFonts w:ascii="Arial"/>
                <w:color w:val="auto"/>
                <w:sz w:val="21"/>
                <w:highlight w:val="none"/>
              </w:rPr>
            </w:pPr>
          </w:p>
        </w:tc>
        <w:tc>
          <w:tcPr>
            <w:tcW w:w="990" w:type="dxa"/>
            <w:vAlign w:val="top"/>
          </w:tcPr>
          <w:p w14:paraId="6FB06F8E">
            <w:pPr>
              <w:rPr>
                <w:rFonts w:ascii="Arial"/>
                <w:color w:val="auto"/>
                <w:sz w:val="21"/>
                <w:highlight w:val="none"/>
              </w:rPr>
            </w:pPr>
          </w:p>
        </w:tc>
        <w:tc>
          <w:tcPr>
            <w:tcW w:w="992" w:type="dxa"/>
            <w:vAlign w:val="top"/>
          </w:tcPr>
          <w:p w14:paraId="4359CE49">
            <w:pPr>
              <w:rPr>
                <w:rFonts w:ascii="Arial"/>
                <w:color w:val="auto"/>
                <w:sz w:val="21"/>
                <w:highlight w:val="none"/>
              </w:rPr>
            </w:pPr>
          </w:p>
        </w:tc>
        <w:tc>
          <w:tcPr>
            <w:tcW w:w="849" w:type="dxa"/>
            <w:vAlign w:val="top"/>
          </w:tcPr>
          <w:p w14:paraId="398CEFC6">
            <w:pPr>
              <w:rPr>
                <w:rFonts w:ascii="Arial"/>
                <w:color w:val="auto"/>
                <w:sz w:val="21"/>
                <w:highlight w:val="none"/>
              </w:rPr>
            </w:pPr>
          </w:p>
        </w:tc>
        <w:tc>
          <w:tcPr>
            <w:tcW w:w="1131" w:type="dxa"/>
            <w:vAlign w:val="top"/>
          </w:tcPr>
          <w:p w14:paraId="4BC85DE1">
            <w:pPr>
              <w:rPr>
                <w:rFonts w:ascii="Arial"/>
                <w:color w:val="auto"/>
                <w:sz w:val="21"/>
                <w:highlight w:val="none"/>
              </w:rPr>
            </w:pPr>
          </w:p>
        </w:tc>
        <w:tc>
          <w:tcPr>
            <w:tcW w:w="789" w:type="dxa"/>
            <w:tcBorders>
              <w:right w:val="single" w:color="000000" w:sz="6" w:space="0"/>
            </w:tcBorders>
            <w:vAlign w:val="top"/>
          </w:tcPr>
          <w:p w14:paraId="1F2B7512">
            <w:pPr>
              <w:rPr>
                <w:rFonts w:ascii="Arial"/>
                <w:color w:val="auto"/>
                <w:sz w:val="21"/>
                <w:highlight w:val="none"/>
              </w:rPr>
            </w:pPr>
          </w:p>
        </w:tc>
      </w:tr>
      <w:tr w14:paraId="3376D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0794E765">
            <w:pPr>
              <w:rPr>
                <w:rFonts w:ascii="Arial"/>
                <w:color w:val="auto"/>
                <w:sz w:val="21"/>
                <w:highlight w:val="none"/>
              </w:rPr>
            </w:pPr>
          </w:p>
        </w:tc>
        <w:tc>
          <w:tcPr>
            <w:tcW w:w="1556" w:type="dxa"/>
            <w:vAlign w:val="top"/>
          </w:tcPr>
          <w:p w14:paraId="0A6A8A15">
            <w:pPr>
              <w:rPr>
                <w:rFonts w:ascii="Arial"/>
                <w:color w:val="auto"/>
                <w:sz w:val="21"/>
                <w:highlight w:val="none"/>
              </w:rPr>
            </w:pPr>
          </w:p>
        </w:tc>
        <w:tc>
          <w:tcPr>
            <w:tcW w:w="2126" w:type="dxa"/>
            <w:vAlign w:val="top"/>
          </w:tcPr>
          <w:p w14:paraId="44778693">
            <w:pPr>
              <w:rPr>
                <w:rFonts w:ascii="Arial"/>
                <w:color w:val="auto"/>
                <w:sz w:val="21"/>
                <w:highlight w:val="none"/>
              </w:rPr>
            </w:pPr>
          </w:p>
        </w:tc>
        <w:tc>
          <w:tcPr>
            <w:tcW w:w="1980" w:type="dxa"/>
            <w:vAlign w:val="top"/>
          </w:tcPr>
          <w:p w14:paraId="194345DD">
            <w:pPr>
              <w:rPr>
                <w:rFonts w:ascii="Arial"/>
                <w:color w:val="auto"/>
                <w:sz w:val="21"/>
                <w:highlight w:val="none"/>
              </w:rPr>
            </w:pPr>
          </w:p>
        </w:tc>
        <w:tc>
          <w:tcPr>
            <w:tcW w:w="851" w:type="dxa"/>
            <w:vAlign w:val="top"/>
          </w:tcPr>
          <w:p w14:paraId="63256FD8">
            <w:pPr>
              <w:rPr>
                <w:rFonts w:ascii="Arial"/>
                <w:color w:val="auto"/>
                <w:sz w:val="21"/>
                <w:highlight w:val="none"/>
              </w:rPr>
            </w:pPr>
          </w:p>
        </w:tc>
        <w:tc>
          <w:tcPr>
            <w:tcW w:w="849" w:type="dxa"/>
            <w:vAlign w:val="top"/>
          </w:tcPr>
          <w:p w14:paraId="26417FEB">
            <w:pPr>
              <w:rPr>
                <w:rFonts w:ascii="Arial"/>
                <w:color w:val="auto"/>
                <w:sz w:val="21"/>
                <w:highlight w:val="none"/>
              </w:rPr>
            </w:pPr>
          </w:p>
        </w:tc>
        <w:tc>
          <w:tcPr>
            <w:tcW w:w="1134" w:type="dxa"/>
            <w:vAlign w:val="top"/>
          </w:tcPr>
          <w:p w14:paraId="5B40E76D">
            <w:pPr>
              <w:rPr>
                <w:rFonts w:ascii="Arial"/>
                <w:color w:val="auto"/>
                <w:sz w:val="21"/>
                <w:highlight w:val="none"/>
              </w:rPr>
            </w:pPr>
          </w:p>
        </w:tc>
        <w:tc>
          <w:tcPr>
            <w:tcW w:w="990" w:type="dxa"/>
            <w:vAlign w:val="top"/>
          </w:tcPr>
          <w:p w14:paraId="175C6CA9">
            <w:pPr>
              <w:rPr>
                <w:rFonts w:ascii="Arial"/>
                <w:color w:val="auto"/>
                <w:sz w:val="21"/>
                <w:highlight w:val="none"/>
              </w:rPr>
            </w:pPr>
          </w:p>
        </w:tc>
        <w:tc>
          <w:tcPr>
            <w:tcW w:w="992" w:type="dxa"/>
            <w:vAlign w:val="top"/>
          </w:tcPr>
          <w:p w14:paraId="1B657915">
            <w:pPr>
              <w:rPr>
                <w:rFonts w:ascii="Arial"/>
                <w:color w:val="auto"/>
                <w:sz w:val="21"/>
                <w:highlight w:val="none"/>
              </w:rPr>
            </w:pPr>
          </w:p>
        </w:tc>
        <w:tc>
          <w:tcPr>
            <w:tcW w:w="849" w:type="dxa"/>
            <w:vAlign w:val="top"/>
          </w:tcPr>
          <w:p w14:paraId="0B30BEB0">
            <w:pPr>
              <w:rPr>
                <w:rFonts w:ascii="Arial"/>
                <w:color w:val="auto"/>
                <w:sz w:val="21"/>
                <w:highlight w:val="none"/>
              </w:rPr>
            </w:pPr>
          </w:p>
        </w:tc>
        <w:tc>
          <w:tcPr>
            <w:tcW w:w="1131" w:type="dxa"/>
            <w:vAlign w:val="top"/>
          </w:tcPr>
          <w:p w14:paraId="231D0915">
            <w:pPr>
              <w:rPr>
                <w:rFonts w:ascii="Arial"/>
                <w:color w:val="auto"/>
                <w:sz w:val="21"/>
                <w:highlight w:val="none"/>
              </w:rPr>
            </w:pPr>
          </w:p>
        </w:tc>
        <w:tc>
          <w:tcPr>
            <w:tcW w:w="789" w:type="dxa"/>
            <w:tcBorders>
              <w:right w:val="single" w:color="000000" w:sz="6" w:space="0"/>
            </w:tcBorders>
            <w:vAlign w:val="top"/>
          </w:tcPr>
          <w:p w14:paraId="67258A21">
            <w:pPr>
              <w:rPr>
                <w:rFonts w:ascii="Arial"/>
                <w:color w:val="auto"/>
                <w:sz w:val="21"/>
                <w:highlight w:val="none"/>
              </w:rPr>
            </w:pPr>
          </w:p>
        </w:tc>
      </w:tr>
      <w:tr w14:paraId="07A2E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5023DDCB">
            <w:pPr>
              <w:rPr>
                <w:rFonts w:ascii="Arial"/>
                <w:color w:val="auto"/>
                <w:sz w:val="21"/>
                <w:highlight w:val="none"/>
              </w:rPr>
            </w:pPr>
          </w:p>
        </w:tc>
        <w:tc>
          <w:tcPr>
            <w:tcW w:w="1556" w:type="dxa"/>
            <w:vAlign w:val="top"/>
          </w:tcPr>
          <w:p w14:paraId="06825898">
            <w:pPr>
              <w:rPr>
                <w:rFonts w:ascii="Arial"/>
                <w:color w:val="auto"/>
                <w:sz w:val="21"/>
                <w:highlight w:val="none"/>
              </w:rPr>
            </w:pPr>
          </w:p>
        </w:tc>
        <w:tc>
          <w:tcPr>
            <w:tcW w:w="2126" w:type="dxa"/>
            <w:vAlign w:val="top"/>
          </w:tcPr>
          <w:p w14:paraId="100E8517">
            <w:pPr>
              <w:rPr>
                <w:rFonts w:ascii="Arial"/>
                <w:color w:val="auto"/>
                <w:sz w:val="21"/>
                <w:highlight w:val="none"/>
              </w:rPr>
            </w:pPr>
          </w:p>
        </w:tc>
        <w:tc>
          <w:tcPr>
            <w:tcW w:w="1980" w:type="dxa"/>
            <w:vAlign w:val="top"/>
          </w:tcPr>
          <w:p w14:paraId="2795A3C7">
            <w:pPr>
              <w:rPr>
                <w:rFonts w:ascii="Arial"/>
                <w:color w:val="auto"/>
                <w:sz w:val="21"/>
                <w:highlight w:val="none"/>
              </w:rPr>
            </w:pPr>
          </w:p>
        </w:tc>
        <w:tc>
          <w:tcPr>
            <w:tcW w:w="851" w:type="dxa"/>
            <w:vAlign w:val="top"/>
          </w:tcPr>
          <w:p w14:paraId="68A8C63C">
            <w:pPr>
              <w:rPr>
                <w:rFonts w:ascii="Arial"/>
                <w:color w:val="auto"/>
                <w:sz w:val="21"/>
                <w:highlight w:val="none"/>
              </w:rPr>
            </w:pPr>
          </w:p>
        </w:tc>
        <w:tc>
          <w:tcPr>
            <w:tcW w:w="849" w:type="dxa"/>
            <w:vAlign w:val="top"/>
          </w:tcPr>
          <w:p w14:paraId="7F4BDB0E">
            <w:pPr>
              <w:rPr>
                <w:rFonts w:ascii="Arial"/>
                <w:color w:val="auto"/>
                <w:sz w:val="21"/>
                <w:highlight w:val="none"/>
              </w:rPr>
            </w:pPr>
          </w:p>
        </w:tc>
        <w:tc>
          <w:tcPr>
            <w:tcW w:w="1134" w:type="dxa"/>
            <w:vAlign w:val="top"/>
          </w:tcPr>
          <w:p w14:paraId="0D8D137A">
            <w:pPr>
              <w:rPr>
                <w:rFonts w:ascii="Arial"/>
                <w:color w:val="auto"/>
                <w:sz w:val="21"/>
                <w:highlight w:val="none"/>
              </w:rPr>
            </w:pPr>
          </w:p>
        </w:tc>
        <w:tc>
          <w:tcPr>
            <w:tcW w:w="990" w:type="dxa"/>
            <w:vAlign w:val="top"/>
          </w:tcPr>
          <w:p w14:paraId="0F60B008">
            <w:pPr>
              <w:rPr>
                <w:rFonts w:ascii="Arial"/>
                <w:color w:val="auto"/>
                <w:sz w:val="21"/>
                <w:highlight w:val="none"/>
              </w:rPr>
            </w:pPr>
          </w:p>
        </w:tc>
        <w:tc>
          <w:tcPr>
            <w:tcW w:w="992" w:type="dxa"/>
            <w:vAlign w:val="top"/>
          </w:tcPr>
          <w:p w14:paraId="389E7AA5">
            <w:pPr>
              <w:rPr>
                <w:rFonts w:ascii="Arial"/>
                <w:color w:val="auto"/>
                <w:sz w:val="21"/>
                <w:highlight w:val="none"/>
              </w:rPr>
            </w:pPr>
          </w:p>
        </w:tc>
        <w:tc>
          <w:tcPr>
            <w:tcW w:w="849" w:type="dxa"/>
            <w:vAlign w:val="top"/>
          </w:tcPr>
          <w:p w14:paraId="476850D6">
            <w:pPr>
              <w:rPr>
                <w:rFonts w:ascii="Arial"/>
                <w:color w:val="auto"/>
                <w:sz w:val="21"/>
                <w:highlight w:val="none"/>
              </w:rPr>
            </w:pPr>
          </w:p>
        </w:tc>
        <w:tc>
          <w:tcPr>
            <w:tcW w:w="1131" w:type="dxa"/>
            <w:vAlign w:val="top"/>
          </w:tcPr>
          <w:p w14:paraId="1ABDA3CA">
            <w:pPr>
              <w:rPr>
                <w:rFonts w:ascii="Arial"/>
                <w:color w:val="auto"/>
                <w:sz w:val="21"/>
                <w:highlight w:val="none"/>
              </w:rPr>
            </w:pPr>
          </w:p>
        </w:tc>
        <w:tc>
          <w:tcPr>
            <w:tcW w:w="789" w:type="dxa"/>
            <w:tcBorders>
              <w:right w:val="single" w:color="000000" w:sz="6" w:space="0"/>
            </w:tcBorders>
            <w:vAlign w:val="top"/>
          </w:tcPr>
          <w:p w14:paraId="148389F1">
            <w:pPr>
              <w:rPr>
                <w:rFonts w:ascii="Arial"/>
                <w:color w:val="auto"/>
                <w:sz w:val="21"/>
                <w:highlight w:val="none"/>
              </w:rPr>
            </w:pPr>
          </w:p>
        </w:tc>
      </w:tr>
      <w:tr w14:paraId="0FBB7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29E60E5E">
            <w:pPr>
              <w:rPr>
                <w:rFonts w:ascii="Arial"/>
                <w:color w:val="auto"/>
                <w:sz w:val="21"/>
                <w:highlight w:val="none"/>
              </w:rPr>
            </w:pPr>
          </w:p>
        </w:tc>
        <w:tc>
          <w:tcPr>
            <w:tcW w:w="1556" w:type="dxa"/>
            <w:vAlign w:val="top"/>
          </w:tcPr>
          <w:p w14:paraId="3F932B17">
            <w:pPr>
              <w:rPr>
                <w:rFonts w:ascii="Arial"/>
                <w:color w:val="auto"/>
                <w:sz w:val="21"/>
                <w:highlight w:val="none"/>
              </w:rPr>
            </w:pPr>
          </w:p>
        </w:tc>
        <w:tc>
          <w:tcPr>
            <w:tcW w:w="2126" w:type="dxa"/>
            <w:vAlign w:val="top"/>
          </w:tcPr>
          <w:p w14:paraId="73C3B5A5">
            <w:pPr>
              <w:rPr>
                <w:rFonts w:ascii="Arial"/>
                <w:color w:val="auto"/>
                <w:sz w:val="21"/>
                <w:highlight w:val="none"/>
              </w:rPr>
            </w:pPr>
          </w:p>
        </w:tc>
        <w:tc>
          <w:tcPr>
            <w:tcW w:w="1980" w:type="dxa"/>
            <w:vAlign w:val="top"/>
          </w:tcPr>
          <w:p w14:paraId="0FD0463A">
            <w:pPr>
              <w:rPr>
                <w:rFonts w:ascii="Arial"/>
                <w:color w:val="auto"/>
                <w:sz w:val="21"/>
                <w:highlight w:val="none"/>
              </w:rPr>
            </w:pPr>
          </w:p>
        </w:tc>
        <w:tc>
          <w:tcPr>
            <w:tcW w:w="851" w:type="dxa"/>
            <w:vAlign w:val="top"/>
          </w:tcPr>
          <w:p w14:paraId="7824096F">
            <w:pPr>
              <w:rPr>
                <w:rFonts w:ascii="Arial"/>
                <w:color w:val="auto"/>
                <w:sz w:val="21"/>
                <w:highlight w:val="none"/>
              </w:rPr>
            </w:pPr>
          </w:p>
        </w:tc>
        <w:tc>
          <w:tcPr>
            <w:tcW w:w="849" w:type="dxa"/>
            <w:vAlign w:val="top"/>
          </w:tcPr>
          <w:p w14:paraId="1B7E5BE7">
            <w:pPr>
              <w:rPr>
                <w:rFonts w:ascii="Arial"/>
                <w:color w:val="auto"/>
                <w:sz w:val="21"/>
                <w:highlight w:val="none"/>
              </w:rPr>
            </w:pPr>
          </w:p>
        </w:tc>
        <w:tc>
          <w:tcPr>
            <w:tcW w:w="1134" w:type="dxa"/>
            <w:vAlign w:val="top"/>
          </w:tcPr>
          <w:p w14:paraId="380F7FC8">
            <w:pPr>
              <w:rPr>
                <w:rFonts w:ascii="Arial"/>
                <w:color w:val="auto"/>
                <w:sz w:val="21"/>
                <w:highlight w:val="none"/>
              </w:rPr>
            </w:pPr>
          </w:p>
        </w:tc>
        <w:tc>
          <w:tcPr>
            <w:tcW w:w="990" w:type="dxa"/>
            <w:vAlign w:val="top"/>
          </w:tcPr>
          <w:p w14:paraId="33B44E68">
            <w:pPr>
              <w:rPr>
                <w:rFonts w:ascii="Arial"/>
                <w:color w:val="auto"/>
                <w:sz w:val="21"/>
                <w:highlight w:val="none"/>
              </w:rPr>
            </w:pPr>
          </w:p>
        </w:tc>
        <w:tc>
          <w:tcPr>
            <w:tcW w:w="992" w:type="dxa"/>
            <w:vAlign w:val="top"/>
          </w:tcPr>
          <w:p w14:paraId="25C6B864">
            <w:pPr>
              <w:rPr>
                <w:rFonts w:ascii="Arial"/>
                <w:color w:val="auto"/>
                <w:sz w:val="21"/>
                <w:highlight w:val="none"/>
              </w:rPr>
            </w:pPr>
          </w:p>
        </w:tc>
        <w:tc>
          <w:tcPr>
            <w:tcW w:w="849" w:type="dxa"/>
            <w:vAlign w:val="top"/>
          </w:tcPr>
          <w:p w14:paraId="566DE14A">
            <w:pPr>
              <w:rPr>
                <w:rFonts w:ascii="Arial"/>
                <w:color w:val="auto"/>
                <w:sz w:val="21"/>
                <w:highlight w:val="none"/>
              </w:rPr>
            </w:pPr>
          </w:p>
        </w:tc>
        <w:tc>
          <w:tcPr>
            <w:tcW w:w="1131" w:type="dxa"/>
            <w:vAlign w:val="top"/>
          </w:tcPr>
          <w:p w14:paraId="31A4FA58">
            <w:pPr>
              <w:rPr>
                <w:rFonts w:ascii="Arial"/>
                <w:color w:val="auto"/>
                <w:sz w:val="21"/>
                <w:highlight w:val="none"/>
              </w:rPr>
            </w:pPr>
          </w:p>
        </w:tc>
        <w:tc>
          <w:tcPr>
            <w:tcW w:w="789" w:type="dxa"/>
            <w:tcBorders>
              <w:right w:val="single" w:color="000000" w:sz="6" w:space="0"/>
            </w:tcBorders>
            <w:vAlign w:val="top"/>
          </w:tcPr>
          <w:p w14:paraId="4E66746B">
            <w:pPr>
              <w:rPr>
                <w:rFonts w:ascii="Arial"/>
                <w:color w:val="auto"/>
                <w:sz w:val="21"/>
                <w:highlight w:val="none"/>
              </w:rPr>
            </w:pPr>
          </w:p>
        </w:tc>
      </w:tr>
      <w:tr w14:paraId="5E9E4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3B1F947F">
            <w:pPr>
              <w:rPr>
                <w:rFonts w:ascii="Arial"/>
                <w:color w:val="auto"/>
                <w:sz w:val="21"/>
                <w:highlight w:val="none"/>
              </w:rPr>
            </w:pPr>
          </w:p>
        </w:tc>
        <w:tc>
          <w:tcPr>
            <w:tcW w:w="1556" w:type="dxa"/>
            <w:vAlign w:val="top"/>
          </w:tcPr>
          <w:p w14:paraId="3EDF88BA">
            <w:pPr>
              <w:rPr>
                <w:rFonts w:ascii="Arial"/>
                <w:color w:val="auto"/>
                <w:sz w:val="21"/>
                <w:highlight w:val="none"/>
              </w:rPr>
            </w:pPr>
          </w:p>
        </w:tc>
        <w:tc>
          <w:tcPr>
            <w:tcW w:w="2126" w:type="dxa"/>
            <w:vAlign w:val="top"/>
          </w:tcPr>
          <w:p w14:paraId="062713EE">
            <w:pPr>
              <w:rPr>
                <w:rFonts w:ascii="Arial"/>
                <w:color w:val="auto"/>
                <w:sz w:val="21"/>
                <w:highlight w:val="none"/>
              </w:rPr>
            </w:pPr>
          </w:p>
        </w:tc>
        <w:tc>
          <w:tcPr>
            <w:tcW w:w="1980" w:type="dxa"/>
            <w:vAlign w:val="top"/>
          </w:tcPr>
          <w:p w14:paraId="4D432D1A">
            <w:pPr>
              <w:rPr>
                <w:rFonts w:ascii="Arial"/>
                <w:color w:val="auto"/>
                <w:sz w:val="21"/>
                <w:highlight w:val="none"/>
              </w:rPr>
            </w:pPr>
          </w:p>
        </w:tc>
        <w:tc>
          <w:tcPr>
            <w:tcW w:w="851" w:type="dxa"/>
            <w:vAlign w:val="top"/>
          </w:tcPr>
          <w:p w14:paraId="59B3DDED">
            <w:pPr>
              <w:rPr>
                <w:rFonts w:ascii="Arial"/>
                <w:color w:val="auto"/>
                <w:sz w:val="21"/>
                <w:highlight w:val="none"/>
              </w:rPr>
            </w:pPr>
          </w:p>
        </w:tc>
        <w:tc>
          <w:tcPr>
            <w:tcW w:w="849" w:type="dxa"/>
            <w:vAlign w:val="top"/>
          </w:tcPr>
          <w:p w14:paraId="4E6C89A5">
            <w:pPr>
              <w:rPr>
                <w:rFonts w:ascii="Arial"/>
                <w:color w:val="auto"/>
                <w:sz w:val="21"/>
                <w:highlight w:val="none"/>
              </w:rPr>
            </w:pPr>
          </w:p>
        </w:tc>
        <w:tc>
          <w:tcPr>
            <w:tcW w:w="1134" w:type="dxa"/>
            <w:vAlign w:val="top"/>
          </w:tcPr>
          <w:p w14:paraId="332EA9E4">
            <w:pPr>
              <w:rPr>
                <w:rFonts w:ascii="Arial"/>
                <w:color w:val="auto"/>
                <w:sz w:val="21"/>
                <w:highlight w:val="none"/>
              </w:rPr>
            </w:pPr>
          </w:p>
        </w:tc>
        <w:tc>
          <w:tcPr>
            <w:tcW w:w="990" w:type="dxa"/>
            <w:vAlign w:val="top"/>
          </w:tcPr>
          <w:p w14:paraId="22AD43F7">
            <w:pPr>
              <w:rPr>
                <w:rFonts w:ascii="Arial"/>
                <w:color w:val="auto"/>
                <w:sz w:val="21"/>
                <w:highlight w:val="none"/>
              </w:rPr>
            </w:pPr>
          </w:p>
        </w:tc>
        <w:tc>
          <w:tcPr>
            <w:tcW w:w="992" w:type="dxa"/>
            <w:vAlign w:val="top"/>
          </w:tcPr>
          <w:p w14:paraId="1D921751">
            <w:pPr>
              <w:rPr>
                <w:rFonts w:ascii="Arial"/>
                <w:color w:val="auto"/>
                <w:sz w:val="21"/>
                <w:highlight w:val="none"/>
              </w:rPr>
            </w:pPr>
          </w:p>
        </w:tc>
        <w:tc>
          <w:tcPr>
            <w:tcW w:w="849" w:type="dxa"/>
            <w:vAlign w:val="top"/>
          </w:tcPr>
          <w:p w14:paraId="02B563F3">
            <w:pPr>
              <w:rPr>
                <w:rFonts w:ascii="Arial"/>
                <w:color w:val="auto"/>
                <w:sz w:val="21"/>
                <w:highlight w:val="none"/>
              </w:rPr>
            </w:pPr>
          </w:p>
        </w:tc>
        <w:tc>
          <w:tcPr>
            <w:tcW w:w="1131" w:type="dxa"/>
            <w:vAlign w:val="top"/>
          </w:tcPr>
          <w:p w14:paraId="0D08546D">
            <w:pPr>
              <w:rPr>
                <w:rFonts w:ascii="Arial"/>
                <w:color w:val="auto"/>
                <w:sz w:val="21"/>
                <w:highlight w:val="none"/>
              </w:rPr>
            </w:pPr>
          </w:p>
        </w:tc>
        <w:tc>
          <w:tcPr>
            <w:tcW w:w="789" w:type="dxa"/>
            <w:tcBorders>
              <w:right w:val="single" w:color="000000" w:sz="6" w:space="0"/>
            </w:tcBorders>
            <w:vAlign w:val="top"/>
          </w:tcPr>
          <w:p w14:paraId="274F5288">
            <w:pPr>
              <w:rPr>
                <w:rFonts w:ascii="Arial"/>
                <w:color w:val="auto"/>
                <w:sz w:val="21"/>
                <w:highlight w:val="none"/>
              </w:rPr>
            </w:pPr>
          </w:p>
        </w:tc>
      </w:tr>
      <w:tr w14:paraId="7D9B8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24B0490B">
            <w:pPr>
              <w:rPr>
                <w:rFonts w:ascii="Arial"/>
                <w:color w:val="auto"/>
                <w:sz w:val="21"/>
                <w:highlight w:val="none"/>
              </w:rPr>
            </w:pPr>
          </w:p>
        </w:tc>
        <w:tc>
          <w:tcPr>
            <w:tcW w:w="1556" w:type="dxa"/>
            <w:vAlign w:val="top"/>
          </w:tcPr>
          <w:p w14:paraId="0640E58D">
            <w:pPr>
              <w:rPr>
                <w:rFonts w:ascii="Arial"/>
                <w:color w:val="auto"/>
                <w:sz w:val="21"/>
                <w:highlight w:val="none"/>
              </w:rPr>
            </w:pPr>
          </w:p>
        </w:tc>
        <w:tc>
          <w:tcPr>
            <w:tcW w:w="2126" w:type="dxa"/>
            <w:vAlign w:val="top"/>
          </w:tcPr>
          <w:p w14:paraId="12F19A9D">
            <w:pPr>
              <w:rPr>
                <w:rFonts w:ascii="Arial"/>
                <w:color w:val="auto"/>
                <w:sz w:val="21"/>
                <w:highlight w:val="none"/>
              </w:rPr>
            </w:pPr>
          </w:p>
        </w:tc>
        <w:tc>
          <w:tcPr>
            <w:tcW w:w="1980" w:type="dxa"/>
            <w:vAlign w:val="top"/>
          </w:tcPr>
          <w:p w14:paraId="79557390">
            <w:pPr>
              <w:rPr>
                <w:rFonts w:ascii="Arial"/>
                <w:color w:val="auto"/>
                <w:sz w:val="21"/>
                <w:highlight w:val="none"/>
              </w:rPr>
            </w:pPr>
          </w:p>
        </w:tc>
        <w:tc>
          <w:tcPr>
            <w:tcW w:w="851" w:type="dxa"/>
            <w:vAlign w:val="top"/>
          </w:tcPr>
          <w:p w14:paraId="6B445190">
            <w:pPr>
              <w:rPr>
                <w:rFonts w:ascii="Arial"/>
                <w:color w:val="auto"/>
                <w:sz w:val="21"/>
                <w:highlight w:val="none"/>
              </w:rPr>
            </w:pPr>
          </w:p>
        </w:tc>
        <w:tc>
          <w:tcPr>
            <w:tcW w:w="849" w:type="dxa"/>
            <w:vAlign w:val="top"/>
          </w:tcPr>
          <w:p w14:paraId="24DA0D6D">
            <w:pPr>
              <w:rPr>
                <w:rFonts w:ascii="Arial"/>
                <w:color w:val="auto"/>
                <w:sz w:val="21"/>
                <w:highlight w:val="none"/>
              </w:rPr>
            </w:pPr>
          </w:p>
        </w:tc>
        <w:tc>
          <w:tcPr>
            <w:tcW w:w="1134" w:type="dxa"/>
            <w:vAlign w:val="top"/>
          </w:tcPr>
          <w:p w14:paraId="05BABF8B">
            <w:pPr>
              <w:rPr>
                <w:rFonts w:ascii="Arial"/>
                <w:color w:val="auto"/>
                <w:sz w:val="21"/>
                <w:highlight w:val="none"/>
              </w:rPr>
            </w:pPr>
          </w:p>
        </w:tc>
        <w:tc>
          <w:tcPr>
            <w:tcW w:w="990" w:type="dxa"/>
            <w:vAlign w:val="top"/>
          </w:tcPr>
          <w:p w14:paraId="19D2941C">
            <w:pPr>
              <w:rPr>
                <w:rFonts w:ascii="Arial"/>
                <w:color w:val="auto"/>
                <w:sz w:val="21"/>
                <w:highlight w:val="none"/>
              </w:rPr>
            </w:pPr>
          </w:p>
        </w:tc>
        <w:tc>
          <w:tcPr>
            <w:tcW w:w="992" w:type="dxa"/>
            <w:vAlign w:val="top"/>
          </w:tcPr>
          <w:p w14:paraId="22C0DE35">
            <w:pPr>
              <w:rPr>
                <w:rFonts w:ascii="Arial"/>
                <w:color w:val="auto"/>
                <w:sz w:val="21"/>
                <w:highlight w:val="none"/>
              </w:rPr>
            </w:pPr>
          </w:p>
        </w:tc>
        <w:tc>
          <w:tcPr>
            <w:tcW w:w="849" w:type="dxa"/>
            <w:vAlign w:val="top"/>
          </w:tcPr>
          <w:p w14:paraId="2BBC8028">
            <w:pPr>
              <w:rPr>
                <w:rFonts w:ascii="Arial"/>
                <w:color w:val="auto"/>
                <w:sz w:val="21"/>
                <w:highlight w:val="none"/>
              </w:rPr>
            </w:pPr>
          </w:p>
        </w:tc>
        <w:tc>
          <w:tcPr>
            <w:tcW w:w="1131" w:type="dxa"/>
            <w:vAlign w:val="top"/>
          </w:tcPr>
          <w:p w14:paraId="0B2FB706">
            <w:pPr>
              <w:rPr>
                <w:rFonts w:ascii="Arial"/>
                <w:color w:val="auto"/>
                <w:sz w:val="21"/>
                <w:highlight w:val="none"/>
              </w:rPr>
            </w:pPr>
          </w:p>
        </w:tc>
        <w:tc>
          <w:tcPr>
            <w:tcW w:w="789" w:type="dxa"/>
            <w:tcBorders>
              <w:right w:val="single" w:color="000000" w:sz="6" w:space="0"/>
            </w:tcBorders>
            <w:vAlign w:val="top"/>
          </w:tcPr>
          <w:p w14:paraId="0E286E34">
            <w:pPr>
              <w:rPr>
                <w:rFonts w:ascii="Arial"/>
                <w:color w:val="auto"/>
                <w:sz w:val="21"/>
                <w:highlight w:val="none"/>
              </w:rPr>
            </w:pPr>
          </w:p>
        </w:tc>
      </w:tr>
      <w:tr w14:paraId="6A6C6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7DC79874">
            <w:pPr>
              <w:rPr>
                <w:rFonts w:ascii="Arial"/>
                <w:color w:val="auto"/>
                <w:sz w:val="21"/>
                <w:highlight w:val="none"/>
              </w:rPr>
            </w:pPr>
          </w:p>
        </w:tc>
        <w:tc>
          <w:tcPr>
            <w:tcW w:w="1556" w:type="dxa"/>
            <w:vAlign w:val="top"/>
          </w:tcPr>
          <w:p w14:paraId="3CD9709D">
            <w:pPr>
              <w:rPr>
                <w:rFonts w:ascii="Arial"/>
                <w:color w:val="auto"/>
                <w:sz w:val="21"/>
                <w:highlight w:val="none"/>
              </w:rPr>
            </w:pPr>
          </w:p>
        </w:tc>
        <w:tc>
          <w:tcPr>
            <w:tcW w:w="2126" w:type="dxa"/>
            <w:vAlign w:val="top"/>
          </w:tcPr>
          <w:p w14:paraId="7EB6A401">
            <w:pPr>
              <w:rPr>
                <w:rFonts w:ascii="Arial"/>
                <w:color w:val="auto"/>
                <w:sz w:val="21"/>
                <w:highlight w:val="none"/>
              </w:rPr>
            </w:pPr>
          </w:p>
        </w:tc>
        <w:tc>
          <w:tcPr>
            <w:tcW w:w="1980" w:type="dxa"/>
            <w:vAlign w:val="top"/>
          </w:tcPr>
          <w:p w14:paraId="7726D60D">
            <w:pPr>
              <w:rPr>
                <w:rFonts w:ascii="Arial"/>
                <w:color w:val="auto"/>
                <w:sz w:val="21"/>
                <w:highlight w:val="none"/>
              </w:rPr>
            </w:pPr>
          </w:p>
        </w:tc>
        <w:tc>
          <w:tcPr>
            <w:tcW w:w="851" w:type="dxa"/>
            <w:vAlign w:val="top"/>
          </w:tcPr>
          <w:p w14:paraId="1AD7D8FC">
            <w:pPr>
              <w:rPr>
                <w:rFonts w:ascii="Arial"/>
                <w:color w:val="auto"/>
                <w:sz w:val="21"/>
                <w:highlight w:val="none"/>
              </w:rPr>
            </w:pPr>
          </w:p>
        </w:tc>
        <w:tc>
          <w:tcPr>
            <w:tcW w:w="849" w:type="dxa"/>
            <w:vAlign w:val="top"/>
          </w:tcPr>
          <w:p w14:paraId="20CC6A3C">
            <w:pPr>
              <w:rPr>
                <w:rFonts w:ascii="Arial"/>
                <w:color w:val="auto"/>
                <w:sz w:val="21"/>
                <w:highlight w:val="none"/>
              </w:rPr>
            </w:pPr>
          </w:p>
        </w:tc>
        <w:tc>
          <w:tcPr>
            <w:tcW w:w="1134" w:type="dxa"/>
            <w:vAlign w:val="top"/>
          </w:tcPr>
          <w:p w14:paraId="4BAE6E0E">
            <w:pPr>
              <w:rPr>
                <w:rFonts w:ascii="Arial"/>
                <w:color w:val="auto"/>
                <w:sz w:val="21"/>
                <w:highlight w:val="none"/>
              </w:rPr>
            </w:pPr>
          </w:p>
        </w:tc>
        <w:tc>
          <w:tcPr>
            <w:tcW w:w="990" w:type="dxa"/>
            <w:vAlign w:val="top"/>
          </w:tcPr>
          <w:p w14:paraId="7FB3A9DC">
            <w:pPr>
              <w:rPr>
                <w:rFonts w:ascii="Arial"/>
                <w:color w:val="auto"/>
                <w:sz w:val="21"/>
                <w:highlight w:val="none"/>
              </w:rPr>
            </w:pPr>
          </w:p>
        </w:tc>
        <w:tc>
          <w:tcPr>
            <w:tcW w:w="992" w:type="dxa"/>
            <w:vAlign w:val="top"/>
          </w:tcPr>
          <w:p w14:paraId="082F4446">
            <w:pPr>
              <w:rPr>
                <w:rFonts w:ascii="Arial"/>
                <w:color w:val="auto"/>
                <w:sz w:val="21"/>
                <w:highlight w:val="none"/>
              </w:rPr>
            </w:pPr>
          </w:p>
        </w:tc>
        <w:tc>
          <w:tcPr>
            <w:tcW w:w="849" w:type="dxa"/>
            <w:vAlign w:val="top"/>
          </w:tcPr>
          <w:p w14:paraId="60C27925">
            <w:pPr>
              <w:rPr>
                <w:rFonts w:ascii="Arial"/>
                <w:color w:val="auto"/>
                <w:sz w:val="21"/>
                <w:highlight w:val="none"/>
              </w:rPr>
            </w:pPr>
          </w:p>
        </w:tc>
        <w:tc>
          <w:tcPr>
            <w:tcW w:w="1131" w:type="dxa"/>
            <w:vAlign w:val="top"/>
          </w:tcPr>
          <w:p w14:paraId="571D87F1">
            <w:pPr>
              <w:rPr>
                <w:rFonts w:ascii="Arial"/>
                <w:color w:val="auto"/>
                <w:sz w:val="21"/>
                <w:highlight w:val="none"/>
              </w:rPr>
            </w:pPr>
          </w:p>
        </w:tc>
        <w:tc>
          <w:tcPr>
            <w:tcW w:w="789" w:type="dxa"/>
            <w:tcBorders>
              <w:right w:val="single" w:color="000000" w:sz="6" w:space="0"/>
            </w:tcBorders>
            <w:vAlign w:val="top"/>
          </w:tcPr>
          <w:p w14:paraId="0263C59B">
            <w:pPr>
              <w:rPr>
                <w:rFonts w:ascii="Arial"/>
                <w:color w:val="auto"/>
                <w:sz w:val="21"/>
                <w:highlight w:val="none"/>
              </w:rPr>
            </w:pPr>
          </w:p>
        </w:tc>
      </w:tr>
      <w:tr w14:paraId="44AFE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1B440E78">
            <w:pPr>
              <w:rPr>
                <w:rFonts w:ascii="Arial"/>
                <w:color w:val="auto"/>
                <w:sz w:val="21"/>
                <w:highlight w:val="none"/>
              </w:rPr>
            </w:pPr>
          </w:p>
        </w:tc>
        <w:tc>
          <w:tcPr>
            <w:tcW w:w="1556" w:type="dxa"/>
            <w:vAlign w:val="top"/>
          </w:tcPr>
          <w:p w14:paraId="7F2E9FD1">
            <w:pPr>
              <w:rPr>
                <w:rFonts w:ascii="Arial"/>
                <w:color w:val="auto"/>
                <w:sz w:val="21"/>
                <w:highlight w:val="none"/>
              </w:rPr>
            </w:pPr>
          </w:p>
        </w:tc>
        <w:tc>
          <w:tcPr>
            <w:tcW w:w="2126" w:type="dxa"/>
            <w:vAlign w:val="top"/>
          </w:tcPr>
          <w:p w14:paraId="0BF02283">
            <w:pPr>
              <w:rPr>
                <w:rFonts w:ascii="Arial"/>
                <w:color w:val="auto"/>
                <w:sz w:val="21"/>
                <w:highlight w:val="none"/>
              </w:rPr>
            </w:pPr>
          </w:p>
        </w:tc>
        <w:tc>
          <w:tcPr>
            <w:tcW w:w="1980" w:type="dxa"/>
            <w:vAlign w:val="top"/>
          </w:tcPr>
          <w:p w14:paraId="7A3C9952">
            <w:pPr>
              <w:rPr>
                <w:rFonts w:ascii="Arial"/>
                <w:color w:val="auto"/>
                <w:sz w:val="21"/>
                <w:highlight w:val="none"/>
              </w:rPr>
            </w:pPr>
          </w:p>
        </w:tc>
        <w:tc>
          <w:tcPr>
            <w:tcW w:w="851" w:type="dxa"/>
            <w:vAlign w:val="top"/>
          </w:tcPr>
          <w:p w14:paraId="002DECDA">
            <w:pPr>
              <w:rPr>
                <w:rFonts w:ascii="Arial"/>
                <w:color w:val="auto"/>
                <w:sz w:val="21"/>
                <w:highlight w:val="none"/>
              </w:rPr>
            </w:pPr>
          </w:p>
        </w:tc>
        <w:tc>
          <w:tcPr>
            <w:tcW w:w="849" w:type="dxa"/>
            <w:vAlign w:val="top"/>
          </w:tcPr>
          <w:p w14:paraId="6BB6D85A">
            <w:pPr>
              <w:rPr>
                <w:rFonts w:ascii="Arial"/>
                <w:color w:val="auto"/>
                <w:sz w:val="21"/>
                <w:highlight w:val="none"/>
              </w:rPr>
            </w:pPr>
          </w:p>
        </w:tc>
        <w:tc>
          <w:tcPr>
            <w:tcW w:w="1134" w:type="dxa"/>
            <w:vAlign w:val="top"/>
          </w:tcPr>
          <w:p w14:paraId="1F4009AB">
            <w:pPr>
              <w:rPr>
                <w:rFonts w:ascii="Arial"/>
                <w:color w:val="auto"/>
                <w:sz w:val="21"/>
                <w:highlight w:val="none"/>
              </w:rPr>
            </w:pPr>
          </w:p>
        </w:tc>
        <w:tc>
          <w:tcPr>
            <w:tcW w:w="990" w:type="dxa"/>
            <w:vAlign w:val="top"/>
          </w:tcPr>
          <w:p w14:paraId="6EA3979F">
            <w:pPr>
              <w:rPr>
                <w:rFonts w:ascii="Arial"/>
                <w:color w:val="auto"/>
                <w:sz w:val="21"/>
                <w:highlight w:val="none"/>
              </w:rPr>
            </w:pPr>
          </w:p>
        </w:tc>
        <w:tc>
          <w:tcPr>
            <w:tcW w:w="992" w:type="dxa"/>
            <w:vAlign w:val="top"/>
          </w:tcPr>
          <w:p w14:paraId="6C471943">
            <w:pPr>
              <w:rPr>
                <w:rFonts w:ascii="Arial"/>
                <w:color w:val="auto"/>
                <w:sz w:val="21"/>
                <w:highlight w:val="none"/>
              </w:rPr>
            </w:pPr>
          </w:p>
        </w:tc>
        <w:tc>
          <w:tcPr>
            <w:tcW w:w="849" w:type="dxa"/>
            <w:vAlign w:val="top"/>
          </w:tcPr>
          <w:p w14:paraId="177C1E83">
            <w:pPr>
              <w:rPr>
                <w:rFonts w:ascii="Arial"/>
                <w:color w:val="auto"/>
                <w:sz w:val="21"/>
                <w:highlight w:val="none"/>
              </w:rPr>
            </w:pPr>
          </w:p>
        </w:tc>
        <w:tc>
          <w:tcPr>
            <w:tcW w:w="1131" w:type="dxa"/>
            <w:vAlign w:val="top"/>
          </w:tcPr>
          <w:p w14:paraId="2C7B5AE8">
            <w:pPr>
              <w:rPr>
                <w:rFonts w:ascii="Arial"/>
                <w:color w:val="auto"/>
                <w:sz w:val="21"/>
                <w:highlight w:val="none"/>
              </w:rPr>
            </w:pPr>
          </w:p>
        </w:tc>
        <w:tc>
          <w:tcPr>
            <w:tcW w:w="789" w:type="dxa"/>
            <w:tcBorders>
              <w:right w:val="single" w:color="000000" w:sz="6" w:space="0"/>
            </w:tcBorders>
            <w:vAlign w:val="top"/>
          </w:tcPr>
          <w:p w14:paraId="46AA9EEB">
            <w:pPr>
              <w:rPr>
                <w:rFonts w:ascii="Arial"/>
                <w:color w:val="auto"/>
                <w:sz w:val="21"/>
                <w:highlight w:val="none"/>
              </w:rPr>
            </w:pPr>
          </w:p>
        </w:tc>
      </w:tr>
      <w:tr w14:paraId="5EF84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7D58F73E">
            <w:pPr>
              <w:rPr>
                <w:rFonts w:ascii="Arial"/>
                <w:color w:val="auto"/>
                <w:sz w:val="21"/>
                <w:highlight w:val="none"/>
              </w:rPr>
            </w:pPr>
          </w:p>
        </w:tc>
        <w:tc>
          <w:tcPr>
            <w:tcW w:w="1556" w:type="dxa"/>
            <w:vAlign w:val="top"/>
          </w:tcPr>
          <w:p w14:paraId="672239CB">
            <w:pPr>
              <w:rPr>
                <w:rFonts w:ascii="Arial"/>
                <w:color w:val="auto"/>
                <w:sz w:val="21"/>
                <w:highlight w:val="none"/>
              </w:rPr>
            </w:pPr>
          </w:p>
        </w:tc>
        <w:tc>
          <w:tcPr>
            <w:tcW w:w="2126" w:type="dxa"/>
            <w:vAlign w:val="top"/>
          </w:tcPr>
          <w:p w14:paraId="5BD0CDBA">
            <w:pPr>
              <w:rPr>
                <w:rFonts w:ascii="Arial"/>
                <w:color w:val="auto"/>
                <w:sz w:val="21"/>
                <w:highlight w:val="none"/>
              </w:rPr>
            </w:pPr>
          </w:p>
        </w:tc>
        <w:tc>
          <w:tcPr>
            <w:tcW w:w="1980" w:type="dxa"/>
            <w:vAlign w:val="top"/>
          </w:tcPr>
          <w:p w14:paraId="4B8610C1">
            <w:pPr>
              <w:rPr>
                <w:rFonts w:ascii="Arial"/>
                <w:color w:val="auto"/>
                <w:sz w:val="21"/>
                <w:highlight w:val="none"/>
              </w:rPr>
            </w:pPr>
          </w:p>
        </w:tc>
        <w:tc>
          <w:tcPr>
            <w:tcW w:w="851" w:type="dxa"/>
            <w:vAlign w:val="top"/>
          </w:tcPr>
          <w:p w14:paraId="00574D1C">
            <w:pPr>
              <w:rPr>
                <w:rFonts w:ascii="Arial"/>
                <w:color w:val="auto"/>
                <w:sz w:val="21"/>
                <w:highlight w:val="none"/>
              </w:rPr>
            </w:pPr>
          </w:p>
        </w:tc>
        <w:tc>
          <w:tcPr>
            <w:tcW w:w="849" w:type="dxa"/>
            <w:vAlign w:val="top"/>
          </w:tcPr>
          <w:p w14:paraId="6931C1BB">
            <w:pPr>
              <w:rPr>
                <w:rFonts w:ascii="Arial"/>
                <w:color w:val="auto"/>
                <w:sz w:val="21"/>
                <w:highlight w:val="none"/>
              </w:rPr>
            </w:pPr>
          </w:p>
        </w:tc>
        <w:tc>
          <w:tcPr>
            <w:tcW w:w="1134" w:type="dxa"/>
            <w:vAlign w:val="top"/>
          </w:tcPr>
          <w:p w14:paraId="17F0708C">
            <w:pPr>
              <w:rPr>
                <w:rFonts w:ascii="Arial"/>
                <w:color w:val="auto"/>
                <w:sz w:val="21"/>
                <w:highlight w:val="none"/>
              </w:rPr>
            </w:pPr>
          </w:p>
        </w:tc>
        <w:tc>
          <w:tcPr>
            <w:tcW w:w="990" w:type="dxa"/>
            <w:vAlign w:val="top"/>
          </w:tcPr>
          <w:p w14:paraId="0DB51580">
            <w:pPr>
              <w:rPr>
                <w:rFonts w:ascii="Arial"/>
                <w:color w:val="auto"/>
                <w:sz w:val="21"/>
                <w:highlight w:val="none"/>
              </w:rPr>
            </w:pPr>
          </w:p>
        </w:tc>
        <w:tc>
          <w:tcPr>
            <w:tcW w:w="992" w:type="dxa"/>
            <w:vAlign w:val="top"/>
          </w:tcPr>
          <w:p w14:paraId="581F2E3D">
            <w:pPr>
              <w:rPr>
                <w:rFonts w:ascii="Arial"/>
                <w:color w:val="auto"/>
                <w:sz w:val="21"/>
                <w:highlight w:val="none"/>
              </w:rPr>
            </w:pPr>
          </w:p>
        </w:tc>
        <w:tc>
          <w:tcPr>
            <w:tcW w:w="849" w:type="dxa"/>
            <w:vAlign w:val="top"/>
          </w:tcPr>
          <w:p w14:paraId="7129F39D">
            <w:pPr>
              <w:rPr>
                <w:rFonts w:ascii="Arial"/>
                <w:color w:val="auto"/>
                <w:sz w:val="21"/>
                <w:highlight w:val="none"/>
              </w:rPr>
            </w:pPr>
          </w:p>
        </w:tc>
        <w:tc>
          <w:tcPr>
            <w:tcW w:w="1131" w:type="dxa"/>
            <w:vAlign w:val="top"/>
          </w:tcPr>
          <w:p w14:paraId="137C1F03">
            <w:pPr>
              <w:rPr>
                <w:rFonts w:ascii="Arial"/>
                <w:color w:val="auto"/>
                <w:sz w:val="21"/>
                <w:highlight w:val="none"/>
              </w:rPr>
            </w:pPr>
          </w:p>
        </w:tc>
        <w:tc>
          <w:tcPr>
            <w:tcW w:w="789" w:type="dxa"/>
            <w:tcBorders>
              <w:right w:val="single" w:color="000000" w:sz="6" w:space="0"/>
            </w:tcBorders>
            <w:vAlign w:val="top"/>
          </w:tcPr>
          <w:p w14:paraId="09724E45">
            <w:pPr>
              <w:rPr>
                <w:rFonts w:ascii="Arial"/>
                <w:color w:val="auto"/>
                <w:sz w:val="21"/>
                <w:highlight w:val="none"/>
              </w:rPr>
            </w:pPr>
          </w:p>
        </w:tc>
      </w:tr>
      <w:tr w14:paraId="2116D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41449258">
            <w:pPr>
              <w:rPr>
                <w:rFonts w:ascii="Arial"/>
                <w:color w:val="auto"/>
                <w:sz w:val="21"/>
                <w:highlight w:val="none"/>
              </w:rPr>
            </w:pPr>
          </w:p>
        </w:tc>
        <w:tc>
          <w:tcPr>
            <w:tcW w:w="1556" w:type="dxa"/>
            <w:vAlign w:val="top"/>
          </w:tcPr>
          <w:p w14:paraId="7559EB6C">
            <w:pPr>
              <w:rPr>
                <w:rFonts w:ascii="Arial"/>
                <w:color w:val="auto"/>
                <w:sz w:val="21"/>
                <w:highlight w:val="none"/>
              </w:rPr>
            </w:pPr>
          </w:p>
        </w:tc>
        <w:tc>
          <w:tcPr>
            <w:tcW w:w="2126" w:type="dxa"/>
            <w:vAlign w:val="top"/>
          </w:tcPr>
          <w:p w14:paraId="61400AD4">
            <w:pPr>
              <w:rPr>
                <w:rFonts w:ascii="Arial"/>
                <w:color w:val="auto"/>
                <w:sz w:val="21"/>
                <w:highlight w:val="none"/>
              </w:rPr>
            </w:pPr>
          </w:p>
        </w:tc>
        <w:tc>
          <w:tcPr>
            <w:tcW w:w="1980" w:type="dxa"/>
            <w:vAlign w:val="top"/>
          </w:tcPr>
          <w:p w14:paraId="3FCE3DCB">
            <w:pPr>
              <w:rPr>
                <w:rFonts w:ascii="Arial"/>
                <w:color w:val="auto"/>
                <w:sz w:val="21"/>
                <w:highlight w:val="none"/>
              </w:rPr>
            </w:pPr>
          </w:p>
        </w:tc>
        <w:tc>
          <w:tcPr>
            <w:tcW w:w="851" w:type="dxa"/>
            <w:vAlign w:val="top"/>
          </w:tcPr>
          <w:p w14:paraId="784D79DA">
            <w:pPr>
              <w:rPr>
                <w:rFonts w:ascii="Arial"/>
                <w:color w:val="auto"/>
                <w:sz w:val="21"/>
                <w:highlight w:val="none"/>
              </w:rPr>
            </w:pPr>
          </w:p>
        </w:tc>
        <w:tc>
          <w:tcPr>
            <w:tcW w:w="849" w:type="dxa"/>
            <w:vAlign w:val="top"/>
          </w:tcPr>
          <w:p w14:paraId="7163CF21">
            <w:pPr>
              <w:rPr>
                <w:rFonts w:ascii="Arial"/>
                <w:color w:val="auto"/>
                <w:sz w:val="21"/>
                <w:highlight w:val="none"/>
              </w:rPr>
            </w:pPr>
          </w:p>
        </w:tc>
        <w:tc>
          <w:tcPr>
            <w:tcW w:w="1134" w:type="dxa"/>
            <w:vAlign w:val="top"/>
          </w:tcPr>
          <w:p w14:paraId="470BA2C8">
            <w:pPr>
              <w:rPr>
                <w:rFonts w:ascii="Arial"/>
                <w:color w:val="auto"/>
                <w:sz w:val="21"/>
                <w:highlight w:val="none"/>
              </w:rPr>
            </w:pPr>
          </w:p>
        </w:tc>
        <w:tc>
          <w:tcPr>
            <w:tcW w:w="990" w:type="dxa"/>
            <w:vAlign w:val="top"/>
          </w:tcPr>
          <w:p w14:paraId="235FD53A">
            <w:pPr>
              <w:rPr>
                <w:rFonts w:ascii="Arial"/>
                <w:color w:val="auto"/>
                <w:sz w:val="21"/>
                <w:highlight w:val="none"/>
              </w:rPr>
            </w:pPr>
          </w:p>
        </w:tc>
        <w:tc>
          <w:tcPr>
            <w:tcW w:w="992" w:type="dxa"/>
            <w:vAlign w:val="top"/>
          </w:tcPr>
          <w:p w14:paraId="4EF3DCF7">
            <w:pPr>
              <w:rPr>
                <w:rFonts w:ascii="Arial"/>
                <w:color w:val="auto"/>
                <w:sz w:val="21"/>
                <w:highlight w:val="none"/>
              </w:rPr>
            </w:pPr>
          </w:p>
        </w:tc>
        <w:tc>
          <w:tcPr>
            <w:tcW w:w="849" w:type="dxa"/>
            <w:vAlign w:val="top"/>
          </w:tcPr>
          <w:p w14:paraId="5A69E76A">
            <w:pPr>
              <w:rPr>
                <w:rFonts w:ascii="Arial"/>
                <w:color w:val="auto"/>
                <w:sz w:val="21"/>
                <w:highlight w:val="none"/>
              </w:rPr>
            </w:pPr>
          </w:p>
        </w:tc>
        <w:tc>
          <w:tcPr>
            <w:tcW w:w="1131" w:type="dxa"/>
            <w:vAlign w:val="top"/>
          </w:tcPr>
          <w:p w14:paraId="035ECB0F">
            <w:pPr>
              <w:rPr>
                <w:rFonts w:ascii="Arial"/>
                <w:color w:val="auto"/>
                <w:sz w:val="21"/>
                <w:highlight w:val="none"/>
              </w:rPr>
            </w:pPr>
          </w:p>
        </w:tc>
        <w:tc>
          <w:tcPr>
            <w:tcW w:w="789" w:type="dxa"/>
            <w:tcBorders>
              <w:right w:val="single" w:color="000000" w:sz="6" w:space="0"/>
            </w:tcBorders>
            <w:vAlign w:val="top"/>
          </w:tcPr>
          <w:p w14:paraId="62C90E57">
            <w:pPr>
              <w:rPr>
                <w:rFonts w:ascii="Arial"/>
                <w:color w:val="auto"/>
                <w:sz w:val="21"/>
                <w:highlight w:val="none"/>
              </w:rPr>
            </w:pPr>
          </w:p>
        </w:tc>
      </w:tr>
      <w:tr w14:paraId="73102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22" w:type="dxa"/>
            <w:tcBorders>
              <w:left w:val="single" w:color="000000" w:sz="6" w:space="0"/>
              <w:bottom w:val="single" w:color="000000" w:sz="6" w:space="0"/>
            </w:tcBorders>
            <w:vAlign w:val="top"/>
          </w:tcPr>
          <w:p w14:paraId="1A6FAB48">
            <w:pPr>
              <w:rPr>
                <w:rFonts w:ascii="Arial"/>
                <w:color w:val="auto"/>
                <w:sz w:val="21"/>
                <w:highlight w:val="none"/>
              </w:rPr>
            </w:pPr>
          </w:p>
        </w:tc>
        <w:tc>
          <w:tcPr>
            <w:tcW w:w="1556" w:type="dxa"/>
            <w:tcBorders>
              <w:bottom w:val="single" w:color="000000" w:sz="6" w:space="0"/>
            </w:tcBorders>
            <w:vAlign w:val="top"/>
          </w:tcPr>
          <w:p w14:paraId="4BE636DA">
            <w:pPr>
              <w:rPr>
                <w:rFonts w:ascii="Arial"/>
                <w:color w:val="auto"/>
                <w:sz w:val="21"/>
                <w:highlight w:val="none"/>
              </w:rPr>
            </w:pPr>
          </w:p>
        </w:tc>
        <w:tc>
          <w:tcPr>
            <w:tcW w:w="2126" w:type="dxa"/>
            <w:tcBorders>
              <w:bottom w:val="single" w:color="000000" w:sz="6" w:space="0"/>
            </w:tcBorders>
            <w:vAlign w:val="top"/>
          </w:tcPr>
          <w:p w14:paraId="609FCC6E">
            <w:pPr>
              <w:pStyle w:val="17"/>
              <w:spacing w:before="162" w:line="221" w:lineRule="auto"/>
              <w:ind w:left="705"/>
              <w:rPr>
                <w:color w:val="auto"/>
                <w:sz w:val="24"/>
                <w:szCs w:val="24"/>
                <w:highlight w:val="none"/>
              </w:rPr>
            </w:pPr>
            <w:r>
              <w:rPr>
                <w:color w:val="auto"/>
                <w:spacing w:val="-6"/>
                <w:sz w:val="24"/>
                <w:szCs w:val="24"/>
                <w:highlight w:val="none"/>
              </w:rPr>
              <w:t>合</w:t>
            </w:r>
            <w:r>
              <w:rPr>
                <w:color w:val="auto"/>
                <w:spacing w:val="5"/>
                <w:sz w:val="24"/>
                <w:szCs w:val="24"/>
                <w:highlight w:val="none"/>
              </w:rPr>
              <w:t xml:space="preserve">  </w:t>
            </w:r>
            <w:r>
              <w:rPr>
                <w:color w:val="auto"/>
                <w:spacing w:val="-6"/>
                <w:sz w:val="24"/>
                <w:szCs w:val="24"/>
                <w:highlight w:val="none"/>
              </w:rPr>
              <w:t>计</w:t>
            </w:r>
          </w:p>
        </w:tc>
        <w:tc>
          <w:tcPr>
            <w:tcW w:w="1980" w:type="dxa"/>
            <w:tcBorders>
              <w:bottom w:val="single" w:color="000000" w:sz="6" w:space="0"/>
            </w:tcBorders>
            <w:vAlign w:val="top"/>
          </w:tcPr>
          <w:p w14:paraId="4685D9EB">
            <w:pPr>
              <w:rPr>
                <w:rFonts w:ascii="Arial"/>
                <w:color w:val="auto"/>
                <w:sz w:val="21"/>
                <w:highlight w:val="none"/>
              </w:rPr>
            </w:pPr>
          </w:p>
        </w:tc>
        <w:tc>
          <w:tcPr>
            <w:tcW w:w="851" w:type="dxa"/>
            <w:tcBorders>
              <w:bottom w:val="single" w:color="000000" w:sz="6" w:space="0"/>
            </w:tcBorders>
            <w:vAlign w:val="top"/>
          </w:tcPr>
          <w:p w14:paraId="32C0022E">
            <w:pPr>
              <w:rPr>
                <w:rFonts w:ascii="Arial"/>
                <w:color w:val="auto"/>
                <w:sz w:val="21"/>
                <w:highlight w:val="none"/>
              </w:rPr>
            </w:pPr>
          </w:p>
        </w:tc>
        <w:tc>
          <w:tcPr>
            <w:tcW w:w="849" w:type="dxa"/>
            <w:tcBorders>
              <w:bottom w:val="single" w:color="000000" w:sz="6" w:space="0"/>
            </w:tcBorders>
            <w:vAlign w:val="top"/>
          </w:tcPr>
          <w:p w14:paraId="0F6706E7">
            <w:pPr>
              <w:rPr>
                <w:rFonts w:ascii="Arial"/>
                <w:color w:val="auto"/>
                <w:sz w:val="21"/>
                <w:highlight w:val="none"/>
              </w:rPr>
            </w:pPr>
          </w:p>
        </w:tc>
        <w:tc>
          <w:tcPr>
            <w:tcW w:w="1134" w:type="dxa"/>
            <w:tcBorders>
              <w:bottom w:val="single" w:color="000000" w:sz="6" w:space="0"/>
            </w:tcBorders>
            <w:vAlign w:val="top"/>
          </w:tcPr>
          <w:p w14:paraId="7CEB5698">
            <w:pPr>
              <w:rPr>
                <w:rFonts w:ascii="Arial"/>
                <w:color w:val="auto"/>
                <w:sz w:val="21"/>
                <w:highlight w:val="none"/>
              </w:rPr>
            </w:pPr>
          </w:p>
        </w:tc>
        <w:tc>
          <w:tcPr>
            <w:tcW w:w="990" w:type="dxa"/>
            <w:tcBorders>
              <w:bottom w:val="single" w:color="000000" w:sz="6" w:space="0"/>
            </w:tcBorders>
            <w:vAlign w:val="top"/>
          </w:tcPr>
          <w:p w14:paraId="502BB57A">
            <w:pPr>
              <w:rPr>
                <w:rFonts w:ascii="Arial"/>
                <w:color w:val="auto"/>
                <w:sz w:val="21"/>
                <w:highlight w:val="none"/>
              </w:rPr>
            </w:pPr>
          </w:p>
        </w:tc>
        <w:tc>
          <w:tcPr>
            <w:tcW w:w="992" w:type="dxa"/>
            <w:tcBorders>
              <w:bottom w:val="single" w:color="000000" w:sz="6" w:space="0"/>
            </w:tcBorders>
            <w:vAlign w:val="top"/>
          </w:tcPr>
          <w:p w14:paraId="20E6E7CD">
            <w:pPr>
              <w:rPr>
                <w:rFonts w:ascii="Arial"/>
                <w:color w:val="auto"/>
                <w:sz w:val="21"/>
                <w:highlight w:val="none"/>
              </w:rPr>
            </w:pPr>
          </w:p>
        </w:tc>
        <w:tc>
          <w:tcPr>
            <w:tcW w:w="849" w:type="dxa"/>
            <w:tcBorders>
              <w:bottom w:val="single" w:color="000000" w:sz="6" w:space="0"/>
            </w:tcBorders>
            <w:vAlign w:val="top"/>
          </w:tcPr>
          <w:p w14:paraId="6742D6E2">
            <w:pPr>
              <w:rPr>
                <w:rFonts w:ascii="Arial"/>
                <w:color w:val="auto"/>
                <w:sz w:val="21"/>
                <w:highlight w:val="none"/>
              </w:rPr>
            </w:pPr>
          </w:p>
        </w:tc>
        <w:tc>
          <w:tcPr>
            <w:tcW w:w="1131" w:type="dxa"/>
            <w:tcBorders>
              <w:bottom w:val="single" w:color="000000" w:sz="6" w:space="0"/>
            </w:tcBorders>
            <w:vAlign w:val="top"/>
          </w:tcPr>
          <w:p w14:paraId="12444D82">
            <w:pPr>
              <w:rPr>
                <w:rFonts w:ascii="Arial"/>
                <w:color w:val="auto"/>
                <w:sz w:val="21"/>
                <w:highlight w:val="none"/>
              </w:rPr>
            </w:pPr>
          </w:p>
        </w:tc>
        <w:tc>
          <w:tcPr>
            <w:tcW w:w="789" w:type="dxa"/>
            <w:tcBorders>
              <w:bottom w:val="single" w:color="000000" w:sz="6" w:space="0"/>
              <w:right w:val="single" w:color="000000" w:sz="6" w:space="0"/>
            </w:tcBorders>
            <w:vAlign w:val="top"/>
          </w:tcPr>
          <w:p w14:paraId="4A3E6EA1">
            <w:pPr>
              <w:rPr>
                <w:rFonts w:ascii="Arial"/>
                <w:color w:val="auto"/>
                <w:sz w:val="21"/>
                <w:highlight w:val="none"/>
              </w:rPr>
            </w:pPr>
          </w:p>
        </w:tc>
      </w:tr>
    </w:tbl>
    <w:p w14:paraId="27008656">
      <w:pPr>
        <w:spacing w:before="311" w:line="219" w:lineRule="auto"/>
        <w:ind w:left="2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法定代表人或委托代理人</w:t>
      </w:r>
      <w:r>
        <w:rPr>
          <w:rFonts w:ascii="宋体" w:hAnsi="宋体" w:eastAsia="宋体" w:cs="宋体"/>
          <w:color w:val="auto"/>
          <w:spacing w:val="-11"/>
          <w:sz w:val="24"/>
          <w:szCs w:val="24"/>
          <w:highlight w:val="none"/>
        </w:rPr>
        <w:t>：</w:t>
      </w:r>
      <w:r>
        <w:rPr>
          <w:rFonts w:ascii="宋体" w:hAnsi="宋体" w:eastAsia="宋体" w:cs="宋体"/>
          <w:color w:val="auto"/>
          <w:spacing w:val="30"/>
          <w:sz w:val="24"/>
          <w:szCs w:val="24"/>
          <w:highlight w:val="none"/>
          <w:u w:val="single" w:color="auto"/>
        </w:rPr>
        <w:t xml:space="preserve">    </w:t>
      </w:r>
      <w:r>
        <w:rPr>
          <w:rFonts w:ascii="宋体" w:hAnsi="宋体" w:eastAsia="宋体" w:cs="宋体"/>
          <w:color w:val="auto"/>
          <w:spacing w:val="-11"/>
          <w:sz w:val="24"/>
          <w:szCs w:val="24"/>
          <w:highlight w:val="none"/>
          <w:u w:val="single" w:color="auto"/>
        </w:rPr>
        <w:t>（</w:t>
      </w:r>
      <w:r>
        <w:rPr>
          <w:rFonts w:ascii="宋体" w:hAnsi="宋体" w:eastAsia="宋体" w:cs="宋体"/>
          <w:color w:val="auto"/>
          <w:spacing w:val="1"/>
          <w:sz w:val="24"/>
          <w:szCs w:val="24"/>
          <w:highlight w:val="none"/>
          <w:u w:val="single" w:color="auto"/>
        </w:rPr>
        <w:t>签字或盖章）</w:t>
      </w:r>
      <w:r>
        <w:rPr>
          <w:rFonts w:ascii="宋体" w:hAnsi="宋体" w:eastAsia="宋体" w:cs="宋体"/>
          <w:color w:val="auto"/>
          <w:sz w:val="24"/>
          <w:szCs w:val="24"/>
          <w:highlight w:val="none"/>
          <w:u w:val="single" w:color="auto"/>
        </w:rPr>
        <w:t xml:space="preserve">      </w:t>
      </w:r>
    </w:p>
    <w:p w14:paraId="1BF3D0EC">
      <w:pPr>
        <w:spacing w:line="219" w:lineRule="auto"/>
        <w:rPr>
          <w:rFonts w:ascii="宋体" w:hAnsi="宋体" w:eastAsia="宋体" w:cs="宋体"/>
          <w:color w:val="auto"/>
          <w:sz w:val="24"/>
          <w:szCs w:val="24"/>
          <w:highlight w:val="none"/>
        </w:rPr>
        <w:sectPr>
          <w:footerReference r:id="rId170" w:type="default"/>
          <w:pgSz w:w="16841" w:h="11907"/>
          <w:pgMar w:top="400" w:right="1427" w:bottom="1252" w:left="1428" w:header="0" w:footer="1091" w:gutter="0"/>
          <w:pgNumType w:fmt="decimal"/>
          <w:cols w:space="720" w:num="1"/>
        </w:sectPr>
      </w:pPr>
    </w:p>
    <w:p w14:paraId="1993E40E">
      <w:pPr>
        <w:pStyle w:val="3"/>
        <w:spacing w:line="283" w:lineRule="auto"/>
        <w:rPr>
          <w:color w:val="auto"/>
          <w:highlight w:val="none"/>
        </w:rPr>
      </w:pPr>
    </w:p>
    <w:p w14:paraId="52E2CD4E">
      <w:pPr>
        <w:pStyle w:val="3"/>
        <w:spacing w:line="283" w:lineRule="auto"/>
        <w:rPr>
          <w:color w:val="auto"/>
          <w:highlight w:val="none"/>
        </w:rPr>
      </w:pPr>
    </w:p>
    <w:p w14:paraId="402A5F2C">
      <w:pPr>
        <w:pStyle w:val="3"/>
        <w:spacing w:line="283" w:lineRule="auto"/>
        <w:rPr>
          <w:color w:val="auto"/>
          <w:highlight w:val="none"/>
        </w:rPr>
      </w:pPr>
    </w:p>
    <w:p w14:paraId="0852DA75">
      <w:pPr>
        <w:pStyle w:val="3"/>
        <w:spacing w:line="283" w:lineRule="auto"/>
        <w:rPr>
          <w:color w:val="auto"/>
          <w:highlight w:val="none"/>
        </w:rPr>
      </w:pPr>
    </w:p>
    <w:p w14:paraId="733AB871">
      <w:pPr>
        <w:spacing w:before="91" w:line="219" w:lineRule="auto"/>
        <w:ind w:left="3771"/>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金属结构设备及安装工程分类分项工程量清单计价表</w:t>
      </w:r>
    </w:p>
    <w:p w14:paraId="40577F05">
      <w:pPr>
        <w:spacing w:before="205" w:line="212" w:lineRule="auto"/>
        <w:ind w:left="2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2"/>
          <w:sz w:val="24"/>
          <w:szCs w:val="24"/>
          <w:highlight w:val="none"/>
        </w:rPr>
        <w:t xml:space="preserve">        第  页共  页</w:t>
      </w:r>
    </w:p>
    <w:tbl>
      <w:tblPr>
        <w:tblStyle w:val="16"/>
        <w:tblW w:w="1396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556"/>
        <w:gridCol w:w="2126"/>
        <w:gridCol w:w="1980"/>
        <w:gridCol w:w="851"/>
        <w:gridCol w:w="849"/>
        <w:gridCol w:w="1134"/>
        <w:gridCol w:w="990"/>
        <w:gridCol w:w="992"/>
        <w:gridCol w:w="849"/>
        <w:gridCol w:w="1131"/>
        <w:gridCol w:w="789"/>
      </w:tblGrid>
      <w:tr w14:paraId="00D1A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22" w:type="dxa"/>
            <w:vMerge w:val="restart"/>
            <w:tcBorders>
              <w:top w:val="single" w:color="000000" w:sz="6" w:space="0"/>
              <w:left w:val="single" w:color="000000" w:sz="6" w:space="0"/>
              <w:bottom w:val="nil"/>
            </w:tcBorders>
            <w:vAlign w:val="top"/>
          </w:tcPr>
          <w:p w14:paraId="0065BB63">
            <w:pPr>
              <w:spacing w:line="303" w:lineRule="auto"/>
              <w:rPr>
                <w:rFonts w:ascii="Arial"/>
                <w:color w:val="auto"/>
                <w:sz w:val="21"/>
                <w:highlight w:val="none"/>
              </w:rPr>
            </w:pPr>
          </w:p>
          <w:p w14:paraId="00B68DB4">
            <w:pPr>
              <w:pStyle w:val="17"/>
              <w:spacing w:before="78" w:line="221" w:lineRule="auto"/>
              <w:ind w:left="120"/>
              <w:rPr>
                <w:color w:val="auto"/>
                <w:sz w:val="24"/>
                <w:szCs w:val="24"/>
                <w:highlight w:val="none"/>
              </w:rPr>
            </w:pPr>
            <w:r>
              <w:rPr>
                <w:color w:val="auto"/>
                <w:spacing w:val="-3"/>
                <w:sz w:val="24"/>
                <w:szCs w:val="24"/>
                <w:highlight w:val="none"/>
              </w:rPr>
              <w:t>序号</w:t>
            </w:r>
          </w:p>
        </w:tc>
        <w:tc>
          <w:tcPr>
            <w:tcW w:w="1556" w:type="dxa"/>
            <w:vMerge w:val="restart"/>
            <w:tcBorders>
              <w:top w:val="single" w:color="000000" w:sz="6" w:space="0"/>
              <w:bottom w:val="nil"/>
            </w:tcBorders>
            <w:vAlign w:val="top"/>
          </w:tcPr>
          <w:p w14:paraId="13D3DEB6">
            <w:pPr>
              <w:spacing w:line="303" w:lineRule="auto"/>
              <w:rPr>
                <w:rFonts w:ascii="Arial"/>
                <w:color w:val="auto"/>
                <w:sz w:val="21"/>
                <w:highlight w:val="none"/>
              </w:rPr>
            </w:pPr>
          </w:p>
          <w:p w14:paraId="2C4E3803">
            <w:pPr>
              <w:pStyle w:val="17"/>
              <w:spacing w:before="78" w:line="220" w:lineRule="auto"/>
              <w:ind w:left="301"/>
              <w:rPr>
                <w:color w:val="auto"/>
                <w:sz w:val="24"/>
                <w:szCs w:val="24"/>
                <w:highlight w:val="none"/>
              </w:rPr>
            </w:pPr>
            <w:r>
              <w:rPr>
                <w:color w:val="auto"/>
                <w:spacing w:val="-3"/>
                <w:sz w:val="24"/>
                <w:szCs w:val="24"/>
                <w:highlight w:val="none"/>
              </w:rPr>
              <w:t>项目编码</w:t>
            </w:r>
          </w:p>
        </w:tc>
        <w:tc>
          <w:tcPr>
            <w:tcW w:w="2126" w:type="dxa"/>
            <w:vMerge w:val="restart"/>
            <w:tcBorders>
              <w:top w:val="single" w:color="000000" w:sz="6" w:space="0"/>
              <w:bottom w:val="nil"/>
            </w:tcBorders>
            <w:vAlign w:val="top"/>
          </w:tcPr>
          <w:p w14:paraId="1E299563">
            <w:pPr>
              <w:spacing w:line="304" w:lineRule="auto"/>
              <w:rPr>
                <w:rFonts w:ascii="Arial"/>
                <w:color w:val="auto"/>
                <w:sz w:val="21"/>
                <w:highlight w:val="none"/>
              </w:rPr>
            </w:pPr>
          </w:p>
          <w:p w14:paraId="757CC420">
            <w:pPr>
              <w:pStyle w:val="17"/>
              <w:spacing w:before="78" w:line="220" w:lineRule="auto"/>
              <w:ind w:left="588"/>
              <w:rPr>
                <w:color w:val="auto"/>
                <w:sz w:val="24"/>
                <w:szCs w:val="24"/>
                <w:highlight w:val="none"/>
              </w:rPr>
            </w:pPr>
            <w:r>
              <w:rPr>
                <w:color w:val="auto"/>
                <w:spacing w:val="-3"/>
                <w:sz w:val="24"/>
                <w:szCs w:val="24"/>
                <w:highlight w:val="none"/>
              </w:rPr>
              <w:t>项目名称</w:t>
            </w:r>
          </w:p>
        </w:tc>
        <w:tc>
          <w:tcPr>
            <w:tcW w:w="1980" w:type="dxa"/>
            <w:vMerge w:val="restart"/>
            <w:tcBorders>
              <w:top w:val="single" w:color="000000" w:sz="6" w:space="0"/>
              <w:bottom w:val="nil"/>
            </w:tcBorders>
            <w:vAlign w:val="top"/>
          </w:tcPr>
          <w:p w14:paraId="48EF6540">
            <w:pPr>
              <w:pStyle w:val="17"/>
              <w:spacing w:before="227" w:line="242" w:lineRule="auto"/>
              <w:ind w:left="515" w:right="509" w:firstLine="3"/>
              <w:rPr>
                <w:color w:val="auto"/>
                <w:sz w:val="24"/>
                <w:szCs w:val="24"/>
                <w:highlight w:val="none"/>
              </w:rPr>
            </w:pPr>
            <w:r>
              <w:rPr>
                <w:color w:val="auto"/>
                <w:spacing w:val="-4"/>
                <w:sz w:val="24"/>
                <w:szCs w:val="24"/>
                <w:highlight w:val="none"/>
              </w:rPr>
              <w:t>项目主要</w:t>
            </w:r>
            <w:r>
              <w:rPr>
                <w:color w:val="auto"/>
                <w:spacing w:val="-11"/>
                <w:sz w:val="24"/>
                <w:szCs w:val="24"/>
                <w:highlight w:val="none"/>
              </w:rPr>
              <w:t>特</w:t>
            </w:r>
            <w:r>
              <w:rPr>
                <w:color w:val="auto"/>
                <w:spacing w:val="3"/>
                <w:sz w:val="24"/>
                <w:szCs w:val="24"/>
                <w:highlight w:val="none"/>
              </w:rPr>
              <w:t xml:space="preserve">    </w:t>
            </w:r>
            <w:r>
              <w:rPr>
                <w:color w:val="auto"/>
                <w:spacing w:val="-11"/>
                <w:sz w:val="24"/>
                <w:szCs w:val="24"/>
                <w:highlight w:val="none"/>
              </w:rPr>
              <w:t>征</w:t>
            </w:r>
          </w:p>
        </w:tc>
        <w:tc>
          <w:tcPr>
            <w:tcW w:w="851" w:type="dxa"/>
            <w:vMerge w:val="restart"/>
            <w:tcBorders>
              <w:top w:val="single" w:color="000000" w:sz="6" w:space="0"/>
              <w:bottom w:val="nil"/>
            </w:tcBorders>
            <w:vAlign w:val="top"/>
          </w:tcPr>
          <w:p w14:paraId="323A3BDE">
            <w:pPr>
              <w:pStyle w:val="17"/>
              <w:spacing w:before="228" w:line="242" w:lineRule="auto"/>
              <w:ind w:left="192" w:right="184" w:hanging="1"/>
              <w:rPr>
                <w:color w:val="auto"/>
                <w:sz w:val="24"/>
                <w:szCs w:val="24"/>
                <w:highlight w:val="none"/>
              </w:rPr>
            </w:pPr>
            <w:r>
              <w:rPr>
                <w:color w:val="auto"/>
                <w:spacing w:val="-5"/>
                <w:sz w:val="24"/>
                <w:szCs w:val="24"/>
                <w:highlight w:val="none"/>
              </w:rPr>
              <w:t>计量</w:t>
            </w:r>
            <w:r>
              <w:rPr>
                <w:color w:val="auto"/>
                <w:spacing w:val="-6"/>
                <w:sz w:val="24"/>
                <w:szCs w:val="24"/>
                <w:highlight w:val="none"/>
              </w:rPr>
              <w:t>单位</w:t>
            </w:r>
          </w:p>
        </w:tc>
        <w:tc>
          <w:tcPr>
            <w:tcW w:w="849" w:type="dxa"/>
            <w:vMerge w:val="restart"/>
            <w:tcBorders>
              <w:top w:val="single" w:color="000000" w:sz="6" w:space="0"/>
              <w:bottom w:val="nil"/>
            </w:tcBorders>
            <w:vAlign w:val="top"/>
          </w:tcPr>
          <w:p w14:paraId="7931A0AB">
            <w:pPr>
              <w:pStyle w:val="17"/>
              <w:spacing w:before="227" w:line="242" w:lineRule="auto"/>
              <w:ind w:left="194" w:right="181"/>
              <w:rPr>
                <w:color w:val="auto"/>
                <w:sz w:val="24"/>
                <w:szCs w:val="24"/>
                <w:highlight w:val="none"/>
              </w:rPr>
            </w:pPr>
            <w:r>
              <w:rPr>
                <w:color w:val="auto"/>
                <w:spacing w:val="-7"/>
                <w:sz w:val="24"/>
                <w:szCs w:val="24"/>
                <w:highlight w:val="none"/>
              </w:rPr>
              <w:t>工程</w:t>
            </w:r>
            <w:r>
              <w:rPr>
                <w:color w:val="auto"/>
                <w:spacing w:val="-6"/>
                <w:sz w:val="24"/>
                <w:szCs w:val="24"/>
                <w:highlight w:val="none"/>
              </w:rPr>
              <w:t>数量</w:t>
            </w:r>
          </w:p>
        </w:tc>
        <w:tc>
          <w:tcPr>
            <w:tcW w:w="2124" w:type="dxa"/>
            <w:gridSpan w:val="2"/>
            <w:tcBorders>
              <w:top w:val="single" w:color="000000" w:sz="6" w:space="0"/>
            </w:tcBorders>
            <w:vAlign w:val="top"/>
          </w:tcPr>
          <w:p w14:paraId="31ACD148">
            <w:pPr>
              <w:pStyle w:val="17"/>
              <w:spacing w:before="131" w:line="218" w:lineRule="auto"/>
              <w:ind w:left="473"/>
              <w:rPr>
                <w:color w:val="auto"/>
                <w:sz w:val="24"/>
                <w:szCs w:val="24"/>
                <w:highlight w:val="none"/>
              </w:rPr>
            </w:pPr>
            <w:r>
              <w:rPr>
                <w:color w:val="auto"/>
                <w:spacing w:val="-5"/>
                <w:sz w:val="24"/>
                <w:szCs w:val="24"/>
                <w:highlight w:val="none"/>
              </w:rPr>
              <w:t>单价（元）</w:t>
            </w:r>
          </w:p>
        </w:tc>
        <w:tc>
          <w:tcPr>
            <w:tcW w:w="1841" w:type="dxa"/>
            <w:gridSpan w:val="2"/>
            <w:tcBorders>
              <w:top w:val="single" w:color="000000" w:sz="6" w:space="0"/>
            </w:tcBorders>
            <w:vAlign w:val="top"/>
          </w:tcPr>
          <w:p w14:paraId="7336A7FB">
            <w:pPr>
              <w:pStyle w:val="17"/>
              <w:spacing w:before="131" w:line="218" w:lineRule="auto"/>
              <w:ind w:left="333"/>
              <w:rPr>
                <w:color w:val="auto"/>
                <w:sz w:val="24"/>
                <w:szCs w:val="24"/>
                <w:highlight w:val="none"/>
              </w:rPr>
            </w:pPr>
            <w:r>
              <w:rPr>
                <w:color w:val="auto"/>
                <w:spacing w:val="-5"/>
                <w:sz w:val="24"/>
                <w:szCs w:val="24"/>
                <w:highlight w:val="none"/>
              </w:rPr>
              <w:t>合价（元）</w:t>
            </w:r>
          </w:p>
        </w:tc>
        <w:tc>
          <w:tcPr>
            <w:tcW w:w="1131" w:type="dxa"/>
            <w:vMerge w:val="restart"/>
            <w:tcBorders>
              <w:top w:val="single" w:color="000000" w:sz="6" w:space="0"/>
              <w:bottom w:val="nil"/>
            </w:tcBorders>
            <w:vAlign w:val="top"/>
          </w:tcPr>
          <w:p w14:paraId="5636EC9A">
            <w:pPr>
              <w:pStyle w:val="17"/>
              <w:spacing w:before="227" w:line="242" w:lineRule="auto"/>
              <w:ind w:left="101" w:right="76"/>
              <w:rPr>
                <w:color w:val="auto"/>
                <w:sz w:val="24"/>
                <w:szCs w:val="24"/>
                <w:highlight w:val="none"/>
              </w:rPr>
            </w:pPr>
            <w:r>
              <w:rPr>
                <w:color w:val="auto"/>
                <w:spacing w:val="-3"/>
                <w:sz w:val="24"/>
                <w:szCs w:val="24"/>
                <w:highlight w:val="none"/>
              </w:rPr>
              <w:t>主要技术条款编码</w:t>
            </w:r>
          </w:p>
        </w:tc>
        <w:tc>
          <w:tcPr>
            <w:tcW w:w="789" w:type="dxa"/>
            <w:vMerge w:val="restart"/>
            <w:tcBorders>
              <w:top w:val="single" w:color="000000" w:sz="6" w:space="0"/>
              <w:bottom w:val="nil"/>
              <w:right w:val="single" w:color="000000" w:sz="6" w:space="0"/>
            </w:tcBorders>
            <w:vAlign w:val="top"/>
          </w:tcPr>
          <w:p w14:paraId="04CF3367">
            <w:pPr>
              <w:spacing w:line="303" w:lineRule="auto"/>
              <w:rPr>
                <w:rFonts w:ascii="Arial"/>
                <w:color w:val="auto"/>
                <w:sz w:val="21"/>
                <w:highlight w:val="none"/>
              </w:rPr>
            </w:pPr>
          </w:p>
          <w:p w14:paraId="7688237C">
            <w:pPr>
              <w:pStyle w:val="17"/>
              <w:spacing w:before="78" w:line="221" w:lineRule="auto"/>
              <w:ind w:left="163"/>
              <w:rPr>
                <w:color w:val="auto"/>
                <w:sz w:val="24"/>
                <w:szCs w:val="24"/>
                <w:highlight w:val="none"/>
              </w:rPr>
            </w:pPr>
            <w:r>
              <w:rPr>
                <w:color w:val="auto"/>
                <w:spacing w:val="-4"/>
                <w:sz w:val="24"/>
                <w:szCs w:val="24"/>
                <w:highlight w:val="none"/>
              </w:rPr>
              <w:t>备注</w:t>
            </w:r>
          </w:p>
        </w:tc>
      </w:tr>
      <w:tr w14:paraId="6DC8E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22" w:type="dxa"/>
            <w:vMerge w:val="continue"/>
            <w:tcBorders>
              <w:top w:val="nil"/>
              <w:left w:val="single" w:color="000000" w:sz="6" w:space="0"/>
            </w:tcBorders>
            <w:vAlign w:val="top"/>
          </w:tcPr>
          <w:p w14:paraId="1E4EBA54">
            <w:pPr>
              <w:rPr>
                <w:rFonts w:ascii="Arial"/>
                <w:color w:val="auto"/>
                <w:sz w:val="21"/>
                <w:highlight w:val="none"/>
              </w:rPr>
            </w:pPr>
          </w:p>
        </w:tc>
        <w:tc>
          <w:tcPr>
            <w:tcW w:w="1556" w:type="dxa"/>
            <w:vMerge w:val="continue"/>
            <w:tcBorders>
              <w:top w:val="nil"/>
            </w:tcBorders>
            <w:vAlign w:val="top"/>
          </w:tcPr>
          <w:p w14:paraId="023FA0C8">
            <w:pPr>
              <w:rPr>
                <w:rFonts w:ascii="Arial"/>
                <w:color w:val="auto"/>
                <w:sz w:val="21"/>
                <w:highlight w:val="none"/>
              </w:rPr>
            </w:pPr>
          </w:p>
        </w:tc>
        <w:tc>
          <w:tcPr>
            <w:tcW w:w="2126" w:type="dxa"/>
            <w:vMerge w:val="continue"/>
            <w:tcBorders>
              <w:top w:val="nil"/>
            </w:tcBorders>
            <w:vAlign w:val="top"/>
          </w:tcPr>
          <w:p w14:paraId="5AFC6209">
            <w:pPr>
              <w:rPr>
                <w:rFonts w:ascii="Arial"/>
                <w:color w:val="auto"/>
                <w:sz w:val="21"/>
                <w:highlight w:val="none"/>
              </w:rPr>
            </w:pPr>
          </w:p>
        </w:tc>
        <w:tc>
          <w:tcPr>
            <w:tcW w:w="1980" w:type="dxa"/>
            <w:vMerge w:val="continue"/>
            <w:tcBorders>
              <w:top w:val="nil"/>
            </w:tcBorders>
            <w:vAlign w:val="top"/>
          </w:tcPr>
          <w:p w14:paraId="0407A353">
            <w:pPr>
              <w:rPr>
                <w:rFonts w:ascii="Arial"/>
                <w:color w:val="auto"/>
                <w:sz w:val="21"/>
                <w:highlight w:val="none"/>
              </w:rPr>
            </w:pPr>
          </w:p>
        </w:tc>
        <w:tc>
          <w:tcPr>
            <w:tcW w:w="851" w:type="dxa"/>
            <w:vMerge w:val="continue"/>
            <w:tcBorders>
              <w:top w:val="nil"/>
            </w:tcBorders>
            <w:vAlign w:val="top"/>
          </w:tcPr>
          <w:p w14:paraId="32064007">
            <w:pPr>
              <w:rPr>
                <w:rFonts w:ascii="Arial"/>
                <w:color w:val="auto"/>
                <w:sz w:val="21"/>
                <w:highlight w:val="none"/>
              </w:rPr>
            </w:pPr>
          </w:p>
        </w:tc>
        <w:tc>
          <w:tcPr>
            <w:tcW w:w="849" w:type="dxa"/>
            <w:vMerge w:val="continue"/>
            <w:tcBorders>
              <w:top w:val="nil"/>
            </w:tcBorders>
            <w:vAlign w:val="top"/>
          </w:tcPr>
          <w:p w14:paraId="408E3EE9">
            <w:pPr>
              <w:rPr>
                <w:rFonts w:ascii="Arial"/>
                <w:color w:val="auto"/>
                <w:sz w:val="21"/>
                <w:highlight w:val="none"/>
              </w:rPr>
            </w:pPr>
          </w:p>
        </w:tc>
        <w:tc>
          <w:tcPr>
            <w:tcW w:w="1134" w:type="dxa"/>
            <w:vAlign w:val="top"/>
          </w:tcPr>
          <w:p w14:paraId="70FA7286">
            <w:pPr>
              <w:pStyle w:val="17"/>
              <w:spacing w:before="128" w:line="220" w:lineRule="auto"/>
              <w:ind w:left="218"/>
              <w:rPr>
                <w:color w:val="auto"/>
                <w:sz w:val="24"/>
                <w:szCs w:val="24"/>
                <w:highlight w:val="none"/>
              </w:rPr>
            </w:pPr>
            <w:r>
              <w:rPr>
                <w:color w:val="auto"/>
                <w:spacing w:val="-3"/>
                <w:sz w:val="24"/>
                <w:szCs w:val="24"/>
                <w:highlight w:val="none"/>
              </w:rPr>
              <w:t>设备费</w:t>
            </w:r>
          </w:p>
        </w:tc>
        <w:tc>
          <w:tcPr>
            <w:tcW w:w="990" w:type="dxa"/>
            <w:vAlign w:val="top"/>
          </w:tcPr>
          <w:p w14:paraId="2F21E87C">
            <w:pPr>
              <w:pStyle w:val="17"/>
              <w:spacing w:before="128" w:line="220" w:lineRule="auto"/>
              <w:ind w:left="146"/>
              <w:rPr>
                <w:color w:val="auto"/>
                <w:sz w:val="24"/>
                <w:szCs w:val="24"/>
                <w:highlight w:val="none"/>
              </w:rPr>
            </w:pPr>
            <w:r>
              <w:rPr>
                <w:color w:val="auto"/>
                <w:spacing w:val="-4"/>
                <w:sz w:val="24"/>
                <w:szCs w:val="24"/>
                <w:highlight w:val="none"/>
              </w:rPr>
              <w:t>安装费</w:t>
            </w:r>
          </w:p>
        </w:tc>
        <w:tc>
          <w:tcPr>
            <w:tcW w:w="992" w:type="dxa"/>
            <w:vAlign w:val="top"/>
          </w:tcPr>
          <w:p w14:paraId="6FA3DA17">
            <w:pPr>
              <w:pStyle w:val="17"/>
              <w:spacing w:before="128" w:line="220" w:lineRule="auto"/>
              <w:ind w:left="151"/>
              <w:rPr>
                <w:color w:val="auto"/>
                <w:sz w:val="24"/>
                <w:szCs w:val="24"/>
                <w:highlight w:val="none"/>
              </w:rPr>
            </w:pPr>
            <w:r>
              <w:rPr>
                <w:color w:val="auto"/>
                <w:spacing w:val="-3"/>
                <w:sz w:val="24"/>
                <w:szCs w:val="24"/>
                <w:highlight w:val="none"/>
              </w:rPr>
              <w:t>设备费</w:t>
            </w:r>
          </w:p>
        </w:tc>
        <w:tc>
          <w:tcPr>
            <w:tcW w:w="849" w:type="dxa"/>
            <w:vAlign w:val="top"/>
          </w:tcPr>
          <w:p w14:paraId="25F08E99">
            <w:pPr>
              <w:pStyle w:val="17"/>
              <w:spacing w:before="128" w:line="220" w:lineRule="auto"/>
              <w:ind w:left="81"/>
              <w:rPr>
                <w:color w:val="auto"/>
                <w:sz w:val="24"/>
                <w:szCs w:val="24"/>
                <w:highlight w:val="none"/>
              </w:rPr>
            </w:pPr>
            <w:r>
              <w:rPr>
                <w:color w:val="auto"/>
                <w:spacing w:val="-4"/>
                <w:sz w:val="24"/>
                <w:szCs w:val="24"/>
                <w:highlight w:val="none"/>
              </w:rPr>
              <w:t>安装费</w:t>
            </w:r>
          </w:p>
        </w:tc>
        <w:tc>
          <w:tcPr>
            <w:tcW w:w="1131" w:type="dxa"/>
            <w:vMerge w:val="continue"/>
            <w:tcBorders>
              <w:top w:val="nil"/>
            </w:tcBorders>
            <w:vAlign w:val="top"/>
          </w:tcPr>
          <w:p w14:paraId="6DCD720F">
            <w:pPr>
              <w:rPr>
                <w:rFonts w:ascii="Arial"/>
                <w:color w:val="auto"/>
                <w:sz w:val="21"/>
                <w:highlight w:val="none"/>
              </w:rPr>
            </w:pPr>
          </w:p>
        </w:tc>
        <w:tc>
          <w:tcPr>
            <w:tcW w:w="789" w:type="dxa"/>
            <w:vMerge w:val="continue"/>
            <w:tcBorders>
              <w:top w:val="nil"/>
              <w:right w:val="single" w:color="000000" w:sz="6" w:space="0"/>
            </w:tcBorders>
            <w:vAlign w:val="top"/>
          </w:tcPr>
          <w:p w14:paraId="03A02A8F">
            <w:pPr>
              <w:rPr>
                <w:rFonts w:ascii="Arial"/>
                <w:color w:val="auto"/>
                <w:sz w:val="21"/>
                <w:highlight w:val="none"/>
              </w:rPr>
            </w:pPr>
          </w:p>
        </w:tc>
      </w:tr>
      <w:tr w14:paraId="51566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31F6DC87">
            <w:pPr>
              <w:rPr>
                <w:rFonts w:ascii="Arial"/>
                <w:color w:val="auto"/>
                <w:sz w:val="21"/>
                <w:highlight w:val="none"/>
              </w:rPr>
            </w:pPr>
          </w:p>
        </w:tc>
        <w:tc>
          <w:tcPr>
            <w:tcW w:w="1556" w:type="dxa"/>
            <w:vAlign w:val="top"/>
          </w:tcPr>
          <w:p w14:paraId="27992957">
            <w:pPr>
              <w:rPr>
                <w:rFonts w:ascii="Arial"/>
                <w:color w:val="auto"/>
                <w:sz w:val="21"/>
                <w:highlight w:val="none"/>
              </w:rPr>
            </w:pPr>
          </w:p>
        </w:tc>
        <w:tc>
          <w:tcPr>
            <w:tcW w:w="2126" w:type="dxa"/>
            <w:vAlign w:val="top"/>
          </w:tcPr>
          <w:p w14:paraId="48BF285B">
            <w:pPr>
              <w:rPr>
                <w:rFonts w:ascii="Arial"/>
                <w:color w:val="auto"/>
                <w:sz w:val="21"/>
                <w:highlight w:val="none"/>
              </w:rPr>
            </w:pPr>
          </w:p>
        </w:tc>
        <w:tc>
          <w:tcPr>
            <w:tcW w:w="1980" w:type="dxa"/>
            <w:vAlign w:val="top"/>
          </w:tcPr>
          <w:p w14:paraId="298A1945">
            <w:pPr>
              <w:rPr>
                <w:rFonts w:ascii="Arial"/>
                <w:color w:val="auto"/>
                <w:sz w:val="21"/>
                <w:highlight w:val="none"/>
              </w:rPr>
            </w:pPr>
          </w:p>
        </w:tc>
        <w:tc>
          <w:tcPr>
            <w:tcW w:w="851" w:type="dxa"/>
            <w:vAlign w:val="top"/>
          </w:tcPr>
          <w:p w14:paraId="34AAE650">
            <w:pPr>
              <w:rPr>
                <w:rFonts w:ascii="Arial"/>
                <w:color w:val="auto"/>
                <w:sz w:val="21"/>
                <w:highlight w:val="none"/>
              </w:rPr>
            </w:pPr>
          </w:p>
        </w:tc>
        <w:tc>
          <w:tcPr>
            <w:tcW w:w="849" w:type="dxa"/>
            <w:vAlign w:val="top"/>
          </w:tcPr>
          <w:p w14:paraId="383AEA04">
            <w:pPr>
              <w:rPr>
                <w:rFonts w:ascii="Arial"/>
                <w:color w:val="auto"/>
                <w:sz w:val="21"/>
                <w:highlight w:val="none"/>
              </w:rPr>
            </w:pPr>
          </w:p>
        </w:tc>
        <w:tc>
          <w:tcPr>
            <w:tcW w:w="1134" w:type="dxa"/>
            <w:vAlign w:val="top"/>
          </w:tcPr>
          <w:p w14:paraId="3E9A8C3E">
            <w:pPr>
              <w:rPr>
                <w:rFonts w:ascii="Arial"/>
                <w:color w:val="auto"/>
                <w:sz w:val="21"/>
                <w:highlight w:val="none"/>
              </w:rPr>
            </w:pPr>
          </w:p>
        </w:tc>
        <w:tc>
          <w:tcPr>
            <w:tcW w:w="990" w:type="dxa"/>
            <w:vAlign w:val="top"/>
          </w:tcPr>
          <w:p w14:paraId="7D7A7DA7">
            <w:pPr>
              <w:rPr>
                <w:rFonts w:ascii="Arial"/>
                <w:color w:val="auto"/>
                <w:sz w:val="21"/>
                <w:highlight w:val="none"/>
              </w:rPr>
            </w:pPr>
          </w:p>
        </w:tc>
        <w:tc>
          <w:tcPr>
            <w:tcW w:w="992" w:type="dxa"/>
            <w:vAlign w:val="top"/>
          </w:tcPr>
          <w:p w14:paraId="3064097F">
            <w:pPr>
              <w:rPr>
                <w:rFonts w:ascii="Arial"/>
                <w:color w:val="auto"/>
                <w:sz w:val="21"/>
                <w:highlight w:val="none"/>
              </w:rPr>
            </w:pPr>
          </w:p>
        </w:tc>
        <w:tc>
          <w:tcPr>
            <w:tcW w:w="849" w:type="dxa"/>
            <w:vAlign w:val="top"/>
          </w:tcPr>
          <w:p w14:paraId="1C3CEDA6">
            <w:pPr>
              <w:rPr>
                <w:rFonts w:ascii="Arial"/>
                <w:color w:val="auto"/>
                <w:sz w:val="21"/>
                <w:highlight w:val="none"/>
              </w:rPr>
            </w:pPr>
          </w:p>
        </w:tc>
        <w:tc>
          <w:tcPr>
            <w:tcW w:w="1131" w:type="dxa"/>
            <w:vAlign w:val="top"/>
          </w:tcPr>
          <w:p w14:paraId="623886B2">
            <w:pPr>
              <w:rPr>
                <w:rFonts w:ascii="Arial"/>
                <w:color w:val="auto"/>
                <w:sz w:val="21"/>
                <w:highlight w:val="none"/>
              </w:rPr>
            </w:pPr>
          </w:p>
        </w:tc>
        <w:tc>
          <w:tcPr>
            <w:tcW w:w="789" w:type="dxa"/>
            <w:tcBorders>
              <w:right w:val="single" w:color="000000" w:sz="6" w:space="0"/>
            </w:tcBorders>
            <w:vAlign w:val="top"/>
          </w:tcPr>
          <w:p w14:paraId="38832143">
            <w:pPr>
              <w:rPr>
                <w:rFonts w:ascii="Arial"/>
                <w:color w:val="auto"/>
                <w:sz w:val="21"/>
                <w:highlight w:val="none"/>
              </w:rPr>
            </w:pPr>
          </w:p>
        </w:tc>
      </w:tr>
      <w:tr w14:paraId="62CF0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0B09FF47">
            <w:pPr>
              <w:rPr>
                <w:rFonts w:ascii="Arial"/>
                <w:color w:val="auto"/>
                <w:sz w:val="21"/>
                <w:highlight w:val="none"/>
              </w:rPr>
            </w:pPr>
          </w:p>
        </w:tc>
        <w:tc>
          <w:tcPr>
            <w:tcW w:w="1556" w:type="dxa"/>
            <w:vAlign w:val="top"/>
          </w:tcPr>
          <w:p w14:paraId="15E88A80">
            <w:pPr>
              <w:rPr>
                <w:rFonts w:ascii="Arial"/>
                <w:color w:val="auto"/>
                <w:sz w:val="21"/>
                <w:highlight w:val="none"/>
              </w:rPr>
            </w:pPr>
          </w:p>
        </w:tc>
        <w:tc>
          <w:tcPr>
            <w:tcW w:w="2126" w:type="dxa"/>
            <w:vAlign w:val="top"/>
          </w:tcPr>
          <w:p w14:paraId="3CDD5184">
            <w:pPr>
              <w:rPr>
                <w:rFonts w:ascii="Arial"/>
                <w:color w:val="auto"/>
                <w:sz w:val="21"/>
                <w:highlight w:val="none"/>
              </w:rPr>
            </w:pPr>
          </w:p>
        </w:tc>
        <w:tc>
          <w:tcPr>
            <w:tcW w:w="1980" w:type="dxa"/>
            <w:vAlign w:val="top"/>
          </w:tcPr>
          <w:p w14:paraId="0FE8A560">
            <w:pPr>
              <w:rPr>
                <w:rFonts w:ascii="Arial"/>
                <w:color w:val="auto"/>
                <w:sz w:val="21"/>
                <w:highlight w:val="none"/>
              </w:rPr>
            </w:pPr>
          </w:p>
        </w:tc>
        <w:tc>
          <w:tcPr>
            <w:tcW w:w="851" w:type="dxa"/>
            <w:vAlign w:val="top"/>
          </w:tcPr>
          <w:p w14:paraId="3E3450A4">
            <w:pPr>
              <w:rPr>
                <w:rFonts w:ascii="Arial"/>
                <w:color w:val="auto"/>
                <w:sz w:val="21"/>
                <w:highlight w:val="none"/>
              </w:rPr>
            </w:pPr>
          </w:p>
        </w:tc>
        <w:tc>
          <w:tcPr>
            <w:tcW w:w="849" w:type="dxa"/>
            <w:vAlign w:val="top"/>
          </w:tcPr>
          <w:p w14:paraId="67F9BDEA">
            <w:pPr>
              <w:rPr>
                <w:rFonts w:ascii="Arial"/>
                <w:color w:val="auto"/>
                <w:sz w:val="21"/>
                <w:highlight w:val="none"/>
              </w:rPr>
            </w:pPr>
          </w:p>
        </w:tc>
        <w:tc>
          <w:tcPr>
            <w:tcW w:w="1134" w:type="dxa"/>
            <w:vAlign w:val="top"/>
          </w:tcPr>
          <w:p w14:paraId="0D344F65">
            <w:pPr>
              <w:rPr>
                <w:rFonts w:ascii="Arial"/>
                <w:color w:val="auto"/>
                <w:sz w:val="21"/>
                <w:highlight w:val="none"/>
              </w:rPr>
            </w:pPr>
          </w:p>
        </w:tc>
        <w:tc>
          <w:tcPr>
            <w:tcW w:w="990" w:type="dxa"/>
            <w:vAlign w:val="top"/>
          </w:tcPr>
          <w:p w14:paraId="71701817">
            <w:pPr>
              <w:rPr>
                <w:rFonts w:ascii="Arial"/>
                <w:color w:val="auto"/>
                <w:sz w:val="21"/>
                <w:highlight w:val="none"/>
              </w:rPr>
            </w:pPr>
          </w:p>
        </w:tc>
        <w:tc>
          <w:tcPr>
            <w:tcW w:w="992" w:type="dxa"/>
            <w:vAlign w:val="top"/>
          </w:tcPr>
          <w:p w14:paraId="05E22B4A">
            <w:pPr>
              <w:rPr>
                <w:rFonts w:ascii="Arial"/>
                <w:color w:val="auto"/>
                <w:sz w:val="21"/>
                <w:highlight w:val="none"/>
              </w:rPr>
            </w:pPr>
          </w:p>
        </w:tc>
        <w:tc>
          <w:tcPr>
            <w:tcW w:w="849" w:type="dxa"/>
            <w:vAlign w:val="top"/>
          </w:tcPr>
          <w:p w14:paraId="100A048A">
            <w:pPr>
              <w:rPr>
                <w:rFonts w:ascii="Arial"/>
                <w:color w:val="auto"/>
                <w:sz w:val="21"/>
                <w:highlight w:val="none"/>
              </w:rPr>
            </w:pPr>
          </w:p>
        </w:tc>
        <w:tc>
          <w:tcPr>
            <w:tcW w:w="1131" w:type="dxa"/>
            <w:vAlign w:val="top"/>
          </w:tcPr>
          <w:p w14:paraId="52DE33A2">
            <w:pPr>
              <w:rPr>
                <w:rFonts w:ascii="Arial"/>
                <w:color w:val="auto"/>
                <w:sz w:val="21"/>
                <w:highlight w:val="none"/>
              </w:rPr>
            </w:pPr>
          </w:p>
        </w:tc>
        <w:tc>
          <w:tcPr>
            <w:tcW w:w="789" w:type="dxa"/>
            <w:tcBorders>
              <w:right w:val="single" w:color="000000" w:sz="6" w:space="0"/>
            </w:tcBorders>
            <w:vAlign w:val="top"/>
          </w:tcPr>
          <w:p w14:paraId="7BC7D028">
            <w:pPr>
              <w:rPr>
                <w:rFonts w:ascii="Arial"/>
                <w:color w:val="auto"/>
                <w:sz w:val="21"/>
                <w:highlight w:val="none"/>
              </w:rPr>
            </w:pPr>
          </w:p>
        </w:tc>
      </w:tr>
      <w:tr w14:paraId="35C3A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460B3D5C">
            <w:pPr>
              <w:rPr>
                <w:rFonts w:ascii="Arial"/>
                <w:color w:val="auto"/>
                <w:sz w:val="21"/>
                <w:highlight w:val="none"/>
              </w:rPr>
            </w:pPr>
          </w:p>
        </w:tc>
        <w:tc>
          <w:tcPr>
            <w:tcW w:w="1556" w:type="dxa"/>
            <w:vAlign w:val="top"/>
          </w:tcPr>
          <w:p w14:paraId="712B8C6F">
            <w:pPr>
              <w:rPr>
                <w:rFonts w:ascii="Arial"/>
                <w:color w:val="auto"/>
                <w:sz w:val="21"/>
                <w:highlight w:val="none"/>
              </w:rPr>
            </w:pPr>
          </w:p>
        </w:tc>
        <w:tc>
          <w:tcPr>
            <w:tcW w:w="2126" w:type="dxa"/>
            <w:vAlign w:val="top"/>
          </w:tcPr>
          <w:p w14:paraId="5A464209">
            <w:pPr>
              <w:rPr>
                <w:rFonts w:ascii="Arial"/>
                <w:color w:val="auto"/>
                <w:sz w:val="21"/>
                <w:highlight w:val="none"/>
              </w:rPr>
            </w:pPr>
          </w:p>
        </w:tc>
        <w:tc>
          <w:tcPr>
            <w:tcW w:w="1980" w:type="dxa"/>
            <w:vAlign w:val="top"/>
          </w:tcPr>
          <w:p w14:paraId="4EF74B11">
            <w:pPr>
              <w:rPr>
                <w:rFonts w:ascii="Arial"/>
                <w:color w:val="auto"/>
                <w:sz w:val="21"/>
                <w:highlight w:val="none"/>
              </w:rPr>
            </w:pPr>
          </w:p>
        </w:tc>
        <w:tc>
          <w:tcPr>
            <w:tcW w:w="851" w:type="dxa"/>
            <w:vAlign w:val="top"/>
          </w:tcPr>
          <w:p w14:paraId="4737A8AB">
            <w:pPr>
              <w:rPr>
                <w:rFonts w:ascii="Arial"/>
                <w:color w:val="auto"/>
                <w:sz w:val="21"/>
                <w:highlight w:val="none"/>
              </w:rPr>
            </w:pPr>
          </w:p>
        </w:tc>
        <w:tc>
          <w:tcPr>
            <w:tcW w:w="849" w:type="dxa"/>
            <w:vAlign w:val="top"/>
          </w:tcPr>
          <w:p w14:paraId="549EACDF">
            <w:pPr>
              <w:rPr>
                <w:rFonts w:ascii="Arial"/>
                <w:color w:val="auto"/>
                <w:sz w:val="21"/>
                <w:highlight w:val="none"/>
              </w:rPr>
            </w:pPr>
          </w:p>
        </w:tc>
        <w:tc>
          <w:tcPr>
            <w:tcW w:w="1134" w:type="dxa"/>
            <w:vAlign w:val="top"/>
          </w:tcPr>
          <w:p w14:paraId="7B58621F">
            <w:pPr>
              <w:rPr>
                <w:rFonts w:ascii="Arial"/>
                <w:color w:val="auto"/>
                <w:sz w:val="21"/>
                <w:highlight w:val="none"/>
              </w:rPr>
            </w:pPr>
          </w:p>
        </w:tc>
        <w:tc>
          <w:tcPr>
            <w:tcW w:w="990" w:type="dxa"/>
            <w:vAlign w:val="top"/>
          </w:tcPr>
          <w:p w14:paraId="544FDD9A">
            <w:pPr>
              <w:rPr>
                <w:rFonts w:ascii="Arial"/>
                <w:color w:val="auto"/>
                <w:sz w:val="21"/>
                <w:highlight w:val="none"/>
              </w:rPr>
            </w:pPr>
          </w:p>
        </w:tc>
        <w:tc>
          <w:tcPr>
            <w:tcW w:w="992" w:type="dxa"/>
            <w:vAlign w:val="top"/>
          </w:tcPr>
          <w:p w14:paraId="2780CFD4">
            <w:pPr>
              <w:rPr>
                <w:rFonts w:ascii="Arial"/>
                <w:color w:val="auto"/>
                <w:sz w:val="21"/>
                <w:highlight w:val="none"/>
              </w:rPr>
            </w:pPr>
          </w:p>
        </w:tc>
        <w:tc>
          <w:tcPr>
            <w:tcW w:w="849" w:type="dxa"/>
            <w:vAlign w:val="top"/>
          </w:tcPr>
          <w:p w14:paraId="0E958A03">
            <w:pPr>
              <w:rPr>
                <w:rFonts w:ascii="Arial"/>
                <w:color w:val="auto"/>
                <w:sz w:val="21"/>
                <w:highlight w:val="none"/>
              </w:rPr>
            </w:pPr>
          </w:p>
        </w:tc>
        <w:tc>
          <w:tcPr>
            <w:tcW w:w="1131" w:type="dxa"/>
            <w:vAlign w:val="top"/>
          </w:tcPr>
          <w:p w14:paraId="74CF971A">
            <w:pPr>
              <w:rPr>
                <w:rFonts w:ascii="Arial"/>
                <w:color w:val="auto"/>
                <w:sz w:val="21"/>
                <w:highlight w:val="none"/>
              </w:rPr>
            </w:pPr>
          </w:p>
        </w:tc>
        <w:tc>
          <w:tcPr>
            <w:tcW w:w="789" w:type="dxa"/>
            <w:tcBorders>
              <w:right w:val="single" w:color="000000" w:sz="6" w:space="0"/>
            </w:tcBorders>
            <w:vAlign w:val="top"/>
          </w:tcPr>
          <w:p w14:paraId="1B86C9B9">
            <w:pPr>
              <w:rPr>
                <w:rFonts w:ascii="Arial"/>
                <w:color w:val="auto"/>
                <w:sz w:val="21"/>
                <w:highlight w:val="none"/>
              </w:rPr>
            </w:pPr>
          </w:p>
        </w:tc>
      </w:tr>
      <w:tr w14:paraId="2DF00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4792DAC6">
            <w:pPr>
              <w:rPr>
                <w:rFonts w:ascii="Arial"/>
                <w:color w:val="auto"/>
                <w:sz w:val="21"/>
                <w:highlight w:val="none"/>
              </w:rPr>
            </w:pPr>
          </w:p>
        </w:tc>
        <w:tc>
          <w:tcPr>
            <w:tcW w:w="1556" w:type="dxa"/>
            <w:vAlign w:val="top"/>
          </w:tcPr>
          <w:p w14:paraId="3F9F6CAB">
            <w:pPr>
              <w:rPr>
                <w:rFonts w:ascii="Arial"/>
                <w:color w:val="auto"/>
                <w:sz w:val="21"/>
                <w:highlight w:val="none"/>
              </w:rPr>
            </w:pPr>
          </w:p>
        </w:tc>
        <w:tc>
          <w:tcPr>
            <w:tcW w:w="2126" w:type="dxa"/>
            <w:vAlign w:val="top"/>
          </w:tcPr>
          <w:p w14:paraId="42EF940C">
            <w:pPr>
              <w:rPr>
                <w:rFonts w:ascii="Arial"/>
                <w:color w:val="auto"/>
                <w:sz w:val="21"/>
                <w:highlight w:val="none"/>
              </w:rPr>
            </w:pPr>
          </w:p>
        </w:tc>
        <w:tc>
          <w:tcPr>
            <w:tcW w:w="1980" w:type="dxa"/>
            <w:vAlign w:val="top"/>
          </w:tcPr>
          <w:p w14:paraId="50897DE4">
            <w:pPr>
              <w:rPr>
                <w:rFonts w:ascii="Arial"/>
                <w:color w:val="auto"/>
                <w:sz w:val="21"/>
                <w:highlight w:val="none"/>
              </w:rPr>
            </w:pPr>
          </w:p>
        </w:tc>
        <w:tc>
          <w:tcPr>
            <w:tcW w:w="851" w:type="dxa"/>
            <w:vAlign w:val="top"/>
          </w:tcPr>
          <w:p w14:paraId="780B7B5D">
            <w:pPr>
              <w:rPr>
                <w:rFonts w:ascii="Arial"/>
                <w:color w:val="auto"/>
                <w:sz w:val="21"/>
                <w:highlight w:val="none"/>
              </w:rPr>
            </w:pPr>
          </w:p>
        </w:tc>
        <w:tc>
          <w:tcPr>
            <w:tcW w:w="849" w:type="dxa"/>
            <w:vAlign w:val="top"/>
          </w:tcPr>
          <w:p w14:paraId="102235A5">
            <w:pPr>
              <w:rPr>
                <w:rFonts w:ascii="Arial"/>
                <w:color w:val="auto"/>
                <w:sz w:val="21"/>
                <w:highlight w:val="none"/>
              </w:rPr>
            </w:pPr>
          </w:p>
        </w:tc>
        <w:tc>
          <w:tcPr>
            <w:tcW w:w="1134" w:type="dxa"/>
            <w:vAlign w:val="top"/>
          </w:tcPr>
          <w:p w14:paraId="6A031628">
            <w:pPr>
              <w:rPr>
                <w:rFonts w:ascii="Arial"/>
                <w:color w:val="auto"/>
                <w:sz w:val="21"/>
                <w:highlight w:val="none"/>
              </w:rPr>
            </w:pPr>
          </w:p>
        </w:tc>
        <w:tc>
          <w:tcPr>
            <w:tcW w:w="990" w:type="dxa"/>
            <w:vAlign w:val="top"/>
          </w:tcPr>
          <w:p w14:paraId="4946E0E9">
            <w:pPr>
              <w:rPr>
                <w:rFonts w:ascii="Arial"/>
                <w:color w:val="auto"/>
                <w:sz w:val="21"/>
                <w:highlight w:val="none"/>
              </w:rPr>
            </w:pPr>
          </w:p>
        </w:tc>
        <w:tc>
          <w:tcPr>
            <w:tcW w:w="992" w:type="dxa"/>
            <w:vAlign w:val="top"/>
          </w:tcPr>
          <w:p w14:paraId="71977503">
            <w:pPr>
              <w:rPr>
                <w:rFonts w:ascii="Arial"/>
                <w:color w:val="auto"/>
                <w:sz w:val="21"/>
                <w:highlight w:val="none"/>
              </w:rPr>
            </w:pPr>
          </w:p>
        </w:tc>
        <w:tc>
          <w:tcPr>
            <w:tcW w:w="849" w:type="dxa"/>
            <w:vAlign w:val="top"/>
          </w:tcPr>
          <w:p w14:paraId="7C297530">
            <w:pPr>
              <w:rPr>
                <w:rFonts w:ascii="Arial"/>
                <w:color w:val="auto"/>
                <w:sz w:val="21"/>
                <w:highlight w:val="none"/>
              </w:rPr>
            </w:pPr>
          </w:p>
        </w:tc>
        <w:tc>
          <w:tcPr>
            <w:tcW w:w="1131" w:type="dxa"/>
            <w:vAlign w:val="top"/>
          </w:tcPr>
          <w:p w14:paraId="06BDB54F">
            <w:pPr>
              <w:rPr>
                <w:rFonts w:ascii="Arial"/>
                <w:color w:val="auto"/>
                <w:sz w:val="21"/>
                <w:highlight w:val="none"/>
              </w:rPr>
            </w:pPr>
          </w:p>
        </w:tc>
        <w:tc>
          <w:tcPr>
            <w:tcW w:w="789" w:type="dxa"/>
            <w:tcBorders>
              <w:right w:val="single" w:color="000000" w:sz="6" w:space="0"/>
            </w:tcBorders>
            <w:vAlign w:val="top"/>
          </w:tcPr>
          <w:p w14:paraId="2EE22FC5">
            <w:pPr>
              <w:rPr>
                <w:rFonts w:ascii="Arial"/>
                <w:color w:val="auto"/>
                <w:sz w:val="21"/>
                <w:highlight w:val="none"/>
              </w:rPr>
            </w:pPr>
          </w:p>
        </w:tc>
      </w:tr>
      <w:tr w14:paraId="6F3AC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603B1501">
            <w:pPr>
              <w:rPr>
                <w:rFonts w:ascii="Arial"/>
                <w:color w:val="auto"/>
                <w:sz w:val="21"/>
                <w:highlight w:val="none"/>
              </w:rPr>
            </w:pPr>
          </w:p>
        </w:tc>
        <w:tc>
          <w:tcPr>
            <w:tcW w:w="1556" w:type="dxa"/>
            <w:vAlign w:val="top"/>
          </w:tcPr>
          <w:p w14:paraId="12F83340">
            <w:pPr>
              <w:rPr>
                <w:rFonts w:ascii="Arial"/>
                <w:color w:val="auto"/>
                <w:sz w:val="21"/>
                <w:highlight w:val="none"/>
              </w:rPr>
            </w:pPr>
          </w:p>
        </w:tc>
        <w:tc>
          <w:tcPr>
            <w:tcW w:w="2126" w:type="dxa"/>
            <w:vAlign w:val="top"/>
          </w:tcPr>
          <w:p w14:paraId="208C1E66">
            <w:pPr>
              <w:rPr>
                <w:rFonts w:ascii="Arial"/>
                <w:color w:val="auto"/>
                <w:sz w:val="21"/>
                <w:highlight w:val="none"/>
              </w:rPr>
            </w:pPr>
          </w:p>
        </w:tc>
        <w:tc>
          <w:tcPr>
            <w:tcW w:w="1980" w:type="dxa"/>
            <w:vAlign w:val="top"/>
          </w:tcPr>
          <w:p w14:paraId="38349446">
            <w:pPr>
              <w:rPr>
                <w:rFonts w:ascii="Arial"/>
                <w:color w:val="auto"/>
                <w:sz w:val="21"/>
                <w:highlight w:val="none"/>
              </w:rPr>
            </w:pPr>
          </w:p>
        </w:tc>
        <w:tc>
          <w:tcPr>
            <w:tcW w:w="851" w:type="dxa"/>
            <w:vAlign w:val="top"/>
          </w:tcPr>
          <w:p w14:paraId="09533FAD">
            <w:pPr>
              <w:rPr>
                <w:rFonts w:ascii="Arial"/>
                <w:color w:val="auto"/>
                <w:sz w:val="21"/>
                <w:highlight w:val="none"/>
              </w:rPr>
            </w:pPr>
          </w:p>
        </w:tc>
        <w:tc>
          <w:tcPr>
            <w:tcW w:w="849" w:type="dxa"/>
            <w:vAlign w:val="top"/>
          </w:tcPr>
          <w:p w14:paraId="657CC14F">
            <w:pPr>
              <w:rPr>
                <w:rFonts w:ascii="Arial"/>
                <w:color w:val="auto"/>
                <w:sz w:val="21"/>
                <w:highlight w:val="none"/>
              </w:rPr>
            </w:pPr>
          </w:p>
        </w:tc>
        <w:tc>
          <w:tcPr>
            <w:tcW w:w="1134" w:type="dxa"/>
            <w:vAlign w:val="top"/>
          </w:tcPr>
          <w:p w14:paraId="39D064D0">
            <w:pPr>
              <w:rPr>
                <w:rFonts w:ascii="Arial"/>
                <w:color w:val="auto"/>
                <w:sz w:val="21"/>
                <w:highlight w:val="none"/>
              </w:rPr>
            </w:pPr>
          </w:p>
        </w:tc>
        <w:tc>
          <w:tcPr>
            <w:tcW w:w="990" w:type="dxa"/>
            <w:vAlign w:val="top"/>
          </w:tcPr>
          <w:p w14:paraId="062A23D1">
            <w:pPr>
              <w:rPr>
                <w:rFonts w:ascii="Arial"/>
                <w:color w:val="auto"/>
                <w:sz w:val="21"/>
                <w:highlight w:val="none"/>
              </w:rPr>
            </w:pPr>
          </w:p>
        </w:tc>
        <w:tc>
          <w:tcPr>
            <w:tcW w:w="992" w:type="dxa"/>
            <w:vAlign w:val="top"/>
          </w:tcPr>
          <w:p w14:paraId="60A72903">
            <w:pPr>
              <w:rPr>
                <w:rFonts w:ascii="Arial"/>
                <w:color w:val="auto"/>
                <w:sz w:val="21"/>
                <w:highlight w:val="none"/>
              </w:rPr>
            </w:pPr>
          </w:p>
        </w:tc>
        <w:tc>
          <w:tcPr>
            <w:tcW w:w="849" w:type="dxa"/>
            <w:vAlign w:val="top"/>
          </w:tcPr>
          <w:p w14:paraId="7E5FB942">
            <w:pPr>
              <w:rPr>
                <w:rFonts w:ascii="Arial"/>
                <w:color w:val="auto"/>
                <w:sz w:val="21"/>
                <w:highlight w:val="none"/>
              </w:rPr>
            </w:pPr>
          </w:p>
        </w:tc>
        <w:tc>
          <w:tcPr>
            <w:tcW w:w="1131" w:type="dxa"/>
            <w:vAlign w:val="top"/>
          </w:tcPr>
          <w:p w14:paraId="023857DE">
            <w:pPr>
              <w:rPr>
                <w:rFonts w:ascii="Arial"/>
                <w:color w:val="auto"/>
                <w:sz w:val="21"/>
                <w:highlight w:val="none"/>
              </w:rPr>
            </w:pPr>
          </w:p>
        </w:tc>
        <w:tc>
          <w:tcPr>
            <w:tcW w:w="789" w:type="dxa"/>
            <w:tcBorders>
              <w:right w:val="single" w:color="000000" w:sz="6" w:space="0"/>
            </w:tcBorders>
            <w:vAlign w:val="top"/>
          </w:tcPr>
          <w:p w14:paraId="376EA11A">
            <w:pPr>
              <w:rPr>
                <w:rFonts w:ascii="Arial"/>
                <w:color w:val="auto"/>
                <w:sz w:val="21"/>
                <w:highlight w:val="none"/>
              </w:rPr>
            </w:pPr>
          </w:p>
        </w:tc>
      </w:tr>
      <w:tr w14:paraId="5E7D5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790C2BDA">
            <w:pPr>
              <w:rPr>
                <w:rFonts w:ascii="Arial"/>
                <w:color w:val="auto"/>
                <w:sz w:val="21"/>
                <w:highlight w:val="none"/>
              </w:rPr>
            </w:pPr>
          </w:p>
        </w:tc>
        <w:tc>
          <w:tcPr>
            <w:tcW w:w="1556" w:type="dxa"/>
            <w:vAlign w:val="top"/>
          </w:tcPr>
          <w:p w14:paraId="05B9DAB8">
            <w:pPr>
              <w:rPr>
                <w:rFonts w:ascii="Arial"/>
                <w:color w:val="auto"/>
                <w:sz w:val="21"/>
                <w:highlight w:val="none"/>
              </w:rPr>
            </w:pPr>
          </w:p>
        </w:tc>
        <w:tc>
          <w:tcPr>
            <w:tcW w:w="2126" w:type="dxa"/>
            <w:vAlign w:val="top"/>
          </w:tcPr>
          <w:p w14:paraId="743F9E27">
            <w:pPr>
              <w:rPr>
                <w:rFonts w:ascii="Arial"/>
                <w:color w:val="auto"/>
                <w:sz w:val="21"/>
                <w:highlight w:val="none"/>
              </w:rPr>
            </w:pPr>
          </w:p>
        </w:tc>
        <w:tc>
          <w:tcPr>
            <w:tcW w:w="1980" w:type="dxa"/>
            <w:vAlign w:val="top"/>
          </w:tcPr>
          <w:p w14:paraId="55CF5800">
            <w:pPr>
              <w:rPr>
                <w:rFonts w:ascii="Arial"/>
                <w:color w:val="auto"/>
                <w:sz w:val="21"/>
                <w:highlight w:val="none"/>
              </w:rPr>
            </w:pPr>
          </w:p>
        </w:tc>
        <w:tc>
          <w:tcPr>
            <w:tcW w:w="851" w:type="dxa"/>
            <w:vAlign w:val="top"/>
          </w:tcPr>
          <w:p w14:paraId="6558869D">
            <w:pPr>
              <w:rPr>
                <w:rFonts w:ascii="Arial"/>
                <w:color w:val="auto"/>
                <w:sz w:val="21"/>
                <w:highlight w:val="none"/>
              </w:rPr>
            </w:pPr>
          </w:p>
        </w:tc>
        <w:tc>
          <w:tcPr>
            <w:tcW w:w="849" w:type="dxa"/>
            <w:vAlign w:val="top"/>
          </w:tcPr>
          <w:p w14:paraId="1E8E1A3B">
            <w:pPr>
              <w:rPr>
                <w:rFonts w:ascii="Arial"/>
                <w:color w:val="auto"/>
                <w:sz w:val="21"/>
                <w:highlight w:val="none"/>
              </w:rPr>
            </w:pPr>
          </w:p>
        </w:tc>
        <w:tc>
          <w:tcPr>
            <w:tcW w:w="1134" w:type="dxa"/>
            <w:vAlign w:val="top"/>
          </w:tcPr>
          <w:p w14:paraId="635CD6E9">
            <w:pPr>
              <w:rPr>
                <w:rFonts w:ascii="Arial"/>
                <w:color w:val="auto"/>
                <w:sz w:val="21"/>
                <w:highlight w:val="none"/>
              </w:rPr>
            </w:pPr>
          </w:p>
        </w:tc>
        <w:tc>
          <w:tcPr>
            <w:tcW w:w="990" w:type="dxa"/>
            <w:vAlign w:val="top"/>
          </w:tcPr>
          <w:p w14:paraId="762D4228">
            <w:pPr>
              <w:rPr>
                <w:rFonts w:ascii="Arial"/>
                <w:color w:val="auto"/>
                <w:sz w:val="21"/>
                <w:highlight w:val="none"/>
              </w:rPr>
            </w:pPr>
          </w:p>
        </w:tc>
        <w:tc>
          <w:tcPr>
            <w:tcW w:w="992" w:type="dxa"/>
            <w:vAlign w:val="top"/>
          </w:tcPr>
          <w:p w14:paraId="40EE9988">
            <w:pPr>
              <w:rPr>
                <w:rFonts w:ascii="Arial"/>
                <w:color w:val="auto"/>
                <w:sz w:val="21"/>
                <w:highlight w:val="none"/>
              </w:rPr>
            </w:pPr>
          </w:p>
        </w:tc>
        <w:tc>
          <w:tcPr>
            <w:tcW w:w="849" w:type="dxa"/>
            <w:vAlign w:val="top"/>
          </w:tcPr>
          <w:p w14:paraId="05D6438C">
            <w:pPr>
              <w:rPr>
                <w:rFonts w:ascii="Arial"/>
                <w:color w:val="auto"/>
                <w:sz w:val="21"/>
                <w:highlight w:val="none"/>
              </w:rPr>
            </w:pPr>
          </w:p>
        </w:tc>
        <w:tc>
          <w:tcPr>
            <w:tcW w:w="1131" w:type="dxa"/>
            <w:vAlign w:val="top"/>
          </w:tcPr>
          <w:p w14:paraId="0192434F">
            <w:pPr>
              <w:rPr>
                <w:rFonts w:ascii="Arial"/>
                <w:color w:val="auto"/>
                <w:sz w:val="21"/>
                <w:highlight w:val="none"/>
              </w:rPr>
            </w:pPr>
          </w:p>
        </w:tc>
        <w:tc>
          <w:tcPr>
            <w:tcW w:w="789" w:type="dxa"/>
            <w:tcBorders>
              <w:right w:val="single" w:color="000000" w:sz="6" w:space="0"/>
            </w:tcBorders>
            <w:vAlign w:val="top"/>
          </w:tcPr>
          <w:p w14:paraId="4EF310EC">
            <w:pPr>
              <w:rPr>
                <w:rFonts w:ascii="Arial"/>
                <w:color w:val="auto"/>
                <w:sz w:val="21"/>
                <w:highlight w:val="none"/>
              </w:rPr>
            </w:pPr>
          </w:p>
        </w:tc>
      </w:tr>
      <w:tr w14:paraId="74CC0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72B6E08C">
            <w:pPr>
              <w:rPr>
                <w:rFonts w:ascii="Arial"/>
                <w:color w:val="auto"/>
                <w:sz w:val="21"/>
                <w:highlight w:val="none"/>
              </w:rPr>
            </w:pPr>
          </w:p>
        </w:tc>
        <w:tc>
          <w:tcPr>
            <w:tcW w:w="1556" w:type="dxa"/>
            <w:vAlign w:val="top"/>
          </w:tcPr>
          <w:p w14:paraId="770F9E5B">
            <w:pPr>
              <w:rPr>
                <w:rFonts w:ascii="Arial"/>
                <w:color w:val="auto"/>
                <w:sz w:val="21"/>
                <w:highlight w:val="none"/>
              </w:rPr>
            </w:pPr>
          </w:p>
        </w:tc>
        <w:tc>
          <w:tcPr>
            <w:tcW w:w="2126" w:type="dxa"/>
            <w:vAlign w:val="top"/>
          </w:tcPr>
          <w:p w14:paraId="72EC4BBE">
            <w:pPr>
              <w:rPr>
                <w:rFonts w:ascii="Arial"/>
                <w:color w:val="auto"/>
                <w:sz w:val="21"/>
                <w:highlight w:val="none"/>
              </w:rPr>
            </w:pPr>
          </w:p>
        </w:tc>
        <w:tc>
          <w:tcPr>
            <w:tcW w:w="1980" w:type="dxa"/>
            <w:vAlign w:val="top"/>
          </w:tcPr>
          <w:p w14:paraId="065912D0">
            <w:pPr>
              <w:rPr>
                <w:rFonts w:ascii="Arial"/>
                <w:color w:val="auto"/>
                <w:sz w:val="21"/>
                <w:highlight w:val="none"/>
              </w:rPr>
            </w:pPr>
          </w:p>
        </w:tc>
        <w:tc>
          <w:tcPr>
            <w:tcW w:w="851" w:type="dxa"/>
            <w:vAlign w:val="top"/>
          </w:tcPr>
          <w:p w14:paraId="7E40A4F4">
            <w:pPr>
              <w:rPr>
                <w:rFonts w:ascii="Arial"/>
                <w:color w:val="auto"/>
                <w:sz w:val="21"/>
                <w:highlight w:val="none"/>
              </w:rPr>
            </w:pPr>
          </w:p>
        </w:tc>
        <w:tc>
          <w:tcPr>
            <w:tcW w:w="849" w:type="dxa"/>
            <w:vAlign w:val="top"/>
          </w:tcPr>
          <w:p w14:paraId="16A71385">
            <w:pPr>
              <w:rPr>
                <w:rFonts w:ascii="Arial"/>
                <w:color w:val="auto"/>
                <w:sz w:val="21"/>
                <w:highlight w:val="none"/>
              </w:rPr>
            </w:pPr>
          </w:p>
        </w:tc>
        <w:tc>
          <w:tcPr>
            <w:tcW w:w="1134" w:type="dxa"/>
            <w:vAlign w:val="top"/>
          </w:tcPr>
          <w:p w14:paraId="77483167">
            <w:pPr>
              <w:rPr>
                <w:rFonts w:ascii="Arial"/>
                <w:color w:val="auto"/>
                <w:sz w:val="21"/>
                <w:highlight w:val="none"/>
              </w:rPr>
            </w:pPr>
          </w:p>
        </w:tc>
        <w:tc>
          <w:tcPr>
            <w:tcW w:w="990" w:type="dxa"/>
            <w:vAlign w:val="top"/>
          </w:tcPr>
          <w:p w14:paraId="4EDAC1E9">
            <w:pPr>
              <w:rPr>
                <w:rFonts w:ascii="Arial"/>
                <w:color w:val="auto"/>
                <w:sz w:val="21"/>
                <w:highlight w:val="none"/>
              </w:rPr>
            </w:pPr>
          </w:p>
        </w:tc>
        <w:tc>
          <w:tcPr>
            <w:tcW w:w="992" w:type="dxa"/>
            <w:vAlign w:val="top"/>
          </w:tcPr>
          <w:p w14:paraId="53BAF8BC">
            <w:pPr>
              <w:rPr>
                <w:rFonts w:ascii="Arial"/>
                <w:color w:val="auto"/>
                <w:sz w:val="21"/>
                <w:highlight w:val="none"/>
              </w:rPr>
            </w:pPr>
          </w:p>
        </w:tc>
        <w:tc>
          <w:tcPr>
            <w:tcW w:w="849" w:type="dxa"/>
            <w:vAlign w:val="top"/>
          </w:tcPr>
          <w:p w14:paraId="2FB01AB0">
            <w:pPr>
              <w:rPr>
                <w:rFonts w:ascii="Arial"/>
                <w:color w:val="auto"/>
                <w:sz w:val="21"/>
                <w:highlight w:val="none"/>
              </w:rPr>
            </w:pPr>
          </w:p>
        </w:tc>
        <w:tc>
          <w:tcPr>
            <w:tcW w:w="1131" w:type="dxa"/>
            <w:vAlign w:val="top"/>
          </w:tcPr>
          <w:p w14:paraId="23439375">
            <w:pPr>
              <w:rPr>
                <w:rFonts w:ascii="Arial"/>
                <w:color w:val="auto"/>
                <w:sz w:val="21"/>
                <w:highlight w:val="none"/>
              </w:rPr>
            </w:pPr>
          </w:p>
        </w:tc>
        <w:tc>
          <w:tcPr>
            <w:tcW w:w="789" w:type="dxa"/>
            <w:tcBorders>
              <w:right w:val="single" w:color="000000" w:sz="6" w:space="0"/>
            </w:tcBorders>
            <w:vAlign w:val="top"/>
          </w:tcPr>
          <w:p w14:paraId="01E905C0">
            <w:pPr>
              <w:rPr>
                <w:rFonts w:ascii="Arial"/>
                <w:color w:val="auto"/>
                <w:sz w:val="21"/>
                <w:highlight w:val="none"/>
              </w:rPr>
            </w:pPr>
          </w:p>
        </w:tc>
      </w:tr>
      <w:tr w14:paraId="797B1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22" w:type="dxa"/>
            <w:tcBorders>
              <w:left w:val="single" w:color="000000" w:sz="6" w:space="0"/>
            </w:tcBorders>
            <w:vAlign w:val="top"/>
          </w:tcPr>
          <w:p w14:paraId="5C7E96F4">
            <w:pPr>
              <w:rPr>
                <w:rFonts w:ascii="Arial"/>
                <w:color w:val="auto"/>
                <w:sz w:val="21"/>
                <w:highlight w:val="none"/>
              </w:rPr>
            </w:pPr>
          </w:p>
        </w:tc>
        <w:tc>
          <w:tcPr>
            <w:tcW w:w="1556" w:type="dxa"/>
            <w:vAlign w:val="top"/>
          </w:tcPr>
          <w:p w14:paraId="0BBB3E34">
            <w:pPr>
              <w:rPr>
                <w:rFonts w:ascii="Arial"/>
                <w:color w:val="auto"/>
                <w:sz w:val="21"/>
                <w:highlight w:val="none"/>
              </w:rPr>
            </w:pPr>
          </w:p>
        </w:tc>
        <w:tc>
          <w:tcPr>
            <w:tcW w:w="2126" w:type="dxa"/>
            <w:vAlign w:val="top"/>
          </w:tcPr>
          <w:p w14:paraId="211A56A1">
            <w:pPr>
              <w:rPr>
                <w:rFonts w:ascii="Arial"/>
                <w:color w:val="auto"/>
                <w:sz w:val="21"/>
                <w:highlight w:val="none"/>
              </w:rPr>
            </w:pPr>
          </w:p>
        </w:tc>
        <w:tc>
          <w:tcPr>
            <w:tcW w:w="1980" w:type="dxa"/>
            <w:vAlign w:val="top"/>
          </w:tcPr>
          <w:p w14:paraId="4D2AF936">
            <w:pPr>
              <w:rPr>
                <w:rFonts w:ascii="Arial"/>
                <w:color w:val="auto"/>
                <w:sz w:val="21"/>
                <w:highlight w:val="none"/>
              </w:rPr>
            </w:pPr>
          </w:p>
        </w:tc>
        <w:tc>
          <w:tcPr>
            <w:tcW w:w="851" w:type="dxa"/>
            <w:vAlign w:val="top"/>
          </w:tcPr>
          <w:p w14:paraId="028F7057">
            <w:pPr>
              <w:rPr>
                <w:rFonts w:ascii="Arial"/>
                <w:color w:val="auto"/>
                <w:sz w:val="21"/>
                <w:highlight w:val="none"/>
              </w:rPr>
            </w:pPr>
          </w:p>
        </w:tc>
        <w:tc>
          <w:tcPr>
            <w:tcW w:w="849" w:type="dxa"/>
            <w:vAlign w:val="top"/>
          </w:tcPr>
          <w:p w14:paraId="0CEE9036">
            <w:pPr>
              <w:rPr>
                <w:rFonts w:ascii="Arial"/>
                <w:color w:val="auto"/>
                <w:sz w:val="21"/>
                <w:highlight w:val="none"/>
              </w:rPr>
            </w:pPr>
          </w:p>
        </w:tc>
        <w:tc>
          <w:tcPr>
            <w:tcW w:w="1134" w:type="dxa"/>
            <w:vAlign w:val="top"/>
          </w:tcPr>
          <w:p w14:paraId="318F12CD">
            <w:pPr>
              <w:rPr>
                <w:rFonts w:ascii="Arial"/>
                <w:color w:val="auto"/>
                <w:sz w:val="21"/>
                <w:highlight w:val="none"/>
              </w:rPr>
            </w:pPr>
          </w:p>
        </w:tc>
        <w:tc>
          <w:tcPr>
            <w:tcW w:w="990" w:type="dxa"/>
            <w:vAlign w:val="top"/>
          </w:tcPr>
          <w:p w14:paraId="13FA9CAB">
            <w:pPr>
              <w:rPr>
                <w:rFonts w:ascii="Arial"/>
                <w:color w:val="auto"/>
                <w:sz w:val="21"/>
                <w:highlight w:val="none"/>
              </w:rPr>
            </w:pPr>
          </w:p>
        </w:tc>
        <w:tc>
          <w:tcPr>
            <w:tcW w:w="992" w:type="dxa"/>
            <w:vAlign w:val="top"/>
          </w:tcPr>
          <w:p w14:paraId="11B7B6E5">
            <w:pPr>
              <w:rPr>
                <w:rFonts w:ascii="Arial"/>
                <w:color w:val="auto"/>
                <w:sz w:val="21"/>
                <w:highlight w:val="none"/>
              </w:rPr>
            </w:pPr>
          </w:p>
        </w:tc>
        <w:tc>
          <w:tcPr>
            <w:tcW w:w="849" w:type="dxa"/>
            <w:vAlign w:val="top"/>
          </w:tcPr>
          <w:p w14:paraId="1ED6500F">
            <w:pPr>
              <w:rPr>
                <w:rFonts w:ascii="Arial"/>
                <w:color w:val="auto"/>
                <w:sz w:val="21"/>
                <w:highlight w:val="none"/>
              </w:rPr>
            </w:pPr>
          </w:p>
        </w:tc>
        <w:tc>
          <w:tcPr>
            <w:tcW w:w="1131" w:type="dxa"/>
            <w:vAlign w:val="top"/>
          </w:tcPr>
          <w:p w14:paraId="44919C14">
            <w:pPr>
              <w:rPr>
                <w:rFonts w:ascii="Arial"/>
                <w:color w:val="auto"/>
                <w:sz w:val="21"/>
                <w:highlight w:val="none"/>
              </w:rPr>
            </w:pPr>
          </w:p>
        </w:tc>
        <w:tc>
          <w:tcPr>
            <w:tcW w:w="789" w:type="dxa"/>
            <w:tcBorders>
              <w:right w:val="single" w:color="000000" w:sz="6" w:space="0"/>
            </w:tcBorders>
            <w:vAlign w:val="top"/>
          </w:tcPr>
          <w:p w14:paraId="1A977033">
            <w:pPr>
              <w:rPr>
                <w:rFonts w:ascii="Arial"/>
                <w:color w:val="auto"/>
                <w:sz w:val="21"/>
                <w:highlight w:val="none"/>
              </w:rPr>
            </w:pPr>
          </w:p>
        </w:tc>
      </w:tr>
      <w:tr w14:paraId="2C8BC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722" w:type="dxa"/>
            <w:tcBorders>
              <w:left w:val="single" w:color="000000" w:sz="6" w:space="0"/>
            </w:tcBorders>
            <w:vAlign w:val="top"/>
          </w:tcPr>
          <w:p w14:paraId="036EF034">
            <w:pPr>
              <w:rPr>
                <w:rFonts w:ascii="Arial"/>
                <w:color w:val="auto"/>
                <w:sz w:val="21"/>
                <w:highlight w:val="none"/>
              </w:rPr>
            </w:pPr>
          </w:p>
        </w:tc>
        <w:tc>
          <w:tcPr>
            <w:tcW w:w="1556" w:type="dxa"/>
            <w:vAlign w:val="top"/>
          </w:tcPr>
          <w:p w14:paraId="020D03BB">
            <w:pPr>
              <w:rPr>
                <w:rFonts w:ascii="Arial"/>
                <w:color w:val="auto"/>
                <w:sz w:val="21"/>
                <w:highlight w:val="none"/>
              </w:rPr>
            </w:pPr>
          </w:p>
        </w:tc>
        <w:tc>
          <w:tcPr>
            <w:tcW w:w="2126" w:type="dxa"/>
            <w:vAlign w:val="top"/>
          </w:tcPr>
          <w:p w14:paraId="3DE5B085">
            <w:pPr>
              <w:rPr>
                <w:rFonts w:ascii="Arial"/>
                <w:color w:val="auto"/>
                <w:sz w:val="21"/>
                <w:highlight w:val="none"/>
              </w:rPr>
            </w:pPr>
          </w:p>
        </w:tc>
        <w:tc>
          <w:tcPr>
            <w:tcW w:w="1980" w:type="dxa"/>
            <w:vAlign w:val="top"/>
          </w:tcPr>
          <w:p w14:paraId="5A2EC5E2">
            <w:pPr>
              <w:rPr>
                <w:rFonts w:ascii="Arial"/>
                <w:color w:val="auto"/>
                <w:sz w:val="21"/>
                <w:highlight w:val="none"/>
              </w:rPr>
            </w:pPr>
          </w:p>
        </w:tc>
        <w:tc>
          <w:tcPr>
            <w:tcW w:w="851" w:type="dxa"/>
            <w:vAlign w:val="top"/>
          </w:tcPr>
          <w:p w14:paraId="39027DBF">
            <w:pPr>
              <w:rPr>
                <w:rFonts w:ascii="Arial"/>
                <w:color w:val="auto"/>
                <w:sz w:val="21"/>
                <w:highlight w:val="none"/>
              </w:rPr>
            </w:pPr>
          </w:p>
        </w:tc>
        <w:tc>
          <w:tcPr>
            <w:tcW w:w="849" w:type="dxa"/>
            <w:vAlign w:val="top"/>
          </w:tcPr>
          <w:p w14:paraId="58B5722C">
            <w:pPr>
              <w:rPr>
                <w:rFonts w:ascii="Arial"/>
                <w:color w:val="auto"/>
                <w:sz w:val="21"/>
                <w:highlight w:val="none"/>
              </w:rPr>
            </w:pPr>
          </w:p>
        </w:tc>
        <w:tc>
          <w:tcPr>
            <w:tcW w:w="1134" w:type="dxa"/>
            <w:vAlign w:val="top"/>
          </w:tcPr>
          <w:p w14:paraId="5940E1FD">
            <w:pPr>
              <w:rPr>
                <w:rFonts w:ascii="Arial"/>
                <w:color w:val="auto"/>
                <w:sz w:val="21"/>
                <w:highlight w:val="none"/>
              </w:rPr>
            </w:pPr>
          </w:p>
        </w:tc>
        <w:tc>
          <w:tcPr>
            <w:tcW w:w="990" w:type="dxa"/>
            <w:vAlign w:val="top"/>
          </w:tcPr>
          <w:p w14:paraId="03B8E90C">
            <w:pPr>
              <w:rPr>
                <w:rFonts w:ascii="Arial"/>
                <w:color w:val="auto"/>
                <w:sz w:val="21"/>
                <w:highlight w:val="none"/>
              </w:rPr>
            </w:pPr>
          </w:p>
        </w:tc>
        <w:tc>
          <w:tcPr>
            <w:tcW w:w="992" w:type="dxa"/>
            <w:vAlign w:val="top"/>
          </w:tcPr>
          <w:p w14:paraId="44C7803D">
            <w:pPr>
              <w:rPr>
                <w:rFonts w:ascii="Arial"/>
                <w:color w:val="auto"/>
                <w:sz w:val="21"/>
                <w:highlight w:val="none"/>
              </w:rPr>
            </w:pPr>
          </w:p>
        </w:tc>
        <w:tc>
          <w:tcPr>
            <w:tcW w:w="849" w:type="dxa"/>
            <w:vAlign w:val="top"/>
          </w:tcPr>
          <w:p w14:paraId="6D83F817">
            <w:pPr>
              <w:rPr>
                <w:rFonts w:ascii="Arial"/>
                <w:color w:val="auto"/>
                <w:sz w:val="21"/>
                <w:highlight w:val="none"/>
              </w:rPr>
            </w:pPr>
          </w:p>
        </w:tc>
        <w:tc>
          <w:tcPr>
            <w:tcW w:w="1131" w:type="dxa"/>
            <w:vAlign w:val="top"/>
          </w:tcPr>
          <w:p w14:paraId="663C3166">
            <w:pPr>
              <w:rPr>
                <w:rFonts w:ascii="Arial"/>
                <w:color w:val="auto"/>
                <w:sz w:val="21"/>
                <w:highlight w:val="none"/>
              </w:rPr>
            </w:pPr>
          </w:p>
        </w:tc>
        <w:tc>
          <w:tcPr>
            <w:tcW w:w="789" w:type="dxa"/>
            <w:tcBorders>
              <w:right w:val="single" w:color="000000" w:sz="6" w:space="0"/>
            </w:tcBorders>
            <w:vAlign w:val="top"/>
          </w:tcPr>
          <w:p w14:paraId="4288A48A">
            <w:pPr>
              <w:rPr>
                <w:rFonts w:ascii="Arial"/>
                <w:color w:val="auto"/>
                <w:sz w:val="21"/>
                <w:highlight w:val="none"/>
              </w:rPr>
            </w:pPr>
          </w:p>
        </w:tc>
      </w:tr>
      <w:tr w14:paraId="1CA79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722" w:type="dxa"/>
            <w:tcBorders>
              <w:left w:val="single" w:color="000000" w:sz="6" w:space="0"/>
            </w:tcBorders>
            <w:vAlign w:val="top"/>
          </w:tcPr>
          <w:p w14:paraId="384F7E0E">
            <w:pPr>
              <w:rPr>
                <w:rFonts w:ascii="Arial"/>
                <w:color w:val="auto"/>
                <w:sz w:val="21"/>
                <w:highlight w:val="none"/>
              </w:rPr>
            </w:pPr>
          </w:p>
        </w:tc>
        <w:tc>
          <w:tcPr>
            <w:tcW w:w="1556" w:type="dxa"/>
            <w:vAlign w:val="top"/>
          </w:tcPr>
          <w:p w14:paraId="08ABA0A8">
            <w:pPr>
              <w:rPr>
                <w:rFonts w:ascii="Arial"/>
                <w:color w:val="auto"/>
                <w:sz w:val="21"/>
                <w:highlight w:val="none"/>
              </w:rPr>
            </w:pPr>
          </w:p>
        </w:tc>
        <w:tc>
          <w:tcPr>
            <w:tcW w:w="2126" w:type="dxa"/>
            <w:vAlign w:val="top"/>
          </w:tcPr>
          <w:p w14:paraId="4989F516">
            <w:pPr>
              <w:rPr>
                <w:rFonts w:ascii="Arial"/>
                <w:color w:val="auto"/>
                <w:sz w:val="21"/>
                <w:highlight w:val="none"/>
              </w:rPr>
            </w:pPr>
          </w:p>
        </w:tc>
        <w:tc>
          <w:tcPr>
            <w:tcW w:w="1980" w:type="dxa"/>
            <w:vAlign w:val="top"/>
          </w:tcPr>
          <w:p w14:paraId="5114ADE0">
            <w:pPr>
              <w:rPr>
                <w:rFonts w:ascii="Arial"/>
                <w:color w:val="auto"/>
                <w:sz w:val="21"/>
                <w:highlight w:val="none"/>
              </w:rPr>
            </w:pPr>
          </w:p>
        </w:tc>
        <w:tc>
          <w:tcPr>
            <w:tcW w:w="851" w:type="dxa"/>
            <w:vAlign w:val="top"/>
          </w:tcPr>
          <w:p w14:paraId="0380DC85">
            <w:pPr>
              <w:rPr>
                <w:rFonts w:ascii="Arial"/>
                <w:color w:val="auto"/>
                <w:sz w:val="21"/>
                <w:highlight w:val="none"/>
              </w:rPr>
            </w:pPr>
          </w:p>
        </w:tc>
        <w:tc>
          <w:tcPr>
            <w:tcW w:w="849" w:type="dxa"/>
            <w:vAlign w:val="top"/>
          </w:tcPr>
          <w:p w14:paraId="1B234F94">
            <w:pPr>
              <w:rPr>
                <w:rFonts w:ascii="Arial"/>
                <w:color w:val="auto"/>
                <w:sz w:val="21"/>
                <w:highlight w:val="none"/>
              </w:rPr>
            </w:pPr>
          </w:p>
        </w:tc>
        <w:tc>
          <w:tcPr>
            <w:tcW w:w="1134" w:type="dxa"/>
            <w:vAlign w:val="top"/>
          </w:tcPr>
          <w:p w14:paraId="66FDFAC0">
            <w:pPr>
              <w:rPr>
                <w:rFonts w:ascii="Arial"/>
                <w:color w:val="auto"/>
                <w:sz w:val="21"/>
                <w:highlight w:val="none"/>
              </w:rPr>
            </w:pPr>
          </w:p>
        </w:tc>
        <w:tc>
          <w:tcPr>
            <w:tcW w:w="990" w:type="dxa"/>
            <w:vAlign w:val="top"/>
          </w:tcPr>
          <w:p w14:paraId="10983FA7">
            <w:pPr>
              <w:rPr>
                <w:rFonts w:ascii="Arial"/>
                <w:color w:val="auto"/>
                <w:sz w:val="21"/>
                <w:highlight w:val="none"/>
              </w:rPr>
            </w:pPr>
          </w:p>
        </w:tc>
        <w:tc>
          <w:tcPr>
            <w:tcW w:w="992" w:type="dxa"/>
            <w:vAlign w:val="top"/>
          </w:tcPr>
          <w:p w14:paraId="7606635F">
            <w:pPr>
              <w:rPr>
                <w:rFonts w:ascii="Arial"/>
                <w:color w:val="auto"/>
                <w:sz w:val="21"/>
                <w:highlight w:val="none"/>
              </w:rPr>
            </w:pPr>
          </w:p>
        </w:tc>
        <w:tc>
          <w:tcPr>
            <w:tcW w:w="849" w:type="dxa"/>
            <w:vAlign w:val="top"/>
          </w:tcPr>
          <w:p w14:paraId="0C12F8BF">
            <w:pPr>
              <w:rPr>
                <w:rFonts w:ascii="Arial"/>
                <w:color w:val="auto"/>
                <w:sz w:val="21"/>
                <w:highlight w:val="none"/>
              </w:rPr>
            </w:pPr>
          </w:p>
        </w:tc>
        <w:tc>
          <w:tcPr>
            <w:tcW w:w="1131" w:type="dxa"/>
            <w:vAlign w:val="top"/>
          </w:tcPr>
          <w:p w14:paraId="12602044">
            <w:pPr>
              <w:rPr>
                <w:rFonts w:ascii="Arial"/>
                <w:color w:val="auto"/>
                <w:sz w:val="21"/>
                <w:highlight w:val="none"/>
              </w:rPr>
            </w:pPr>
          </w:p>
        </w:tc>
        <w:tc>
          <w:tcPr>
            <w:tcW w:w="789" w:type="dxa"/>
            <w:tcBorders>
              <w:right w:val="single" w:color="000000" w:sz="6" w:space="0"/>
            </w:tcBorders>
            <w:vAlign w:val="top"/>
          </w:tcPr>
          <w:p w14:paraId="2FBC096F">
            <w:pPr>
              <w:rPr>
                <w:rFonts w:ascii="Arial"/>
                <w:color w:val="auto"/>
                <w:sz w:val="21"/>
                <w:highlight w:val="none"/>
              </w:rPr>
            </w:pPr>
          </w:p>
        </w:tc>
      </w:tr>
      <w:tr w14:paraId="56093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22" w:type="dxa"/>
            <w:tcBorders>
              <w:left w:val="single" w:color="000000" w:sz="6" w:space="0"/>
              <w:bottom w:val="single" w:color="000000" w:sz="6" w:space="0"/>
            </w:tcBorders>
            <w:vAlign w:val="top"/>
          </w:tcPr>
          <w:p w14:paraId="7EB02AC4">
            <w:pPr>
              <w:rPr>
                <w:rFonts w:ascii="Arial"/>
                <w:color w:val="auto"/>
                <w:sz w:val="21"/>
                <w:highlight w:val="none"/>
              </w:rPr>
            </w:pPr>
          </w:p>
        </w:tc>
        <w:tc>
          <w:tcPr>
            <w:tcW w:w="1556" w:type="dxa"/>
            <w:tcBorders>
              <w:bottom w:val="single" w:color="000000" w:sz="6" w:space="0"/>
            </w:tcBorders>
            <w:vAlign w:val="top"/>
          </w:tcPr>
          <w:p w14:paraId="524C07FD">
            <w:pPr>
              <w:rPr>
                <w:rFonts w:ascii="Arial"/>
                <w:color w:val="auto"/>
                <w:sz w:val="21"/>
                <w:highlight w:val="none"/>
              </w:rPr>
            </w:pPr>
          </w:p>
        </w:tc>
        <w:tc>
          <w:tcPr>
            <w:tcW w:w="2126" w:type="dxa"/>
            <w:tcBorders>
              <w:bottom w:val="single" w:color="000000" w:sz="6" w:space="0"/>
            </w:tcBorders>
            <w:vAlign w:val="top"/>
          </w:tcPr>
          <w:p w14:paraId="055DEAE4">
            <w:pPr>
              <w:pStyle w:val="17"/>
              <w:spacing w:before="162" w:line="221" w:lineRule="auto"/>
              <w:ind w:left="705"/>
              <w:rPr>
                <w:color w:val="auto"/>
                <w:sz w:val="24"/>
                <w:szCs w:val="24"/>
                <w:highlight w:val="none"/>
              </w:rPr>
            </w:pPr>
            <w:r>
              <w:rPr>
                <w:color w:val="auto"/>
                <w:spacing w:val="-6"/>
                <w:sz w:val="24"/>
                <w:szCs w:val="24"/>
                <w:highlight w:val="none"/>
              </w:rPr>
              <w:t>合</w:t>
            </w:r>
            <w:r>
              <w:rPr>
                <w:color w:val="auto"/>
                <w:spacing w:val="5"/>
                <w:sz w:val="24"/>
                <w:szCs w:val="24"/>
                <w:highlight w:val="none"/>
              </w:rPr>
              <w:t xml:space="preserve">  </w:t>
            </w:r>
            <w:r>
              <w:rPr>
                <w:color w:val="auto"/>
                <w:spacing w:val="-6"/>
                <w:sz w:val="24"/>
                <w:szCs w:val="24"/>
                <w:highlight w:val="none"/>
              </w:rPr>
              <w:t>计</w:t>
            </w:r>
          </w:p>
        </w:tc>
        <w:tc>
          <w:tcPr>
            <w:tcW w:w="1980" w:type="dxa"/>
            <w:tcBorders>
              <w:bottom w:val="single" w:color="000000" w:sz="6" w:space="0"/>
            </w:tcBorders>
            <w:vAlign w:val="top"/>
          </w:tcPr>
          <w:p w14:paraId="1F1F5523">
            <w:pPr>
              <w:rPr>
                <w:rFonts w:ascii="Arial"/>
                <w:color w:val="auto"/>
                <w:sz w:val="21"/>
                <w:highlight w:val="none"/>
              </w:rPr>
            </w:pPr>
          </w:p>
        </w:tc>
        <w:tc>
          <w:tcPr>
            <w:tcW w:w="851" w:type="dxa"/>
            <w:tcBorders>
              <w:bottom w:val="single" w:color="000000" w:sz="6" w:space="0"/>
            </w:tcBorders>
            <w:vAlign w:val="top"/>
          </w:tcPr>
          <w:p w14:paraId="7A0B79DC">
            <w:pPr>
              <w:rPr>
                <w:rFonts w:ascii="Arial"/>
                <w:color w:val="auto"/>
                <w:sz w:val="21"/>
                <w:highlight w:val="none"/>
              </w:rPr>
            </w:pPr>
          </w:p>
        </w:tc>
        <w:tc>
          <w:tcPr>
            <w:tcW w:w="849" w:type="dxa"/>
            <w:tcBorders>
              <w:bottom w:val="single" w:color="000000" w:sz="6" w:space="0"/>
            </w:tcBorders>
            <w:vAlign w:val="top"/>
          </w:tcPr>
          <w:p w14:paraId="468FDE5B">
            <w:pPr>
              <w:rPr>
                <w:rFonts w:ascii="Arial"/>
                <w:color w:val="auto"/>
                <w:sz w:val="21"/>
                <w:highlight w:val="none"/>
              </w:rPr>
            </w:pPr>
          </w:p>
        </w:tc>
        <w:tc>
          <w:tcPr>
            <w:tcW w:w="1134" w:type="dxa"/>
            <w:tcBorders>
              <w:bottom w:val="single" w:color="000000" w:sz="6" w:space="0"/>
            </w:tcBorders>
            <w:vAlign w:val="top"/>
          </w:tcPr>
          <w:p w14:paraId="36B7D5F4">
            <w:pPr>
              <w:rPr>
                <w:rFonts w:ascii="Arial"/>
                <w:color w:val="auto"/>
                <w:sz w:val="21"/>
                <w:highlight w:val="none"/>
              </w:rPr>
            </w:pPr>
          </w:p>
        </w:tc>
        <w:tc>
          <w:tcPr>
            <w:tcW w:w="990" w:type="dxa"/>
            <w:tcBorders>
              <w:bottom w:val="single" w:color="000000" w:sz="6" w:space="0"/>
            </w:tcBorders>
            <w:vAlign w:val="top"/>
          </w:tcPr>
          <w:p w14:paraId="079EE600">
            <w:pPr>
              <w:rPr>
                <w:rFonts w:ascii="Arial"/>
                <w:color w:val="auto"/>
                <w:sz w:val="21"/>
                <w:highlight w:val="none"/>
              </w:rPr>
            </w:pPr>
          </w:p>
        </w:tc>
        <w:tc>
          <w:tcPr>
            <w:tcW w:w="992" w:type="dxa"/>
            <w:tcBorders>
              <w:bottom w:val="single" w:color="000000" w:sz="6" w:space="0"/>
            </w:tcBorders>
            <w:vAlign w:val="top"/>
          </w:tcPr>
          <w:p w14:paraId="280D004F">
            <w:pPr>
              <w:rPr>
                <w:rFonts w:ascii="Arial"/>
                <w:color w:val="auto"/>
                <w:sz w:val="21"/>
                <w:highlight w:val="none"/>
              </w:rPr>
            </w:pPr>
          </w:p>
        </w:tc>
        <w:tc>
          <w:tcPr>
            <w:tcW w:w="849" w:type="dxa"/>
            <w:tcBorders>
              <w:bottom w:val="single" w:color="000000" w:sz="6" w:space="0"/>
            </w:tcBorders>
            <w:vAlign w:val="top"/>
          </w:tcPr>
          <w:p w14:paraId="33134CE1">
            <w:pPr>
              <w:rPr>
                <w:rFonts w:ascii="Arial"/>
                <w:color w:val="auto"/>
                <w:sz w:val="21"/>
                <w:highlight w:val="none"/>
              </w:rPr>
            </w:pPr>
          </w:p>
        </w:tc>
        <w:tc>
          <w:tcPr>
            <w:tcW w:w="1131" w:type="dxa"/>
            <w:tcBorders>
              <w:bottom w:val="single" w:color="000000" w:sz="6" w:space="0"/>
            </w:tcBorders>
            <w:vAlign w:val="top"/>
          </w:tcPr>
          <w:p w14:paraId="0CFBCE27">
            <w:pPr>
              <w:rPr>
                <w:rFonts w:ascii="Arial"/>
                <w:color w:val="auto"/>
                <w:sz w:val="21"/>
                <w:highlight w:val="none"/>
              </w:rPr>
            </w:pPr>
          </w:p>
        </w:tc>
        <w:tc>
          <w:tcPr>
            <w:tcW w:w="789" w:type="dxa"/>
            <w:tcBorders>
              <w:bottom w:val="single" w:color="000000" w:sz="6" w:space="0"/>
              <w:right w:val="single" w:color="000000" w:sz="6" w:space="0"/>
            </w:tcBorders>
            <w:vAlign w:val="top"/>
          </w:tcPr>
          <w:p w14:paraId="2ADF83F1">
            <w:pPr>
              <w:rPr>
                <w:rFonts w:ascii="Arial"/>
                <w:color w:val="auto"/>
                <w:sz w:val="21"/>
                <w:highlight w:val="none"/>
              </w:rPr>
            </w:pPr>
          </w:p>
        </w:tc>
      </w:tr>
    </w:tbl>
    <w:p w14:paraId="57C21AEA">
      <w:pPr>
        <w:spacing w:before="311" w:line="219" w:lineRule="auto"/>
        <w:ind w:left="2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法定代表人或委托代理人</w:t>
      </w:r>
      <w:r>
        <w:rPr>
          <w:rFonts w:ascii="宋体" w:hAnsi="宋体" w:eastAsia="宋体" w:cs="宋体"/>
          <w:color w:val="auto"/>
          <w:spacing w:val="-11"/>
          <w:sz w:val="24"/>
          <w:szCs w:val="24"/>
          <w:highlight w:val="none"/>
        </w:rPr>
        <w:t>：</w:t>
      </w:r>
      <w:r>
        <w:rPr>
          <w:rFonts w:ascii="宋体" w:hAnsi="宋体" w:eastAsia="宋体" w:cs="宋体"/>
          <w:color w:val="auto"/>
          <w:spacing w:val="30"/>
          <w:sz w:val="24"/>
          <w:szCs w:val="24"/>
          <w:highlight w:val="none"/>
          <w:u w:val="single" w:color="auto"/>
        </w:rPr>
        <w:t xml:space="preserve">    </w:t>
      </w:r>
      <w:r>
        <w:rPr>
          <w:rFonts w:ascii="宋体" w:hAnsi="宋体" w:eastAsia="宋体" w:cs="宋体"/>
          <w:color w:val="auto"/>
          <w:spacing w:val="-11"/>
          <w:sz w:val="24"/>
          <w:szCs w:val="24"/>
          <w:highlight w:val="none"/>
          <w:u w:val="single" w:color="auto"/>
        </w:rPr>
        <w:t>（</w:t>
      </w:r>
      <w:r>
        <w:rPr>
          <w:rFonts w:ascii="宋体" w:hAnsi="宋体" w:eastAsia="宋体" w:cs="宋体"/>
          <w:color w:val="auto"/>
          <w:spacing w:val="1"/>
          <w:sz w:val="24"/>
          <w:szCs w:val="24"/>
          <w:highlight w:val="none"/>
          <w:u w:val="single" w:color="auto"/>
        </w:rPr>
        <w:t>签字或盖章）</w:t>
      </w:r>
      <w:r>
        <w:rPr>
          <w:rFonts w:ascii="宋体" w:hAnsi="宋体" w:eastAsia="宋体" w:cs="宋体"/>
          <w:color w:val="auto"/>
          <w:sz w:val="24"/>
          <w:szCs w:val="24"/>
          <w:highlight w:val="none"/>
          <w:u w:val="single" w:color="auto"/>
        </w:rPr>
        <w:t xml:space="preserve">      </w:t>
      </w:r>
    </w:p>
    <w:p w14:paraId="58512E56">
      <w:pPr>
        <w:spacing w:line="219" w:lineRule="auto"/>
        <w:rPr>
          <w:rFonts w:ascii="宋体" w:hAnsi="宋体" w:eastAsia="宋体" w:cs="宋体"/>
          <w:color w:val="auto"/>
          <w:sz w:val="24"/>
          <w:szCs w:val="24"/>
          <w:highlight w:val="none"/>
        </w:rPr>
        <w:sectPr>
          <w:footerReference r:id="rId171" w:type="default"/>
          <w:pgSz w:w="16841" w:h="11907"/>
          <w:pgMar w:top="400" w:right="1427" w:bottom="1252" w:left="1428" w:header="0" w:footer="1091" w:gutter="0"/>
          <w:pgNumType w:fmt="decimal"/>
          <w:cols w:space="720" w:num="1"/>
        </w:sectPr>
      </w:pPr>
    </w:p>
    <w:p w14:paraId="044D6882">
      <w:pPr>
        <w:pStyle w:val="3"/>
        <w:spacing w:line="283" w:lineRule="auto"/>
        <w:rPr>
          <w:color w:val="auto"/>
          <w:highlight w:val="none"/>
        </w:rPr>
      </w:pPr>
    </w:p>
    <w:p w14:paraId="5F3E38CC">
      <w:pPr>
        <w:pStyle w:val="3"/>
        <w:spacing w:line="283" w:lineRule="auto"/>
        <w:rPr>
          <w:color w:val="auto"/>
          <w:highlight w:val="none"/>
        </w:rPr>
      </w:pPr>
    </w:p>
    <w:p w14:paraId="4E5C5AED">
      <w:pPr>
        <w:pStyle w:val="3"/>
        <w:spacing w:line="283" w:lineRule="auto"/>
        <w:rPr>
          <w:color w:val="auto"/>
          <w:highlight w:val="none"/>
        </w:rPr>
      </w:pPr>
    </w:p>
    <w:p w14:paraId="09A17959">
      <w:pPr>
        <w:pStyle w:val="3"/>
        <w:spacing w:line="283" w:lineRule="auto"/>
        <w:rPr>
          <w:color w:val="auto"/>
          <w:highlight w:val="none"/>
        </w:rPr>
      </w:pPr>
    </w:p>
    <w:p w14:paraId="13762979">
      <w:pPr>
        <w:spacing w:before="91" w:line="219" w:lineRule="auto"/>
        <w:ind w:left="4512"/>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施工临时工程分类分项工程量清单计价表</w:t>
      </w:r>
    </w:p>
    <w:p w14:paraId="197DC604">
      <w:pPr>
        <w:spacing w:before="205" w:line="212" w:lineRule="auto"/>
        <w:ind w:left="6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2"/>
          <w:sz w:val="24"/>
          <w:szCs w:val="24"/>
          <w:highlight w:val="none"/>
        </w:rPr>
        <w:t xml:space="preserve">        第  页共  页</w:t>
      </w:r>
    </w:p>
    <w:tbl>
      <w:tblPr>
        <w:tblStyle w:val="16"/>
        <w:tblW w:w="14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1841"/>
        <w:gridCol w:w="2407"/>
        <w:gridCol w:w="2831"/>
        <w:gridCol w:w="851"/>
        <w:gridCol w:w="990"/>
        <w:gridCol w:w="993"/>
        <w:gridCol w:w="1132"/>
        <w:gridCol w:w="1273"/>
        <w:gridCol w:w="971"/>
      </w:tblGrid>
      <w:tr w14:paraId="3C5CC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760" w:type="dxa"/>
            <w:tcBorders>
              <w:top w:val="single" w:color="000000" w:sz="6" w:space="0"/>
              <w:left w:val="single" w:color="000000" w:sz="6" w:space="0"/>
            </w:tcBorders>
            <w:vAlign w:val="top"/>
          </w:tcPr>
          <w:p w14:paraId="0195F9B2">
            <w:pPr>
              <w:pStyle w:val="17"/>
              <w:spacing w:before="268" w:line="221" w:lineRule="auto"/>
              <w:ind w:left="142"/>
              <w:rPr>
                <w:color w:val="auto"/>
                <w:sz w:val="24"/>
                <w:szCs w:val="24"/>
                <w:highlight w:val="none"/>
              </w:rPr>
            </w:pPr>
            <w:r>
              <w:rPr>
                <w:color w:val="auto"/>
                <w:spacing w:val="-3"/>
                <w:sz w:val="24"/>
                <w:szCs w:val="24"/>
                <w:highlight w:val="none"/>
              </w:rPr>
              <w:t>序号</w:t>
            </w:r>
          </w:p>
        </w:tc>
        <w:tc>
          <w:tcPr>
            <w:tcW w:w="1841" w:type="dxa"/>
            <w:tcBorders>
              <w:top w:val="single" w:color="000000" w:sz="6" w:space="0"/>
            </w:tcBorders>
            <w:vAlign w:val="top"/>
          </w:tcPr>
          <w:p w14:paraId="396B57BC">
            <w:pPr>
              <w:pStyle w:val="17"/>
              <w:spacing w:before="267" w:line="220" w:lineRule="auto"/>
              <w:ind w:left="448"/>
              <w:rPr>
                <w:color w:val="auto"/>
                <w:sz w:val="24"/>
                <w:szCs w:val="24"/>
                <w:highlight w:val="none"/>
              </w:rPr>
            </w:pPr>
            <w:r>
              <w:rPr>
                <w:color w:val="auto"/>
                <w:spacing w:val="-3"/>
                <w:sz w:val="24"/>
                <w:szCs w:val="24"/>
                <w:highlight w:val="none"/>
              </w:rPr>
              <w:t>项目编码</w:t>
            </w:r>
          </w:p>
        </w:tc>
        <w:tc>
          <w:tcPr>
            <w:tcW w:w="2407" w:type="dxa"/>
            <w:tcBorders>
              <w:top w:val="single" w:color="000000" w:sz="6" w:space="0"/>
            </w:tcBorders>
            <w:vAlign w:val="top"/>
          </w:tcPr>
          <w:p w14:paraId="59D98337">
            <w:pPr>
              <w:pStyle w:val="17"/>
              <w:spacing w:before="268" w:line="220" w:lineRule="auto"/>
              <w:ind w:left="731"/>
              <w:rPr>
                <w:color w:val="auto"/>
                <w:sz w:val="24"/>
                <w:szCs w:val="24"/>
                <w:highlight w:val="none"/>
              </w:rPr>
            </w:pPr>
            <w:r>
              <w:rPr>
                <w:color w:val="auto"/>
                <w:spacing w:val="-3"/>
                <w:sz w:val="24"/>
                <w:szCs w:val="24"/>
                <w:highlight w:val="none"/>
              </w:rPr>
              <w:t>项目名称</w:t>
            </w:r>
          </w:p>
        </w:tc>
        <w:tc>
          <w:tcPr>
            <w:tcW w:w="2831" w:type="dxa"/>
            <w:tcBorders>
              <w:top w:val="single" w:color="000000" w:sz="6" w:space="0"/>
            </w:tcBorders>
            <w:vAlign w:val="top"/>
          </w:tcPr>
          <w:p w14:paraId="2BBE564E">
            <w:pPr>
              <w:pStyle w:val="17"/>
              <w:spacing w:before="115"/>
              <w:ind w:left="943" w:right="931" w:firstLine="3"/>
              <w:rPr>
                <w:color w:val="auto"/>
                <w:sz w:val="24"/>
                <w:szCs w:val="24"/>
                <w:highlight w:val="none"/>
              </w:rPr>
            </w:pPr>
            <w:r>
              <w:rPr>
                <w:color w:val="auto"/>
                <w:spacing w:val="-4"/>
                <w:sz w:val="24"/>
                <w:szCs w:val="24"/>
                <w:highlight w:val="none"/>
              </w:rPr>
              <w:t>项目主要</w:t>
            </w:r>
            <w:r>
              <w:rPr>
                <w:color w:val="auto"/>
                <w:spacing w:val="-11"/>
                <w:sz w:val="24"/>
                <w:szCs w:val="24"/>
                <w:highlight w:val="none"/>
              </w:rPr>
              <w:t>特</w:t>
            </w:r>
            <w:r>
              <w:rPr>
                <w:color w:val="auto"/>
                <w:spacing w:val="3"/>
                <w:sz w:val="24"/>
                <w:szCs w:val="24"/>
                <w:highlight w:val="none"/>
              </w:rPr>
              <w:t xml:space="preserve">    </w:t>
            </w:r>
            <w:r>
              <w:rPr>
                <w:color w:val="auto"/>
                <w:spacing w:val="-11"/>
                <w:sz w:val="24"/>
                <w:szCs w:val="24"/>
                <w:highlight w:val="none"/>
              </w:rPr>
              <w:t>征</w:t>
            </w:r>
          </w:p>
        </w:tc>
        <w:tc>
          <w:tcPr>
            <w:tcW w:w="851" w:type="dxa"/>
            <w:tcBorders>
              <w:top w:val="single" w:color="000000" w:sz="6" w:space="0"/>
            </w:tcBorders>
            <w:vAlign w:val="top"/>
          </w:tcPr>
          <w:p w14:paraId="67D61FD2">
            <w:pPr>
              <w:pStyle w:val="17"/>
              <w:spacing w:before="114" w:line="221" w:lineRule="auto"/>
              <w:ind w:left="195"/>
              <w:rPr>
                <w:color w:val="auto"/>
                <w:sz w:val="24"/>
                <w:szCs w:val="24"/>
                <w:highlight w:val="none"/>
              </w:rPr>
            </w:pPr>
            <w:r>
              <w:rPr>
                <w:color w:val="auto"/>
                <w:spacing w:val="-3"/>
                <w:sz w:val="24"/>
                <w:szCs w:val="24"/>
                <w:highlight w:val="none"/>
              </w:rPr>
              <w:t>计量</w:t>
            </w:r>
          </w:p>
          <w:p w14:paraId="1FD2E065">
            <w:pPr>
              <w:pStyle w:val="17"/>
              <w:spacing w:before="22" w:line="220" w:lineRule="auto"/>
              <w:ind w:left="197"/>
              <w:rPr>
                <w:color w:val="auto"/>
                <w:sz w:val="24"/>
                <w:szCs w:val="24"/>
                <w:highlight w:val="none"/>
              </w:rPr>
            </w:pPr>
            <w:r>
              <w:rPr>
                <w:color w:val="auto"/>
                <w:spacing w:val="-3"/>
                <w:sz w:val="24"/>
                <w:szCs w:val="24"/>
                <w:highlight w:val="none"/>
              </w:rPr>
              <w:t>单位</w:t>
            </w:r>
          </w:p>
        </w:tc>
        <w:tc>
          <w:tcPr>
            <w:tcW w:w="990" w:type="dxa"/>
            <w:tcBorders>
              <w:top w:val="single" w:color="000000" w:sz="6" w:space="0"/>
            </w:tcBorders>
            <w:vAlign w:val="top"/>
          </w:tcPr>
          <w:p w14:paraId="4F0D33E0">
            <w:pPr>
              <w:pStyle w:val="17"/>
              <w:spacing w:before="115" w:line="220" w:lineRule="auto"/>
              <w:ind w:left="266"/>
              <w:rPr>
                <w:color w:val="auto"/>
                <w:sz w:val="24"/>
                <w:szCs w:val="24"/>
                <w:highlight w:val="none"/>
              </w:rPr>
            </w:pPr>
            <w:r>
              <w:rPr>
                <w:color w:val="auto"/>
                <w:spacing w:val="-4"/>
                <w:sz w:val="24"/>
                <w:szCs w:val="24"/>
                <w:highlight w:val="none"/>
              </w:rPr>
              <w:t>工程</w:t>
            </w:r>
          </w:p>
          <w:p w14:paraId="068B3630">
            <w:pPr>
              <w:pStyle w:val="17"/>
              <w:spacing w:before="22" w:line="220" w:lineRule="auto"/>
              <w:ind w:left="265"/>
              <w:rPr>
                <w:color w:val="auto"/>
                <w:sz w:val="24"/>
                <w:szCs w:val="24"/>
                <w:highlight w:val="none"/>
              </w:rPr>
            </w:pPr>
            <w:r>
              <w:rPr>
                <w:color w:val="auto"/>
                <w:spacing w:val="-3"/>
                <w:sz w:val="24"/>
                <w:szCs w:val="24"/>
                <w:highlight w:val="none"/>
              </w:rPr>
              <w:t>数量</w:t>
            </w:r>
          </w:p>
        </w:tc>
        <w:tc>
          <w:tcPr>
            <w:tcW w:w="993" w:type="dxa"/>
            <w:tcBorders>
              <w:top w:val="single" w:color="000000" w:sz="6" w:space="0"/>
            </w:tcBorders>
            <w:vAlign w:val="top"/>
          </w:tcPr>
          <w:p w14:paraId="60425462">
            <w:pPr>
              <w:pStyle w:val="17"/>
              <w:spacing w:before="113" w:line="241" w:lineRule="auto"/>
              <w:ind w:left="153" w:right="145" w:firstLine="115"/>
              <w:rPr>
                <w:color w:val="auto"/>
                <w:sz w:val="24"/>
                <w:szCs w:val="24"/>
                <w:highlight w:val="none"/>
              </w:rPr>
            </w:pPr>
            <w:r>
              <w:rPr>
                <w:color w:val="auto"/>
                <w:spacing w:val="-6"/>
                <w:sz w:val="24"/>
                <w:szCs w:val="24"/>
                <w:highlight w:val="none"/>
              </w:rPr>
              <w:t>单价</w:t>
            </w:r>
            <w:r>
              <w:rPr>
                <w:color w:val="auto"/>
                <w:spacing w:val="-11"/>
                <w:sz w:val="24"/>
                <w:szCs w:val="24"/>
                <w:highlight w:val="none"/>
              </w:rPr>
              <w:t>（元）</w:t>
            </w:r>
          </w:p>
        </w:tc>
        <w:tc>
          <w:tcPr>
            <w:tcW w:w="1132" w:type="dxa"/>
            <w:tcBorders>
              <w:top w:val="single" w:color="000000" w:sz="6" w:space="0"/>
            </w:tcBorders>
            <w:vAlign w:val="top"/>
          </w:tcPr>
          <w:p w14:paraId="3B1F31DE">
            <w:pPr>
              <w:pStyle w:val="17"/>
              <w:spacing w:before="113" w:line="241" w:lineRule="auto"/>
              <w:ind w:left="224" w:right="214" w:firstLine="114"/>
              <w:rPr>
                <w:color w:val="auto"/>
                <w:sz w:val="24"/>
                <w:szCs w:val="24"/>
                <w:highlight w:val="none"/>
              </w:rPr>
            </w:pPr>
            <w:r>
              <w:rPr>
                <w:color w:val="auto"/>
                <w:spacing w:val="-6"/>
                <w:sz w:val="24"/>
                <w:szCs w:val="24"/>
                <w:highlight w:val="none"/>
              </w:rPr>
              <w:t>合价</w:t>
            </w:r>
            <w:r>
              <w:rPr>
                <w:color w:val="auto"/>
                <w:spacing w:val="-11"/>
                <w:sz w:val="24"/>
                <w:szCs w:val="24"/>
                <w:highlight w:val="none"/>
              </w:rPr>
              <w:t>（元）</w:t>
            </w:r>
          </w:p>
        </w:tc>
        <w:tc>
          <w:tcPr>
            <w:tcW w:w="1273" w:type="dxa"/>
            <w:tcBorders>
              <w:top w:val="single" w:color="000000" w:sz="6" w:space="0"/>
            </w:tcBorders>
            <w:vAlign w:val="top"/>
          </w:tcPr>
          <w:p w14:paraId="6D5EDDD1">
            <w:pPr>
              <w:pStyle w:val="17"/>
              <w:spacing w:before="114" w:line="220" w:lineRule="auto"/>
              <w:ind w:left="172"/>
              <w:rPr>
                <w:color w:val="auto"/>
                <w:sz w:val="24"/>
                <w:szCs w:val="24"/>
                <w:highlight w:val="none"/>
              </w:rPr>
            </w:pPr>
            <w:r>
              <w:rPr>
                <w:color w:val="auto"/>
                <w:spacing w:val="-3"/>
                <w:sz w:val="24"/>
                <w:szCs w:val="24"/>
                <w:highlight w:val="none"/>
              </w:rPr>
              <w:t>主要技术</w:t>
            </w:r>
          </w:p>
          <w:p w14:paraId="78CCEDC5">
            <w:pPr>
              <w:pStyle w:val="17"/>
              <w:spacing w:before="23" w:line="220" w:lineRule="auto"/>
              <w:ind w:left="172"/>
              <w:rPr>
                <w:color w:val="auto"/>
                <w:sz w:val="24"/>
                <w:szCs w:val="24"/>
                <w:highlight w:val="none"/>
              </w:rPr>
            </w:pPr>
            <w:r>
              <w:rPr>
                <w:color w:val="auto"/>
                <w:spacing w:val="-3"/>
                <w:sz w:val="24"/>
                <w:szCs w:val="24"/>
                <w:highlight w:val="none"/>
              </w:rPr>
              <w:t>条款编码</w:t>
            </w:r>
          </w:p>
        </w:tc>
        <w:tc>
          <w:tcPr>
            <w:tcW w:w="971" w:type="dxa"/>
            <w:tcBorders>
              <w:top w:val="single" w:color="000000" w:sz="6" w:space="0"/>
              <w:right w:val="single" w:color="000000" w:sz="6" w:space="0"/>
            </w:tcBorders>
            <w:vAlign w:val="top"/>
          </w:tcPr>
          <w:p w14:paraId="13FFDD12">
            <w:pPr>
              <w:pStyle w:val="17"/>
              <w:spacing w:before="268" w:line="221" w:lineRule="auto"/>
              <w:ind w:left="256"/>
              <w:rPr>
                <w:color w:val="auto"/>
                <w:sz w:val="24"/>
                <w:szCs w:val="24"/>
                <w:highlight w:val="none"/>
              </w:rPr>
            </w:pPr>
            <w:r>
              <w:rPr>
                <w:color w:val="auto"/>
                <w:spacing w:val="-4"/>
                <w:sz w:val="24"/>
                <w:szCs w:val="24"/>
                <w:highlight w:val="none"/>
              </w:rPr>
              <w:t>备注</w:t>
            </w:r>
          </w:p>
        </w:tc>
      </w:tr>
      <w:tr w14:paraId="32473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3CF81048">
            <w:pPr>
              <w:rPr>
                <w:rFonts w:ascii="Arial"/>
                <w:color w:val="auto"/>
                <w:sz w:val="21"/>
                <w:highlight w:val="none"/>
              </w:rPr>
            </w:pPr>
          </w:p>
        </w:tc>
        <w:tc>
          <w:tcPr>
            <w:tcW w:w="1841" w:type="dxa"/>
            <w:vAlign w:val="top"/>
          </w:tcPr>
          <w:p w14:paraId="5171715B">
            <w:pPr>
              <w:rPr>
                <w:rFonts w:ascii="Arial"/>
                <w:color w:val="auto"/>
                <w:sz w:val="21"/>
                <w:highlight w:val="none"/>
              </w:rPr>
            </w:pPr>
          </w:p>
        </w:tc>
        <w:tc>
          <w:tcPr>
            <w:tcW w:w="2407" w:type="dxa"/>
            <w:vAlign w:val="top"/>
          </w:tcPr>
          <w:p w14:paraId="380F435E">
            <w:pPr>
              <w:rPr>
                <w:rFonts w:ascii="Arial"/>
                <w:color w:val="auto"/>
                <w:sz w:val="21"/>
                <w:highlight w:val="none"/>
              </w:rPr>
            </w:pPr>
          </w:p>
        </w:tc>
        <w:tc>
          <w:tcPr>
            <w:tcW w:w="2831" w:type="dxa"/>
            <w:vAlign w:val="top"/>
          </w:tcPr>
          <w:p w14:paraId="5D4C9C66">
            <w:pPr>
              <w:rPr>
                <w:rFonts w:ascii="Arial"/>
                <w:color w:val="auto"/>
                <w:sz w:val="21"/>
                <w:highlight w:val="none"/>
              </w:rPr>
            </w:pPr>
          </w:p>
        </w:tc>
        <w:tc>
          <w:tcPr>
            <w:tcW w:w="851" w:type="dxa"/>
            <w:vAlign w:val="top"/>
          </w:tcPr>
          <w:p w14:paraId="35F14DD0">
            <w:pPr>
              <w:rPr>
                <w:rFonts w:ascii="Arial"/>
                <w:color w:val="auto"/>
                <w:sz w:val="21"/>
                <w:highlight w:val="none"/>
              </w:rPr>
            </w:pPr>
          </w:p>
        </w:tc>
        <w:tc>
          <w:tcPr>
            <w:tcW w:w="990" w:type="dxa"/>
            <w:vAlign w:val="top"/>
          </w:tcPr>
          <w:p w14:paraId="56F91DE3">
            <w:pPr>
              <w:rPr>
                <w:rFonts w:ascii="Arial"/>
                <w:color w:val="auto"/>
                <w:sz w:val="21"/>
                <w:highlight w:val="none"/>
              </w:rPr>
            </w:pPr>
          </w:p>
        </w:tc>
        <w:tc>
          <w:tcPr>
            <w:tcW w:w="993" w:type="dxa"/>
            <w:vAlign w:val="top"/>
          </w:tcPr>
          <w:p w14:paraId="40001619">
            <w:pPr>
              <w:rPr>
                <w:rFonts w:ascii="Arial"/>
                <w:color w:val="auto"/>
                <w:sz w:val="21"/>
                <w:highlight w:val="none"/>
              </w:rPr>
            </w:pPr>
          </w:p>
        </w:tc>
        <w:tc>
          <w:tcPr>
            <w:tcW w:w="1132" w:type="dxa"/>
            <w:vAlign w:val="top"/>
          </w:tcPr>
          <w:p w14:paraId="5BEF334B">
            <w:pPr>
              <w:rPr>
                <w:rFonts w:ascii="Arial"/>
                <w:color w:val="auto"/>
                <w:sz w:val="21"/>
                <w:highlight w:val="none"/>
              </w:rPr>
            </w:pPr>
          </w:p>
        </w:tc>
        <w:tc>
          <w:tcPr>
            <w:tcW w:w="1273" w:type="dxa"/>
            <w:vAlign w:val="top"/>
          </w:tcPr>
          <w:p w14:paraId="3E067195">
            <w:pPr>
              <w:rPr>
                <w:rFonts w:ascii="Arial"/>
                <w:color w:val="auto"/>
                <w:sz w:val="21"/>
                <w:highlight w:val="none"/>
              </w:rPr>
            </w:pPr>
          </w:p>
        </w:tc>
        <w:tc>
          <w:tcPr>
            <w:tcW w:w="971" w:type="dxa"/>
            <w:tcBorders>
              <w:right w:val="single" w:color="000000" w:sz="6" w:space="0"/>
            </w:tcBorders>
            <w:vAlign w:val="top"/>
          </w:tcPr>
          <w:p w14:paraId="0F6BE694">
            <w:pPr>
              <w:rPr>
                <w:rFonts w:ascii="Arial"/>
                <w:color w:val="auto"/>
                <w:sz w:val="21"/>
                <w:highlight w:val="none"/>
              </w:rPr>
            </w:pPr>
          </w:p>
        </w:tc>
      </w:tr>
      <w:tr w14:paraId="0900D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60" w:type="dxa"/>
            <w:tcBorders>
              <w:left w:val="single" w:color="000000" w:sz="6" w:space="0"/>
            </w:tcBorders>
            <w:vAlign w:val="top"/>
          </w:tcPr>
          <w:p w14:paraId="3C87089E">
            <w:pPr>
              <w:rPr>
                <w:rFonts w:ascii="Arial"/>
                <w:color w:val="auto"/>
                <w:sz w:val="21"/>
                <w:highlight w:val="none"/>
              </w:rPr>
            </w:pPr>
          </w:p>
        </w:tc>
        <w:tc>
          <w:tcPr>
            <w:tcW w:w="1841" w:type="dxa"/>
            <w:vAlign w:val="top"/>
          </w:tcPr>
          <w:p w14:paraId="32197280">
            <w:pPr>
              <w:rPr>
                <w:rFonts w:ascii="Arial"/>
                <w:color w:val="auto"/>
                <w:sz w:val="21"/>
                <w:highlight w:val="none"/>
              </w:rPr>
            </w:pPr>
          </w:p>
        </w:tc>
        <w:tc>
          <w:tcPr>
            <w:tcW w:w="2407" w:type="dxa"/>
            <w:vAlign w:val="top"/>
          </w:tcPr>
          <w:p w14:paraId="24A17137">
            <w:pPr>
              <w:rPr>
                <w:rFonts w:ascii="Arial"/>
                <w:color w:val="auto"/>
                <w:sz w:val="21"/>
                <w:highlight w:val="none"/>
              </w:rPr>
            </w:pPr>
          </w:p>
        </w:tc>
        <w:tc>
          <w:tcPr>
            <w:tcW w:w="2831" w:type="dxa"/>
            <w:vAlign w:val="top"/>
          </w:tcPr>
          <w:p w14:paraId="678F3608">
            <w:pPr>
              <w:rPr>
                <w:rFonts w:ascii="Arial"/>
                <w:color w:val="auto"/>
                <w:sz w:val="21"/>
                <w:highlight w:val="none"/>
              </w:rPr>
            </w:pPr>
          </w:p>
        </w:tc>
        <w:tc>
          <w:tcPr>
            <w:tcW w:w="851" w:type="dxa"/>
            <w:vAlign w:val="top"/>
          </w:tcPr>
          <w:p w14:paraId="6409725B">
            <w:pPr>
              <w:rPr>
                <w:rFonts w:ascii="Arial"/>
                <w:color w:val="auto"/>
                <w:sz w:val="21"/>
                <w:highlight w:val="none"/>
              </w:rPr>
            </w:pPr>
          </w:p>
        </w:tc>
        <w:tc>
          <w:tcPr>
            <w:tcW w:w="990" w:type="dxa"/>
            <w:vAlign w:val="top"/>
          </w:tcPr>
          <w:p w14:paraId="552CD319">
            <w:pPr>
              <w:rPr>
                <w:rFonts w:ascii="Arial"/>
                <w:color w:val="auto"/>
                <w:sz w:val="21"/>
                <w:highlight w:val="none"/>
              </w:rPr>
            </w:pPr>
          </w:p>
        </w:tc>
        <w:tc>
          <w:tcPr>
            <w:tcW w:w="993" w:type="dxa"/>
            <w:vAlign w:val="top"/>
          </w:tcPr>
          <w:p w14:paraId="2B8EEF69">
            <w:pPr>
              <w:rPr>
                <w:rFonts w:ascii="Arial"/>
                <w:color w:val="auto"/>
                <w:sz w:val="21"/>
                <w:highlight w:val="none"/>
              </w:rPr>
            </w:pPr>
          </w:p>
        </w:tc>
        <w:tc>
          <w:tcPr>
            <w:tcW w:w="1132" w:type="dxa"/>
            <w:vAlign w:val="top"/>
          </w:tcPr>
          <w:p w14:paraId="09612B49">
            <w:pPr>
              <w:rPr>
                <w:rFonts w:ascii="Arial"/>
                <w:color w:val="auto"/>
                <w:sz w:val="21"/>
                <w:highlight w:val="none"/>
              </w:rPr>
            </w:pPr>
          </w:p>
        </w:tc>
        <w:tc>
          <w:tcPr>
            <w:tcW w:w="1273" w:type="dxa"/>
            <w:vAlign w:val="top"/>
          </w:tcPr>
          <w:p w14:paraId="0E5497CC">
            <w:pPr>
              <w:rPr>
                <w:rFonts w:ascii="Arial"/>
                <w:color w:val="auto"/>
                <w:sz w:val="21"/>
                <w:highlight w:val="none"/>
              </w:rPr>
            </w:pPr>
          </w:p>
        </w:tc>
        <w:tc>
          <w:tcPr>
            <w:tcW w:w="971" w:type="dxa"/>
            <w:tcBorders>
              <w:right w:val="single" w:color="000000" w:sz="6" w:space="0"/>
            </w:tcBorders>
            <w:vAlign w:val="top"/>
          </w:tcPr>
          <w:p w14:paraId="30661687">
            <w:pPr>
              <w:rPr>
                <w:rFonts w:ascii="Arial"/>
                <w:color w:val="auto"/>
                <w:sz w:val="21"/>
                <w:highlight w:val="none"/>
              </w:rPr>
            </w:pPr>
          </w:p>
        </w:tc>
      </w:tr>
      <w:tr w14:paraId="7ECD6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4450B08F">
            <w:pPr>
              <w:rPr>
                <w:rFonts w:ascii="Arial"/>
                <w:color w:val="auto"/>
                <w:sz w:val="21"/>
                <w:highlight w:val="none"/>
              </w:rPr>
            </w:pPr>
          </w:p>
        </w:tc>
        <w:tc>
          <w:tcPr>
            <w:tcW w:w="1841" w:type="dxa"/>
            <w:vAlign w:val="top"/>
          </w:tcPr>
          <w:p w14:paraId="2CDEF3D9">
            <w:pPr>
              <w:rPr>
                <w:rFonts w:ascii="Arial"/>
                <w:color w:val="auto"/>
                <w:sz w:val="21"/>
                <w:highlight w:val="none"/>
              </w:rPr>
            </w:pPr>
          </w:p>
        </w:tc>
        <w:tc>
          <w:tcPr>
            <w:tcW w:w="2407" w:type="dxa"/>
            <w:vAlign w:val="top"/>
          </w:tcPr>
          <w:p w14:paraId="42419813">
            <w:pPr>
              <w:rPr>
                <w:rFonts w:ascii="Arial"/>
                <w:color w:val="auto"/>
                <w:sz w:val="21"/>
                <w:highlight w:val="none"/>
              </w:rPr>
            </w:pPr>
          </w:p>
        </w:tc>
        <w:tc>
          <w:tcPr>
            <w:tcW w:w="2831" w:type="dxa"/>
            <w:vAlign w:val="top"/>
          </w:tcPr>
          <w:p w14:paraId="423557B5">
            <w:pPr>
              <w:rPr>
                <w:rFonts w:ascii="Arial"/>
                <w:color w:val="auto"/>
                <w:sz w:val="21"/>
                <w:highlight w:val="none"/>
              </w:rPr>
            </w:pPr>
          </w:p>
        </w:tc>
        <w:tc>
          <w:tcPr>
            <w:tcW w:w="851" w:type="dxa"/>
            <w:vAlign w:val="top"/>
          </w:tcPr>
          <w:p w14:paraId="6F3B2368">
            <w:pPr>
              <w:rPr>
                <w:rFonts w:ascii="Arial"/>
                <w:color w:val="auto"/>
                <w:sz w:val="21"/>
                <w:highlight w:val="none"/>
              </w:rPr>
            </w:pPr>
          </w:p>
        </w:tc>
        <w:tc>
          <w:tcPr>
            <w:tcW w:w="990" w:type="dxa"/>
            <w:vAlign w:val="top"/>
          </w:tcPr>
          <w:p w14:paraId="16D2CBA5">
            <w:pPr>
              <w:rPr>
                <w:rFonts w:ascii="Arial"/>
                <w:color w:val="auto"/>
                <w:sz w:val="21"/>
                <w:highlight w:val="none"/>
              </w:rPr>
            </w:pPr>
          </w:p>
        </w:tc>
        <w:tc>
          <w:tcPr>
            <w:tcW w:w="993" w:type="dxa"/>
            <w:vAlign w:val="top"/>
          </w:tcPr>
          <w:p w14:paraId="01708E1B">
            <w:pPr>
              <w:rPr>
                <w:rFonts w:ascii="Arial"/>
                <w:color w:val="auto"/>
                <w:sz w:val="21"/>
                <w:highlight w:val="none"/>
              </w:rPr>
            </w:pPr>
          </w:p>
        </w:tc>
        <w:tc>
          <w:tcPr>
            <w:tcW w:w="1132" w:type="dxa"/>
            <w:vAlign w:val="top"/>
          </w:tcPr>
          <w:p w14:paraId="3A679BCA">
            <w:pPr>
              <w:rPr>
                <w:rFonts w:ascii="Arial"/>
                <w:color w:val="auto"/>
                <w:sz w:val="21"/>
                <w:highlight w:val="none"/>
              </w:rPr>
            </w:pPr>
          </w:p>
        </w:tc>
        <w:tc>
          <w:tcPr>
            <w:tcW w:w="1273" w:type="dxa"/>
            <w:vAlign w:val="top"/>
          </w:tcPr>
          <w:p w14:paraId="50B0C673">
            <w:pPr>
              <w:rPr>
                <w:rFonts w:ascii="Arial"/>
                <w:color w:val="auto"/>
                <w:sz w:val="21"/>
                <w:highlight w:val="none"/>
              </w:rPr>
            </w:pPr>
          </w:p>
        </w:tc>
        <w:tc>
          <w:tcPr>
            <w:tcW w:w="971" w:type="dxa"/>
            <w:tcBorders>
              <w:right w:val="single" w:color="000000" w:sz="6" w:space="0"/>
            </w:tcBorders>
            <w:vAlign w:val="top"/>
          </w:tcPr>
          <w:p w14:paraId="685CF0B8">
            <w:pPr>
              <w:rPr>
                <w:rFonts w:ascii="Arial"/>
                <w:color w:val="auto"/>
                <w:sz w:val="21"/>
                <w:highlight w:val="none"/>
              </w:rPr>
            </w:pPr>
          </w:p>
        </w:tc>
      </w:tr>
      <w:tr w14:paraId="4702E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30F29442">
            <w:pPr>
              <w:rPr>
                <w:rFonts w:ascii="Arial"/>
                <w:color w:val="auto"/>
                <w:sz w:val="21"/>
                <w:highlight w:val="none"/>
              </w:rPr>
            </w:pPr>
          </w:p>
        </w:tc>
        <w:tc>
          <w:tcPr>
            <w:tcW w:w="1841" w:type="dxa"/>
            <w:vAlign w:val="top"/>
          </w:tcPr>
          <w:p w14:paraId="18688DCA">
            <w:pPr>
              <w:rPr>
                <w:rFonts w:ascii="Arial"/>
                <w:color w:val="auto"/>
                <w:sz w:val="21"/>
                <w:highlight w:val="none"/>
              </w:rPr>
            </w:pPr>
          </w:p>
        </w:tc>
        <w:tc>
          <w:tcPr>
            <w:tcW w:w="2407" w:type="dxa"/>
            <w:vAlign w:val="top"/>
          </w:tcPr>
          <w:p w14:paraId="066A4C00">
            <w:pPr>
              <w:rPr>
                <w:rFonts w:ascii="Arial"/>
                <w:color w:val="auto"/>
                <w:sz w:val="21"/>
                <w:highlight w:val="none"/>
              </w:rPr>
            </w:pPr>
          </w:p>
        </w:tc>
        <w:tc>
          <w:tcPr>
            <w:tcW w:w="2831" w:type="dxa"/>
            <w:vAlign w:val="top"/>
          </w:tcPr>
          <w:p w14:paraId="3DD02185">
            <w:pPr>
              <w:rPr>
                <w:rFonts w:ascii="Arial"/>
                <w:color w:val="auto"/>
                <w:sz w:val="21"/>
                <w:highlight w:val="none"/>
              </w:rPr>
            </w:pPr>
          </w:p>
        </w:tc>
        <w:tc>
          <w:tcPr>
            <w:tcW w:w="851" w:type="dxa"/>
            <w:vAlign w:val="top"/>
          </w:tcPr>
          <w:p w14:paraId="3D977A46">
            <w:pPr>
              <w:rPr>
                <w:rFonts w:ascii="Arial"/>
                <w:color w:val="auto"/>
                <w:sz w:val="21"/>
                <w:highlight w:val="none"/>
              </w:rPr>
            </w:pPr>
          </w:p>
        </w:tc>
        <w:tc>
          <w:tcPr>
            <w:tcW w:w="990" w:type="dxa"/>
            <w:vAlign w:val="top"/>
          </w:tcPr>
          <w:p w14:paraId="3A30FEAC">
            <w:pPr>
              <w:rPr>
                <w:rFonts w:ascii="Arial"/>
                <w:color w:val="auto"/>
                <w:sz w:val="21"/>
                <w:highlight w:val="none"/>
              </w:rPr>
            </w:pPr>
          </w:p>
        </w:tc>
        <w:tc>
          <w:tcPr>
            <w:tcW w:w="993" w:type="dxa"/>
            <w:vAlign w:val="top"/>
          </w:tcPr>
          <w:p w14:paraId="4EBE3EB9">
            <w:pPr>
              <w:rPr>
                <w:rFonts w:ascii="Arial"/>
                <w:color w:val="auto"/>
                <w:sz w:val="21"/>
                <w:highlight w:val="none"/>
              </w:rPr>
            </w:pPr>
          </w:p>
        </w:tc>
        <w:tc>
          <w:tcPr>
            <w:tcW w:w="1132" w:type="dxa"/>
            <w:vAlign w:val="top"/>
          </w:tcPr>
          <w:p w14:paraId="7EB89885">
            <w:pPr>
              <w:rPr>
                <w:rFonts w:ascii="Arial"/>
                <w:color w:val="auto"/>
                <w:sz w:val="21"/>
                <w:highlight w:val="none"/>
              </w:rPr>
            </w:pPr>
          </w:p>
        </w:tc>
        <w:tc>
          <w:tcPr>
            <w:tcW w:w="1273" w:type="dxa"/>
            <w:vAlign w:val="top"/>
          </w:tcPr>
          <w:p w14:paraId="45555F27">
            <w:pPr>
              <w:rPr>
                <w:rFonts w:ascii="Arial"/>
                <w:color w:val="auto"/>
                <w:sz w:val="21"/>
                <w:highlight w:val="none"/>
              </w:rPr>
            </w:pPr>
          </w:p>
        </w:tc>
        <w:tc>
          <w:tcPr>
            <w:tcW w:w="971" w:type="dxa"/>
            <w:tcBorders>
              <w:right w:val="single" w:color="000000" w:sz="6" w:space="0"/>
            </w:tcBorders>
            <w:vAlign w:val="top"/>
          </w:tcPr>
          <w:p w14:paraId="1DB30151">
            <w:pPr>
              <w:rPr>
                <w:rFonts w:ascii="Arial"/>
                <w:color w:val="auto"/>
                <w:sz w:val="21"/>
                <w:highlight w:val="none"/>
              </w:rPr>
            </w:pPr>
          </w:p>
        </w:tc>
      </w:tr>
      <w:tr w14:paraId="55BE4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78649272">
            <w:pPr>
              <w:rPr>
                <w:rFonts w:ascii="Arial"/>
                <w:color w:val="auto"/>
                <w:sz w:val="21"/>
                <w:highlight w:val="none"/>
              </w:rPr>
            </w:pPr>
          </w:p>
        </w:tc>
        <w:tc>
          <w:tcPr>
            <w:tcW w:w="1841" w:type="dxa"/>
            <w:vAlign w:val="top"/>
          </w:tcPr>
          <w:p w14:paraId="011C43A8">
            <w:pPr>
              <w:rPr>
                <w:rFonts w:ascii="Arial"/>
                <w:color w:val="auto"/>
                <w:sz w:val="21"/>
                <w:highlight w:val="none"/>
              </w:rPr>
            </w:pPr>
          </w:p>
        </w:tc>
        <w:tc>
          <w:tcPr>
            <w:tcW w:w="2407" w:type="dxa"/>
            <w:vAlign w:val="top"/>
          </w:tcPr>
          <w:p w14:paraId="30E838CA">
            <w:pPr>
              <w:rPr>
                <w:rFonts w:ascii="Arial"/>
                <w:color w:val="auto"/>
                <w:sz w:val="21"/>
                <w:highlight w:val="none"/>
              </w:rPr>
            </w:pPr>
          </w:p>
        </w:tc>
        <w:tc>
          <w:tcPr>
            <w:tcW w:w="2831" w:type="dxa"/>
            <w:vAlign w:val="top"/>
          </w:tcPr>
          <w:p w14:paraId="0FC4325E">
            <w:pPr>
              <w:rPr>
                <w:rFonts w:ascii="Arial"/>
                <w:color w:val="auto"/>
                <w:sz w:val="21"/>
                <w:highlight w:val="none"/>
              </w:rPr>
            </w:pPr>
          </w:p>
        </w:tc>
        <w:tc>
          <w:tcPr>
            <w:tcW w:w="851" w:type="dxa"/>
            <w:vAlign w:val="top"/>
          </w:tcPr>
          <w:p w14:paraId="7732135D">
            <w:pPr>
              <w:rPr>
                <w:rFonts w:ascii="Arial"/>
                <w:color w:val="auto"/>
                <w:sz w:val="21"/>
                <w:highlight w:val="none"/>
              </w:rPr>
            </w:pPr>
          </w:p>
        </w:tc>
        <w:tc>
          <w:tcPr>
            <w:tcW w:w="990" w:type="dxa"/>
            <w:vAlign w:val="top"/>
          </w:tcPr>
          <w:p w14:paraId="6B5995C2">
            <w:pPr>
              <w:rPr>
                <w:rFonts w:ascii="Arial"/>
                <w:color w:val="auto"/>
                <w:sz w:val="21"/>
                <w:highlight w:val="none"/>
              </w:rPr>
            </w:pPr>
          </w:p>
        </w:tc>
        <w:tc>
          <w:tcPr>
            <w:tcW w:w="993" w:type="dxa"/>
            <w:vAlign w:val="top"/>
          </w:tcPr>
          <w:p w14:paraId="0019660E">
            <w:pPr>
              <w:rPr>
                <w:rFonts w:ascii="Arial"/>
                <w:color w:val="auto"/>
                <w:sz w:val="21"/>
                <w:highlight w:val="none"/>
              </w:rPr>
            </w:pPr>
          </w:p>
        </w:tc>
        <w:tc>
          <w:tcPr>
            <w:tcW w:w="1132" w:type="dxa"/>
            <w:vAlign w:val="top"/>
          </w:tcPr>
          <w:p w14:paraId="776538E2">
            <w:pPr>
              <w:rPr>
                <w:rFonts w:ascii="Arial"/>
                <w:color w:val="auto"/>
                <w:sz w:val="21"/>
                <w:highlight w:val="none"/>
              </w:rPr>
            </w:pPr>
          </w:p>
        </w:tc>
        <w:tc>
          <w:tcPr>
            <w:tcW w:w="1273" w:type="dxa"/>
            <w:vAlign w:val="top"/>
          </w:tcPr>
          <w:p w14:paraId="5ABF4BEE">
            <w:pPr>
              <w:rPr>
                <w:rFonts w:ascii="Arial"/>
                <w:color w:val="auto"/>
                <w:sz w:val="21"/>
                <w:highlight w:val="none"/>
              </w:rPr>
            </w:pPr>
          </w:p>
        </w:tc>
        <w:tc>
          <w:tcPr>
            <w:tcW w:w="971" w:type="dxa"/>
            <w:tcBorders>
              <w:right w:val="single" w:color="000000" w:sz="6" w:space="0"/>
            </w:tcBorders>
            <w:vAlign w:val="top"/>
          </w:tcPr>
          <w:p w14:paraId="2DE2B897">
            <w:pPr>
              <w:rPr>
                <w:rFonts w:ascii="Arial"/>
                <w:color w:val="auto"/>
                <w:sz w:val="21"/>
                <w:highlight w:val="none"/>
              </w:rPr>
            </w:pPr>
          </w:p>
        </w:tc>
      </w:tr>
      <w:tr w14:paraId="6CDEF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70FFC887">
            <w:pPr>
              <w:rPr>
                <w:rFonts w:ascii="Arial"/>
                <w:color w:val="auto"/>
                <w:sz w:val="21"/>
                <w:highlight w:val="none"/>
              </w:rPr>
            </w:pPr>
          </w:p>
        </w:tc>
        <w:tc>
          <w:tcPr>
            <w:tcW w:w="1841" w:type="dxa"/>
            <w:vAlign w:val="top"/>
          </w:tcPr>
          <w:p w14:paraId="35E7CEA8">
            <w:pPr>
              <w:rPr>
                <w:rFonts w:ascii="Arial"/>
                <w:color w:val="auto"/>
                <w:sz w:val="21"/>
                <w:highlight w:val="none"/>
              </w:rPr>
            </w:pPr>
          </w:p>
        </w:tc>
        <w:tc>
          <w:tcPr>
            <w:tcW w:w="2407" w:type="dxa"/>
            <w:vAlign w:val="top"/>
          </w:tcPr>
          <w:p w14:paraId="6407D67F">
            <w:pPr>
              <w:rPr>
                <w:rFonts w:ascii="Arial"/>
                <w:color w:val="auto"/>
                <w:sz w:val="21"/>
                <w:highlight w:val="none"/>
              </w:rPr>
            </w:pPr>
          </w:p>
        </w:tc>
        <w:tc>
          <w:tcPr>
            <w:tcW w:w="2831" w:type="dxa"/>
            <w:vAlign w:val="top"/>
          </w:tcPr>
          <w:p w14:paraId="69B6CC5A">
            <w:pPr>
              <w:rPr>
                <w:rFonts w:ascii="Arial"/>
                <w:color w:val="auto"/>
                <w:sz w:val="21"/>
                <w:highlight w:val="none"/>
              </w:rPr>
            </w:pPr>
          </w:p>
        </w:tc>
        <w:tc>
          <w:tcPr>
            <w:tcW w:w="851" w:type="dxa"/>
            <w:vAlign w:val="top"/>
          </w:tcPr>
          <w:p w14:paraId="28ED72F6">
            <w:pPr>
              <w:rPr>
                <w:rFonts w:ascii="Arial"/>
                <w:color w:val="auto"/>
                <w:sz w:val="21"/>
                <w:highlight w:val="none"/>
              </w:rPr>
            </w:pPr>
          </w:p>
        </w:tc>
        <w:tc>
          <w:tcPr>
            <w:tcW w:w="990" w:type="dxa"/>
            <w:vAlign w:val="top"/>
          </w:tcPr>
          <w:p w14:paraId="47AD2EA0">
            <w:pPr>
              <w:rPr>
                <w:rFonts w:ascii="Arial"/>
                <w:color w:val="auto"/>
                <w:sz w:val="21"/>
                <w:highlight w:val="none"/>
              </w:rPr>
            </w:pPr>
          </w:p>
        </w:tc>
        <w:tc>
          <w:tcPr>
            <w:tcW w:w="993" w:type="dxa"/>
            <w:vAlign w:val="top"/>
          </w:tcPr>
          <w:p w14:paraId="0CA8C643">
            <w:pPr>
              <w:rPr>
                <w:rFonts w:ascii="Arial"/>
                <w:color w:val="auto"/>
                <w:sz w:val="21"/>
                <w:highlight w:val="none"/>
              </w:rPr>
            </w:pPr>
          </w:p>
        </w:tc>
        <w:tc>
          <w:tcPr>
            <w:tcW w:w="1132" w:type="dxa"/>
            <w:vAlign w:val="top"/>
          </w:tcPr>
          <w:p w14:paraId="3ECD848C">
            <w:pPr>
              <w:rPr>
                <w:rFonts w:ascii="Arial"/>
                <w:color w:val="auto"/>
                <w:sz w:val="21"/>
                <w:highlight w:val="none"/>
              </w:rPr>
            </w:pPr>
          </w:p>
        </w:tc>
        <w:tc>
          <w:tcPr>
            <w:tcW w:w="1273" w:type="dxa"/>
            <w:vAlign w:val="top"/>
          </w:tcPr>
          <w:p w14:paraId="444ECEC9">
            <w:pPr>
              <w:rPr>
                <w:rFonts w:ascii="Arial"/>
                <w:color w:val="auto"/>
                <w:sz w:val="21"/>
                <w:highlight w:val="none"/>
              </w:rPr>
            </w:pPr>
          </w:p>
        </w:tc>
        <w:tc>
          <w:tcPr>
            <w:tcW w:w="971" w:type="dxa"/>
            <w:tcBorders>
              <w:right w:val="single" w:color="000000" w:sz="6" w:space="0"/>
            </w:tcBorders>
            <w:vAlign w:val="top"/>
          </w:tcPr>
          <w:p w14:paraId="73E59A74">
            <w:pPr>
              <w:rPr>
                <w:rFonts w:ascii="Arial"/>
                <w:color w:val="auto"/>
                <w:sz w:val="21"/>
                <w:highlight w:val="none"/>
              </w:rPr>
            </w:pPr>
          </w:p>
        </w:tc>
      </w:tr>
      <w:tr w14:paraId="1A0EF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5BA070D5">
            <w:pPr>
              <w:rPr>
                <w:rFonts w:ascii="Arial"/>
                <w:color w:val="auto"/>
                <w:sz w:val="21"/>
                <w:highlight w:val="none"/>
              </w:rPr>
            </w:pPr>
          </w:p>
        </w:tc>
        <w:tc>
          <w:tcPr>
            <w:tcW w:w="1841" w:type="dxa"/>
            <w:vAlign w:val="top"/>
          </w:tcPr>
          <w:p w14:paraId="50999B03">
            <w:pPr>
              <w:rPr>
                <w:rFonts w:ascii="Arial"/>
                <w:color w:val="auto"/>
                <w:sz w:val="21"/>
                <w:highlight w:val="none"/>
              </w:rPr>
            </w:pPr>
          </w:p>
        </w:tc>
        <w:tc>
          <w:tcPr>
            <w:tcW w:w="2407" w:type="dxa"/>
            <w:vAlign w:val="top"/>
          </w:tcPr>
          <w:p w14:paraId="5DA04AEF">
            <w:pPr>
              <w:rPr>
                <w:rFonts w:ascii="Arial"/>
                <w:color w:val="auto"/>
                <w:sz w:val="21"/>
                <w:highlight w:val="none"/>
              </w:rPr>
            </w:pPr>
          </w:p>
        </w:tc>
        <w:tc>
          <w:tcPr>
            <w:tcW w:w="2831" w:type="dxa"/>
            <w:vAlign w:val="top"/>
          </w:tcPr>
          <w:p w14:paraId="2A105C73">
            <w:pPr>
              <w:rPr>
                <w:rFonts w:ascii="Arial"/>
                <w:color w:val="auto"/>
                <w:sz w:val="21"/>
                <w:highlight w:val="none"/>
              </w:rPr>
            </w:pPr>
          </w:p>
        </w:tc>
        <w:tc>
          <w:tcPr>
            <w:tcW w:w="851" w:type="dxa"/>
            <w:vAlign w:val="top"/>
          </w:tcPr>
          <w:p w14:paraId="4F8CBC2F">
            <w:pPr>
              <w:rPr>
                <w:rFonts w:ascii="Arial"/>
                <w:color w:val="auto"/>
                <w:sz w:val="21"/>
                <w:highlight w:val="none"/>
              </w:rPr>
            </w:pPr>
          </w:p>
        </w:tc>
        <w:tc>
          <w:tcPr>
            <w:tcW w:w="990" w:type="dxa"/>
            <w:vAlign w:val="top"/>
          </w:tcPr>
          <w:p w14:paraId="7DD1831A">
            <w:pPr>
              <w:rPr>
                <w:rFonts w:ascii="Arial"/>
                <w:color w:val="auto"/>
                <w:sz w:val="21"/>
                <w:highlight w:val="none"/>
              </w:rPr>
            </w:pPr>
          </w:p>
        </w:tc>
        <w:tc>
          <w:tcPr>
            <w:tcW w:w="993" w:type="dxa"/>
            <w:vAlign w:val="top"/>
          </w:tcPr>
          <w:p w14:paraId="6723B57D">
            <w:pPr>
              <w:rPr>
                <w:rFonts w:ascii="Arial"/>
                <w:color w:val="auto"/>
                <w:sz w:val="21"/>
                <w:highlight w:val="none"/>
              </w:rPr>
            </w:pPr>
          </w:p>
        </w:tc>
        <w:tc>
          <w:tcPr>
            <w:tcW w:w="1132" w:type="dxa"/>
            <w:vAlign w:val="top"/>
          </w:tcPr>
          <w:p w14:paraId="2FF59245">
            <w:pPr>
              <w:rPr>
                <w:rFonts w:ascii="Arial"/>
                <w:color w:val="auto"/>
                <w:sz w:val="21"/>
                <w:highlight w:val="none"/>
              </w:rPr>
            </w:pPr>
          </w:p>
        </w:tc>
        <w:tc>
          <w:tcPr>
            <w:tcW w:w="1273" w:type="dxa"/>
            <w:vAlign w:val="top"/>
          </w:tcPr>
          <w:p w14:paraId="3906B021">
            <w:pPr>
              <w:rPr>
                <w:rFonts w:ascii="Arial"/>
                <w:color w:val="auto"/>
                <w:sz w:val="21"/>
                <w:highlight w:val="none"/>
              </w:rPr>
            </w:pPr>
          </w:p>
        </w:tc>
        <w:tc>
          <w:tcPr>
            <w:tcW w:w="971" w:type="dxa"/>
            <w:tcBorders>
              <w:right w:val="single" w:color="000000" w:sz="6" w:space="0"/>
            </w:tcBorders>
            <w:vAlign w:val="top"/>
          </w:tcPr>
          <w:p w14:paraId="31818E7C">
            <w:pPr>
              <w:rPr>
                <w:rFonts w:ascii="Arial"/>
                <w:color w:val="auto"/>
                <w:sz w:val="21"/>
                <w:highlight w:val="none"/>
              </w:rPr>
            </w:pPr>
          </w:p>
        </w:tc>
      </w:tr>
      <w:tr w14:paraId="0416E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6FA0BB9D">
            <w:pPr>
              <w:rPr>
                <w:rFonts w:ascii="Arial"/>
                <w:color w:val="auto"/>
                <w:sz w:val="21"/>
                <w:highlight w:val="none"/>
              </w:rPr>
            </w:pPr>
          </w:p>
        </w:tc>
        <w:tc>
          <w:tcPr>
            <w:tcW w:w="1841" w:type="dxa"/>
            <w:vAlign w:val="top"/>
          </w:tcPr>
          <w:p w14:paraId="5A8638EE">
            <w:pPr>
              <w:rPr>
                <w:rFonts w:ascii="Arial"/>
                <w:color w:val="auto"/>
                <w:sz w:val="21"/>
                <w:highlight w:val="none"/>
              </w:rPr>
            </w:pPr>
          </w:p>
        </w:tc>
        <w:tc>
          <w:tcPr>
            <w:tcW w:w="2407" w:type="dxa"/>
            <w:vAlign w:val="top"/>
          </w:tcPr>
          <w:p w14:paraId="2CA57B81">
            <w:pPr>
              <w:rPr>
                <w:rFonts w:ascii="Arial"/>
                <w:color w:val="auto"/>
                <w:sz w:val="21"/>
                <w:highlight w:val="none"/>
              </w:rPr>
            </w:pPr>
          </w:p>
        </w:tc>
        <w:tc>
          <w:tcPr>
            <w:tcW w:w="2831" w:type="dxa"/>
            <w:vAlign w:val="top"/>
          </w:tcPr>
          <w:p w14:paraId="0AED3AE7">
            <w:pPr>
              <w:rPr>
                <w:rFonts w:ascii="Arial"/>
                <w:color w:val="auto"/>
                <w:sz w:val="21"/>
                <w:highlight w:val="none"/>
              </w:rPr>
            </w:pPr>
          </w:p>
        </w:tc>
        <w:tc>
          <w:tcPr>
            <w:tcW w:w="851" w:type="dxa"/>
            <w:vAlign w:val="top"/>
          </w:tcPr>
          <w:p w14:paraId="56906C25">
            <w:pPr>
              <w:rPr>
                <w:rFonts w:ascii="Arial"/>
                <w:color w:val="auto"/>
                <w:sz w:val="21"/>
                <w:highlight w:val="none"/>
              </w:rPr>
            </w:pPr>
          </w:p>
        </w:tc>
        <w:tc>
          <w:tcPr>
            <w:tcW w:w="990" w:type="dxa"/>
            <w:vAlign w:val="top"/>
          </w:tcPr>
          <w:p w14:paraId="5EDE12B6">
            <w:pPr>
              <w:rPr>
                <w:rFonts w:ascii="Arial"/>
                <w:color w:val="auto"/>
                <w:sz w:val="21"/>
                <w:highlight w:val="none"/>
              </w:rPr>
            </w:pPr>
          </w:p>
        </w:tc>
        <w:tc>
          <w:tcPr>
            <w:tcW w:w="993" w:type="dxa"/>
            <w:vAlign w:val="top"/>
          </w:tcPr>
          <w:p w14:paraId="78193179">
            <w:pPr>
              <w:rPr>
                <w:rFonts w:ascii="Arial"/>
                <w:color w:val="auto"/>
                <w:sz w:val="21"/>
                <w:highlight w:val="none"/>
              </w:rPr>
            </w:pPr>
          </w:p>
        </w:tc>
        <w:tc>
          <w:tcPr>
            <w:tcW w:w="1132" w:type="dxa"/>
            <w:vAlign w:val="top"/>
          </w:tcPr>
          <w:p w14:paraId="5C683C20">
            <w:pPr>
              <w:rPr>
                <w:rFonts w:ascii="Arial"/>
                <w:color w:val="auto"/>
                <w:sz w:val="21"/>
                <w:highlight w:val="none"/>
              </w:rPr>
            </w:pPr>
          </w:p>
        </w:tc>
        <w:tc>
          <w:tcPr>
            <w:tcW w:w="1273" w:type="dxa"/>
            <w:vAlign w:val="top"/>
          </w:tcPr>
          <w:p w14:paraId="1AA0923E">
            <w:pPr>
              <w:rPr>
                <w:rFonts w:ascii="Arial"/>
                <w:color w:val="auto"/>
                <w:sz w:val="21"/>
                <w:highlight w:val="none"/>
              </w:rPr>
            </w:pPr>
          </w:p>
        </w:tc>
        <w:tc>
          <w:tcPr>
            <w:tcW w:w="971" w:type="dxa"/>
            <w:tcBorders>
              <w:right w:val="single" w:color="000000" w:sz="6" w:space="0"/>
            </w:tcBorders>
            <w:vAlign w:val="top"/>
          </w:tcPr>
          <w:p w14:paraId="1DE40502">
            <w:pPr>
              <w:rPr>
                <w:rFonts w:ascii="Arial"/>
                <w:color w:val="auto"/>
                <w:sz w:val="21"/>
                <w:highlight w:val="none"/>
              </w:rPr>
            </w:pPr>
          </w:p>
        </w:tc>
      </w:tr>
      <w:tr w14:paraId="4FBA9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00A023CB">
            <w:pPr>
              <w:rPr>
                <w:rFonts w:ascii="Arial"/>
                <w:color w:val="auto"/>
                <w:sz w:val="21"/>
                <w:highlight w:val="none"/>
              </w:rPr>
            </w:pPr>
          </w:p>
        </w:tc>
        <w:tc>
          <w:tcPr>
            <w:tcW w:w="1841" w:type="dxa"/>
            <w:vAlign w:val="top"/>
          </w:tcPr>
          <w:p w14:paraId="52E5EBA6">
            <w:pPr>
              <w:rPr>
                <w:rFonts w:ascii="Arial"/>
                <w:color w:val="auto"/>
                <w:sz w:val="21"/>
                <w:highlight w:val="none"/>
              </w:rPr>
            </w:pPr>
          </w:p>
        </w:tc>
        <w:tc>
          <w:tcPr>
            <w:tcW w:w="2407" w:type="dxa"/>
            <w:vAlign w:val="top"/>
          </w:tcPr>
          <w:p w14:paraId="2D7B4E30">
            <w:pPr>
              <w:rPr>
                <w:rFonts w:ascii="Arial"/>
                <w:color w:val="auto"/>
                <w:sz w:val="21"/>
                <w:highlight w:val="none"/>
              </w:rPr>
            </w:pPr>
          </w:p>
        </w:tc>
        <w:tc>
          <w:tcPr>
            <w:tcW w:w="2831" w:type="dxa"/>
            <w:vAlign w:val="top"/>
          </w:tcPr>
          <w:p w14:paraId="1270BC95">
            <w:pPr>
              <w:rPr>
                <w:rFonts w:ascii="Arial"/>
                <w:color w:val="auto"/>
                <w:sz w:val="21"/>
                <w:highlight w:val="none"/>
              </w:rPr>
            </w:pPr>
          </w:p>
        </w:tc>
        <w:tc>
          <w:tcPr>
            <w:tcW w:w="851" w:type="dxa"/>
            <w:vAlign w:val="top"/>
          </w:tcPr>
          <w:p w14:paraId="7420D5F4">
            <w:pPr>
              <w:rPr>
                <w:rFonts w:ascii="Arial"/>
                <w:color w:val="auto"/>
                <w:sz w:val="21"/>
                <w:highlight w:val="none"/>
              </w:rPr>
            </w:pPr>
          </w:p>
        </w:tc>
        <w:tc>
          <w:tcPr>
            <w:tcW w:w="990" w:type="dxa"/>
            <w:vAlign w:val="top"/>
          </w:tcPr>
          <w:p w14:paraId="3801077C">
            <w:pPr>
              <w:rPr>
                <w:rFonts w:ascii="Arial"/>
                <w:color w:val="auto"/>
                <w:sz w:val="21"/>
                <w:highlight w:val="none"/>
              </w:rPr>
            </w:pPr>
          </w:p>
        </w:tc>
        <w:tc>
          <w:tcPr>
            <w:tcW w:w="993" w:type="dxa"/>
            <w:vAlign w:val="top"/>
          </w:tcPr>
          <w:p w14:paraId="7873CEBE">
            <w:pPr>
              <w:rPr>
                <w:rFonts w:ascii="Arial"/>
                <w:color w:val="auto"/>
                <w:sz w:val="21"/>
                <w:highlight w:val="none"/>
              </w:rPr>
            </w:pPr>
          </w:p>
        </w:tc>
        <w:tc>
          <w:tcPr>
            <w:tcW w:w="1132" w:type="dxa"/>
            <w:vAlign w:val="top"/>
          </w:tcPr>
          <w:p w14:paraId="7819DE29">
            <w:pPr>
              <w:rPr>
                <w:rFonts w:ascii="Arial"/>
                <w:color w:val="auto"/>
                <w:sz w:val="21"/>
                <w:highlight w:val="none"/>
              </w:rPr>
            </w:pPr>
          </w:p>
        </w:tc>
        <w:tc>
          <w:tcPr>
            <w:tcW w:w="1273" w:type="dxa"/>
            <w:vAlign w:val="top"/>
          </w:tcPr>
          <w:p w14:paraId="53C1D41F">
            <w:pPr>
              <w:rPr>
                <w:rFonts w:ascii="Arial"/>
                <w:color w:val="auto"/>
                <w:sz w:val="21"/>
                <w:highlight w:val="none"/>
              </w:rPr>
            </w:pPr>
          </w:p>
        </w:tc>
        <w:tc>
          <w:tcPr>
            <w:tcW w:w="971" w:type="dxa"/>
            <w:tcBorders>
              <w:right w:val="single" w:color="000000" w:sz="6" w:space="0"/>
            </w:tcBorders>
            <w:vAlign w:val="top"/>
          </w:tcPr>
          <w:p w14:paraId="1D5C3E0F">
            <w:pPr>
              <w:rPr>
                <w:rFonts w:ascii="Arial"/>
                <w:color w:val="auto"/>
                <w:sz w:val="21"/>
                <w:highlight w:val="none"/>
              </w:rPr>
            </w:pPr>
          </w:p>
        </w:tc>
      </w:tr>
      <w:tr w14:paraId="7FC27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60" w:type="dxa"/>
            <w:tcBorders>
              <w:left w:val="single" w:color="000000" w:sz="6" w:space="0"/>
            </w:tcBorders>
            <w:vAlign w:val="top"/>
          </w:tcPr>
          <w:p w14:paraId="04D20F1D">
            <w:pPr>
              <w:rPr>
                <w:rFonts w:ascii="Arial"/>
                <w:color w:val="auto"/>
                <w:sz w:val="21"/>
                <w:highlight w:val="none"/>
              </w:rPr>
            </w:pPr>
          </w:p>
        </w:tc>
        <w:tc>
          <w:tcPr>
            <w:tcW w:w="1841" w:type="dxa"/>
            <w:vAlign w:val="top"/>
          </w:tcPr>
          <w:p w14:paraId="40FFD603">
            <w:pPr>
              <w:rPr>
                <w:rFonts w:ascii="Arial"/>
                <w:color w:val="auto"/>
                <w:sz w:val="21"/>
                <w:highlight w:val="none"/>
              </w:rPr>
            </w:pPr>
          </w:p>
        </w:tc>
        <w:tc>
          <w:tcPr>
            <w:tcW w:w="2407" w:type="dxa"/>
            <w:vAlign w:val="top"/>
          </w:tcPr>
          <w:p w14:paraId="4E104BD1">
            <w:pPr>
              <w:rPr>
                <w:rFonts w:ascii="Arial"/>
                <w:color w:val="auto"/>
                <w:sz w:val="21"/>
                <w:highlight w:val="none"/>
              </w:rPr>
            </w:pPr>
          </w:p>
        </w:tc>
        <w:tc>
          <w:tcPr>
            <w:tcW w:w="2831" w:type="dxa"/>
            <w:vAlign w:val="top"/>
          </w:tcPr>
          <w:p w14:paraId="6F85E7E4">
            <w:pPr>
              <w:rPr>
                <w:rFonts w:ascii="Arial"/>
                <w:color w:val="auto"/>
                <w:sz w:val="21"/>
                <w:highlight w:val="none"/>
              </w:rPr>
            </w:pPr>
          </w:p>
        </w:tc>
        <w:tc>
          <w:tcPr>
            <w:tcW w:w="851" w:type="dxa"/>
            <w:vAlign w:val="top"/>
          </w:tcPr>
          <w:p w14:paraId="2C6157A3">
            <w:pPr>
              <w:rPr>
                <w:rFonts w:ascii="Arial"/>
                <w:color w:val="auto"/>
                <w:sz w:val="21"/>
                <w:highlight w:val="none"/>
              </w:rPr>
            </w:pPr>
          </w:p>
        </w:tc>
        <w:tc>
          <w:tcPr>
            <w:tcW w:w="990" w:type="dxa"/>
            <w:vAlign w:val="top"/>
          </w:tcPr>
          <w:p w14:paraId="36BF5D62">
            <w:pPr>
              <w:rPr>
                <w:rFonts w:ascii="Arial"/>
                <w:color w:val="auto"/>
                <w:sz w:val="21"/>
                <w:highlight w:val="none"/>
              </w:rPr>
            </w:pPr>
          </w:p>
        </w:tc>
        <w:tc>
          <w:tcPr>
            <w:tcW w:w="993" w:type="dxa"/>
            <w:vAlign w:val="top"/>
          </w:tcPr>
          <w:p w14:paraId="762B52F5">
            <w:pPr>
              <w:rPr>
                <w:rFonts w:ascii="Arial"/>
                <w:color w:val="auto"/>
                <w:sz w:val="21"/>
                <w:highlight w:val="none"/>
              </w:rPr>
            </w:pPr>
          </w:p>
        </w:tc>
        <w:tc>
          <w:tcPr>
            <w:tcW w:w="1132" w:type="dxa"/>
            <w:vAlign w:val="top"/>
          </w:tcPr>
          <w:p w14:paraId="15B089D1">
            <w:pPr>
              <w:rPr>
                <w:rFonts w:ascii="Arial"/>
                <w:color w:val="auto"/>
                <w:sz w:val="21"/>
                <w:highlight w:val="none"/>
              </w:rPr>
            </w:pPr>
          </w:p>
        </w:tc>
        <w:tc>
          <w:tcPr>
            <w:tcW w:w="1273" w:type="dxa"/>
            <w:vAlign w:val="top"/>
          </w:tcPr>
          <w:p w14:paraId="60E04A53">
            <w:pPr>
              <w:rPr>
                <w:rFonts w:ascii="Arial"/>
                <w:color w:val="auto"/>
                <w:sz w:val="21"/>
                <w:highlight w:val="none"/>
              </w:rPr>
            </w:pPr>
          </w:p>
        </w:tc>
        <w:tc>
          <w:tcPr>
            <w:tcW w:w="971" w:type="dxa"/>
            <w:tcBorders>
              <w:right w:val="single" w:color="000000" w:sz="6" w:space="0"/>
            </w:tcBorders>
            <w:vAlign w:val="top"/>
          </w:tcPr>
          <w:p w14:paraId="6ED94792">
            <w:pPr>
              <w:rPr>
                <w:rFonts w:ascii="Arial"/>
                <w:color w:val="auto"/>
                <w:sz w:val="21"/>
                <w:highlight w:val="none"/>
              </w:rPr>
            </w:pPr>
          </w:p>
        </w:tc>
      </w:tr>
      <w:tr w14:paraId="5222A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60" w:type="dxa"/>
            <w:tcBorders>
              <w:left w:val="single" w:color="000000" w:sz="6" w:space="0"/>
              <w:bottom w:val="single" w:color="000000" w:sz="6" w:space="0"/>
            </w:tcBorders>
            <w:vAlign w:val="top"/>
          </w:tcPr>
          <w:p w14:paraId="0B340A46">
            <w:pPr>
              <w:rPr>
                <w:rFonts w:ascii="Arial"/>
                <w:color w:val="auto"/>
                <w:sz w:val="21"/>
                <w:highlight w:val="none"/>
              </w:rPr>
            </w:pPr>
          </w:p>
        </w:tc>
        <w:tc>
          <w:tcPr>
            <w:tcW w:w="1841" w:type="dxa"/>
            <w:tcBorders>
              <w:bottom w:val="single" w:color="000000" w:sz="6" w:space="0"/>
            </w:tcBorders>
            <w:vAlign w:val="top"/>
          </w:tcPr>
          <w:p w14:paraId="0B14B35F">
            <w:pPr>
              <w:rPr>
                <w:rFonts w:ascii="Arial"/>
                <w:color w:val="auto"/>
                <w:sz w:val="21"/>
                <w:highlight w:val="none"/>
              </w:rPr>
            </w:pPr>
          </w:p>
        </w:tc>
        <w:tc>
          <w:tcPr>
            <w:tcW w:w="2407" w:type="dxa"/>
            <w:tcBorders>
              <w:bottom w:val="single" w:color="000000" w:sz="6" w:space="0"/>
            </w:tcBorders>
            <w:vAlign w:val="top"/>
          </w:tcPr>
          <w:p w14:paraId="1C9106EF">
            <w:pPr>
              <w:pStyle w:val="17"/>
              <w:spacing w:before="174" w:line="221" w:lineRule="auto"/>
              <w:ind w:left="848"/>
              <w:rPr>
                <w:color w:val="auto"/>
                <w:sz w:val="24"/>
                <w:szCs w:val="24"/>
                <w:highlight w:val="none"/>
              </w:rPr>
            </w:pPr>
            <w:r>
              <w:rPr>
                <w:color w:val="auto"/>
                <w:spacing w:val="-6"/>
                <w:sz w:val="24"/>
                <w:szCs w:val="24"/>
                <w:highlight w:val="none"/>
              </w:rPr>
              <w:t>合</w:t>
            </w:r>
            <w:r>
              <w:rPr>
                <w:color w:val="auto"/>
                <w:spacing w:val="5"/>
                <w:sz w:val="24"/>
                <w:szCs w:val="24"/>
                <w:highlight w:val="none"/>
              </w:rPr>
              <w:t xml:space="preserve">  </w:t>
            </w:r>
            <w:r>
              <w:rPr>
                <w:color w:val="auto"/>
                <w:spacing w:val="-6"/>
                <w:sz w:val="24"/>
                <w:szCs w:val="24"/>
                <w:highlight w:val="none"/>
              </w:rPr>
              <w:t>计</w:t>
            </w:r>
          </w:p>
        </w:tc>
        <w:tc>
          <w:tcPr>
            <w:tcW w:w="2831" w:type="dxa"/>
            <w:tcBorders>
              <w:bottom w:val="single" w:color="000000" w:sz="6" w:space="0"/>
            </w:tcBorders>
            <w:vAlign w:val="top"/>
          </w:tcPr>
          <w:p w14:paraId="158C7D86">
            <w:pPr>
              <w:rPr>
                <w:rFonts w:ascii="Arial"/>
                <w:color w:val="auto"/>
                <w:sz w:val="21"/>
                <w:highlight w:val="none"/>
              </w:rPr>
            </w:pPr>
          </w:p>
        </w:tc>
        <w:tc>
          <w:tcPr>
            <w:tcW w:w="851" w:type="dxa"/>
            <w:tcBorders>
              <w:bottom w:val="single" w:color="000000" w:sz="6" w:space="0"/>
            </w:tcBorders>
            <w:vAlign w:val="top"/>
          </w:tcPr>
          <w:p w14:paraId="133EDF9A">
            <w:pPr>
              <w:rPr>
                <w:rFonts w:ascii="Arial"/>
                <w:color w:val="auto"/>
                <w:sz w:val="21"/>
                <w:highlight w:val="none"/>
              </w:rPr>
            </w:pPr>
          </w:p>
        </w:tc>
        <w:tc>
          <w:tcPr>
            <w:tcW w:w="990" w:type="dxa"/>
            <w:tcBorders>
              <w:bottom w:val="single" w:color="000000" w:sz="6" w:space="0"/>
            </w:tcBorders>
            <w:vAlign w:val="top"/>
          </w:tcPr>
          <w:p w14:paraId="0B2D1C0D">
            <w:pPr>
              <w:rPr>
                <w:rFonts w:ascii="Arial"/>
                <w:color w:val="auto"/>
                <w:sz w:val="21"/>
                <w:highlight w:val="none"/>
              </w:rPr>
            </w:pPr>
          </w:p>
        </w:tc>
        <w:tc>
          <w:tcPr>
            <w:tcW w:w="993" w:type="dxa"/>
            <w:tcBorders>
              <w:bottom w:val="single" w:color="000000" w:sz="6" w:space="0"/>
            </w:tcBorders>
            <w:vAlign w:val="top"/>
          </w:tcPr>
          <w:p w14:paraId="4B0A5BEC">
            <w:pPr>
              <w:rPr>
                <w:rFonts w:ascii="Arial"/>
                <w:color w:val="auto"/>
                <w:sz w:val="21"/>
                <w:highlight w:val="none"/>
              </w:rPr>
            </w:pPr>
          </w:p>
        </w:tc>
        <w:tc>
          <w:tcPr>
            <w:tcW w:w="1132" w:type="dxa"/>
            <w:tcBorders>
              <w:bottom w:val="single" w:color="000000" w:sz="6" w:space="0"/>
            </w:tcBorders>
            <w:vAlign w:val="top"/>
          </w:tcPr>
          <w:p w14:paraId="63D5A55F">
            <w:pPr>
              <w:rPr>
                <w:rFonts w:ascii="Arial"/>
                <w:color w:val="auto"/>
                <w:sz w:val="21"/>
                <w:highlight w:val="none"/>
              </w:rPr>
            </w:pPr>
          </w:p>
        </w:tc>
        <w:tc>
          <w:tcPr>
            <w:tcW w:w="1273" w:type="dxa"/>
            <w:tcBorders>
              <w:bottom w:val="single" w:color="000000" w:sz="6" w:space="0"/>
            </w:tcBorders>
            <w:vAlign w:val="top"/>
          </w:tcPr>
          <w:p w14:paraId="00E4ADF5">
            <w:pPr>
              <w:rPr>
                <w:rFonts w:ascii="Arial"/>
                <w:color w:val="auto"/>
                <w:sz w:val="21"/>
                <w:highlight w:val="none"/>
              </w:rPr>
            </w:pPr>
          </w:p>
        </w:tc>
        <w:tc>
          <w:tcPr>
            <w:tcW w:w="971" w:type="dxa"/>
            <w:tcBorders>
              <w:bottom w:val="single" w:color="000000" w:sz="6" w:space="0"/>
              <w:right w:val="single" w:color="000000" w:sz="6" w:space="0"/>
            </w:tcBorders>
            <w:vAlign w:val="top"/>
          </w:tcPr>
          <w:p w14:paraId="77ED7CB8">
            <w:pPr>
              <w:rPr>
                <w:rFonts w:ascii="Arial"/>
                <w:color w:val="auto"/>
                <w:sz w:val="21"/>
                <w:highlight w:val="none"/>
              </w:rPr>
            </w:pPr>
          </w:p>
        </w:tc>
      </w:tr>
    </w:tbl>
    <w:p w14:paraId="72DE5FDA">
      <w:pPr>
        <w:spacing w:before="311" w:line="219" w:lineRule="auto"/>
        <w:ind w:left="6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法定代表人或委托代理人</w:t>
      </w:r>
      <w:r>
        <w:rPr>
          <w:rFonts w:ascii="宋体" w:hAnsi="宋体" w:eastAsia="宋体" w:cs="宋体"/>
          <w:color w:val="auto"/>
          <w:spacing w:val="-11"/>
          <w:sz w:val="24"/>
          <w:szCs w:val="24"/>
          <w:highlight w:val="none"/>
        </w:rPr>
        <w:t>：</w:t>
      </w:r>
      <w:r>
        <w:rPr>
          <w:rFonts w:ascii="宋体" w:hAnsi="宋体" w:eastAsia="宋体" w:cs="宋体"/>
          <w:color w:val="auto"/>
          <w:spacing w:val="30"/>
          <w:sz w:val="24"/>
          <w:szCs w:val="24"/>
          <w:highlight w:val="none"/>
          <w:u w:val="single" w:color="auto"/>
        </w:rPr>
        <w:t xml:space="preserve">    </w:t>
      </w:r>
      <w:r>
        <w:rPr>
          <w:rFonts w:ascii="宋体" w:hAnsi="宋体" w:eastAsia="宋体" w:cs="宋体"/>
          <w:color w:val="auto"/>
          <w:spacing w:val="-11"/>
          <w:sz w:val="24"/>
          <w:szCs w:val="24"/>
          <w:highlight w:val="none"/>
          <w:u w:val="single" w:color="auto"/>
        </w:rPr>
        <w:t>（</w:t>
      </w:r>
      <w:r>
        <w:rPr>
          <w:rFonts w:ascii="宋体" w:hAnsi="宋体" w:eastAsia="宋体" w:cs="宋体"/>
          <w:color w:val="auto"/>
          <w:spacing w:val="1"/>
          <w:sz w:val="24"/>
          <w:szCs w:val="24"/>
          <w:highlight w:val="none"/>
          <w:u w:val="single" w:color="auto"/>
        </w:rPr>
        <w:t>签字或盖章）</w:t>
      </w:r>
      <w:r>
        <w:rPr>
          <w:rFonts w:ascii="宋体" w:hAnsi="宋体" w:eastAsia="宋体" w:cs="宋体"/>
          <w:color w:val="auto"/>
          <w:sz w:val="24"/>
          <w:szCs w:val="24"/>
          <w:highlight w:val="none"/>
          <w:u w:val="single" w:color="auto"/>
        </w:rPr>
        <w:t xml:space="preserve">      </w:t>
      </w:r>
    </w:p>
    <w:p w14:paraId="38C7F98B">
      <w:pPr>
        <w:spacing w:line="219" w:lineRule="auto"/>
        <w:rPr>
          <w:rFonts w:ascii="宋体" w:hAnsi="宋体" w:eastAsia="宋体" w:cs="宋体"/>
          <w:color w:val="auto"/>
          <w:sz w:val="24"/>
          <w:szCs w:val="24"/>
          <w:highlight w:val="none"/>
        </w:rPr>
        <w:sectPr>
          <w:footerReference r:id="rId172" w:type="default"/>
          <w:pgSz w:w="16841" w:h="11907"/>
          <w:pgMar w:top="400" w:right="1389" w:bottom="1252" w:left="1387" w:header="0" w:footer="1091" w:gutter="0"/>
          <w:pgNumType w:fmt="decimal"/>
          <w:cols w:space="720" w:num="1"/>
        </w:sectPr>
      </w:pPr>
    </w:p>
    <w:p w14:paraId="01F5E59D">
      <w:pPr>
        <w:pStyle w:val="3"/>
        <w:spacing w:line="246" w:lineRule="auto"/>
        <w:rPr>
          <w:color w:val="auto"/>
          <w:highlight w:val="none"/>
        </w:rPr>
      </w:pPr>
    </w:p>
    <w:p w14:paraId="07262FAA">
      <w:pPr>
        <w:pStyle w:val="3"/>
        <w:spacing w:line="246" w:lineRule="auto"/>
        <w:rPr>
          <w:color w:val="auto"/>
          <w:highlight w:val="none"/>
        </w:rPr>
      </w:pPr>
    </w:p>
    <w:p w14:paraId="6BE66FB1">
      <w:pPr>
        <w:pStyle w:val="3"/>
        <w:spacing w:line="246" w:lineRule="auto"/>
        <w:rPr>
          <w:color w:val="auto"/>
          <w:highlight w:val="none"/>
        </w:rPr>
      </w:pPr>
    </w:p>
    <w:p w14:paraId="6EF5EC9A">
      <w:pPr>
        <w:pStyle w:val="3"/>
        <w:spacing w:line="246" w:lineRule="auto"/>
        <w:rPr>
          <w:color w:val="auto"/>
          <w:highlight w:val="none"/>
        </w:rPr>
      </w:pPr>
    </w:p>
    <w:p w14:paraId="66C097B1">
      <w:pPr>
        <w:spacing w:before="91" w:line="219" w:lineRule="auto"/>
        <w:ind w:left="3158"/>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其他项目清单计价表</w:t>
      </w:r>
    </w:p>
    <w:p w14:paraId="247B3A68">
      <w:pPr>
        <w:spacing w:before="206" w:line="220" w:lineRule="auto"/>
        <w:ind w:left="3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第</w:t>
      </w:r>
      <w:r>
        <w:rPr>
          <w:rFonts w:ascii="宋体" w:hAnsi="宋体" w:eastAsia="宋体" w:cs="宋体"/>
          <w:color w:val="auto"/>
          <w:spacing w:val="12"/>
          <w:sz w:val="24"/>
          <w:szCs w:val="24"/>
          <w:highlight w:val="none"/>
        </w:rPr>
        <w:t xml:space="preserve">  </w:t>
      </w:r>
      <w:r>
        <w:rPr>
          <w:rFonts w:ascii="宋体" w:hAnsi="宋体" w:eastAsia="宋体" w:cs="宋体"/>
          <w:color w:val="auto"/>
          <w:spacing w:val="-2"/>
          <w:sz w:val="24"/>
          <w:szCs w:val="24"/>
          <w:highlight w:val="none"/>
        </w:rPr>
        <w:t>页共</w:t>
      </w:r>
      <w:r>
        <w:rPr>
          <w:rFonts w:ascii="宋体" w:hAnsi="宋体" w:eastAsia="宋体" w:cs="宋体"/>
          <w:color w:val="auto"/>
          <w:spacing w:val="7"/>
          <w:sz w:val="24"/>
          <w:szCs w:val="24"/>
          <w:highlight w:val="none"/>
        </w:rPr>
        <w:t xml:space="preserve">  </w:t>
      </w:r>
      <w:r>
        <w:rPr>
          <w:rFonts w:ascii="宋体" w:hAnsi="宋体" w:eastAsia="宋体" w:cs="宋体"/>
          <w:color w:val="auto"/>
          <w:spacing w:val="-2"/>
          <w:sz w:val="24"/>
          <w:szCs w:val="24"/>
          <w:highlight w:val="none"/>
        </w:rPr>
        <w:t>页</w:t>
      </w:r>
    </w:p>
    <w:p w14:paraId="12EEB172">
      <w:pPr>
        <w:spacing w:line="143" w:lineRule="exact"/>
        <w:rPr>
          <w:color w:val="auto"/>
          <w:highlight w:val="none"/>
        </w:rPr>
      </w:pPr>
    </w:p>
    <w:tbl>
      <w:tblPr>
        <w:tblStyle w:val="16"/>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9"/>
        <w:gridCol w:w="2758"/>
        <w:gridCol w:w="1504"/>
        <w:gridCol w:w="2003"/>
        <w:gridCol w:w="1770"/>
      </w:tblGrid>
      <w:tr w14:paraId="34E7A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769" w:type="dxa"/>
            <w:tcBorders>
              <w:top w:val="single" w:color="000000" w:sz="6" w:space="0"/>
              <w:left w:val="single" w:color="000000" w:sz="6" w:space="0"/>
            </w:tcBorders>
            <w:vAlign w:val="top"/>
          </w:tcPr>
          <w:p w14:paraId="333196E9">
            <w:pPr>
              <w:pStyle w:val="17"/>
              <w:spacing w:before="109" w:line="221" w:lineRule="auto"/>
              <w:ind w:left="144"/>
              <w:rPr>
                <w:color w:val="auto"/>
                <w:sz w:val="24"/>
                <w:szCs w:val="24"/>
                <w:highlight w:val="none"/>
              </w:rPr>
            </w:pPr>
            <w:r>
              <w:rPr>
                <w:color w:val="auto"/>
                <w:spacing w:val="-3"/>
                <w:sz w:val="24"/>
                <w:szCs w:val="24"/>
                <w:highlight w:val="none"/>
              </w:rPr>
              <w:t>序号</w:t>
            </w:r>
          </w:p>
        </w:tc>
        <w:tc>
          <w:tcPr>
            <w:tcW w:w="2758" w:type="dxa"/>
            <w:tcBorders>
              <w:top w:val="single" w:color="000000" w:sz="6" w:space="0"/>
            </w:tcBorders>
            <w:vAlign w:val="top"/>
          </w:tcPr>
          <w:p w14:paraId="01274A65">
            <w:pPr>
              <w:pStyle w:val="17"/>
              <w:spacing w:before="110" w:line="220" w:lineRule="auto"/>
              <w:ind w:left="904"/>
              <w:rPr>
                <w:color w:val="auto"/>
                <w:sz w:val="24"/>
                <w:szCs w:val="24"/>
                <w:highlight w:val="none"/>
              </w:rPr>
            </w:pPr>
            <w:r>
              <w:rPr>
                <w:color w:val="auto"/>
                <w:spacing w:val="-3"/>
                <w:sz w:val="24"/>
                <w:szCs w:val="24"/>
                <w:highlight w:val="none"/>
              </w:rPr>
              <w:t>项目名称</w:t>
            </w:r>
          </w:p>
        </w:tc>
        <w:tc>
          <w:tcPr>
            <w:tcW w:w="1504" w:type="dxa"/>
            <w:tcBorders>
              <w:top w:val="single" w:color="000000" w:sz="6" w:space="0"/>
            </w:tcBorders>
            <w:vAlign w:val="top"/>
          </w:tcPr>
          <w:p w14:paraId="0FF1B0FC">
            <w:pPr>
              <w:pStyle w:val="17"/>
              <w:spacing w:before="110" w:line="220" w:lineRule="auto"/>
              <w:ind w:left="278"/>
              <w:rPr>
                <w:color w:val="auto"/>
                <w:sz w:val="24"/>
                <w:szCs w:val="24"/>
                <w:highlight w:val="none"/>
              </w:rPr>
            </w:pPr>
            <w:r>
              <w:rPr>
                <w:color w:val="auto"/>
                <w:spacing w:val="-2"/>
                <w:sz w:val="24"/>
                <w:szCs w:val="24"/>
                <w:highlight w:val="none"/>
              </w:rPr>
              <w:t>计量单位</w:t>
            </w:r>
          </w:p>
        </w:tc>
        <w:tc>
          <w:tcPr>
            <w:tcW w:w="2003" w:type="dxa"/>
            <w:tcBorders>
              <w:top w:val="single" w:color="000000" w:sz="6" w:space="0"/>
            </w:tcBorders>
            <w:vAlign w:val="top"/>
          </w:tcPr>
          <w:p w14:paraId="2EB35658">
            <w:pPr>
              <w:pStyle w:val="17"/>
              <w:spacing w:before="109" w:line="220" w:lineRule="auto"/>
              <w:ind w:left="411"/>
              <w:rPr>
                <w:color w:val="auto"/>
                <w:sz w:val="24"/>
                <w:szCs w:val="24"/>
                <w:highlight w:val="none"/>
              </w:rPr>
            </w:pPr>
            <w:r>
              <w:rPr>
                <w:color w:val="auto"/>
                <w:spacing w:val="-5"/>
                <w:sz w:val="24"/>
                <w:szCs w:val="24"/>
                <w:highlight w:val="none"/>
              </w:rPr>
              <w:t>金额（元）</w:t>
            </w:r>
          </w:p>
        </w:tc>
        <w:tc>
          <w:tcPr>
            <w:tcW w:w="1770" w:type="dxa"/>
            <w:tcBorders>
              <w:top w:val="single" w:color="000000" w:sz="6" w:space="0"/>
              <w:right w:val="single" w:color="000000" w:sz="6" w:space="0"/>
            </w:tcBorders>
            <w:vAlign w:val="top"/>
          </w:tcPr>
          <w:p w14:paraId="35C7E753">
            <w:pPr>
              <w:pStyle w:val="17"/>
              <w:spacing w:before="109" w:line="221" w:lineRule="auto"/>
              <w:ind w:left="653"/>
              <w:rPr>
                <w:color w:val="auto"/>
                <w:sz w:val="24"/>
                <w:szCs w:val="24"/>
                <w:highlight w:val="none"/>
              </w:rPr>
            </w:pPr>
            <w:r>
              <w:rPr>
                <w:color w:val="auto"/>
                <w:spacing w:val="-4"/>
                <w:sz w:val="24"/>
                <w:szCs w:val="24"/>
                <w:highlight w:val="none"/>
              </w:rPr>
              <w:t>备注</w:t>
            </w:r>
          </w:p>
        </w:tc>
      </w:tr>
      <w:tr w14:paraId="15680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501F02D6">
            <w:pPr>
              <w:rPr>
                <w:rFonts w:ascii="Arial"/>
                <w:color w:val="auto"/>
                <w:sz w:val="21"/>
                <w:highlight w:val="none"/>
              </w:rPr>
            </w:pPr>
          </w:p>
        </w:tc>
        <w:tc>
          <w:tcPr>
            <w:tcW w:w="2758" w:type="dxa"/>
            <w:vAlign w:val="top"/>
          </w:tcPr>
          <w:p w14:paraId="2B51322B">
            <w:pPr>
              <w:rPr>
                <w:rFonts w:ascii="Arial"/>
                <w:color w:val="auto"/>
                <w:sz w:val="21"/>
                <w:highlight w:val="none"/>
              </w:rPr>
            </w:pPr>
          </w:p>
        </w:tc>
        <w:tc>
          <w:tcPr>
            <w:tcW w:w="1504" w:type="dxa"/>
            <w:vAlign w:val="top"/>
          </w:tcPr>
          <w:p w14:paraId="6D09686A">
            <w:pPr>
              <w:rPr>
                <w:rFonts w:ascii="Arial"/>
                <w:color w:val="auto"/>
                <w:sz w:val="21"/>
                <w:highlight w:val="none"/>
              </w:rPr>
            </w:pPr>
          </w:p>
        </w:tc>
        <w:tc>
          <w:tcPr>
            <w:tcW w:w="2003" w:type="dxa"/>
            <w:vAlign w:val="top"/>
          </w:tcPr>
          <w:p w14:paraId="55AA721B">
            <w:pPr>
              <w:rPr>
                <w:rFonts w:ascii="Arial"/>
                <w:color w:val="auto"/>
                <w:sz w:val="21"/>
                <w:highlight w:val="none"/>
              </w:rPr>
            </w:pPr>
          </w:p>
        </w:tc>
        <w:tc>
          <w:tcPr>
            <w:tcW w:w="1770" w:type="dxa"/>
            <w:tcBorders>
              <w:right w:val="single" w:color="000000" w:sz="6" w:space="0"/>
            </w:tcBorders>
            <w:vAlign w:val="top"/>
          </w:tcPr>
          <w:p w14:paraId="4D45838F">
            <w:pPr>
              <w:rPr>
                <w:rFonts w:ascii="Arial"/>
                <w:color w:val="auto"/>
                <w:sz w:val="21"/>
                <w:highlight w:val="none"/>
              </w:rPr>
            </w:pPr>
          </w:p>
        </w:tc>
      </w:tr>
      <w:tr w14:paraId="0F801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04997436">
            <w:pPr>
              <w:rPr>
                <w:rFonts w:ascii="Arial"/>
                <w:color w:val="auto"/>
                <w:sz w:val="21"/>
                <w:highlight w:val="none"/>
              </w:rPr>
            </w:pPr>
          </w:p>
        </w:tc>
        <w:tc>
          <w:tcPr>
            <w:tcW w:w="2758" w:type="dxa"/>
            <w:vAlign w:val="top"/>
          </w:tcPr>
          <w:p w14:paraId="7804B961">
            <w:pPr>
              <w:rPr>
                <w:rFonts w:ascii="Arial"/>
                <w:color w:val="auto"/>
                <w:sz w:val="21"/>
                <w:highlight w:val="none"/>
              </w:rPr>
            </w:pPr>
          </w:p>
        </w:tc>
        <w:tc>
          <w:tcPr>
            <w:tcW w:w="1504" w:type="dxa"/>
            <w:vAlign w:val="top"/>
          </w:tcPr>
          <w:p w14:paraId="4B0BA2E8">
            <w:pPr>
              <w:rPr>
                <w:rFonts w:ascii="Arial"/>
                <w:color w:val="auto"/>
                <w:sz w:val="21"/>
                <w:highlight w:val="none"/>
              </w:rPr>
            </w:pPr>
          </w:p>
        </w:tc>
        <w:tc>
          <w:tcPr>
            <w:tcW w:w="2003" w:type="dxa"/>
            <w:vAlign w:val="top"/>
          </w:tcPr>
          <w:p w14:paraId="06E08B2B">
            <w:pPr>
              <w:rPr>
                <w:rFonts w:ascii="Arial"/>
                <w:color w:val="auto"/>
                <w:sz w:val="21"/>
                <w:highlight w:val="none"/>
              </w:rPr>
            </w:pPr>
          </w:p>
        </w:tc>
        <w:tc>
          <w:tcPr>
            <w:tcW w:w="1770" w:type="dxa"/>
            <w:tcBorders>
              <w:right w:val="single" w:color="000000" w:sz="6" w:space="0"/>
            </w:tcBorders>
            <w:vAlign w:val="top"/>
          </w:tcPr>
          <w:p w14:paraId="34172F76">
            <w:pPr>
              <w:rPr>
                <w:rFonts w:ascii="Arial"/>
                <w:color w:val="auto"/>
                <w:sz w:val="21"/>
                <w:highlight w:val="none"/>
              </w:rPr>
            </w:pPr>
          </w:p>
        </w:tc>
      </w:tr>
      <w:tr w14:paraId="76208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69" w:type="dxa"/>
            <w:tcBorders>
              <w:left w:val="single" w:color="000000" w:sz="6" w:space="0"/>
            </w:tcBorders>
            <w:vAlign w:val="top"/>
          </w:tcPr>
          <w:p w14:paraId="72495E83">
            <w:pPr>
              <w:rPr>
                <w:rFonts w:ascii="Arial"/>
                <w:color w:val="auto"/>
                <w:sz w:val="21"/>
                <w:highlight w:val="none"/>
              </w:rPr>
            </w:pPr>
          </w:p>
        </w:tc>
        <w:tc>
          <w:tcPr>
            <w:tcW w:w="2758" w:type="dxa"/>
            <w:vAlign w:val="top"/>
          </w:tcPr>
          <w:p w14:paraId="3827A134">
            <w:pPr>
              <w:rPr>
                <w:rFonts w:ascii="Arial"/>
                <w:color w:val="auto"/>
                <w:sz w:val="21"/>
                <w:highlight w:val="none"/>
              </w:rPr>
            </w:pPr>
          </w:p>
        </w:tc>
        <w:tc>
          <w:tcPr>
            <w:tcW w:w="1504" w:type="dxa"/>
            <w:vAlign w:val="top"/>
          </w:tcPr>
          <w:p w14:paraId="7A1CE381">
            <w:pPr>
              <w:rPr>
                <w:rFonts w:ascii="Arial"/>
                <w:color w:val="auto"/>
                <w:sz w:val="21"/>
                <w:highlight w:val="none"/>
              </w:rPr>
            </w:pPr>
          </w:p>
        </w:tc>
        <w:tc>
          <w:tcPr>
            <w:tcW w:w="2003" w:type="dxa"/>
            <w:vAlign w:val="top"/>
          </w:tcPr>
          <w:p w14:paraId="0674844B">
            <w:pPr>
              <w:rPr>
                <w:rFonts w:ascii="Arial"/>
                <w:color w:val="auto"/>
                <w:sz w:val="21"/>
                <w:highlight w:val="none"/>
              </w:rPr>
            </w:pPr>
          </w:p>
        </w:tc>
        <w:tc>
          <w:tcPr>
            <w:tcW w:w="1770" w:type="dxa"/>
            <w:tcBorders>
              <w:right w:val="single" w:color="000000" w:sz="6" w:space="0"/>
            </w:tcBorders>
            <w:vAlign w:val="top"/>
          </w:tcPr>
          <w:p w14:paraId="6DB50541">
            <w:pPr>
              <w:rPr>
                <w:rFonts w:ascii="Arial"/>
                <w:color w:val="auto"/>
                <w:sz w:val="21"/>
                <w:highlight w:val="none"/>
              </w:rPr>
            </w:pPr>
          </w:p>
        </w:tc>
      </w:tr>
      <w:tr w14:paraId="6D765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00D095CB">
            <w:pPr>
              <w:rPr>
                <w:rFonts w:ascii="Arial"/>
                <w:color w:val="auto"/>
                <w:sz w:val="21"/>
                <w:highlight w:val="none"/>
              </w:rPr>
            </w:pPr>
          </w:p>
        </w:tc>
        <w:tc>
          <w:tcPr>
            <w:tcW w:w="2758" w:type="dxa"/>
            <w:vAlign w:val="top"/>
          </w:tcPr>
          <w:p w14:paraId="533807B4">
            <w:pPr>
              <w:rPr>
                <w:rFonts w:ascii="Arial"/>
                <w:color w:val="auto"/>
                <w:sz w:val="21"/>
                <w:highlight w:val="none"/>
              </w:rPr>
            </w:pPr>
          </w:p>
        </w:tc>
        <w:tc>
          <w:tcPr>
            <w:tcW w:w="1504" w:type="dxa"/>
            <w:vAlign w:val="top"/>
          </w:tcPr>
          <w:p w14:paraId="226E7FB6">
            <w:pPr>
              <w:rPr>
                <w:rFonts w:ascii="Arial"/>
                <w:color w:val="auto"/>
                <w:sz w:val="21"/>
                <w:highlight w:val="none"/>
              </w:rPr>
            </w:pPr>
          </w:p>
        </w:tc>
        <w:tc>
          <w:tcPr>
            <w:tcW w:w="2003" w:type="dxa"/>
            <w:vAlign w:val="top"/>
          </w:tcPr>
          <w:p w14:paraId="59083857">
            <w:pPr>
              <w:rPr>
                <w:rFonts w:ascii="Arial"/>
                <w:color w:val="auto"/>
                <w:sz w:val="21"/>
                <w:highlight w:val="none"/>
              </w:rPr>
            </w:pPr>
          </w:p>
        </w:tc>
        <w:tc>
          <w:tcPr>
            <w:tcW w:w="1770" w:type="dxa"/>
            <w:tcBorders>
              <w:right w:val="single" w:color="000000" w:sz="6" w:space="0"/>
            </w:tcBorders>
            <w:vAlign w:val="top"/>
          </w:tcPr>
          <w:p w14:paraId="68A99C37">
            <w:pPr>
              <w:rPr>
                <w:rFonts w:ascii="Arial"/>
                <w:color w:val="auto"/>
                <w:sz w:val="21"/>
                <w:highlight w:val="none"/>
              </w:rPr>
            </w:pPr>
          </w:p>
        </w:tc>
      </w:tr>
      <w:tr w14:paraId="27B42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57750CEC">
            <w:pPr>
              <w:rPr>
                <w:rFonts w:ascii="Arial"/>
                <w:color w:val="auto"/>
                <w:sz w:val="21"/>
                <w:highlight w:val="none"/>
              </w:rPr>
            </w:pPr>
          </w:p>
        </w:tc>
        <w:tc>
          <w:tcPr>
            <w:tcW w:w="2758" w:type="dxa"/>
            <w:vAlign w:val="top"/>
          </w:tcPr>
          <w:p w14:paraId="155E07DF">
            <w:pPr>
              <w:rPr>
                <w:rFonts w:ascii="Arial"/>
                <w:color w:val="auto"/>
                <w:sz w:val="21"/>
                <w:highlight w:val="none"/>
              </w:rPr>
            </w:pPr>
          </w:p>
        </w:tc>
        <w:tc>
          <w:tcPr>
            <w:tcW w:w="1504" w:type="dxa"/>
            <w:vAlign w:val="top"/>
          </w:tcPr>
          <w:p w14:paraId="6C4046D7">
            <w:pPr>
              <w:rPr>
                <w:rFonts w:ascii="Arial"/>
                <w:color w:val="auto"/>
                <w:sz w:val="21"/>
                <w:highlight w:val="none"/>
              </w:rPr>
            </w:pPr>
          </w:p>
        </w:tc>
        <w:tc>
          <w:tcPr>
            <w:tcW w:w="2003" w:type="dxa"/>
            <w:vAlign w:val="top"/>
          </w:tcPr>
          <w:p w14:paraId="02107726">
            <w:pPr>
              <w:rPr>
                <w:rFonts w:ascii="Arial"/>
                <w:color w:val="auto"/>
                <w:sz w:val="21"/>
                <w:highlight w:val="none"/>
              </w:rPr>
            </w:pPr>
          </w:p>
        </w:tc>
        <w:tc>
          <w:tcPr>
            <w:tcW w:w="1770" w:type="dxa"/>
            <w:tcBorders>
              <w:right w:val="single" w:color="000000" w:sz="6" w:space="0"/>
            </w:tcBorders>
            <w:vAlign w:val="top"/>
          </w:tcPr>
          <w:p w14:paraId="0A54631B">
            <w:pPr>
              <w:rPr>
                <w:rFonts w:ascii="Arial"/>
                <w:color w:val="auto"/>
                <w:sz w:val="21"/>
                <w:highlight w:val="none"/>
              </w:rPr>
            </w:pPr>
          </w:p>
        </w:tc>
      </w:tr>
      <w:tr w14:paraId="78A73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69" w:type="dxa"/>
            <w:tcBorders>
              <w:left w:val="single" w:color="000000" w:sz="6" w:space="0"/>
            </w:tcBorders>
            <w:vAlign w:val="top"/>
          </w:tcPr>
          <w:p w14:paraId="2CF47B58">
            <w:pPr>
              <w:rPr>
                <w:rFonts w:ascii="Arial"/>
                <w:color w:val="auto"/>
                <w:sz w:val="21"/>
                <w:highlight w:val="none"/>
              </w:rPr>
            </w:pPr>
          </w:p>
        </w:tc>
        <w:tc>
          <w:tcPr>
            <w:tcW w:w="2758" w:type="dxa"/>
            <w:vAlign w:val="top"/>
          </w:tcPr>
          <w:p w14:paraId="416BEA27">
            <w:pPr>
              <w:rPr>
                <w:rFonts w:ascii="Arial"/>
                <w:color w:val="auto"/>
                <w:sz w:val="21"/>
                <w:highlight w:val="none"/>
              </w:rPr>
            </w:pPr>
          </w:p>
        </w:tc>
        <w:tc>
          <w:tcPr>
            <w:tcW w:w="1504" w:type="dxa"/>
            <w:vAlign w:val="top"/>
          </w:tcPr>
          <w:p w14:paraId="265E723D">
            <w:pPr>
              <w:rPr>
                <w:rFonts w:ascii="Arial"/>
                <w:color w:val="auto"/>
                <w:sz w:val="21"/>
                <w:highlight w:val="none"/>
              </w:rPr>
            </w:pPr>
          </w:p>
        </w:tc>
        <w:tc>
          <w:tcPr>
            <w:tcW w:w="2003" w:type="dxa"/>
            <w:vAlign w:val="top"/>
          </w:tcPr>
          <w:p w14:paraId="3F66C9D2">
            <w:pPr>
              <w:rPr>
                <w:rFonts w:ascii="Arial"/>
                <w:color w:val="auto"/>
                <w:sz w:val="21"/>
                <w:highlight w:val="none"/>
              </w:rPr>
            </w:pPr>
          </w:p>
        </w:tc>
        <w:tc>
          <w:tcPr>
            <w:tcW w:w="1770" w:type="dxa"/>
            <w:tcBorders>
              <w:right w:val="single" w:color="000000" w:sz="6" w:space="0"/>
            </w:tcBorders>
            <w:vAlign w:val="top"/>
          </w:tcPr>
          <w:p w14:paraId="06F8DE40">
            <w:pPr>
              <w:rPr>
                <w:rFonts w:ascii="Arial"/>
                <w:color w:val="auto"/>
                <w:sz w:val="21"/>
                <w:highlight w:val="none"/>
              </w:rPr>
            </w:pPr>
          </w:p>
        </w:tc>
      </w:tr>
      <w:tr w14:paraId="49D4E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6A71569E">
            <w:pPr>
              <w:rPr>
                <w:rFonts w:ascii="Arial"/>
                <w:color w:val="auto"/>
                <w:sz w:val="21"/>
                <w:highlight w:val="none"/>
              </w:rPr>
            </w:pPr>
          </w:p>
        </w:tc>
        <w:tc>
          <w:tcPr>
            <w:tcW w:w="2758" w:type="dxa"/>
            <w:vAlign w:val="top"/>
          </w:tcPr>
          <w:p w14:paraId="671296F5">
            <w:pPr>
              <w:rPr>
                <w:rFonts w:ascii="Arial"/>
                <w:color w:val="auto"/>
                <w:sz w:val="21"/>
                <w:highlight w:val="none"/>
              </w:rPr>
            </w:pPr>
          </w:p>
        </w:tc>
        <w:tc>
          <w:tcPr>
            <w:tcW w:w="1504" w:type="dxa"/>
            <w:vAlign w:val="top"/>
          </w:tcPr>
          <w:p w14:paraId="606DFAEE">
            <w:pPr>
              <w:rPr>
                <w:rFonts w:ascii="Arial"/>
                <w:color w:val="auto"/>
                <w:sz w:val="21"/>
                <w:highlight w:val="none"/>
              </w:rPr>
            </w:pPr>
          </w:p>
        </w:tc>
        <w:tc>
          <w:tcPr>
            <w:tcW w:w="2003" w:type="dxa"/>
            <w:vAlign w:val="top"/>
          </w:tcPr>
          <w:p w14:paraId="64719EBA">
            <w:pPr>
              <w:rPr>
                <w:rFonts w:ascii="Arial"/>
                <w:color w:val="auto"/>
                <w:sz w:val="21"/>
                <w:highlight w:val="none"/>
              </w:rPr>
            </w:pPr>
          </w:p>
        </w:tc>
        <w:tc>
          <w:tcPr>
            <w:tcW w:w="1770" w:type="dxa"/>
            <w:tcBorders>
              <w:right w:val="single" w:color="000000" w:sz="6" w:space="0"/>
            </w:tcBorders>
            <w:vAlign w:val="top"/>
          </w:tcPr>
          <w:p w14:paraId="6A95483A">
            <w:pPr>
              <w:rPr>
                <w:rFonts w:ascii="Arial"/>
                <w:color w:val="auto"/>
                <w:sz w:val="21"/>
                <w:highlight w:val="none"/>
              </w:rPr>
            </w:pPr>
          </w:p>
        </w:tc>
      </w:tr>
      <w:tr w14:paraId="0E028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69" w:type="dxa"/>
            <w:tcBorders>
              <w:left w:val="single" w:color="000000" w:sz="6" w:space="0"/>
            </w:tcBorders>
            <w:vAlign w:val="top"/>
          </w:tcPr>
          <w:p w14:paraId="14E5035F">
            <w:pPr>
              <w:rPr>
                <w:rFonts w:ascii="Arial"/>
                <w:color w:val="auto"/>
                <w:sz w:val="21"/>
                <w:highlight w:val="none"/>
              </w:rPr>
            </w:pPr>
          </w:p>
        </w:tc>
        <w:tc>
          <w:tcPr>
            <w:tcW w:w="2758" w:type="dxa"/>
            <w:vAlign w:val="top"/>
          </w:tcPr>
          <w:p w14:paraId="3354A674">
            <w:pPr>
              <w:rPr>
                <w:rFonts w:ascii="Arial"/>
                <w:color w:val="auto"/>
                <w:sz w:val="21"/>
                <w:highlight w:val="none"/>
              </w:rPr>
            </w:pPr>
          </w:p>
        </w:tc>
        <w:tc>
          <w:tcPr>
            <w:tcW w:w="1504" w:type="dxa"/>
            <w:vAlign w:val="top"/>
          </w:tcPr>
          <w:p w14:paraId="71455662">
            <w:pPr>
              <w:rPr>
                <w:rFonts w:ascii="Arial"/>
                <w:color w:val="auto"/>
                <w:sz w:val="21"/>
                <w:highlight w:val="none"/>
              </w:rPr>
            </w:pPr>
          </w:p>
        </w:tc>
        <w:tc>
          <w:tcPr>
            <w:tcW w:w="2003" w:type="dxa"/>
            <w:vAlign w:val="top"/>
          </w:tcPr>
          <w:p w14:paraId="58D98F43">
            <w:pPr>
              <w:rPr>
                <w:rFonts w:ascii="Arial"/>
                <w:color w:val="auto"/>
                <w:sz w:val="21"/>
                <w:highlight w:val="none"/>
              </w:rPr>
            </w:pPr>
          </w:p>
        </w:tc>
        <w:tc>
          <w:tcPr>
            <w:tcW w:w="1770" w:type="dxa"/>
            <w:tcBorders>
              <w:right w:val="single" w:color="000000" w:sz="6" w:space="0"/>
            </w:tcBorders>
            <w:vAlign w:val="top"/>
          </w:tcPr>
          <w:p w14:paraId="6687564E">
            <w:pPr>
              <w:rPr>
                <w:rFonts w:ascii="Arial"/>
                <w:color w:val="auto"/>
                <w:sz w:val="21"/>
                <w:highlight w:val="none"/>
              </w:rPr>
            </w:pPr>
          </w:p>
        </w:tc>
      </w:tr>
      <w:tr w14:paraId="03F25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65328AD8">
            <w:pPr>
              <w:rPr>
                <w:rFonts w:ascii="Arial"/>
                <w:color w:val="auto"/>
                <w:sz w:val="21"/>
                <w:highlight w:val="none"/>
              </w:rPr>
            </w:pPr>
          </w:p>
        </w:tc>
        <w:tc>
          <w:tcPr>
            <w:tcW w:w="2758" w:type="dxa"/>
            <w:vAlign w:val="top"/>
          </w:tcPr>
          <w:p w14:paraId="185507A2">
            <w:pPr>
              <w:rPr>
                <w:rFonts w:ascii="Arial"/>
                <w:color w:val="auto"/>
                <w:sz w:val="21"/>
                <w:highlight w:val="none"/>
              </w:rPr>
            </w:pPr>
          </w:p>
        </w:tc>
        <w:tc>
          <w:tcPr>
            <w:tcW w:w="1504" w:type="dxa"/>
            <w:vAlign w:val="top"/>
          </w:tcPr>
          <w:p w14:paraId="630EEAFF">
            <w:pPr>
              <w:rPr>
                <w:rFonts w:ascii="Arial"/>
                <w:color w:val="auto"/>
                <w:sz w:val="21"/>
                <w:highlight w:val="none"/>
              </w:rPr>
            </w:pPr>
          </w:p>
        </w:tc>
        <w:tc>
          <w:tcPr>
            <w:tcW w:w="2003" w:type="dxa"/>
            <w:vAlign w:val="top"/>
          </w:tcPr>
          <w:p w14:paraId="0C997E52">
            <w:pPr>
              <w:rPr>
                <w:rFonts w:ascii="Arial"/>
                <w:color w:val="auto"/>
                <w:sz w:val="21"/>
                <w:highlight w:val="none"/>
              </w:rPr>
            </w:pPr>
          </w:p>
        </w:tc>
        <w:tc>
          <w:tcPr>
            <w:tcW w:w="1770" w:type="dxa"/>
            <w:tcBorders>
              <w:right w:val="single" w:color="000000" w:sz="6" w:space="0"/>
            </w:tcBorders>
            <w:vAlign w:val="top"/>
          </w:tcPr>
          <w:p w14:paraId="6C59EF0C">
            <w:pPr>
              <w:rPr>
                <w:rFonts w:ascii="Arial"/>
                <w:color w:val="auto"/>
                <w:sz w:val="21"/>
                <w:highlight w:val="none"/>
              </w:rPr>
            </w:pPr>
          </w:p>
        </w:tc>
      </w:tr>
      <w:tr w14:paraId="680E0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59B3261A">
            <w:pPr>
              <w:rPr>
                <w:rFonts w:ascii="Arial"/>
                <w:color w:val="auto"/>
                <w:sz w:val="21"/>
                <w:highlight w:val="none"/>
              </w:rPr>
            </w:pPr>
          </w:p>
        </w:tc>
        <w:tc>
          <w:tcPr>
            <w:tcW w:w="2758" w:type="dxa"/>
            <w:vAlign w:val="top"/>
          </w:tcPr>
          <w:p w14:paraId="194DCEDA">
            <w:pPr>
              <w:rPr>
                <w:rFonts w:ascii="Arial"/>
                <w:color w:val="auto"/>
                <w:sz w:val="21"/>
                <w:highlight w:val="none"/>
              </w:rPr>
            </w:pPr>
          </w:p>
        </w:tc>
        <w:tc>
          <w:tcPr>
            <w:tcW w:w="1504" w:type="dxa"/>
            <w:vAlign w:val="top"/>
          </w:tcPr>
          <w:p w14:paraId="5D82CC5E">
            <w:pPr>
              <w:rPr>
                <w:rFonts w:ascii="Arial"/>
                <w:color w:val="auto"/>
                <w:sz w:val="21"/>
                <w:highlight w:val="none"/>
              </w:rPr>
            </w:pPr>
          </w:p>
        </w:tc>
        <w:tc>
          <w:tcPr>
            <w:tcW w:w="2003" w:type="dxa"/>
            <w:vAlign w:val="top"/>
          </w:tcPr>
          <w:p w14:paraId="10581F1D">
            <w:pPr>
              <w:rPr>
                <w:rFonts w:ascii="Arial"/>
                <w:color w:val="auto"/>
                <w:sz w:val="21"/>
                <w:highlight w:val="none"/>
              </w:rPr>
            </w:pPr>
          </w:p>
        </w:tc>
        <w:tc>
          <w:tcPr>
            <w:tcW w:w="1770" w:type="dxa"/>
            <w:tcBorders>
              <w:right w:val="single" w:color="000000" w:sz="6" w:space="0"/>
            </w:tcBorders>
            <w:vAlign w:val="top"/>
          </w:tcPr>
          <w:p w14:paraId="47A5CD58">
            <w:pPr>
              <w:rPr>
                <w:rFonts w:ascii="Arial"/>
                <w:color w:val="auto"/>
                <w:sz w:val="21"/>
                <w:highlight w:val="none"/>
              </w:rPr>
            </w:pPr>
          </w:p>
        </w:tc>
      </w:tr>
      <w:tr w14:paraId="3020A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769" w:type="dxa"/>
            <w:tcBorders>
              <w:left w:val="single" w:color="000000" w:sz="6" w:space="0"/>
            </w:tcBorders>
            <w:vAlign w:val="top"/>
          </w:tcPr>
          <w:p w14:paraId="569232D2">
            <w:pPr>
              <w:rPr>
                <w:rFonts w:ascii="Arial"/>
                <w:color w:val="auto"/>
                <w:sz w:val="21"/>
                <w:highlight w:val="none"/>
              </w:rPr>
            </w:pPr>
          </w:p>
        </w:tc>
        <w:tc>
          <w:tcPr>
            <w:tcW w:w="2758" w:type="dxa"/>
            <w:vAlign w:val="top"/>
          </w:tcPr>
          <w:p w14:paraId="5AD35565">
            <w:pPr>
              <w:rPr>
                <w:rFonts w:ascii="Arial"/>
                <w:color w:val="auto"/>
                <w:sz w:val="21"/>
                <w:highlight w:val="none"/>
              </w:rPr>
            </w:pPr>
          </w:p>
        </w:tc>
        <w:tc>
          <w:tcPr>
            <w:tcW w:w="1504" w:type="dxa"/>
            <w:vAlign w:val="top"/>
          </w:tcPr>
          <w:p w14:paraId="1217BA62">
            <w:pPr>
              <w:rPr>
                <w:rFonts w:ascii="Arial"/>
                <w:color w:val="auto"/>
                <w:sz w:val="21"/>
                <w:highlight w:val="none"/>
              </w:rPr>
            </w:pPr>
          </w:p>
        </w:tc>
        <w:tc>
          <w:tcPr>
            <w:tcW w:w="2003" w:type="dxa"/>
            <w:vAlign w:val="top"/>
          </w:tcPr>
          <w:p w14:paraId="6A712386">
            <w:pPr>
              <w:rPr>
                <w:rFonts w:ascii="Arial"/>
                <w:color w:val="auto"/>
                <w:sz w:val="21"/>
                <w:highlight w:val="none"/>
              </w:rPr>
            </w:pPr>
          </w:p>
        </w:tc>
        <w:tc>
          <w:tcPr>
            <w:tcW w:w="1770" w:type="dxa"/>
            <w:tcBorders>
              <w:right w:val="single" w:color="000000" w:sz="6" w:space="0"/>
            </w:tcBorders>
            <w:vAlign w:val="top"/>
          </w:tcPr>
          <w:p w14:paraId="35F2E20D">
            <w:pPr>
              <w:rPr>
                <w:rFonts w:ascii="Arial"/>
                <w:color w:val="auto"/>
                <w:sz w:val="21"/>
                <w:highlight w:val="none"/>
              </w:rPr>
            </w:pPr>
          </w:p>
        </w:tc>
      </w:tr>
      <w:tr w14:paraId="4F2E1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3B55E981">
            <w:pPr>
              <w:rPr>
                <w:rFonts w:ascii="Arial"/>
                <w:color w:val="auto"/>
                <w:sz w:val="21"/>
                <w:highlight w:val="none"/>
              </w:rPr>
            </w:pPr>
          </w:p>
        </w:tc>
        <w:tc>
          <w:tcPr>
            <w:tcW w:w="2758" w:type="dxa"/>
            <w:vAlign w:val="top"/>
          </w:tcPr>
          <w:p w14:paraId="2F03FAFC">
            <w:pPr>
              <w:rPr>
                <w:rFonts w:ascii="Arial"/>
                <w:color w:val="auto"/>
                <w:sz w:val="21"/>
                <w:highlight w:val="none"/>
              </w:rPr>
            </w:pPr>
          </w:p>
        </w:tc>
        <w:tc>
          <w:tcPr>
            <w:tcW w:w="1504" w:type="dxa"/>
            <w:vAlign w:val="top"/>
          </w:tcPr>
          <w:p w14:paraId="46A66204">
            <w:pPr>
              <w:rPr>
                <w:rFonts w:ascii="Arial"/>
                <w:color w:val="auto"/>
                <w:sz w:val="21"/>
                <w:highlight w:val="none"/>
              </w:rPr>
            </w:pPr>
          </w:p>
        </w:tc>
        <w:tc>
          <w:tcPr>
            <w:tcW w:w="2003" w:type="dxa"/>
            <w:vAlign w:val="top"/>
          </w:tcPr>
          <w:p w14:paraId="5CF09AE3">
            <w:pPr>
              <w:rPr>
                <w:rFonts w:ascii="Arial"/>
                <w:color w:val="auto"/>
                <w:sz w:val="21"/>
                <w:highlight w:val="none"/>
              </w:rPr>
            </w:pPr>
          </w:p>
        </w:tc>
        <w:tc>
          <w:tcPr>
            <w:tcW w:w="1770" w:type="dxa"/>
            <w:tcBorders>
              <w:right w:val="single" w:color="000000" w:sz="6" w:space="0"/>
            </w:tcBorders>
            <w:vAlign w:val="top"/>
          </w:tcPr>
          <w:p w14:paraId="7E0F3076">
            <w:pPr>
              <w:rPr>
                <w:rFonts w:ascii="Arial"/>
                <w:color w:val="auto"/>
                <w:sz w:val="21"/>
                <w:highlight w:val="none"/>
              </w:rPr>
            </w:pPr>
          </w:p>
        </w:tc>
      </w:tr>
      <w:tr w14:paraId="669D4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7D53495E">
            <w:pPr>
              <w:rPr>
                <w:rFonts w:ascii="Arial"/>
                <w:color w:val="auto"/>
                <w:sz w:val="21"/>
                <w:highlight w:val="none"/>
              </w:rPr>
            </w:pPr>
          </w:p>
        </w:tc>
        <w:tc>
          <w:tcPr>
            <w:tcW w:w="2758" w:type="dxa"/>
            <w:vAlign w:val="top"/>
          </w:tcPr>
          <w:p w14:paraId="3E1BF2EF">
            <w:pPr>
              <w:rPr>
                <w:rFonts w:ascii="Arial"/>
                <w:color w:val="auto"/>
                <w:sz w:val="21"/>
                <w:highlight w:val="none"/>
              </w:rPr>
            </w:pPr>
          </w:p>
        </w:tc>
        <w:tc>
          <w:tcPr>
            <w:tcW w:w="1504" w:type="dxa"/>
            <w:vAlign w:val="top"/>
          </w:tcPr>
          <w:p w14:paraId="10E0E02B">
            <w:pPr>
              <w:rPr>
                <w:rFonts w:ascii="Arial"/>
                <w:color w:val="auto"/>
                <w:sz w:val="21"/>
                <w:highlight w:val="none"/>
              </w:rPr>
            </w:pPr>
          </w:p>
        </w:tc>
        <w:tc>
          <w:tcPr>
            <w:tcW w:w="2003" w:type="dxa"/>
            <w:vAlign w:val="top"/>
          </w:tcPr>
          <w:p w14:paraId="4EDFB11E">
            <w:pPr>
              <w:rPr>
                <w:rFonts w:ascii="Arial"/>
                <w:color w:val="auto"/>
                <w:sz w:val="21"/>
                <w:highlight w:val="none"/>
              </w:rPr>
            </w:pPr>
          </w:p>
        </w:tc>
        <w:tc>
          <w:tcPr>
            <w:tcW w:w="1770" w:type="dxa"/>
            <w:tcBorders>
              <w:right w:val="single" w:color="000000" w:sz="6" w:space="0"/>
            </w:tcBorders>
            <w:vAlign w:val="top"/>
          </w:tcPr>
          <w:p w14:paraId="6526A34C">
            <w:pPr>
              <w:rPr>
                <w:rFonts w:ascii="Arial"/>
                <w:color w:val="auto"/>
                <w:sz w:val="21"/>
                <w:highlight w:val="none"/>
              </w:rPr>
            </w:pPr>
          </w:p>
        </w:tc>
      </w:tr>
      <w:tr w14:paraId="4C30B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69" w:type="dxa"/>
            <w:tcBorders>
              <w:left w:val="single" w:color="000000" w:sz="6" w:space="0"/>
            </w:tcBorders>
            <w:vAlign w:val="top"/>
          </w:tcPr>
          <w:p w14:paraId="744B8A4B">
            <w:pPr>
              <w:rPr>
                <w:rFonts w:ascii="Arial"/>
                <w:color w:val="auto"/>
                <w:sz w:val="21"/>
                <w:highlight w:val="none"/>
              </w:rPr>
            </w:pPr>
          </w:p>
        </w:tc>
        <w:tc>
          <w:tcPr>
            <w:tcW w:w="2758" w:type="dxa"/>
            <w:vAlign w:val="top"/>
          </w:tcPr>
          <w:p w14:paraId="70DB5DA7">
            <w:pPr>
              <w:rPr>
                <w:rFonts w:ascii="Arial"/>
                <w:color w:val="auto"/>
                <w:sz w:val="21"/>
                <w:highlight w:val="none"/>
              </w:rPr>
            </w:pPr>
          </w:p>
        </w:tc>
        <w:tc>
          <w:tcPr>
            <w:tcW w:w="1504" w:type="dxa"/>
            <w:vAlign w:val="top"/>
          </w:tcPr>
          <w:p w14:paraId="30583B3A">
            <w:pPr>
              <w:rPr>
                <w:rFonts w:ascii="Arial"/>
                <w:color w:val="auto"/>
                <w:sz w:val="21"/>
                <w:highlight w:val="none"/>
              </w:rPr>
            </w:pPr>
          </w:p>
        </w:tc>
        <w:tc>
          <w:tcPr>
            <w:tcW w:w="2003" w:type="dxa"/>
            <w:vAlign w:val="top"/>
          </w:tcPr>
          <w:p w14:paraId="5AF19CC7">
            <w:pPr>
              <w:rPr>
                <w:rFonts w:ascii="Arial"/>
                <w:color w:val="auto"/>
                <w:sz w:val="21"/>
                <w:highlight w:val="none"/>
              </w:rPr>
            </w:pPr>
          </w:p>
        </w:tc>
        <w:tc>
          <w:tcPr>
            <w:tcW w:w="1770" w:type="dxa"/>
            <w:tcBorders>
              <w:right w:val="single" w:color="000000" w:sz="6" w:space="0"/>
            </w:tcBorders>
            <w:vAlign w:val="top"/>
          </w:tcPr>
          <w:p w14:paraId="08909189">
            <w:pPr>
              <w:rPr>
                <w:rFonts w:ascii="Arial"/>
                <w:color w:val="auto"/>
                <w:sz w:val="21"/>
                <w:highlight w:val="none"/>
              </w:rPr>
            </w:pPr>
          </w:p>
        </w:tc>
      </w:tr>
      <w:tr w14:paraId="56971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69" w:type="dxa"/>
            <w:tcBorders>
              <w:left w:val="single" w:color="000000" w:sz="6" w:space="0"/>
            </w:tcBorders>
            <w:vAlign w:val="top"/>
          </w:tcPr>
          <w:p w14:paraId="43FEA710">
            <w:pPr>
              <w:rPr>
                <w:rFonts w:ascii="Arial"/>
                <w:color w:val="auto"/>
                <w:sz w:val="21"/>
                <w:highlight w:val="none"/>
              </w:rPr>
            </w:pPr>
          </w:p>
        </w:tc>
        <w:tc>
          <w:tcPr>
            <w:tcW w:w="2758" w:type="dxa"/>
            <w:vAlign w:val="top"/>
          </w:tcPr>
          <w:p w14:paraId="4BC371D0">
            <w:pPr>
              <w:rPr>
                <w:rFonts w:ascii="Arial"/>
                <w:color w:val="auto"/>
                <w:sz w:val="21"/>
                <w:highlight w:val="none"/>
              </w:rPr>
            </w:pPr>
          </w:p>
        </w:tc>
        <w:tc>
          <w:tcPr>
            <w:tcW w:w="1504" w:type="dxa"/>
            <w:vAlign w:val="top"/>
          </w:tcPr>
          <w:p w14:paraId="37CC9DC6">
            <w:pPr>
              <w:rPr>
                <w:rFonts w:ascii="Arial"/>
                <w:color w:val="auto"/>
                <w:sz w:val="21"/>
                <w:highlight w:val="none"/>
              </w:rPr>
            </w:pPr>
          </w:p>
        </w:tc>
        <w:tc>
          <w:tcPr>
            <w:tcW w:w="2003" w:type="dxa"/>
            <w:vAlign w:val="top"/>
          </w:tcPr>
          <w:p w14:paraId="0B950B7E">
            <w:pPr>
              <w:rPr>
                <w:rFonts w:ascii="Arial"/>
                <w:color w:val="auto"/>
                <w:sz w:val="21"/>
                <w:highlight w:val="none"/>
              </w:rPr>
            </w:pPr>
          </w:p>
        </w:tc>
        <w:tc>
          <w:tcPr>
            <w:tcW w:w="1770" w:type="dxa"/>
            <w:tcBorders>
              <w:right w:val="single" w:color="000000" w:sz="6" w:space="0"/>
            </w:tcBorders>
            <w:vAlign w:val="top"/>
          </w:tcPr>
          <w:p w14:paraId="00DF4B52">
            <w:pPr>
              <w:rPr>
                <w:rFonts w:ascii="Arial"/>
                <w:color w:val="auto"/>
                <w:sz w:val="21"/>
                <w:highlight w:val="none"/>
              </w:rPr>
            </w:pPr>
          </w:p>
        </w:tc>
      </w:tr>
      <w:tr w14:paraId="63F87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769" w:type="dxa"/>
            <w:tcBorders>
              <w:left w:val="single" w:color="000000" w:sz="6" w:space="0"/>
              <w:bottom w:val="single" w:color="000000" w:sz="6" w:space="0"/>
            </w:tcBorders>
            <w:vAlign w:val="top"/>
          </w:tcPr>
          <w:p w14:paraId="5B3E3627">
            <w:pPr>
              <w:rPr>
                <w:rFonts w:ascii="Arial"/>
                <w:color w:val="auto"/>
                <w:sz w:val="21"/>
                <w:highlight w:val="none"/>
              </w:rPr>
            </w:pPr>
          </w:p>
        </w:tc>
        <w:tc>
          <w:tcPr>
            <w:tcW w:w="2758" w:type="dxa"/>
            <w:tcBorders>
              <w:bottom w:val="single" w:color="000000" w:sz="6" w:space="0"/>
            </w:tcBorders>
            <w:vAlign w:val="top"/>
          </w:tcPr>
          <w:p w14:paraId="1535A8C1">
            <w:pPr>
              <w:pStyle w:val="17"/>
              <w:spacing w:before="120" w:line="221" w:lineRule="auto"/>
              <w:ind w:left="1021"/>
              <w:rPr>
                <w:color w:val="auto"/>
                <w:sz w:val="24"/>
                <w:szCs w:val="24"/>
                <w:highlight w:val="none"/>
              </w:rPr>
            </w:pPr>
            <w:r>
              <w:rPr>
                <w:color w:val="auto"/>
                <w:spacing w:val="-6"/>
                <w:sz w:val="24"/>
                <w:szCs w:val="24"/>
                <w:highlight w:val="none"/>
              </w:rPr>
              <w:t>合</w:t>
            </w:r>
            <w:r>
              <w:rPr>
                <w:color w:val="auto"/>
                <w:spacing w:val="5"/>
                <w:sz w:val="24"/>
                <w:szCs w:val="24"/>
                <w:highlight w:val="none"/>
              </w:rPr>
              <w:t xml:space="preserve">  </w:t>
            </w:r>
            <w:r>
              <w:rPr>
                <w:color w:val="auto"/>
                <w:spacing w:val="-6"/>
                <w:sz w:val="24"/>
                <w:szCs w:val="24"/>
                <w:highlight w:val="none"/>
              </w:rPr>
              <w:t>计</w:t>
            </w:r>
          </w:p>
        </w:tc>
        <w:tc>
          <w:tcPr>
            <w:tcW w:w="1504" w:type="dxa"/>
            <w:tcBorders>
              <w:bottom w:val="single" w:color="000000" w:sz="6" w:space="0"/>
            </w:tcBorders>
            <w:vAlign w:val="top"/>
          </w:tcPr>
          <w:p w14:paraId="2A9787FA">
            <w:pPr>
              <w:rPr>
                <w:rFonts w:ascii="Arial"/>
                <w:color w:val="auto"/>
                <w:sz w:val="21"/>
                <w:highlight w:val="none"/>
              </w:rPr>
            </w:pPr>
          </w:p>
        </w:tc>
        <w:tc>
          <w:tcPr>
            <w:tcW w:w="2003" w:type="dxa"/>
            <w:tcBorders>
              <w:bottom w:val="single" w:color="000000" w:sz="6" w:space="0"/>
            </w:tcBorders>
            <w:vAlign w:val="top"/>
          </w:tcPr>
          <w:p w14:paraId="128467F6">
            <w:pPr>
              <w:rPr>
                <w:rFonts w:ascii="Arial"/>
                <w:color w:val="auto"/>
                <w:sz w:val="21"/>
                <w:highlight w:val="none"/>
              </w:rPr>
            </w:pPr>
          </w:p>
        </w:tc>
        <w:tc>
          <w:tcPr>
            <w:tcW w:w="1770" w:type="dxa"/>
            <w:tcBorders>
              <w:bottom w:val="single" w:color="000000" w:sz="6" w:space="0"/>
              <w:right w:val="single" w:color="000000" w:sz="6" w:space="0"/>
            </w:tcBorders>
            <w:vAlign w:val="top"/>
          </w:tcPr>
          <w:p w14:paraId="15D2D2A3">
            <w:pPr>
              <w:rPr>
                <w:rFonts w:ascii="Arial"/>
                <w:color w:val="auto"/>
                <w:sz w:val="21"/>
                <w:highlight w:val="none"/>
              </w:rPr>
            </w:pPr>
          </w:p>
        </w:tc>
      </w:tr>
    </w:tbl>
    <w:p w14:paraId="2E5A34D6">
      <w:pPr>
        <w:pStyle w:val="3"/>
        <w:spacing w:line="368" w:lineRule="auto"/>
        <w:rPr>
          <w:color w:val="auto"/>
          <w:highlight w:val="none"/>
        </w:rPr>
      </w:pPr>
    </w:p>
    <w:p w14:paraId="2C7E489A">
      <w:pPr>
        <w:spacing w:before="78" w:line="219" w:lineRule="auto"/>
        <w:ind w:left="224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法定代表人或委托代理人</w:t>
      </w:r>
      <w:r>
        <w:rPr>
          <w:rFonts w:ascii="宋体" w:hAnsi="宋体" w:eastAsia="宋体" w:cs="宋体"/>
          <w:color w:val="auto"/>
          <w:spacing w:val="-11"/>
          <w:sz w:val="24"/>
          <w:szCs w:val="24"/>
          <w:highlight w:val="none"/>
        </w:rPr>
        <w:t>：</w:t>
      </w:r>
      <w:r>
        <w:rPr>
          <w:rFonts w:ascii="宋体" w:hAnsi="宋体" w:eastAsia="宋体" w:cs="宋体"/>
          <w:color w:val="auto"/>
          <w:spacing w:val="30"/>
          <w:sz w:val="24"/>
          <w:szCs w:val="24"/>
          <w:highlight w:val="none"/>
          <w:u w:val="single" w:color="auto"/>
        </w:rPr>
        <w:t xml:space="preserve">    </w:t>
      </w:r>
      <w:r>
        <w:rPr>
          <w:rFonts w:ascii="宋体" w:hAnsi="宋体" w:eastAsia="宋体" w:cs="宋体"/>
          <w:color w:val="auto"/>
          <w:spacing w:val="-11"/>
          <w:sz w:val="24"/>
          <w:szCs w:val="24"/>
          <w:highlight w:val="none"/>
          <w:u w:val="single" w:color="auto"/>
        </w:rPr>
        <w:t>（</w:t>
      </w:r>
      <w:r>
        <w:rPr>
          <w:rFonts w:ascii="宋体" w:hAnsi="宋体" w:eastAsia="宋体" w:cs="宋体"/>
          <w:color w:val="auto"/>
          <w:spacing w:val="1"/>
          <w:sz w:val="24"/>
          <w:szCs w:val="24"/>
          <w:highlight w:val="none"/>
          <w:u w:val="single" w:color="auto"/>
        </w:rPr>
        <w:t>签字或盖章）</w:t>
      </w:r>
      <w:r>
        <w:rPr>
          <w:rFonts w:ascii="宋体" w:hAnsi="宋体" w:eastAsia="宋体" w:cs="宋体"/>
          <w:color w:val="auto"/>
          <w:sz w:val="24"/>
          <w:szCs w:val="24"/>
          <w:highlight w:val="none"/>
          <w:u w:val="single" w:color="auto"/>
        </w:rPr>
        <w:t xml:space="preserve">      </w:t>
      </w:r>
    </w:p>
    <w:p w14:paraId="4D2CE5EE">
      <w:pPr>
        <w:spacing w:line="219" w:lineRule="auto"/>
        <w:rPr>
          <w:rFonts w:ascii="宋体" w:hAnsi="宋体" w:eastAsia="宋体" w:cs="宋体"/>
          <w:color w:val="auto"/>
          <w:sz w:val="24"/>
          <w:szCs w:val="24"/>
          <w:highlight w:val="none"/>
        </w:rPr>
        <w:sectPr>
          <w:footerReference r:id="rId173" w:type="default"/>
          <w:pgSz w:w="11907" w:h="16841"/>
          <w:pgMar w:top="400" w:right="1514" w:bottom="1254" w:left="1571" w:header="0" w:footer="1093" w:gutter="0"/>
          <w:pgNumType w:fmt="decimal"/>
          <w:cols w:space="720" w:num="1"/>
        </w:sectPr>
      </w:pPr>
    </w:p>
    <w:p w14:paraId="68ADE802">
      <w:pPr>
        <w:pStyle w:val="3"/>
        <w:spacing w:line="246" w:lineRule="auto"/>
        <w:rPr>
          <w:color w:val="auto"/>
          <w:highlight w:val="none"/>
        </w:rPr>
      </w:pPr>
    </w:p>
    <w:p w14:paraId="73108216">
      <w:pPr>
        <w:pStyle w:val="3"/>
        <w:spacing w:line="246" w:lineRule="auto"/>
        <w:rPr>
          <w:color w:val="auto"/>
          <w:highlight w:val="none"/>
        </w:rPr>
      </w:pPr>
    </w:p>
    <w:p w14:paraId="765011CB">
      <w:pPr>
        <w:pStyle w:val="3"/>
        <w:spacing w:line="246" w:lineRule="auto"/>
        <w:rPr>
          <w:color w:val="auto"/>
          <w:highlight w:val="none"/>
        </w:rPr>
      </w:pPr>
    </w:p>
    <w:p w14:paraId="04DEA762">
      <w:pPr>
        <w:pStyle w:val="3"/>
        <w:spacing w:line="246" w:lineRule="auto"/>
        <w:rPr>
          <w:color w:val="auto"/>
          <w:highlight w:val="none"/>
        </w:rPr>
      </w:pPr>
    </w:p>
    <w:p w14:paraId="5D2337EB">
      <w:pPr>
        <w:spacing w:before="91" w:line="219" w:lineRule="auto"/>
        <w:ind w:left="3141"/>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零星工作项目计价表</w:t>
      </w:r>
    </w:p>
    <w:p w14:paraId="6A1E106A">
      <w:pPr>
        <w:spacing w:before="206" w:line="220" w:lineRule="auto"/>
        <w:ind w:left="1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第</w:t>
      </w:r>
      <w:r>
        <w:rPr>
          <w:rFonts w:ascii="宋体" w:hAnsi="宋体" w:eastAsia="宋体" w:cs="宋体"/>
          <w:color w:val="auto"/>
          <w:spacing w:val="12"/>
          <w:sz w:val="24"/>
          <w:szCs w:val="24"/>
          <w:highlight w:val="none"/>
        </w:rPr>
        <w:t xml:space="preserve">  </w:t>
      </w:r>
      <w:r>
        <w:rPr>
          <w:rFonts w:ascii="宋体" w:hAnsi="宋体" w:eastAsia="宋体" w:cs="宋体"/>
          <w:color w:val="auto"/>
          <w:spacing w:val="-2"/>
          <w:sz w:val="24"/>
          <w:szCs w:val="24"/>
          <w:highlight w:val="none"/>
        </w:rPr>
        <w:t>页共</w:t>
      </w:r>
      <w:r>
        <w:rPr>
          <w:rFonts w:ascii="宋体" w:hAnsi="宋体" w:eastAsia="宋体" w:cs="宋体"/>
          <w:color w:val="auto"/>
          <w:spacing w:val="7"/>
          <w:sz w:val="24"/>
          <w:szCs w:val="24"/>
          <w:highlight w:val="none"/>
        </w:rPr>
        <w:t xml:space="preserve">  </w:t>
      </w:r>
      <w:r>
        <w:rPr>
          <w:rFonts w:ascii="宋体" w:hAnsi="宋体" w:eastAsia="宋体" w:cs="宋体"/>
          <w:color w:val="auto"/>
          <w:spacing w:val="-2"/>
          <w:sz w:val="24"/>
          <w:szCs w:val="24"/>
          <w:highlight w:val="none"/>
        </w:rPr>
        <w:t>页</w:t>
      </w:r>
    </w:p>
    <w:p w14:paraId="0FE4BA52">
      <w:pPr>
        <w:spacing w:line="143" w:lineRule="exact"/>
        <w:rPr>
          <w:color w:val="auto"/>
          <w:highlight w:val="none"/>
        </w:rPr>
      </w:pPr>
    </w:p>
    <w:tbl>
      <w:tblPr>
        <w:tblStyle w:val="16"/>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4"/>
        <w:gridCol w:w="2564"/>
        <w:gridCol w:w="1370"/>
        <w:gridCol w:w="1371"/>
        <w:gridCol w:w="1368"/>
        <w:gridCol w:w="1382"/>
      </w:tblGrid>
      <w:tr w14:paraId="33A8D1C2">
        <w:tblPrEx>
          <w:tblCellMar>
            <w:top w:w="0" w:type="dxa"/>
            <w:left w:w="0" w:type="dxa"/>
            <w:bottom w:w="0" w:type="dxa"/>
            <w:right w:w="0" w:type="dxa"/>
          </w:tblCellMar>
        </w:tblPrEx>
        <w:trPr>
          <w:trHeight w:val="944" w:hRule="atLeast"/>
        </w:trPr>
        <w:tc>
          <w:tcPr>
            <w:tcW w:w="954" w:type="dxa"/>
            <w:tcBorders>
              <w:top w:val="single" w:color="000000" w:sz="6" w:space="0"/>
              <w:left w:val="single" w:color="000000" w:sz="6" w:space="0"/>
            </w:tcBorders>
            <w:vAlign w:val="top"/>
          </w:tcPr>
          <w:p w14:paraId="33C5196F">
            <w:pPr>
              <w:pStyle w:val="17"/>
              <w:spacing w:before="275" w:line="221" w:lineRule="auto"/>
              <w:ind w:left="235"/>
              <w:rPr>
                <w:color w:val="auto"/>
                <w:sz w:val="24"/>
                <w:szCs w:val="24"/>
                <w:highlight w:val="none"/>
              </w:rPr>
            </w:pPr>
            <w:r>
              <w:rPr>
                <w:color w:val="auto"/>
                <w:spacing w:val="-3"/>
                <w:sz w:val="24"/>
                <w:szCs w:val="24"/>
                <w:highlight w:val="none"/>
              </w:rPr>
              <w:t>序号</w:t>
            </w:r>
          </w:p>
        </w:tc>
        <w:tc>
          <w:tcPr>
            <w:tcW w:w="2564" w:type="dxa"/>
            <w:tcBorders>
              <w:top w:val="single" w:color="000000" w:sz="6" w:space="0"/>
            </w:tcBorders>
            <w:vAlign w:val="top"/>
          </w:tcPr>
          <w:p w14:paraId="259DD63B">
            <w:pPr>
              <w:pStyle w:val="17"/>
              <w:spacing w:before="275" w:line="222" w:lineRule="auto"/>
              <w:ind w:left="807"/>
              <w:rPr>
                <w:color w:val="auto"/>
                <w:sz w:val="24"/>
                <w:szCs w:val="24"/>
                <w:highlight w:val="none"/>
              </w:rPr>
            </w:pPr>
            <w:r>
              <w:rPr>
                <w:color w:val="auto"/>
                <w:spacing w:val="-7"/>
                <w:sz w:val="24"/>
                <w:szCs w:val="24"/>
                <w:highlight w:val="none"/>
              </w:rPr>
              <w:t>名</w:t>
            </w:r>
            <w:r>
              <w:rPr>
                <w:color w:val="auto"/>
                <w:spacing w:val="2"/>
                <w:sz w:val="24"/>
                <w:szCs w:val="24"/>
                <w:highlight w:val="none"/>
              </w:rPr>
              <w:t xml:space="preserve">    </w:t>
            </w:r>
            <w:r>
              <w:rPr>
                <w:color w:val="auto"/>
                <w:spacing w:val="-7"/>
                <w:sz w:val="24"/>
                <w:szCs w:val="24"/>
                <w:highlight w:val="none"/>
              </w:rPr>
              <w:t>称</w:t>
            </w:r>
          </w:p>
        </w:tc>
        <w:tc>
          <w:tcPr>
            <w:tcW w:w="1370" w:type="dxa"/>
            <w:tcBorders>
              <w:top w:val="single" w:color="000000" w:sz="6" w:space="0"/>
            </w:tcBorders>
            <w:vAlign w:val="top"/>
          </w:tcPr>
          <w:p w14:paraId="444EB268">
            <w:pPr>
              <w:pStyle w:val="17"/>
              <w:spacing w:before="275" w:line="220" w:lineRule="auto"/>
              <w:ind w:left="218"/>
              <w:rPr>
                <w:color w:val="auto"/>
                <w:sz w:val="24"/>
                <w:szCs w:val="24"/>
                <w:highlight w:val="none"/>
              </w:rPr>
            </w:pPr>
            <w:r>
              <w:rPr>
                <w:color w:val="auto"/>
                <w:spacing w:val="-4"/>
                <w:sz w:val="24"/>
                <w:szCs w:val="24"/>
                <w:highlight w:val="none"/>
              </w:rPr>
              <w:t>型号规格</w:t>
            </w:r>
          </w:p>
        </w:tc>
        <w:tc>
          <w:tcPr>
            <w:tcW w:w="1371" w:type="dxa"/>
            <w:tcBorders>
              <w:top w:val="single" w:color="000000" w:sz="6" w:space="0"/>
            </w:tcBorders>
            <w:vAlign w:val="top"/>
          </w:tcPr>
          <w:p w14:paraId="61B73217">
            <w:pPr>
              <w:pStyle w:val="17"/>
              <w:spacing w:before="275" w:line="220" w:lineRule="auto"/>
              <w:ind w:left="213"/>
              <w:rPr>
                <w:color w:val="auto"/>
                <w:sz w:val="24"/>
                <w:szCs w:val="24"/>
                <w:highlight w:val="none"/>
              </w:rPr>
            </w:pPr>
            <w:r>
              <w:rPr>
                <w:color w:val="auto"/>
                <w:spacing w:val="-2"/>
                <w:sz w:val="24"/>
                <w:szCs w:val="24"/>
                <w:highlight w:val="none"/>
              </w:rPr>
              <w:t>计量单位</w:t>
            </w:r>
          </w:p>
        </w:tc>
        <w:tc>
          <w:tcPr>
            <w:tcW w:w="1368" w:type="dxa"/>
            <w:tcBorders>
              <w:top w:val="single" w:color="000000" w:sz="6" w:space="0"/>
            </w:tcBorders>
            <w:vAlign w:val="top"/>
          </w:tcPr>
          <w:p w14:paraId="32320D1C">
            <w:pPr>
              <w:pStyle w:val="17"/>
              <w:spacing w:before="42" w:line="343" w:lineRule="auto"/>
              <w:ind w:left="339" w:right="335" w:firstLine="115"/>
              <w:rPr>
                <w:color w:val="auto"/>
                <w:sz w:val="24"/>
                <w:szCs w:val="24"/>
                <w:highlight w:val="none"/>
              </w:rPr>
            </w:pPr>
            <w:r>
              <w:rPr>
                <w:color w:val="auto"/>
                <w:spacing w:val="-6"/>
                <w:sz w:val="24"/>
                <w:szCs w:val="24"/>
                <w:highlight w:val="none"/>
              </w:rPr>
              <w:t>单价</w:t>
            </w:r>
            <w:r>
              <w:rPr>
                <w:color w:val="auto"/>
                <w:spacing w:val="-11"/>
                <w:sz w:val="24"/>
                <w:szCs w:val="24"/>
                <w:highlight w:val="none"/>
              </w:rPr>
              <w:t>（元）</w:t>
            </w:r>
          </w:p>
        </w:tc>
        <w:tc>
          <w:tcPr>
            <w:tcW w:w="1382" w:type="dxa"/>
            <w:tcBorders>
              <w:top w:val="single" w:color="000000" w:sz="6" w:space="0"/>
              <w:right w:val="single" w:color="000000" w:sz="6" w:space="0"/>
            </w:tcBorders>
            <w:vAlign w:val="top"/>
          </w:tcPr>
          <w:p w14:paraId="6EE33AC3">
            <w:pPr>
              <w:pStyle w:val="17"/>
              <w:spacing w:before="275" w:line="221" w:lineRule="auto"/>
              <w:ind w:left="460"/>
              <w:rPr>
                <w:color w:val="auto"/>
                <w:sz w:val="24"/>
                <w:szCs w:val="24"/>
                <w:highlight w:val="none"/>
              </w:rPr>
            </w:pPr>
            <w:r>
              <w:rPr>
                <w:color w:val="auto"/>
                <w:spacing w:val="-4"/>
                <w:sz w:val="24"/>
                <w:szCs w:val="24"/>
                <w:highlight w:val="none"/>
              </w:rPr>
              <w:t>备注</w:t>
            </w:r>
          </w:p>
        </w:tc>
      </w:tr>
      <w:tr w14:paraId="1A4B7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18BFC8B8">
            <w:pPr>
              <w:spacing w:before="88" w:line="186" w:lineRule="auto"/>
              <w:ind w:left="435"/>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1</w:t>
            </w:r>
          </w:p>
        </w:tc>
        <w:tc>
          <w:tcPr>
            <w:tcW w:w="2564" w:type="dxa"/>
            <w:vAlign w:val="top"/>
          </w:tcPr>
          <w:p w14:paraId="009F241F">
            <w:pPr>
              <w:pStyle w:val="17"/>
              <w:spacing w:before="37" w:line="222" w:lineRule="auto"/>
              <w:ind w:left="1046"/>
              <w:rPr>
                <w:color w:val="auto"/>
                <w:sz w:val="24"/>
                <w:szCs w:val="24"/>
                <w:highlight w:val="none"/>
              </w:rPr>
            </w:pPr>
            <w:r>
              <w:rPr>
                <w:color w:val="auto"/>
                <w:spacing w:val="-3"/>
                <w:sz w:val="24"/>
                <w:szCs w:val="24"/>
                <w:highlight w:val="none"/>
              </w:rPr>
              <w:t>人工</w:t>
            </w:r>
          </w:p>
        </w:tc>
        <w:tc>
          <w:tcPr>
            <w:tcW w:w="1370" w:type="dxa"/>
            <w:vAlign w:val="top"/>
          </w:tcPr>
          <w:p w14:paraId="5D387272">
            <w:pPr>
              <w:rPr>
                <w:rFonts w:ascii="Arial"/>
                <w:color w:val="auto"/>
                <w:sz w:val="21"/>
                <w:highlight w:val="none"/>
              </w:rPr>
            </w:pPr>
          </w:p>
        </w:tc>
        <w:tc>
          <w:tcPr>
            <w:tcW w:w="1371" w:type="dxa"/>
            <w:vAlign w:val="top"/>
          </w:tcPr>
          <w:p w14:paraId="16D77DEE">
            <w:pPr>
              <w:rPr>
                <w:rFonts w:ascii="Arial"/>
                <w:color w:val="auto"/>
                <w:sz w:val="21"/>
                <w:highlight w:val="none"/>
              </w:rPr>
            </w:pPr>
          </w:p>
        </w:tc>
        <w:tc>
          <w:tcPr>
            <w:tcW w:w="1368" w:type="dxa"/>
            <w:vAlign w:val="top"/>
          </w:tcPr>
          <w:p w14:paraId="491F418F">
            <w:pPr>
              <w:rPr>
                <w:rFonts w:ascii="Arial"/>
                <w:color w:val="auto"/>
                <w:sz w:val="21"/>
                <w:highlight w:val="none"/>
              </w:rPr>
            </w:pPr>
          </w:p>
        </w:tc>
        <w:tc>
          <w:tcPr>
            <w:tcW w:w="1382" w:type="dxa"/>
            <w:tcBorders>
              <w:right w:val="single" w:color="000000" w:sz="6" w:space="0"/>
            </w:tcBorders>
            <w:vAlign w:val="top"/>
          </w:tcPr>
          <w:p w14:paraId="570383A4">
            <w:pPr>
              <w:rPr>
                <w:rFonts w:ascii="Arial"/>
                <w:color w:val="auto"/>
                <w:sz w:val="21"/>
                <w:highlight w:val="none"/>
              </w:rPr>
            </w:pPr>
          </w:p>
        </w:tc>
      </w:tr>
      <w:tr w14:paraId="3D27F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954" w:type="dxa"/>
            <w:tcBorders>
              <w:left w:val="single" w:color="000000" w:sz="6" w:space="0"/>
            </w:tcBorders>
            <w:vAlign w:val="top"/>
          </w:tcPr>
          <w:p w14:paraId="09BD35E4">
            <w:pPr>
              <w:rPr>
                <w:rFonts w:ascii="Arial"/>
                <w:color w:val="auto"/>
                <w:sz w:val="21"/>
                <w:highlight w:val="none"/>
              </w:rPr>
            </w:pPr>
          </w:p>
        </w:tc>
        <w:tc>
          <w:tcPr>
            <w:tcW w:w="2564" w:type="dxa"/>
            <w:vAlign w:val="top"/>
          </w:tcPr>
          <w:p w14:paraId="7C5E27A8">
            <w:pPr>
              <w:rPr>
                <w:rFonts w:ascii="Arial"/>
                <w:color w:val="auto"/>
                <w:sz w:val="21"/>
                <w:highlight w:val="none"/>
              </w:rPr>
            </w:pPr>
          </w:p>
        </w:tc>
        <w:tc>
          <w:tcPr>
            <w:tcW w:w="1370" w:type="dxa"/>
            <w:vAlign w:val="top"/>
          </w:tcPr>
          <w:p w14:paraId="3E777314">
            <w:pPr>
              <w:rPr>
                <w:rFonts w:ascii="Arial"/>
                <w:color w:val="auto"/>
                <w:sz w:val="21"/>
                <w:highlight w:val="none"/>
              </w:rPr>
            </w:pPr>
          </w:p>
        </w:tc>
        <w:tc>
          <w:tcPr>
            <w:tcW w:w="1371" w:type="dxa"/>
            <w:vAlign w:val="top"/>
          </w:tcPr>
          <w:p w14:paraId="428ACBEF">
            <w:pPr>
              <w:rPr>
                <w:rFonts w:ascii="Arial"/>
                <w:color w:val="auto"/>
                <w:sz w:val="21"/>
                <w:highlight w:val="none"/>
              </w:rPr>
            </w:pPr>
          </w:p>
        </w:tc>
        <w:tc>
          <w:tcPr>
            <w:tcW w:w="1368" w:type="dxa"/>
            <w:vAlign w:val="top"/>
          </w:tcPr>
          <w:p w14:paraId="6C72FBDA">
            <w:pPr>
              <w:rPr>
                <w:rFonts w:ascii="Arial"/>
                <w:color w:val="auto"/>
                <w:sz w:val="21"/>
                <w:highlight w:val="none"/>
              </w:rPr>
            </w:pPr>
          </w:p>
        </w:tc>
        <w:tc>
          <w:tcPr>
            <w:tcW w:w="1382" w:type="dxa"/>
            <w:tcBorders>
              <w:right w:val="single" w:color="000000" w:sz="6" w:space="0"/>
            </w:tcBorders>
            <w:vAlign w:val="top"/>
          </w:tcPr>
          <w:p w14:paraId="21EFF73D">
            <w:pPr>
              <w:rPr>
                <w:rFonts w:ascii="Arial"/>
                <w:color w:val="auto"/>
                <w:sz w:val="21"/>
                <w:highlight w:val="none"/>
              </w:rPr>
            </w:pPr>
          </w:p>
        </w:tc>
      </w:tr>
      <w:tr w14:paraId="0C33B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2E75A401">
            <w:pPr>
              <w:rPr>
                <w:rFonts w:ascii="Arial"/>
                <w:color w:val="auto"/>
                <w:sz w:val="21"/>
                <w:highlight w:val="none"/>
              </w:rPr>
            </w:pPr>
          </w:p>
        </w:tc>
        <w:tc>
          <w:tcPr>
            <w:tcW w:w="2564" w:type="dxa"/>
            <w:vAlign w:val="top"/>
          </w:tcPr>
          <w:p w14:paraId="0F89861C">
            <w:pPr>
              <w:rPr>
                <w:rFonts w:ascii="Arial"/>
                <w:color w:val="auto"/>
                <w:sz w:val="21"/>
                <w:highlight w:val="none"/>
              </w:rPr>
            </w:pPr>
          </w:p>
        </w:tc>
        <w:tc>
          <w:tcPr>
            <w:tcW w:w="1370" w:type="dxa"/>
            <w:vAlign w:val="top"/>
          </w:tcPr>
          <w:p w14:paraId="2D17E927">
            <w:pPr>
              <w:rPr>
                <w:rFonts w:ascii="Arial"/>
                <w:color w:val="auto"/>
                <w:sz w:val="21"/>
                <w:highlight w:val="none"/>
              </w:rPr>
            </w:pPr>
          </w:p>
        </w:tc>
        <w:tc>
          <w:tcPr>
            <w:tcW w:w="1371" w:type="dxa"/>
            <w:vAlign w:val="top"/>
          </w:tcPr>
          <w:p w14:paraId="0B6A0A5A">
            <w:pPr>
              <w:rPr>
                <w:rFonts w:ascii="Arial"/>
                <w:color w:val="auto"/>
                <w:sz w:val="21"/>
                <w:highlight w:val="none"/>
              </w:rPr>
            </w:pPr>
          </w:p>
        </w:tc>
        <w:tc>
          <w:tcPr>
            <w:tcW w:w="1368" w:type="dxa"/>
            <w:vAlign w:val="top"/>
          </w:tcPr>
          <w:p w14:paraId="78D6F86B">
            <w:pPr>
              <w:rPr>
                <w:rFonts w:ascii="Arial"/>
                <w:color w:val="auto"/>
                <w:sz w:val="21"/>
                <w:highlight w:val="none"/>
              </w:rPr>
            </w:pPr>
          </w:p>
        </w:tc>
        <w:tc>
          <w:tcPr>
            <w:tcW w:w="1382" w:type="dxa"/>
            <w:tcBorders>
              <w:right w:val="single" w:color="000000" w:sz="6" w:space="0"/>
            </w:tcBorders>
            <w:vAlign w:val="top"/>
          </w:tcPr>
          <w:p w14:paraId="6B9EF66D">
            <w:pPr>
              <w:rPr>
                <w:rFonts w:ascii="Arial"/>
                <w:color w:val="auto"/>
                <w:sz w:val="21"/>
                <w:highlight w:val="none"/>
              </w:rPr>
            </w:pPr>
          </w:p>
        </w:tc>
      </w:tr>
      <w:tr w14:paraId="59833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954" w:type="dxa"/>
            <w:tcBorders>
              <w:left w:val="single" w:color="000000" w:sz="6" w:space="0"/>
            </w:tcBorders>
            <w:vAlign w:val="top"/>
          </w:tcPr>
          <w:p w14:paraId="448A26C6">
            <w:pPr>
              <w:rPr>
                <w:rFonts w:ascii="Arial"/>
                <w:color w:val="auto"/>
                <w:sz w:val="21"/>
                <w:highlight w:val="none"/>
              </w:rPr>
            </w:pPr>
          </w:p>
        </w:tc>
        <w:tc>
          <w:tcPr>
            <w:tcW w:w="2564" w:type="dxa"/>
            <w:vAlign w:val="top"/>
          </w:tcPr>
          <w:p w14:paraId="3F7973E5">
            <w:pPr>
              <w:rPr>
                <w:rFonts w:ascii="Arial"/>
                <w:color w:val="auto"/>
                <w:sz w:val="21"/>
                <w:highlight w:val="none"/>
              </w:rPr>
            </w:pPr>
          </w:p>
        </w:tc>
        <w:tc>
          <w:tcPr>
            <w:tcW w:w="1370" w:type="dxa"/>
            <w:vAlign w:val="top"/>
          </w:tcPr>
          <w:p w14:paraId="2910EC51">
            <w:pPr>
              <w:rPr>
                <w:rFonts w:ascii="Arial"/>
                <w:color w:val="auto"/>
                <w:sz w:val="21"/>
                <w:highlight w:val="none"/>
              </w:rPr>
            </w:pPr>
          </w:p>
        </w:tc>
        <w:tc>
          <w:tcPr>
            <w:tcW w:w="1371" w:type="dxa"/>
            <w:vAlign w:val="top"/>
          </w:tcPr>
          <w:p w14:paraId="606814BC">
            <w:pPr>
              <w:rPr>
                <w:rFonts w:ascii="Arial"/>
                <w:color w:val="auto"/>
                <w:sz w:val="21"/>
                <w:highlight w:val="none"/>
              </w:rPr>
            </w:pPr>
          </w:p>
        </w:tc>
        <w:tc>
          <w:tcPr>
            <w:tcW w:w="1368" w:type="dxa"/>
            <w:vAlign w:val="top"/>
          </w:tcPr>
          <w:p w14:paraId="7BA62B6D">
            <w:pPr>
              <w:rPr>
                <w:rFonts w:ascii="Arial"/>
                <w:color w:val="auto"/>
                <w:sz w:val="21"/>
                <w:highlight w:val="none"/>
              </w:rPr>
            </w:pPr>
          </w:p>
        </w:tc>
        <w:tc>
          <w:tcPr>
            <w:tcW w:w="1382" w:type="dxa"/>
            <w:tcBorders>
              <w:right w:val="single" w:color="000000" w:sz="6" w:space="0"/>
            </w:tcBorders>
            <w:vAlign w:val="top"/>
          </w:tcPr>
          <w:p w14:paraId="15E40061">
            <w:pPr>
              <w:rPr>
                <w:rFonts w:ascii="Arial"/>
                <w:color w:val="auto"/>
                <w:sz w:val="21"/>
                <w:highlight w:val="none"/>
              </w:rPr>
            </w:pPr>
          </w:p>
        </w:tc>
      </w:tr>
      <w:tr w14:paraId="19F45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954" w:type="dxa"/>
            <w:tcBorders>
              <w:left w:val="single" w:color="000000" w:sz="6" w:space="0"/>
            </w:tcBorders>
            <w:vAlign w:val="top"/>
          </w:tcPr>
          <w:p w14:paraId="00FE01E8">
            <w:pPr>
              <w:rPr>
                <w:rFonts w:ascii="Arial"/>
                <w:color w:val="auto"/>
                <w:sz w:val="21"/>
                <w:highlight w:val="none"/>
              </w:rPr>
            </w:pPr>
          </w:p>
        </w:tc>
        <w:tc>
          <w:tcPr>
            <w:tcW w:w="2564" w:type="dxa"/>
            <w:vAlign w:val="top"/>
          </w:tcPr>
          <w:p w14:paraId="6D27C805">
            <w:pPr>
              <w:rPr>
                <w:rFonts w:ascii="Arial"/>
                <w:color w:val="auto"/>
                <w:sz w:val="21"/>
                <w:highlight w:val="none"/>
              </w:rPr>
            </w:pPr>
          </w:p>
        </w:tc>
        <w:tc>
          <w:tcPr>
            <w:tcW w:w="1370" w:type="dxa"/>
            <w:vAlign w:val="top"/>
          </w:tcPr>
          <w:p w14:paraId="642FE364">
            <w:pPr>
              <w:rPr>
                <w:rFonts w:ascii="Arial"/>
                <w:color w:val="auto"/>
                <w:sz w:val="21"/>
                <w:highlight w:val="none"/>
              </w:rPr>
            </w:pPr>
          </w:p>
        </w:tc>
        <w:tc>
          <w:tcPr>
            <w:tcW w:w="1371" w:type="dxa"/>
            <w:vAlign w:val="top"/>
          </w:tcPr>
          <w:p w14:paraId="320DCE8B">
            <w:pPr>
              <w:rPr>
                <w:rFonts w:ascii="Arial"/>
                <w:color w:val="auto"/>
                <w:sz w:val="21"/>
                <w:highlight w:val="none"/>
              </w:rPr>
            </w:pPr>
          </w:p>
        </w:tc>
        <w:tc>
          <w:tcPr>
            <w:tcW w:w="1368" w:type="dxa"/>
            <w:vAlign w:val="top"/>
          </w:tcPr>
          <w:p w14:paraId="025DECC8">
            <w:pPr>
              <w:rPr>
                <w:rFonts w:ascii="Arial"/>
                <w:color w:val="auto"/>
                <w:sz w:val="21"/>
                <w:highlight w:val="none"/>
              </w:rPr>
            </w:pPr>
          </w:p>
        </w:tc>
        <w:tc>
          <w:tcPr>
            <w:tcW w:w="1382" w:type="dxa"/>
            <w:tcBorders>
              <w:right w:val="single" w:color="000000" w:sz="6" w:space="0"/>
            </w:tcBorders>
            <w:vAlign w:val="top"/>
          </w:tcPr>
          <w:p w14:paraId="5CC900BD">
            <w:pPr>
              <w:rPr>
                <w:rFonts w:ascii="Arial"/>
                <w:color w:val="auto"/>
                <w:sz w:val="21"/>
                <w:highlight w:val="none"/>
              </w:rPr>
            </w:pPr>
          </w:p>
        </w:tc>
      </w:tr>
      <w:tr w14:paraId="24073A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54" w:type="dxa"/>
            <w:tcBorders>
              <w:left w:val="single" w:color="000000" w:sz="6" w:space="0"/>
            </w:tcBorders>
            <w:vAlign w:val="top"/>
          </w:tcPr>
          <w:p w14:paraId="3673514E">
            <w:pPr>
              <w:rPr>
                <w:rFonts w:ascii="Arial"/>
                <w:color w:val="auto"/>
                <w:sz w:val="21"/>
                <w:highlight w:val="none"/>
              </w:rPr>
            </w:pPr>
          </w:p>
        </w:tc>
        <w:tc>
          <w:tcPr>
            <w:tcW w:w="2564" w:type="dxa"/>
            <w:vAlign w:val="top"/>
          </w:tcPr>
          <w:p w14:paraId="70BE4FE6">
            <w:pPr>
              <w:rPr>
                <w:rFonts w:ascii="Arial"/>
                <w:color w:val="auto"/>
                <w:sz w:val="21"/>
                <w:highlight w:val="none"/>
              </w:rPr>
            </w:pPr>
          </w:p>
        </w:tc>
        <w:tc>
          <w:tcPr>
            <w:tcW w:w="1370" w:type="dxa"/>
            <w:vAlign w:val="top"/>
          </w:tcPr>
          <w:p w14:paraId="06333C64">
            <w:pPr>
              <w:rPr>
                <w:rFonts w:ascii="Arial"/>
                <w:color w:val="auto"/>
                <w:sz w:val="21"/>
                <w:highlight w:val="none"/>
              </w:rPr>
            </w:pPr>
          </w:p>
        </w:tc>
        <w:tc>
          <w:tcPr>
            <w:tcW w:w="1371" w:type="dxa"/>
            <w:vAlign w:val="top"/>
          </w:tcPr>
          <w:p w14:paraId="1A71BAC5">
            <w:pPr>
              <w:rPr>
                <w:rFonts w:ascii="Arial"/>
                <w:color w:val="auto"/>
                <w:sz w:val="21"/>
                <w:highlight w:val="none"/>
              </w:rPr>
            </w:pPr>
          </w:p>
        </w:tc>
        <w:tc>
          <w:tcPr>
            <w:tcW w:w="1368" w:type="dxa"/>
            <w:vAlign w:val="top"/>
          </w:tcPr>
          <w:p w14:paraId="250233F0">
            <w:pPr>
              <w:rPr>
                <w:rFonts w:ascii="Arial"/>
                <w:color w:val="auto"/>
                <w:sz w:val="21"/>
                <w:highlight w:val="none"/>
              </w:rPr>
            </w:pPr>
          </w:p>
        </w:tc>
        <w:tc>
          <w:tcPr>
            <w:tcW w:w="1382" w:type="dxa"/>
            <w:tcBorders>
              <w:right w:val="single" w:color="000000" w:sz="6" w:space="0"/>
            </w:tcBorders>
            <w:vAlign w:val="top"/>
          </w:tcPr>
          <w:p w14:paraId="2A6D5424">
            <w:pPr>
              <w:rPr>
                <w:rFonts w:ascii="Arial"/>
                <w:color w:val="auto"/>
                <w:sz w:val="21"/>
                <w:highlight w:val="none"/>
              </w:rPr>
            </w:pPr>
          </w:p>
        </w:tc>
      </w:tr>
      <w:tr w14:paraId="218D5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954" w:type="dxa"/>
            <w:tcBorders>
              <w:left w:val="single" w:color="000000" w:sz="6" w:space="0"/>
            </w:tcBorders>
            <w:vAlign w:val="top"/>
          </w:tcPr>
          <w:p w14:paraId="3A8AEB06">
            <w:pPr>
              <w:rPr>
                <w:rFonts w:ascii="Arial"/>
                <w:color w:val="auto"/>
                <w:sz w:val="21"/>
                <w:highlight w:val="none"/>
              </w:rPr>
            </w:pPr>
          </w:p>
        </w:tc>
        <w:tc>
          <w:tcPr>
            <w:tcW w:w="2564" w:type="dxa"/>
            <w:vAlign w:val="top"/>
          </w:tcPr>
          <w:p w14:paraId="4B97C3F1">
            <w:pPr>
              <w:rPr>
                <w:rFonts w:ascii="Arial"/>
                <w:color w:val="auto"/>
                <w:sz w:val="21"/>
                <w:highlight w:val="none"/>
              </w:rPr>
            </w:pPr>
          </w:p>
        </w:tc>
        <w:tc>
          <w:tcPr>
            <w:tcW w:w="1370" w:type="dxa"/>
            <w:vAlign w:val="top"/>
          </w:tcPr>
          <w:p w14:paraId="2901507D">
            <w:pPr>
              <w:rPr>
                <w:rFonts w:ascii="Arial"/>
                <w:color w:val="auto"/>
                <w:sz w:val="21"/>
                <w:highlight w:val="none"/>
              </w:rPr>
            </w:pPr>
          </w:p>
        </w:tc>
        <w:tc>
          <w:tcPr>
            <w:tcW w:w="1371" w:type="dxa"/>
            <w:vAlign w:val="top"/>
          </w:tcPr>
          <w:p w14:paraId="7CE9305F">
            <w:pPr>
              <w:rPr>
                <w:rFonts w:ascii="Arial"/>
                <w:color w:val="auto"/>
                <w:sz w:val="21"/>
                <w:highlight w:val="none"/>
              </w:rPr>
            </w:pPr>
          </w:p>
        </w:tc>
        <w:tc>
          <w:tcPr>
            <w:tcW w:w="1368" w:type="dxa"/>
            <w:vAlign w:val="top"/>
          </w:tcPr>
          <w:p w14:paraId="4513B41E">
            <w:pPr>
              <w:rPr>
                <w:rFonts w:ascii="Arial"/>
                <w:color w:val="auto"/>
                <w:sz w:val="21"/>
                <w:highlight w:val="none"/>
              </w:rPr>
            </w:pPr>
          </w:p>
        </w:tc>
        <w:tc>
          <w:tcPr>
            <w:tcW w:w="1382" w:type="dxa"/>
            <w:tcBorders>
              <w:right w:val="single" w:color="000000" w:sz="6" w:space="0"/>
            </w:tcBorders>
            <w:vAlign w:val="top"/>
          </w:tcPr>
          <w:p w14:paraId="34FFB4E9">
            <w:pPr>
              <w:rPr>
                <w:rFonts w:ascii="Arial"/>
                <w:color w:val="auto"/>
                <w:sz w:val="21"/>
                <w:highlight w:val="none"/>
              </w:rPr>
            </w:pPr>
          </w:p>
        </w:tc>
      </w:tr>
      <w:tr w14:paraId="0427A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44636DE4">
            <w:pPr>
              <w:spacing w:before="95" w:line="186" w:lineRule="auto"/>
              <w:ind w:left="412"/>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2</w:t>
            </w:r>
          </w:p>
        </w:tc>
        <w:tc>
          <w:tcPr>
            <w:tcW w:w="2564" w:type="dxa"/>
            <w:vAlign w:val="top"/>
          </w:tcPr>
          <w:p w14:paraId="4808264B">
            <w:pPr>
              <w:pStyle w:val="17"/>
              <w:spacing w:before="43" w:line="219" w:lineRule="auto"/>
              <w:ind w:left="1044"/>
              <w:rPr>
                <w:color w:val="auto"/>
                <w:sz w:val="24"/>
                <w:szCs w:val="24"/>
                <w:highlight w:val="none"/>
              </w:rPr>
            </w:pPr>
            <w:r>
              <w:rPr>
                <w:color w:val="auto"/>
                <w:spacing w:val="-3"/>
                <w:sz w:val="24"/>
                <w:szCs w:val="24"/>
                <w:highlight w:val="none"/>
              </w:rPr>
              <w:t>材料</w:t>
            </w:r>
          </w:p>
        </w:tc>
        <w:tc>
          <w:tcPr>
            <w:tcW w:w="1370" w:type="dxa"/>
            <w:vAlign w:val="top"/>
          </w:tcPr>
          <w:p w14:paraId="7435E085">
            <w:pPr>
              <w:rPr>
                <w:rFonts w:ascii="Arial"/>
                <w:color w:val="auto"/>
                <w:sz w:val="21"/>
                <w:highlight w:val="none"/>
              </w:rPr>
            </w:pPr>
          </w:p>
        </w:tc>
        <w:tc>
          <w:tcPr>
            <w:tcW w:w="1371" w:type="dxa"/>
            <w:vAlign w:val="top"/>
          </w:tcPr>
          <w:p w14:paraId="5534796B">
            <w:pPr>
              <w:rPr>
                <w:rFonts w:ascii="Arial"/>
                <w:color w:val="auto"/>
                <w:sz w:val="21"/>
                <w:highlight w:val="none"/>
              </w:rPr>
            </w:pPr>
          </w:p>
        </w:tc>
        <w:tc>
          <w:tcPr>
            <w:tcW w:w="1368" w:type="dxa"/>
            <w:vAlign w:val="top"/>
          </w:tcPr>
          <w:p w14:paraId="063F3E5A">
            <w:pPr>
              <w:rPr>
                <w:rFonts w:ascii="Arial"/>
                <w:color w:val="auto"/>
                <w:sz w:val="21"/>
                <w:highlight w:val="none"/>
              </w:rPr>
            </w:pPr>
          </w:p>
        </w:tc>
        <w:tc>
          <w:tcPr>
            <w:tcW w:w="1382" w:type="dxa"/>
            <w:tcBorders>
              <w:right w:val="single" w:color="000000" w:sz="6" w:space="0"/>
            </w:tcBorders>
            <w:vAlign w:val="top"/>
          </w:tcPr>
          <w:p w14:paraId="6C84FB5D">
            <w:pPr>
              <w:rPr>
                <w:rFonts w:ascii="Arial"/>
                <w:color w:val="auto"/>
                <w:sz w:val="21"/>
                <w:highlight w:val="none"/>
              </w:rPr>
            </w:pPr>
          </w:p>
        </w:tc>
      </w:tr>
      <w:tr w14:paraId="50829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954" w:type="dxa"/>
            <w:tcBorders>
              <w:left w:val="single" w:color="000000" w:sz="6" w:space="0"/>
            </w:tcBorders>
            <w:vAlign w:val="top"/>
          </w:tcPr>
          <w:p w14:paraId="32145EF5">
            <w:pPr>
              <w:rPr>
                <w:rFonts w:ascii="Arial"/>
                <w:color w:val="auto"/>
                <w:sz w:val="21"/>
                <w:highlight w:val="none"/>
              </w:rPr>
            </w:pPr>
          </w:p>
        </w:tc>
        <w:tc>
          <w:tcPr>
            <w:tcW w:w="2564" w:type="dxa"/>
            <w:vAlign w:val="top"/>
          </w:tcPr>
          <w:p w14:paraId="3DE750CB">
            <w:pPr>
              <w:rPr>
                <w:rFonts w:ascii="Arial"/>
                <w:color w:val="auto"/>
                <w:sz w:val="21"/>
                <w:highlight w:val="none"/>
              </w:rPr>
            </w:pPr>
          </w:p>
        </w:tc>
        <w:tc>
          <w:tcPr>
            <w:tcW w:w="1370" w:type="dxa"/>
            <w:vAlign w:val="top"/>
          </w:tcPr>
          <w:p w14:paraId="73296562">
            <w:pPr>
              <w:rPr>
                <w:rFonts w:ascii="Arial"/>
                <w:color w:val="auto"/>
                <w:sz w:val="21"/>
                <w:highlight w:val="none"/>
              </w:rPr>
            </w:pPr>
          </w:p>
        </w:tc>
        <w:tc>
          <w:tcPr>
            <w:tcW w:w="1371" w:type="dxa"/>
            <w:vAlign w:val="top"/>
          </w:tcPr>
          <w:p w14:paraId="4BFA2F91">
            <w:pPr>
              <w:rPr>
                <w:rFonts w:ascii="Arial"/>
                <w:color w:val="auto"/>
                <w:sz w:val="21"/>
                <w:highlight w:val="none"/>
              </w:rPr>
            </w:pPr>
          </w:p>
        </w:tc>
        <w:tc>
          <w:tcPr>
            <w:tcW w:w="1368" w:type="dxa"/>
            <w:vAlign w:val="top"/>
          </w:tcPr>
          <w:p w14:paraId="053BED57">
            <w:pPr>
              <w:rPr>
                <w:rFonts w:ascii="Arial"/>
                <w:color w:val="auto"/>
                <w:sz w:val="21"/>
                <w:highlight w:val="none"/>
              </w:rPr>
            </w:pPr>
          </w:p>
        </w:tc>
        <w:tc>
          <w:tcPr>
            <w:tcW w:w="1382" w:type="dxa"/>
            <w:tcBorders>
              <w:right w:val="single" w:color="000000" w:sz="6" w:space="0"/>
            </w:tcBorders>
            <w:vAlign w:val="top"/>
          </w:tcPr>
          <w:p w14:paraId="5E2A376E">
            <w:pPr>
              <w:rPr>
                <w:rFonts w:ascii="Arial"/>
                <w:color w:val="auto"/>
                <w:sz w:val="21"/>
                <w:highlight w:val="none"/>
              </w:rPr>
            </w:pPr>
          </w:p>
        </w:tc>
      </w:tr>
      <w:tr w14:paraId="5A1E8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954" w:type="dxa"/>
            <w:tcBorders>
              <w:left w:val="single" w:color="000000" w:sz="6" w:space="0"/>
            </w:tcBorders>
            <w:vAlign w:val="top"/>
          </w:tcPr>
          <w:p w14:paraId="0D881EED">
            <w:pPr>
              <w:rPr>
                <w:rFonts w:ascii="Arial"/>
                <w:color w:val="auto"/>
                <w:sz w:val="21"/>
                <w:highlight w:val="none"/>
              </w:rPr>
            </w:pPr>
          </w:p>
        </w:tc>
        <w:tc>
          <w:tcPr>
            <w:tcW w:w="2564" w:type="dxa"/>
            <w:vAlign w:val="top"/>
          </w:tcPr>
          <w:p w14:paraId="354ED9BC">
            <w:pPr>
              <w:rPr>
                <w:rFonts w:ascii="Arial"/>
                <w:color w:val="auto"/>
                <w:sz w:val="21"/>
                <w:highlight w:val="none"/>
              </w:rPr>
            </w:pPr>
          </w:p>
        </w:tc>
        <w:tc>
          <w:tcPr>
            <w:tcW w:w="1370" w:type="dxa"/>
            <w:vAlign w:val="top"/>
          </w:tcPr>
          <w:p w14:paraId="70E76A91">
            <w:pPr>
              <w:rPr>
                <w:rFonts w:ascii="Arial"/>
                <w:color w:val="auto"/>
                <w:sz w:val="21"/>
                <w:highlight w:val="none"/>
              </w:rPr>
            </w:pPr>
          </w:p>
        </w:tc>
        <w:tc>
          <w:tcPr>
            <w:tcW w:w="1371" w:type="dxa"/>
            <w:vAlign w:val="top"/>
          </w:tcPr>
          <w:p w14:paraId="6D7489EB">
            <w:pPr>
              <w:rPr>
                <w:rFonts w:ascii="Arial"/>
                <w:color w:val="auto"/>
                <w:sz w:val="21"/>
                <w:highlight w:val="none"/>
              </w:rPr>
            </w:pPr>
          </w:p>
        </w:tc>
        <w:tc>
          <w:tcPr>
            <w:tcW w:w="1368" w:type="dxa"/>
            <w:vAlign w:val="top"/>
          </w:tcPr>
          <w:p w14:paraId="248825AA">
            <w:pPr>
              <w:rPr>
                <w:rFonts w:ascii="Arial"/>
                <w:color w:val="auto"/>
                <w:sz w:val="21"/>
                <w:highlight w:val="none"/>
              </w:rPr>
            </w:pPr>
          </w:p>
        </w:tc>
        <w:tc>
          <w:tcPr>
            <w:tcW w:w="1382" w:type="dxa"/>
            <w:tcBorders>
              <w:right w:val="single" w:color="000000" w:sz="6" w:space="0"/>
            </w:tcBorders>
            <w:vAlign w:val="top"/>
          </w:tcPr>
          <w:p w14:paraId="5F82C0A2">
            <w:pPr>
              <w:rPr>
                <w:rFonts w:ascii="Arial"/>
                <w:color w:val="auto"/>
                <w:sz w:val="21"/>
                <w:highlight w:val="none"/>
              </w:rPr>
            </w:pPr>
          </w:p>
        </w:tc>
      </w:tr>
      <w:tr w14:paraId="680EB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954" w:type="dxa"/>
            <w:tcBorders>
              <w:left w:val="single" w:color="000000" w:sz="6" w:space="0"/>
            </w:tcBorders>
            <w:vAlign w:val="top"/>
          </w:tcPr>
          <w:p w14:paraId="27CC6023">
            <w:pPr>
              <w:rPr>
                <w:rFonts w:ascii="Arial"/>
                <w:color w:val="auto"/>
                <w:sz w:val="21"/>
                <w:highlight w:val="none"/>
              </w:rPr>
            </w:pPr>
          </w:p>
        </w:tc>
        <w:tc>
          <w:tcPr>
            <w:tcW w:w="2564" w:type="dxa"/>
            <w:vAlign w:val="top"/>
          </w:tcPr>
          <w:p w14:paraId="7317B74E">
            <w:pPr>
              <w:rPr>
                <w:rFonts w:ascii="Arial"/>
                <w:color w:val="auto"/>
                <w:sz w:val="21"/>
                <w:highlight w:val="none"/>
              </w:rPr>
            </w:pPr>
          </w:p>
        </w:tc>
        <w:tc>
          <w:tcPr>
            <w:tcW w:w="1370" w:type="dxa"/>
            <w:vAlign w:val="top"/>
          </w:tcPr>
          <w:p w14:paraId="1960AE2C">
            <w:pPr>
              <w:rPr>
                <w:rFonts w:ascii="Arial"/>
                <w:color w:val="auto"/>
                <w:sz w:val="21"/>
                <w:highlight w:val="none"/>
              </w:rPr>
            </w:pPr>
          </w:p>
        </w:tc>
        <w:tc>
          <w:tcPr>
            <w:tcW w:w="1371" w:type="dxa"/>
            <w:vAlign w:val="top"/>
          </w:tcPr>
          <w:p w14:paraId="56AB171E">
            <w:pPr>
              <w:rPr>
                <w:rFonts w:ascii="Arial"/>
                <w:color w:val="auto"/>
                <w:sz w:val="21"/>
                <w:highlight w:val="none"/>
              </w:rPr>
            </w:pPr>
          </w:p>
        </w:tc>
        <w:tc>
          <w:tcPr>
            <w:tcW w:w="1368" w:type="dxa"/>
            <w:vAlign w:val="top"/>
          </w:tcPr>
          <w:p w14:paraId="3B28CF68">
            <w:pPr>
              <w:rPr>
                <w:rFonts w:ascii="Arial"/>
                <w:color w:val="auto"/>
                <w:sz w:val="21"/>
                <w:highlight w:val="none"/>
              </w:rPr>
            </w:pPr>
          </w:p>
        </w:tc>
        <w:tc>
          <w:tcPr>
            <w:tcW w:w="1382" w:type="dxa"/>
            <w:tcBorders>
              <w:right w:val="single" w:color="000000" w:sz="6" w:space="0"/>
            </w:tcBorders>
            <w:vAlign w:val="top"/>
          </w:tcPr>
          <w:p w14:paraId="13BAD2E0">
            <w:pPr>
              <w:rPr>
                <w:rFonts w:ascii="Arial"/>
                <w:color w:val="auto"/>
                <w:sz w:val="21"/>
                <w:highlight w:val="none"/>
              </w:rPr>
            </w:pPr>
          </w:p>
        </w:tc>
      </w:tr>
      <w:tr w14:paraId="7BD39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54" w:type="dxa"/>
            <w:tcBorders>
              <w:left w:val="single" w:color="000000" w:sz="6" w:space="0"/>
            </w:tcBorders>
            <w:vAlign w:val="top"/>
          </w:tcPr>
          <w:p w14:paraId="041D59DA">
            <w:pPr>
              <w:rPr>
                <w:rFonts w:ascii="Arial"/>
                <w:color w:val="auto"/>
                <w:sz w:val="21"/>
                <w:highlight w:val="none"/>
              </w:rPr>
            </w:pPr>
          </w:p>
        </w:tc>
        <w:tc>
          <w:tcPr>
            <w:tcW w:w="2564" w:type="dxa"/>
            <w:vAlign w:val="top"/>
          </w:tcPr>
          <w:p w14:paraId="3082CEC1">
            <w:pPr>
              <w:rPr>
                <w:rFonts w:ascii="Arial"/>
                <w:color w:val="auto"/>
                <w:sz w:val="21"/>
                <w:highlight w:val="none"/>
              </w:rPr>
            </w:pPr>
          </w:p>
        </w:tc>
        <w:tc>
          <w:tcPr>
            <w:tcW w:w="1370" w:type="dxa"/>
            <w:vAlign w:val="top"/>
          </w:tcPr>
          <w:p w14:paraId="387C7DE9">
            <w:pPr>
              <w:rPr>
                <w:rFonts w:ascii="Arial"/>
                <w:color w:val="auto"/>
                <w:sz w:val="21"/>
                <w:highlight w:val="none"/>
              </w:rPr>
            </w:pPr>
          </w:p>
        </w:tc>
        <w:tc>
          <w:tcPr>
            <w:tcW w:w="1371" w:type="dxa"/>
            <w:vAlign w:val="top"/>
          </w:tcPr>
          <w:p w14:paraId="526F6DDF">
            <w:pPr>
              <w:rPr>
                <w:rFonts w:ascii="Arial"/>
                <w:color w:val="auto"/>
                <w:sz w:val="21"/>
                <w:highlight w:val="none"/>
              </w:rPr>
            </w:pPr>
          </w:p>
        </w:tc>
        <w:tc>
          <w:tcPr>
            <w:tcW w:w="1368" w:type="dxa"/>
            <w:vAlign w:val="top"/>
          </w:tcPr>
          <w:p w14:paraId="2CC46173">
            <w:pPr>
              <w:rPr>
                <w:rFonts w:ascii="Arial"/>
                <w:color w:val="auto"/>
                <w:sz w:val="21"/>
                <w:highlight w:val="none"/>
              </w:rPr>
            </w:pPr>
          </w:p>
        </w:tc>
        <w:tc>
          <w:tcPr>
            <w:tcW w:w="1382" w:type="dxa"/>
            <w:tcBorders>
              <w:right w:val="single" w:color="000000" w:sz="6" w:space="0"/>
            </w:tcBorders>
            <w:vAlign w:val="top"/>
          </w:tcPr>
          <w:p w14:paraId="04B6DCFA">
            <w:pPr>
              <w:rPr>
                <w:rFonts w:ascii="Arial"/>
                <w:color w:val="auto"/>
                <w:sz w:val="21"/>
                <w:highlight w:val="none"/>
              </w:rPr>
            </w:pPr>
          </w:p>
        </w:tc>
      </w:tr>
      <w:tr w14:paraId="52D39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54" w:type="dxa"/>
            <w:tcBorders>
              <w:left w:val="single" w:color="000000" w:sz="6" w:space="0"/>
            </w:tcBorders>
            <w:vAlign w:val="top"/>
          </w:tcPr>
          <w:p w14:paraId="5BA48324">
            <w:pPr>
              <w:rPr>
                <w:rFonts w:ascii="Arial"/>
                <w:color w:val="auto"/>
                <w:sz w:val="21"/>
                <w:highlight w:val="none"/>
              </w:rPr>
            </w:pPr>
          </w:p>
        </w:tc>
        <w:tc>
          <w:tcPr>
            <w:tcW w:w="2564" w:type="dxa"/>
            <w:vAlign w:val="top"/>
          </w:tcPr>
          <w:p w14:paraId="0C2A43CC">
            <w:pPr>
              <w:rPr>
                <w:rFonts w:ascii="Arial"/>
                <w:color w:val="auto"/>
                <w:sz w:val="21"/>
                <w:highlight w:val="none"/>
              </w:rPr>
            </w:pPr>
          </w:p>
        </w:tc>
        <w:tc>
          <w:tcPr>
            <w:tcW w:w="1370" w:type="dxa"/>
            <w:vAlign w:val="top"/>
          </w:tcPr>
          <w:p w14:paraId="295998D8">
            <w:pPr>
              <w:rPr>
                <w:rFonts w:ascii="Arial"/>
                <w:color w:val="auto"/>
                <w:sz w:val="21"/>
                <w:highlight w:val="none"/>
              </w:rPr>
            </w:pPr>
          </w:p>
        </w:tc>
        <w:tc>
          <w:tcPr>
            <w:tcW w:w="1371" w:type="dxa"/>
            <w:vAlign w:val="top"/>
          </w:tcPr>
          <w:p w14:paraId="4F0B4891">
            <w:pPr>
              <w:rPr>
                <w:rFonts w:ascii="Arial"/>
                <w:color w:val="auto"/>
                <w:sz w:val="21"/>
                <w:highlight w:val="none"/>
              </w:rPr>
            </w:pPr>
          </w:p>
        </w:tc>
        <w:tc>
          <w:tcPr>
            <w:tcW w:w="1368" w:type="dxa"/>
            <w:vAlign w:val="top"/>
          </w:tcPr>
          <w:p w14:paraId="730A0841">
            <w:pPr>
              <w:rPr>
                <w:rFonts w:ascii="Arial"/>
                <w:color w:val="auto"/>
                <w:sz w:val="21"/>
                <w:highlight w:val="none"/>
              </w:rPr>
            </w:pPr>
          </w:p>
        </w:tc>
        <w:tc>
          <w:tcPr>
            <w:tcW w:w="1382" w:type="dxa"/>
            <w:tcBorders>
              <w:right w:val="single" w:color="000000" w:sz="6" w:space="0"/>
            </w:tcBorders>
            <w:vAlign w:val="top"/>
          </w:tcPr>
          <w:p w14:paraId="11826668">
            <w:pPr>
              <w:rPr>
                <w:rFonts w:ascii="Arial"/>
                <w:color w:val="auto"/>
                <w:sz w:val="21"/>
                <w:highlight w:val="none"/>
              </w:rPr>
            </w:pPr>
          </w:p>
        </w:tc>
      </w:tr>
      <w:tr w14:paraId="2901D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954" w:type="dxa"/>
            <w:tcBorders>
              <w:left w:val="single" w:color="000000" w:sz="6" w:space="0"/>
            </w:tcBorders>
            <w:vAlign w:val="top"/>
          </w:tcPr>
          <w:p w14:paraId="26CA67F7">
            <w:pPr>
              <w:rPr>
                <w:rFonts w:ascii="Arial"/>
                <w:color w:val="auto"/>
                <w:sz w:val="21"/>
                <w:highlight w:val="none"/>
              </w:rPr>
            </w:pPr>
          </w:p>
        </w:tc>
        <w:tc>
          <w:tcPr>
            <w:tcW w:w="2564" w:type="dxa"/>
            <w:vAlign w:val="top"/>
          </w:tcPr>
          <w:p w14:paraId="3B44C0AD">
            <w:pPr>
              <w:rPr>
                <w:rFonts w:ascii="Arial"/>
                <w:color w:val="auto"/>
                <w:sz w:val="21"/>
                <w:highlight w:val="none"/>
              </w:rPr>
            </w:pPr>
          </w:p>
        </w:tc>
        <w:tc>
          <w:tcPr>
            <w:tcW w:w="1370" w:type="dxa"/>
            <w:vAlign w:val="top"/>
          </w:tcPr>
          <w:p w14:paraId="53E0B282">
            <w:pPr>
              <w:rPr>
                <w:rFonts w:ascii="Arial"/>
                <w:color w:val="auto"/>
                <w:sz w:val="21"/>
                <w:highlight w:val="none"/>
              </w:rPr>
            </w:pPr>
          </w:p>
        </w:tc>
        <w:tc>
          <w:tcPr>
            <w:tcW w:w="1371" w:type="dxa"/>
            <w:vAlign w:val="top"/>
          </w:tcPr>
          <w:p w14:paraId="210B1DCC">
            <w:pPr>
              <w:rPr>
                <w:rFonts w:ascii="Arial"/>
                <w:color w:val="auto"/>
                <w:sz w:val="21"/>
                <w:highlight w:val="none"/>
              </w:rPr>
            </w:pPr>
          </w:p>
        </w:tc>
        <w:tc>
          <w:tcPr>
            <w:tcW w:w="1368" w:type="dxa"/>
            <w:vAlign w:val="top"/>
          </w:tcPr>
          <w:p w14:paraId="6BCCB9D6">
            <w:pPr>
              <w:rPr>
                <w:rFonts w:ascii="Arial"/>
                <w:color w:val="auto"/>
                <w:sz w:val="21"/>
                <w:highlight w:val="none"/>
              </w:rPr>
            </w:pPr>
          </w:p>
        </w:tc>
        <w:tc>
          <w:tcPr>
            <w:tcW w:w="1382" w:type="dxa"/>
            <w:tcBorders>
              <w:right w:val="single" w:color="000000" w:sz="6" w:space="0"/>
            </w:tcBorders>
            <w:vAlign w:val="top"/>
          </w:tcPr>
          <w:p w14:paraId="58B40988">
            <w:pPr>
              <w:rPr>
                <w:rFonts w:ascii="Arial"/>
                <w:color w:val="auto"/>
                <w:sz w:val="21"/>
                <w:highlight w:val="none"/>
              </w:rPr>
            </w:pPr>
          </w:p>
        </w:tc>
      </w:tr>
      <w:tr w14:paraId="27C24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54" w:type="dxa"/>
            <w:tcBorders>
              <w:left w:val="single" w:color="000000" w:sz="6" w:space="0"/>
            </w:tcBorders>
            <w:vAlign w:val="top"/>
          </w:tcPr>
          <w:p w14:paraId="7AEB3623">
            <w:pPr>
              <w:spacing w:before="97" w:line="186" w:lineRule="auto"/>
              <w:ind w:left="417"/>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z w:val="24"/>
                <w:szCs w:val="24"/>
                <w:highlight w:val="none"/>
              </w:rPr>
              <w:t>3</w:t>
            </w:r>
          </w:p>
        </w:tc>
        <w:tc>
          <w:tcPr>
            <w:tcW w:w="2564" w:type="dxa"/>
            <w:vAlign w:val="top"/>
          </w:tcPr>
          <w:p w14:paraId="2FFAF076">
            <w:pPr>
              <w:pStyle w:val="17"/>
              <w:spacing w:before="45" w:line="219" w:lineRule="auto"/>
              <w:ind w:left="1043"/>
              <w:rPr>
                <w:color w:val="auto"/>
                <w:sz w:val="24"/>
                <w:szCs w:val="24"/>
                <w:highlight w:val="none"/>
              </w:rPr>
            </w:pPr>
            <w:r>
              <w:rPr>
                <w:color w:val="auto"/>
                <w:spacing w:val="-3"/>
                <w:sz w:val="24"/>
                <w:szCs w:val="24"/>
                <w:highlight w:val="none"/>
              </w:rPr>
              <w:t>机械</w:t>
            </w:r>
          </w:p>
        </w:tc>
        <w:tc>
          <w:tcPr>
            <w:tcW w:w="1370" w:type="dxa"/>
            <w:vAlign w:val="top"/>
          </w:tcPr>
          <w:p w14:paraId="67040992">
            <w:pPr>
              <w:rPr>
                <w:rFonts w:ascii="Arial"/>
                <w:color w:val="auto"/>
                <w:sz w:val="21"/>
                <w:highlight w:val="none"/>
              </w:rPr>
            </w:pPr>
          </w:p>
        </w:tc>
        <w:tc>
          <w:tcPr>
            <w:tcW w:w="1371" w:type="dxa"/>
            <w:vAlign w:val="top"/>
          </w:tcPr>
          <w:p w14:paraId="276140BA">
            <w:pPr>
              <w:rPr>
                <w:rFonts w:ascii="Arial"/>
                <w:color w:val="auto"/>
                <w:sz w:val="21"/>
                <w:highlight w:val="none"/>
              </w:rPr>
            </w:pPr>
          </w:p>
        </w:tc>
        <w:tc>
          <w:tcPr>
            <w:tcW w:w="1368" w:type="dxa"/>
            <w:vAlign w:val="top"/>
          </w:tcPr>
          <w:p w14:paraId="1F2662EE">
            <w:pPr>
              <w:rPr>
                <w:rFonts w:ascii="Arial"/>
                <w:color w:val="auto"/>
                <w:sz w:val="21"/>
                <w:highlight w:val="none"/>
              </w:rPr>
            </w:pPr>
          </w:p>
        </w:tc>
        <w:tc>
          <w:tcPr>
            <w:tcW w:w="1382" w:type="dxa"/>
            <w:tcBorders>
              <w:right w:val="single" w:color="000000" w:sz="6" w:space="0"/>
            </w:tcBorders>
            <w:vAlign w:val="top"/>
          </w:tcPr>
          <w:p w14:paraId="6A9CD70F">
            <w:pPr>
              <w:rPr>
                <w:rFonts w:ascii="Arial"/>
                <w:color w:val="auto"/>
                <w:sz w:val="21"/>
                <w:highlight w:val="none"/>
              </w:rPr>
            </w:pPr>
          </w:p>
        </w:tc>
      </w:tr>
      <w:tr w14:paraId="1270C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54" w:type="dxa"/>
            <w:tcBorders>
              <w:left w:val="single" w:color="000000" w:sz="6" w:space="0"/>
            </w:tcBorders>
            <w:vAlign w:val="top"/>
          </w:tcPr>
          <w:p w14:paraId="757B2ACA">
            <w:pPr>
              <w:rPr>
                <w:rFonts w:ascii="Arial"/>
                <w:color w:val="auto"/>
                <w:sz w:val="21"/>
                <w:highlight w:val="none"/>
              </w:rPr>
            </w:pPr>
          </w:p>
        </w:tc>
        <w:tc>
          <w:tcPr>
            <w:tcW w:w="2564" w:type="dxa"/>
            <w:vAlign w:val="top"/>
          </w:tcPr>
          <w:p w14:paraId="69533257">
            <w:pPr>
              <w:rPr>
                <w:rFonts w:ascii="Arial"/>
                <w:color w:val="auto"/>
                <w:sz w:val="21"/>
                <w:highlight w:val="none"/>
              </w:rPr>
            </w:pPr>
          </w:p>
        </w:tc>
        <w:tc>
          <w:tcPr>
            <w:tcW w:w="1370" w:type="dxa"/>
            <w:vAlign w:val="top"/>
          </w:tcPr>
          <w:p w14:paraId="4103E48C">
            <w:pPr>
              <w:rPr>
                <w:rFonts w:ascii="Arial"/>
                <w:color w:val="auto"/>
                <w:sz w:val="21"/>
                <w:highlight w:val="none"/>
              </w:rPr>
            </w:pPr>
          </w:p>
        </w:tc>
        <w:tc>
          <w:tcPr>
            <w:tcW w:w="1371" w:type="dxa"/>
            <w:vAlign w:val="top"/>
          </w:tcPr>
          <w:p w14:paraId="1AC6DEF4">
            <w:pPr>
              <w:rPr>
                <w:rFonts w:ascii="Arial"/>
                <w:color w:val="auto"/>
                <w:sz w:val="21"/>
                <w:highlight w:val="none"/>
              </w:rPr>
            </w:pPr>
          </w:p>
        </w:tc>
        <w:tc>
          <w:tcPr>
            <w:tcW w:w="1368" w:type="dxa"/>
            <w:vAlign w:val="top"/>
          </w:tcPr>
          <w:p w14:paraId="277D80E0">
            <w:pPr>
              <w:rPr>
                <w:rFonts w:ascii="Arial"/>
                <w:color w:val="auto"/>
                <w:sz w:val="21"/>
                <w:highlight w:val="none"/>
              </w:rPr>
            </w:pPr>
          </w:p>
        </w:tc>
        <w:tc>
          <w:tcPr>
            <w:tcW w:w="1382" w:type="dxa"/>
            <w:tcBorders>
              <w:right w:val="single" w:color="000000" w:sz="6" w:space="0"/>
            </w:tcBorders>
            <w:vAlign w:val="top"/>
          </w:tcPr>
          <w:p w14:paraId="0B243B2E">
            <w:pPr>
              <w:rPr>
                <w:rFonts w:ascii="Arial"/>
                <w:color w:val="auto"/>
                <w:sz w:val="21"/>
                <w:highlight w:val="none"/>
              </w:rPr>
            </w:pPr>
          </w:p>
        </w:tc>
      </w:tr>
      <w:tr w14:paraId="0F45C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954" w:type="dxa"/>
            <w:tcBorders>
              <w:left w:val="single" w:color="000000" w:sz="6" w:space="0"/>
            </w:tcBorders>
            <w:vAlign w:val="top"/>
          </w:tcPr>
          <w:p w14:paraId="127D1330">
            <w:pPr>
              <w:rPr>
                <w:rFonts w:ascii="Arial"/>
                <w:color w:val="auto"/>
                <w:sz w:val="21"/>
                <w:highlight w:val="none"/>
              </w:rPr>
            </w:pPr>
          </w:p>
        </w:tc>
        <w:tc>
          <w:tcPr>
            <w:tcW w:w="2564" w:type="dxa"/>
            <w:vAlign w:val="top"/>
          </w:tcPr>
          <w:p w14:paraId="7AFEA32E">
            <w:pPr>
              <w:rPr>
                <w:rFonts w:ascii="Arial"/>
                <w:color w:val="auto"/>
                <w:sz w:val="21"/>
                <w:highlight w:val="none"/>
              </w:rPr>
            </w:pPr>
          </w:p>
        </w:tc>
        <w:tc>
          <w:tcPr>
            <w:tcW w:w="1370" w:type="dxa"/>
            <w:vAlign w:val="top"/>
          </w:tcPr>
          <w:p w14:paraId="0E810D03">
            <w:pPr>
              <w:rPr>
                <w:rFonts w:ascii="Arial"/>
                <w:color w:val="auto"/>
                <w:sz w:val="21"/>
                <w:highlight w:val="none"/>
              </w:rPr>
            </w:pPr>
          </w:p>
        </w:tc>
        <w:tc>
          <w:tcPr>
            <w:tcW w:w="1371" w:type="dxa"/>
            <w:vAlign w:val="top"/>
          </w:tcPr>
          <w:p w14:paraId="3532E79D">
            <w:pPr>
              <w:rPr>
                <w:rFonts w:ascii="Arial"/>
                <w:color w:val="auto"/>
                <w:sz w:val="21"/>
                <w:highlight w:val="none"/>
              </w:rPr>
            </w:pPr>
          </w:p>
        </w:tc>
        <w:tc>
          <w:tcPr>
            <w:tcW w:w="1368" w:type="dxa"/>
            <w:vAlign w:val="top"/>
          </w:tcPr>
          <w:p w14:paraId="373BA1E7">
            <w:pPr>
              <w:rPr>
                <w:rFonts w:ascii="Arial"/>
                <w:color w:val="auto"/>
                <w:sz w:val="21"/>
                <w:highlight w:val="none"/>
              </w:rPr>
            </w:pPr>
          </w:p>
        </w:tc>
        <w:tc>
          <w:tcPr>
            <w:tcW w:w="1382" w:type="dxa"/>
            <w:tcBorders>
              <w:right w:val="single" w:color="000000" w:sz="6" w:space="0"/>
            </w:tcBorders>
            <w:vAlign w:val="top"/>
          </w:tcPr>
          <w:p w14:paraId="1BC16E5C">
            <w:pPr>
              <w:rPr>
                <w:rFonts w:ascii="Arial"/>
                <w:color w:val="auto"/>
                <w:sz w:val="21"/>
                <w:highlight w:val="none"/>
              </w:rPr>
            </w:pPr>
          </w:p>
        </w:tc>
      </w:tr>
      <w:tr w14:paraId="38AC0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954" w:type="dxa"/>
            <w:tcBorders>
              <w:left w:val="single" w:color="000000" w:sz="6" w:space="0"/>
            </w:tcBorders>
            <w:vAlign w:val="top"/>
          </w:tcPr>
          <w:p w14:paraId="46EEFAA3">
            <w:pPr>
              <w:rPr>
                <w:rFonts w:ascii="Arial"/>
                <w:color w:val="auto"/>
                <w:sz w:val="21"/>
                <w:highlight w:val="none"/>
              </w:rPr>
            </w:pPr>
          </w:p>
        </w:tc>
        <w:tc>
          <w:tcPr>
            <w:tcW w:w="2564" w:type="dxa"/>
            <w:vAlign w:val="top"/>
          </w:tcPr>
          <w:p w14:paraId="26F828DF">
            <w:pPr>
              <w:rPr>
                <w:rFonts w:ascii="Arial"/>
                <w:color w:val="auto"/>
                <w:sz w:val="21"/>
                <w:highlight w:val="none"/>
              </w:rPr>
            </w:pPr>
          </w:p>
        </w:tc>
        <w:tc>
          <w:tcPr>
            <w:tcW w:w="1370" w:type="dxa"/>
            <w:vAlign w:val="top"/>
          </w:tcPr>
          <w:p w14:paraId="2FFB159B">
            <w:pPr>
              <w:rPr>
                <w:rFonts w:ascii="Arial"/>
                <w:color w:val="auto"/>
                <w:sz w:val="21"/>
                <w:highlight w:val="none"/>
              </w:rPr>
            </w:pPr>
          </w:p>
        </w:tc>
        <w:tc>
          <w:tcPr>
            <w:tcW w:w="1371" w:type="dxa"/>
            <w:vAlign w:val="top"/>
          </w:tcPr>
          <w:p w14:paraId="004E50C0">
            <w:pPr>
              <w:rPr>
                <w:rFonts w:ascii="Arial"/>
                <w:color w:val="auto"/>
                <w:sz w:val="21"/>
                <w:highlight w:val="none"/>
              </w:rPr>
            </w:pPr>
          </w:p>
        </w:tc>
        <w:tc>
          <w:tcPr>
            <w:tcW w:w="1368" w:type="dxa"/>
            <w:vAlign w:val="top"/>
          </w:tcPr>
          <w:p w14:paraId="46100171">
            <w:pPr>
              <w:rPr>
                <w:rFonts w:ascii="Arial"/>
                <w:color w:val="auto"/>
                <w:sz w:val="21"/>
                <w:highlight w:val="none"/>
              </w:rPr>
            </w:pPr>
          </w:p>
        </w:tc>
        <w:tc>
          <w:tcPr>
            <w:tcW w:w="1382" w:type="dxa"/>
            <w:tcBorders>
              <w:right w:val="single" w:color="000000" w:sz="6" w:space="0"/>
            </w:tcBorders>
            <w:vAlign w:val="top"/>
          </w:tcPr>
          <w:p w14:paraId="5185CD92">
            <w:pPr>
              <w:rPr>
                <w:rFonts w:ascii="Arial"/>
                <w:color w:val="auto"/>
                <w:sz w:val="21"/>
                <w:highlight w:val="none"/>
              </w:rPr>
            </w:pPr>
          </w:p>
        </w:tc>
      </w:tr>
      <w:tr w14:paraId="72707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54" w:type="dxa"/>
            <w:tcBorders>
              <w:left w:val="single" w:color="000000" w:sz="6" w:space="0"/>
            </w:tcBorders>
            <w:vAlign w:val="top"/>
          </w:tcPr>
          <w:p w14:paraId="39E0CC89">
            <w:pPr>
              <w:rPr>
                <w:rFonts w:ascii="Arial"/>
                <w:color w:val="auto"/>
                <w:sz w:val="21"/>
                <w:highlight w:val="none"/>
              </w:rPr>
            </w:pPr>
          </w:p>
        </w:tc>
        <w:tc>
          <w:tcPr>
            <w:tcW w:w="2564" w:type="dxa"/>
            <w:vAlign w:val="top"/>
          </w:tcPr>
          <w:p w14:paraId="68A561E0">
            <w:pPr>
              <w:rPr>
                <w:rFonts w:ascii="Arial"/>
                <w:color w:val="auto"/>
                <w:sz w:val="21"/>
                <w:highlight w:val="none"/>
              </w:rPr>
            </w:pPr>
          </w:p>
        </w:tc>
        <w:tc>
          <w:tcPr>
            <w:tcW w:w="1370" w:type="dxa"/>
            <w:vAlign w:val="top"/>
          </w:tcPr>
          <w:p w14:paraId="2F3482C3">
            <w:pPr>
              <w:rPr>
                <w:rFonts w:ascii="Arial"/>
                <w:color w:val="auto"/>
                <w:sz w:val="21"/>
                <w:highlight w:val="none"/>
              </w:rPr>
            </w:pPr>
          </w:p>
        </w:tc>
        <w:tc>
          <w:tcPr>
            <w:tcW w:w="1371" w:type="dxa"/>
            <w:vAlign w:val="top"/>
          </w:tcPr>
          <w:p w14:paraId="1FCC3289">
            <w:pPr>
              <w:rPr>
                <w:rFonts w:ascii="Arial"/>
                <w:color w:val="auto"/>
                <w:sz w:val="21"/>
                <w:highlight w:val="none"/>
              </w:rPr>
            </w:pPr>
          </w:p>
        </w:tc>
        <w:tc>
          <w:tcPr>
            <w:tcW w:w="1368" w:type="dxa"/>
            <w:vAlign w:val="top"/>
          </w:tcPr>
          <w:p w14:paraId="54C38D51">
            <w:pPr>
              <w:rPr>
                <w:rFonts w:ascii="Arial"/>
                <w:color w:val="auto"/>
                <w:sz w:val="21"/>
                <w:highlight w:val="none"/>
              </w:rPr>
            </w:pPr>
          </w:p>
        </w:tc>
        <w:tc>
          <w:tcPr>
            <w:tcW w:w="1382" w:type="dxa"/>
            <w:tcBorders>
              <w:right w:val="single" w:color="000000" w:sz="6" w:space="0"/>
            </w:tcBorders>
            <w:vAlign w:val="top"/>
          </w:tcPr>
          <w:p w14:paraId="2C5D37CB">
            <w:pPr>
              <w:rPr>
                <w:rFonts w:ascii="Arial"/>
                <w:color w:val="auto"/>
                <w:sz w:val="21"/>
                <w:highlight w:val="none"/>
              </w:rPr>
            </w:pPr>
          </w:p>
        </w:tc>
      </w:tr>
      <w:tr w14:paraId="59184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54" w:type="dxa"/>
            <w:tcBorders>
              <w:left w:val="single" w:color="000000" w:sz="6" w:space="0"/>
            </w:tcBorders>
            <w:vAlign w:val="top"/>
          </w:tcPr>
          <w:p w14:paraId="439B6616">
            <w:pPr>
              <w:rPr>
                <w:rFonts w:ascii="Arial"/>
                <w:color w:val="auto"/>
                <w:sz w:val="21"/>
                <w:highlight w:val="none"/>
              </w:rPr>
            </w:pPr>
          </w:p>
        </w:tc>
        <w:tc>
          <w:tcPr>
            <w:tcW w:w="2564" w:type="dxa"/>
            <w:vAlign w:val="top"/>
          </w:tcPr>
          <w:p w14:paraId="65EEB289">
            <w:pPr>
              <w:rPr>
                <w:rFonts w:ascii="Arial"/>
                <w:color w:val="auto"/>
                <w:sz w:val="21"/>
                <w:highlight w:val="none"/>
              </w:rPr>
            </w:pPr>
          </w:p>
        </w:tc>
        <w:tc>
          <w:tcPr>
            <w:tcW w:w="1370" w:type="dxa"/>
            <w:vAlign w:val="top"/>
          </w:tcPr>
          <w:p w14:paraId="5EEF515A">
            <w:pPr>
              <w:rPr>
                <w:rFonts w:ascii="Arial"/>
                <w:color w:val="auto"/>
                <w:sz w:val="21"/>
                <w:highlight w:val="none"/>
              </w:rPr>
            </w:pPr>
          </w:p>
        </w:tc>
        <w:tc>
          <w:tcPr>
            <w:tcW w:w="1371" w:type="dxa"/>
            <w:vAlign w:val="top"/>
          </w:tcPr>
          <w:p w14:paraId="6CE12FFC">
            <w:pPr>
              <w:rPr>
                <w:rFonts w:ascii="Arial"/>
                <w:color w:val="auto"/>
                <w:sz w:val="21"/>
                <w:highlight w:val="none"/>
              </w:rPr>
            </w:pPr>
          </w:p>
        </w:tc>
        <w:tc>
          <w:tcPr>
            <w:tcW w:w="1368" w:type="dxa"/>
            <w:vAlign w:val="top"/>
          </w:tcPr>
          <w:p w14:paraId="7E05612A">
            <w:pPr>
              <w:rPr>
                <w:rFonts w:ascii="Arial"/>
                <w:color w:val="auto"/>
                <w:sz w:val="21"/>
                <w:highlight w:val="none"/>
              </w:rPr>
            </w:pPr>
          </w:p>
        </w:tc>
        <w:tc>
          <w:tcPr>
            <w:tcW w:w="1382" w:type="dxa"/>
            <w:tcBorders>
              <w:right w:val="single" w:color="000000" w:sz="6" w:space="0"/>
            </w:tcBorders>
            <w:vAlign w:val="top"/>
          </w:tcPr>
          <w:p w14:paraId="35E634DD">
            <w:pPr>
              <w:rPr>
                <w:rFonts w:ascii="Arial"/>
                <w:color w:val="auto"/>
                <w:sz w:val="21"/>
                <w:highlight w:val="none"/>
              </w:rPr>
            </w:pPr>
          </w:p>
        </w:tc>
      </w:tr>
      <w:tr w14:paraId="0B1C5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54" w:type="dxa"/>
            <w:tcBorders>
              <w:left w:val="single" w:color="000000" w:sz="6" w:space="0"/>
            </w:tcBorders>
            <w:vAlign w:val="top"/>
          </w:tcPr>
          <w:p w14:paraId="750ECE46">
            <w:pPr>
              <w:rPr>
                <w:rFonts w:ascii="Arial"/>
                <w:color w:val="auto"/>
                <w:sz w:val="21"/>
                <w:highlight w:val="none"/>
              </w:rPr>
            </w:pPr>
          </w:p>
        </w:tc>
        <w:tc>
          <w:tcPr>
            <w:tcW w:w="2564" w:type="dxa"/>
            <w:vAlign w:val="top"/>
          </w:tcPr>
          <w:p w14:paraId="28D794DA">
            <w:pPr>
              <w:rPr>
                <w:rFonts w:ascii="Arial"/>
                <w:color w:val="auto"/>
                <w:sz w:val="21"/>
                <w:highlight w:val="none"/>
              </w:rPr>
            </w:pPr>
          </w:p>
        </w:tc>
        <w:tc>
          <w:tcPr>
            <w:tcW w:w="1370" w:type="dxa"/>
            <w:vAlign w:val="top"/>
          </w:tcPr>
          <w:p w14:paraId="08E6A76C">
            <w:pPr>
              <w:rPr>
                <w:rFonts w:ascii="Arial"/>
                <w:color w:val="auto"/>
                <w:sz w:val="21"/>
                <w:highlight w:val="none"/>
              </w:rPr>
            </w:pPr>
          </w:p>
        </w:tc>
        <w:tc>
          <w:tcPr>
            <w:tcW w:w="1371" w:type="dxa"/>
            <w:vAlign w:val="top"/>
          </w:tcPr>
          <w:p w14:paraId="6581FBBB">
            <w:pPr>
              <w:rPr>
                <w:rFonts w:ascii="Arial"/>
                <w:color w:val="auto"/>
                <w:sz w:val="21"/>
                <w:highlight w:val="none"/>
              </w:rPr>
            </w:pPr>
          </w:p>
        </w:tc>
        <w:tc>
          <w:tcPr>
            <w:tcW w:w="1368" w:type="dxa"/>
            <w:vAlign w:val="top"/>
          </w:tcPr>
          <w:p w14:paraId="05DD1E77">
            <w:pPr>
              <w:rPr>
                <w:rFonts w:ascii="Arial"/>
                <w:color w:val="auto"/>
                <w:sz w:val="21"/>
                <w:highlight w:val="none"/>
              </w:rPr>
            </w:pPr>
          </w:p>
        </w:tc>
        <w:tc>
          <w:tcPr>
            <w:tcW w:w="1382" w:type="dxa"/>
            <w:tcBorders>
              <w:right w:val="single" w:color="000000" w:sz="6" w:space="0"/>
            </w:tcBorders>
            <w:vAlign w:val="top"/>
          </w:tcPr>
          <w:p w14:paraId="71E7015B">
            <w:pPr>
              <w:rPr>
                <w:rFonts w:ascii="Arial"/>
                <w:color w:val="auto"/>
                <w:sz w:val="21"/>
                <w:highlight w:val="none"/>
              </w:rPr>
            </w:pPr>
          </w:p>
        </w:tc>
      </w:tr>
      <w:tr w14:paraId="0E8C2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954" w:type="dxa"/>
            <w:tcBorders>
              <w:left w:val="single" w:color="000000" w:sz="6" w:space="0"/>
            </w:tcBorders>
            <w:vAlign w:val="top"/>
          </w:tcPr>
          <w:p w14:paraId="67979B41">
            <w:pPr>
              <w:rPr>
                <w:rFonts w:ascii="Arial"/>
                <w:color w:val="auto"/>
                <w:sz w:val="21"/>
                <w:highlight w:val="none"/>
              </w:rPr>
            </w:pPr>
          </w:p>
        </w:tc>
        <w:tc>
          <w:tcPr>
            <w:tcW w:w="2564" w:type="dxa"/>
            <w:vAlign w:val="top"/>
          </w:tcPr>
          <w:p w14:paraId="1A71F405">
            <w:pPr>
              <w:rPr>
                <w:rFonts w:ascii="Arial"/>
                <w:color w:val="auto"/>
                <w:sz w:val="21"/>
                <w:highlight w:val="none"/>
              </w:rPr>
            </w:pPr>
          </w:p>
        </w:tc>
        <w:tc>
          <w:tcPr>
            <w:tcW w:w="1370" w:type="dxa"/>
            <w:vAlign w:val="top"/>
          </w:tcPr>
          <w:p w14:paraId="18AB9169">
            <w:pPr>
              <w:rPr>
                <w:rFonts w:ascii="Arial"/>
                <w:color w:val="auto"/>
                <w:sz w:val="21"/>
                <w:highlight w:val="none"/>
              </w:rPr>
            </w:pPr>
          </w:p>
        </w:tc>
        <w:tc>
          <w:tcPr>
            <w:tcW w:w="1371" w:type="dxa"/>
            <w:vAlign w:val="top"/>
          </w:tcPr>
          <w:p w14:paraId="159DA99F">
            <w:pPr>
              <w:rPr>
                <w:rFonts w:ascii="Arial"/>
                <w:color w:val="auto"/>
                <w:sz w:val="21"/>
                <w:highlight w:val="none"/>
              </w:rPr>
            </w:pPr>
          </w:p>
        </w:tc>
        <w:tc>
          <w:tcPr>
            <w:tcW w:w="1368" w:type="dxa"/>
            <w:vAlign w:val="top"/>
          </w:tcPr>
          <w:p w14:paraId="581E79F9">
            <w:pPr>
              <w:rPr>
                <w:rFonts w:ascii="Arial"/>
                <w:color w:val="auto"/>
                <w:sz w:val="21"/>
                <w:highlight w:val="none"/>
              </w:rPr>
            </w:pPr>
          </w:p>
        </w:tc>
        <w:tc>
          <w:tcPr>
            <w:tcW w:w="1382" w:type="dxa"/>
            <w:tcBorders>
              <w:right w:val="single" w:color="000000" w:sz="6" w:space="0"/>
            </w:tcBorders>
            <w:vAlign w:val="top"/>
          </w:tcPr>
          <w:p w14:paraId="0949368C">
            <w:pPr>
              <w:rPr>
                <w:rFonts w:ascii="Arial"/>
                <w:color w:val="auto"/>
                <w:sz w:val="21"/>
                <w:highlight w:val="none"/>
              </w:rPr>
            </w:pPr>
          </w:p>
        </w:tc>
      </w:tr>
      <w:tr w14:paraId="3FB81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954" w:type="dxa"/>
            <w:tcBorders>
              <w:left w:val="single" w:color="000000" w:sz="6" w:space="0"/>
              <w:bottom w:val="single" w:color="000000" w:sz="6" w:space="0"/>
            </w:tcBorders>
            <w:vAlign w:val="top"/>
          </w:tcPr>
          <w:p w14:paraId="5387A6C9">
            <w:pPr>
              <w:rPr>
                <w:rFonts w:ascii="Arial"/>
                <w:color w:val="auto"/>
                <w:sz w:val="21"/>
                <w:highlight w:val="none"/>
              </w:rPr>
            </w:pPr>
          </w:p>
        </w:tc>
        <w:tc>
          <w:tcPr>
            <w:tcW w:w="2564" w:type="dxa"/>
            <w:tcBorders>
              <w:bottom w:val="single" w:color="000000" w:sz="6" w:space="0"/>
            </w:tcBorders>
            <w:vAlign w:val="top"/>
          </w:tcPr>
          <w:p w14:paraId="509262C3">
            <w:pPr>
              <w:rPr>
                <w:rFonts w:ascii="Arial"/>
                <w:color w:val="auto"/>
                <w:sz w:val="21"/>
                <w:highlight w:val="none"/>
              </w:rPr>
            </w:pPr>
          </w:p>
        </w:tc>
        <w:tc>
          <w:tcPr>
            <w:tcW w:w="1370" w:type="dxa"/>
            <w:tcBorders>
              <w:bottom w:val="single" w:color="000000" w:sz="6" w:space="0"/>
            </w:tcBorders>
            <w:vAlign w:val="top"/>
          </w:tcPr>
          <w:p w14:paraId="776A7F3F">
            <w:pPr>
              <w:rPr>
                <w:rFonts w:ascii="Arial"/>
                <w:color w:val="auto"/>
                <w:sz w:val="21"/>
                <w:highlight w:val="none"/>
              </w:rPr>
            </w:pPr>
          </w:p>
        </w:tc>
        <w:tc>
          <w:tcPr>
            <w:tcW w:w="1371" w:type="dxa"/>
            <w:tcBorders>
              <w:bottom w:val="single" w:color="000000" w:sz="6" w:space="0"/>
            </w:tcBorders>
            <w:vAlign w:val="top"/>
          </w:tcPr>
          <w:p w14:paraId="525B0296">
            <w:pPr>
              <w:rPr>
                <w:rFonts w:ascii="Arial"/>
                <w:color w:val="auto"/>
                <w:sz w:val="21"/>
                <w:highlight w:val="none"/>
              </w:rPr>
            </w:pPr>
          </w:p>
        </w:tc>
        <w:tc>
          <w:tcPr>
            <w:tcW w:w="1368" w:type="dxa"/>
            <w:tcBorders>
              <w:bottom w:val="single" w:color="000000" w:sz="6" w:space="0"/>
            </w:tcBorders>
            <w:vAlign w:val="top"/>
          </w:tcPr>
          <w:p w14:paraId="0549A16B">
            <w:pPr>
              <w:rPr>
                <w:rFonts w:ascii="Arial"/>
                <w:color w:val="auto"/>
                <w:sz w:val="21"/>
                <w:highlight w:val="none"/>
              </w:rPr>
            </w:pPr>
          </w:p>
        </w:tc>
        <w:tc>
          <w:tcPr>
            <w:tcW w:w="1382" w:type="dxa"/>
            <w:tcBorders>
              <w:bottom w:val="single" w:color="000000" w:sz="6" w:space="0"/>
              <w:right w:val="single" w:color="000000" w:sz="6" w:space="0"/>
            </w:tcBorders>
            <w:vAlign w:val="top"/>
          </w:tcPr>
          <w:p w14:paraId="6185DEDC">
            <w:pPr>
              <w:rPr>
                <w:rFonts w:ascii="Arial"/>
                <w:color w:val="auto"/>
                <w:sz w:val="21"/>
                <w:highlight w:val="none"/>
              </w:rPr>
            </w:pPr>
          </w:p>
        </w:tc>
      </w:tr>
    </w:tbl>
    <w:p w14:paraId="1C6AB29E">
      <w:pPr>
        <w:pStyle w:val="3"/>
        <w:spacing w:line="370" w:lineRule="auto"/>
        <w:rPr>
          <w:color w:val="auto"/>
          <w:highlight w:val="none"/>
        </w:rPr>
      </w:pPr>
    </w:p>
    <w:p w14:paraId="0F11CE74">
      <w:pPr>
        <w:spacing w:before="79" w:line="219" w:lineRule="auto"/>
        <w:ind w:left="4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法定代表人或委托代理人</w:t>
      </w:r>
      <w:r>
        <w:rPr>
          <w:rFonts w:ascii="宋体" w:hAnsi="宋体" w:eastAsia="宋体" w:cs="宋体"/>
          <w:color w:val="auto"/>
          <w:spacing w:val="-11"/>
          <w:sz w:val="24"/>
          <w:szCs w:val="24"/>
          <w:highlight w:val="none"/>
        </w:rPr>
        <w:t>：</w:t>
      </w:r>
      <w:r>
        <w:rPr>
          <w:rFonts w:ascii="宋体" w:hAnsi="宋体" w:eastAsia="宋体" w:cs="宋体"/>
          <w:color w:val="auto"/>
          <w:spacing w:val="30"/>
          <w:sz w:val="24"/>
          <w:szCs w:val="24"/>
          <w:highlight w:val="none"/>
          <w:u w:val="single" w:color="auto"/>
        </w:rPr>
        <w:t xml:space="preserve">    </w:t>
      </w:r>
      <w:r>
        <w:rPr>
          <w:rFonts w:ascii="宋体" w:hAnsi="宋体" w:eastAsia="宋体" w:cs="宋体"/>
          <w:color w:val="auto"/>
          <w:spacing w:val="-11"/>
          <w:sz w:val="24"/>
          <w:szCs w:val="24"/>
          <w:highlight w:val="none"/>
          <w:u w:val="single" w:color="auto"/>
        </w:rPr>
        <w:t>（</w:t>
      </w:r>
      <w:r>
        <w:rPr>
          <w:rFonts w:ascii="宋体" w:hAnsi="宋体" w:eastAsia="宋体" w:cs="宋体"/>
          <w:color w:val="auto"/>
          <w:spacing w:val="1"/>
          <w:sz w:val="24"/>
          <w:szCs w:val="24"/>
          <w:highlight w:val="none"/>
          <w:u w:val="single" w:color="auto"/>
        </w:rPr>
        <w:t>签字或盖章）</w:t>
      </w:r>
      <w:r>
        <w:rPr>
          <w:rFonts w:ascii="宋体" w:hAnsi="宋体" w:eastAsia="宋体" w:cs="宋体"/>
          <w:color w:val="auto"/>
          <w:sz w:val="24"/>
          <w:szCs w:val="24"/>
          <w:highlight w:val="none"/>
          <w:u w:val="single" w:color="auto"/>
        </w:rPr>
        <w:t xml:space="preserve">      </w:t>
      </w:r>
    </w:p>
    <w:p w14:paraId="0887DAD3">
      <w:pPr>
        <w:spacing w:line="219" w:lineRule="auto"/>
        <w:rPr>
          <w:rFonts w:ascii="宋体" w:hAnsi="宋体" w:eastAsia="宋体" w:cs="宋体"/>
          <w:color w:val="auto"/>
          <w:sz w:val="24"/>
          <w:szCs w:val="24"/>
          <w:highlight w:val="none"/>
        </w:rPr>
        <w:sectPr>
          <w:footerReference r:id="rId174" w:type="default"/>
          <w:pgSz w:w="11907" w:h="16841"/>
          <w:pgMar w:top="400" w:right="1293" w:bottom="1254" w:left="1588" w:header="0" w:footer="1093" w:gutter="0"/>
          <w:pgNumType w:fmt="decimal"/>
          <w:cols w:space="720" w:num="1"/>
        </w:sectPr>
      </w:pPr>
    </w:p>
    <w:p w14:paraId="56342413">
      <w:pPr>
        <w:pStyle w:val="3"/>
        <w:spacing w:line="246" w:lineRule="auto"/>
        <w:rPr>
          <w:color w:val="auto"/>
          <w:highlight w:val="none"/>
        </w:rPr>
      </w:pPr>
    </w:p>
    <w:p w14:paraId="079117C5">
      <w:pPr>
        <w:pStyle w:val="3"/>
        <w:spacing w:line="246" w:lineRule="auto"/>
        <w:rPr>
          <w:color w:val="auto"/>
          <w:highlight w:val="none"/>
        </w:rPr>
      </w:pPr>
    </w:p>
    <w:p w14:paraId="4531EE2A">
      <w:pPr>
        <w:pStyle w:val="3"/>
        <w:spacing w:line="246" w:lineRule="auto"/>
        <w:rPr>
          <w:color w:val="auto"/>
          <w:highlight w:val="none"/>
        </w:rPr>
      </w:pPr>
    </w:p>
    <w:p w14:paraId="093E7F66">
      <w:pPr>
        <w:pStyle w:val="3"/>
        <w:spacing w:line="246" w:lineRule="auto"/>
        <w:rPr>
          <w:color w:val="auto"/>
          <w:highlight w:val="none"/>
        </w:rPr>
      </w:pPr>
    </w:p>
    <w:p w14:paraId="2CDDCD41">
      <w:pPr>
        <w:spacing w:before="91" w:line="219" w:lineRule="auto"/>
        <w:ind w:left="3023"/>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工程量清单单价组合表</w:t>
      </w:r>
    </w:p>
    <w:p w14:paraId="0ED41496">
      <w:pPr>
        <w:spacing w:before="206" w:line="220" w:lineRule="auto"/>
        <w:ind w:left="3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第</w:t>
      </w:r>
      <w:r>
        <w:rPr>
          <w:rFonts w:ascii="宋体" w:hAnsi="宋体" w:eastAsia="宋体" w:cs="宋体"/>
          <w:color w:val="auto"/>
          <w:spacing w:val="12"/>
          <w:sz w:val="24"/>
          <w:szCs w:val="24"/>
          <w:highlight w:val="none"/>
        </w:rPr>
        <w:t xml:space="preserve">  </w:t>
      </w:r>
      <w:r>
        <w:rPr>
          <w:rFonts w:ascii="宋体" w:hAnsi="宋体" w:eastAsia="宋体" w:cs="宋体"/>
          <w:color w:val="auto"/>
          <w:spacing w:val="-2"/>
          <w:sz w:val="24"/>
          <w:szCs w:val="24"/>
          <w:highlight w:val="none"/>
        </w:rPr>
        <w:t>页共</w:t>
      </w:r>
      <w:r>
        <w:rPr>
          <w:rFonts w:ascii="宋体" w:hAnsi="宋体" w:eastAsia="宋体" w:cs="宋体"/>
          <w:color w:val="auto"/>
          <w:spacing w:val="7"/>
          <w:sz w:val="24"/>
          <w:szCs w:val="24"/>
          <w:highlight w:val="none"/>
        </w:rPr>
        <w:t xml:space="preserve">  </w:t>
      </w:r>
      <w:r>
        <w:rPr>
          <w:rFonts w:ascii="宋体" w:hAnsi="宋体" w:eastAsia="宋体" w:cs="宋体"/>
          <w:color w:val="auto"/>
          <w:spacing w:val="-2"/>
          <w:sz w:val="24"/>
          <w:szCs w:val="24"/>
          <w:highlight w:val="none"/>
        </w:rPr>
        <w:t>页</w:t>
      </w:r>
    </w:p>
    <w:p w14:paraId="36CE6335">
      <w:pPr>
        <w:spacing w:line="143" w:lineRule="exact"/>
        <w:rPr>
          <w:color w:val="auto"/>
          <w:highlight w:val="none"/>
        </w:rPr>
      </w:pPr>
    </w:p>
    <w:tbl>
      <w:tblPr>
        <w:tblStyle w:val="16"/>
        <w:tblW w:w="881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2830"/>
        <w:gridCol w:w="1890"/>
        <w:gridCol w:w="807"/>
        <w:gridCol w:w="1076"/>
        <w:gridCol w:w="1466"/>
      </w:tblGrid>
      <w:tr w14:paraId="08BF6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43" w:type="dxa"/>
            <w:tcBorders>
              <w:top w:val="single" w:color="000000" w:sz="6" w:space="0"/>
              <w:left w:val="single" w:color="000000" w:sz="6" w:space="0"/>
            </w:tcBorders>
            <w:vAlign w:val="top"/>
          </w:tcPr>
          <w:p w14:paraId="4B0D353A">
            <w:pPr>
              <w:pStyle w:val="17"/>
              <w:spacing w:before="275" w:line="221" w:lineRule="auto"/>
              <w:ind w:left="135"/>
              <w:rPr>
                <w:color w:val="auto"/>
                <w:sz w:val="24"/>
                <w:szCs w:val="24"/>
                <w:highlight w:val="none"/>
              </w:rPr>
            </w:pPr>
            <w:r>
              <w:rPr>
                <w:color w:val="auto"/>
                <w:spacing w:val="-3"/>
                <w:sz w:val="24"/>
                <w:szCs w:val="24"/>
                <w:highlight w:val="none"/>
              </w:rPr>
              <w:t>序号</w:t>
            </w:r>
          </w:p>
        </w:tc>
        <w:tc>
          <w:tcPr>
            <w:tcW w:w="2830" w:type="dxa"/>
            <w:tcBorders>
              <w:top w:val="single" w:color="000000" w:sz="6" w:space="0"/>
            </w:tcBorders>
            <w:vAlign w:val="top"/>
          </w:tcPr>
          <w:p w14:paraId="7893D7E0">
            <w:pPr>
              <w:pStyle w:val="17"/>
              <w:spacing w:before="275" w:line="220" w:lineRule="auto"/>
              <w:ind w:left="936"/>
              <w:rPr>
                <w:color w:val="auto"/>
                <w:sz w:val="24"/>
                <w:szCs w:val="24"/>
                <w:highlight w:val="none"/>
              </w:rPr>
            </w:pPr>
            <w:r>
              <w:rPr>
                <w:color w:val="auto"/>
                <w:spacing w:val="-2"/>
                <w:sz w:val="24"/>
                <w:szCs w:val="24"/>
                <w:highlight w:val="none"/>
              </w:rPr>
              <w:t>清单编号</w:t>
            </w:r>
          </w:p>
        </w:tc>
        <w:tc>
          <w:tcPr>
            <w:tcW w:w="1890" w:type="dxa"/>
            <w:tcBorders>
              <w:top w:val="single" w:color="000000" w:sz="6" w:space="0"/>
            </w:tcBorders>
            <w:vAlign w:val="top"/>
          </w:tcPr>
          <w:p w14:paraId="233ACD74">
            <w:pPr>
              <w:pStyle w:val="17"/>
              <w:spacing w:before="275" w:line="220" w:lineRule="auto"/>
              <w:ind w:left="474"/>
              <w:rPr>
                <w:color w:val="auto"/>
                <w:sz w:val="24"/>
                <w:szCs w:val="24"/>
                <w:highlight w:val="none"/>
              </w:rPr>
            </w:pPr>
            <w:r>
              <w:rPr>
                <w:color w:val="auto"/>
                <w:spacing w:val="-3"/>
                <w:sz w:val="24"/>
                <w:szCs w:val="24"/>
                <w:highlight w:val="none"/>
              </w:rPr>
              <w:t>项目名称</w:t>
            </w:r>
          </w:p>
        </w:tc>
        <w:tc>
          <w:tcPr>
            <w:tcW w:w="807" w:type="dxa"/>
            <w:tcBorders>
              <w:top w:val="single" w:color="000000" w:sz="6" w:space="0"/>
            </w:tcBorders>
            <w:vAlign w:val="top"/>
          </w:tcPr>
          <w:p w14:paraId="2CC5830C">
            <w:pPr>
              <w:pStyle w:val="17"/>
              <w:spacing w:before="42" w:line="221" w:lineRule="auto"/>
              <w:ind w:left="171"/>
              <w:rPr>
                <w:color w:val="auto"/>
                <w:sz w:val="24"/>
                <w:szCs w:val="24"/>
                <w:highlight w:val="none"/>
              </w:rPr>
            </w:pPr>
            <w:r>
              <w:rPr>
                <w:color w:val="auto"/>
                <w:spacing w:val="-3"/>
                <w:sz w:val="24"/>
                <w:szCs w:val="24"/>
                <w:highlight w:val="none"/>
              </w:rPr>
              <w:t>计量</w:t>
            </w:r>
          </w:p>
          <w:p w14:paraId="079F1853">
            <w:pPr>
              <w:pStyle w:val="17"/>
              <w:spacing w:before="178" w:line="220" w:lineRule="auto"/>
              <w:ind w:left="173"/>
              <w:rPr>
                <w:color w:val="auto"/>
                <w:sz w:val="24"/>
                <w:szCs w:val="24"/>
                <w:highlight w:val="none"/>
              </w:rPr>
            </w:pPr>
            <w:r>
              <w:rPr>
                <w:color w:val="auto"/>
                <w:spacing w:val="-3"/>
                <w:sz w:val="24"/>
                <w:szCs w:val="24"/>
                <w:highlight w:val="none"/>
              </w:rPr>
              <w:t>单位</w:t>
            </w:r>
          </w:p>
        </w:tc>
        <w:tc>
          <w:tcPr>
            <w:tcW w:w="1076" w:type="dxa"/>
            <w:tcBorders>
              <w:top w:val="single" w:color="000000" w:sz="6" w:space="0"/>
            </w:tcBorders>
            <w:vAlign w:val="top"/>
          </w:tcPr>
          <w:p w14:paraId="168CC1D1">
            <w:pPr>
              <w:pStyle w:val="17"/>
              <w:spacing w:before="42" w:line="343" w:lineRule="auto"/>
              <w:ind w:left="194" w:right="188" w:firstLine="115"/>
              <w:rPr>
                <w:color w:val="auto"/>
                <w:sz w:val="24"/>
                <w:szCs w:val="24"/>
                <w:highlight w:val="none"/>
              </w:rPr>
            </w:pPr>
            <w:r>
              <w:rPr>
                <w:color w:val="auto"/>
                <w:spacing w:val="-6"/>
                <w:sz w:val="24"/>
                <w:szCs w:val="24"/>
                <w:highlight w:val="none"/>
              </w:rPr>
              <w:t>单价</w:t>
            </w:r>
            <w:r>
              <w:rPr>
                <w:color w:val="auto"/>
                <w:spacing w:val="-11"/>
                <w:sz w:val="24"/>
                <w:szCs w:val="24"/>
                <w:highlight w:val="none"/>
              </w:rPr>
              <w:t>（元）</w:t>
            </w:r>
          </w:p>
        </w:tc>
        <w:tc>
          <w:tcPr>
            <w:tcW w:w="1466" w:type="dxa"/>
            <w:tcBorders>
              <w:top w:val="single" w:color="000000" w:sz="6" w:space="0"/>
              <w:right w:val="single" w:color="000000" w:sz="6" w:space="0"/>
            </w:tcBorders>
            <w:vAlign w:val="top"/>
          </w:tcPr>
          <w:p w14:paraId="5D5DECBB">
            <w:pPr>
              <w:pStyle w:val="17"/>
              <w:spacing w:before="275" w:line="218" w:lineRule="auto"/>
              <w:ind w:left="260"/>
              <w:rPr>
                <w:color w:val="auto"/>
                <w:sz w:val="24"/>
                <w:szCs w:val="24"/>
                <w:highlight w:val="none"/>
              </w:rPr>
            </w:pPr>
            <w:r>
              <w:rPr>
                <w:color w:val="auto"/>
                <w:spacing w:val="-3"/>
                <w:sz w:val="24"/>
                <w:szCs w:val="24"/>
                <w:highlight w:val="none"/>
              </w:rPr>
              <w:t>单价组合</w:t>
            </w:r>
          </w:p>
        </w:tc>
      </w:tr>
      <w:tr w14:paraId="683A6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4290963A">
            <w:pPr>
              <w:rPr>
                <w:rFonts w:ascii="Arial"/>
                <w:color w:val="auto"/>
                <w:sz w:val="21"/>
                <w:highlight w:val="none"/>
              </w:rPr>
            </w:pPr>
          </w:p>
        </w:tc>
        <w:tc>
          <w:tcPr>
            <w:tcW w:w="2830" w:type="dxa"/>
            <w:vAlign w:val="top"/>
          </w:tcPr>
          <w:p w14:paraId="27511261">
            <w:pPr>
              <w:rPr>
                <w:rFonts w:ascii="Arial"/>
                <w:color w:val="auto"/>
                <w:sz w:val="21"/>
                <w:highlight w:val="none"/>
              </w:rPr>
            </w:pPr>
          </w:p>
        </w:tc>
        <w:tc>
          <w:tcPr>
            <w:tcW w:w="1890" w:type="dxa"/>
            <w:vAlign w:val="top"/>
          </w:tcPr>
          <w:p w14:paraId="5F0520DD">
            <w:pPr>
              <w:rPr>
                <w:rFonts w:ascii="Arial"/>
                <w:color w:val="auto"/>
                <w:sz w:val="21"/>
                <w:highlight w:val="none"/>
              </w:rPr>
            </w:pPr>
          </w:p>
        </w:tc>
        <w:tc>
          <w:tcPr>
            <w:tcW w:w="807" w:type="dxa"/>
            <w:vAlign w:val="top"/>
          </w:tcPr>
          <w:p w14:paraId="5B2615DF">
            <w:pPr>
              <w:rPr>
                <w:rFonts w:ascii="Arial"/>
                <w:color w:val="auto"/>
                <w:sz w:val="21"/>
                <w:highlight w:val="none"/>
              </w:rPr>
            </w:pPr>
          </w:p>
        </w:tc>
        <w:tc>
          <w:tcPr>
            <w:tcW w:w="1076" w:type="dxa"/>
            <w:vAlign w:val="top"/>
          </w:tcPr>
          <w:p w14:paraId="3E97A93F">
            <w:pPr>
              <w:rPr>
                <w:rFonts w:ascii="Arial"/>
                <w:color w:val="auto"/>
                <w:sz w:val="21"/>
                <w:highlight w:val="none"/>
              </w:rPr>
            </w:pPr>
          </w:p>
        </w:tc>
        <w:tc>
          <w:tcPr>
            <w:tcW w:w="1466" w:type="dxa"/>
            <w:tcBorders>
              <w:right w:val="single" w:color="000000" w:sz="6" w:space="0"/>
            </w:tcBorders>
            <w:vAlign w:val="top"/>
          </w:tcPr>
          <w:p w14:paraId="316567C7">
            <w:pPr>
              <w:rPr>
                <w:rFonts w:ascii="Arial"/>
                <w:color w:val="auto"/>
                <w:sz w:val="21"/>
                <w:highlight w:val="none"/>
              </w:rPr>
            </w:pPr>
          </w:p>
        </w:tc>
      </w:tr>
      <w:tr w14:paraId="6936B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743" w:type="dxa"/>
            <w:tcBorders>
              <w:left w:val="single" w:color="000000" w:sz="6" w:space="0"/>
            </w:tcBorders>
            <w:vAlign w:val="top"/>
          </w:tcPr>
          <w:p w14:paraId="55A505EE">
            <w:pPr>
              <w:rPr>
                <w:rFonts w:ascii="Arial"/>
                <w:color w:val="auto"/>
                <w:sz w:val="21"/>
                <w:highlight w:val="none"/>
              </w:rPr>
            </w:pPr>
          </w:p>
        </w:tc>
        <w:tc>
          <w:tcPr>
            <w:tcW w:w="2830" w:type="dxa"/>
            <w:vAlign w:val="top"/>
          </w:tcPr>
          <w:p w14:paraId="3FDD8FB5">
            <w:pPr>
              <w:rPr>
                <w:rFonts w:ascii="Arial"/>
                <w:color w:val="auto"/>
                <w:sz w:val="21"/>
                <w:highlight w:val="none"/>
              </w:rPr>
            </w:pPr>
          </w:p>
        </w:tc>
        <w:tc>
          <w:tcPr>
            <w:tcW w:w="1890" w:type="dxa"/>
            <w:vAlign w:val="top"/>
          </w:tcPr>
          <w:p w14:paraId="63F272F4">
            <w:pPr>
              <w:rPr>
                <w:rFonts w:ascii="Arial"/>
                <w:color w:val="auto"/>
                <w:sz w:val="21"/>
                <w:highlight w:val="none"/>
              </w:rPr>
            </w:pPr>
          </w:p>
        </w:tc>
        <w:tc>
          <w:tcPr>
            <w:tcW w:w="807" w:type="dxa"/>
            <w:vAlign w:val="top"/>
          </w:tcPr>
          <w:p w14:paraId="20C6B121">
            <w:pPr>
              <w:rPr>
                <w:rFonts w:ascii="Arial"/>
                <w:color w:val="auto"/>
                <w:sz w:val="21"/>
                <w:highlight w:val="none"/>
              </w:rPr>
            </w:pPr>
          </w:p>
        </w:tc>
        <w:tc>
          <w:tcPr>
            <w:tcW w:w="1076" w:type="dxa"/>
            <w:vAlign w:val="top"/>
          </w:tcPr>
          <w:p w14:paraId="4512B965">
            <w:pPr>
              <w:rPr>
                <w:rFonts w:ascii="Arial"/>
                <w:color w:val="auto"/>
                <w:sz w:val="21"/>
                <w:highlight w:val="none"/>
              </w:rPr>
            </w:pPr>
          </w:p>
        </w:tc>
        <w:tc>
          <w:tcPr>
            <w:tcW w:w="1466" w:type="dxa"/>
            <w:tcBorders>
              <w:right w:val="single" w:color="000000" w:sz="6" w:space="0"/>
            </w:tcBorders>
            <w:vAlign w:val="top"/>
          </w:tcPr>
          <w:p w14:paraId="5B061779">
            <w:pPr>
              <w:rPr>
                <w:rFonts w:ascii="Arial"/>
                <w:color w:val="auto"/>
                <w:sz w:val="21"/>
                <w:highlight w:val="none"/>
              </w:rPr>
            </w:pPr>
          </w:p>
        </w:tc>
      </w:tr>
      <w:tr w14:paraId="7EE67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57A1C574">
            <w:pPr>
              <w:rPr>
                <w:rFonts w:ascii="Arial"/>
                <w:color w:val="auto"/>
                <w:sz w:val="21"/>
                <w:highlight w:val="none"/>
              </w:rPr>
            </w:pPr>
          </w:p>
        </w:tc>
        <w:tc>
          <w:tcPr>
            <w:tcW w:w="2830" w:type="dxa"/>
            <w:vAlign w:val="top"/>
          </w:tcPr>
          <w:p w14:paraId="250928FC">
            <w:pPr>
              <w:rPr>
                <w:rFonts w:ascii="Arial"/>
                <w:color w:val="auto"/>
                <w:sz w:val="21"/>
                <w:highlight w:val="none"/>
              </w:rPr>
            </w:pPr>
          </w:p>
        </w:tc>
        <w:tc>
          <w:tcPr>
            <w:tcW w:w="1890" w:type="dxa"/>
            <w:vAlign w:val="top"/>
          </w:tcPr>
          <w:p w14:paraId="0D0D6ABE">
            <w:pPr>
              <w:rPr>
                <w:rFonts w:ascii="Arial"/>
                <w:color w:val="auto"/>
                <w:sz w:val="21"/>
                <w:highlight w:val="none"/>
              </w:rPr>
            </w:pPr>
          </w:p>
        </w:tc>
        <w:tc>
          <w:tcPr>
            <w:tcW w:w="807" w:type="dxa"/>
            <w:vAlign w:val="top"/>
          </w:tcPr>
          <w:p w14:paraId="6B962A04">
            <w:pPr>
              <w:rPr>
                <w:rFonts w:ascii="Arial"/>
                <w:color w:val="auto"/>
                <w:sz w:val="21"/>
                <w:highlight w:val="none"/>
              </w:rPr>
            </w:pPr>
          </w:p>
        </w:tc>
        <w:tc>
          <w:tcPr>
            <w:tcW w:w="1076" w:type="dxa"/>
            <w:vAlign w:val="top"/>
          </w:tcPr>
          <w:p w14:paraId="70F0109F">
            <w:pPr>
              <w:rPr>
                <w:rFonts w:ascii="Arial"/>
                <w:color w:val="auto"/>
                <w:sz w:val="21"/>
                <w:highlight w:val="none"/>
              </w:rPr>
            </w:pPr>
          </w:p>
        </w:tc>
        <w:tc>
          <w:tcPr>
            <w:tcW w:w="1466" w:type="dxa"/>
            <w:tcBorders>
              <w:right w:val="single" w:color="000000" w:sz="6" w:space="0"/>
            </w:tcBorders>
            <w:vAlign w:val="top"/>
          </w:tcPr>
          <w:p w14:paraId="18CD5162">
            <w:pPr>
              <w:rPr>
                <w:rFonts w:ascii="Arial"/>
                <w:color w:val="auto"/>
                <w:sz w:val="21"/>
                <w:highlight w:val="none"/>
              </w:rPr>
            </w:pPr>
          </w:p>
        </w:tc>
      </w:tr>
      <w:tr w14:paraId="25AD6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109AED5C">
            <w:pPr>
              <w:rPr>
                <w:rFonts w:ascii="Arial"/>
                <w:color w:val="auto"/>
                <w:sz w:val="21"/>
                <w:highlight w:val="none"/>
              </w:rPr>
            </w:pPr>
          </w:p>
        </w:tc>
        <w:tc>
          <w:tcPr>
            <w:tcW w:w="2830" w:type="dxa"/>
            <w:vAlign w:val="top"/>
          </w:tcPr>
          <w:p w14:paraId="2C1F120B">
            <w:pPr>
              <w:rPr>
                <w:rFonts w:ascii="Arial"/>
                <w:color w:val="auto"/>
                <w:sz w:val="21"/>
                <w:highlight w:val="none"/>
              </w:rPr>
            </w:pPr>
          </w:p>
        </w:tc>
        <w:tc>
          <w:tcPr>
            <w:tcW w:w="1890" w:type="dxa"/>
            <w:vAlign w:val="top"/>
          </w:tcPr>
          <w:p w14:paraId="1F5E1D7F">
            <w:pPr>
              <w:rPr>
                <w:rFonts w:ascii="Arial"/>
                <w:color w:val="auto"/>
                <w:sz w:val="21"/>
                <w:highlight w:val="none"/>
              </w:rPr>
            </w:pPr>
          </w:p>
        </w:tc>
        <w:tc>
          <w:tcPr>
            <w:tcW w:w="807" w:type="dxa"/>
            <w:vAlign w:val="top"/>
          </w:tcPr>
          <w:p w14:paraId="1372EBE0">
            <w:pPr>
              <w:rPr>
                <w:rFonts w:ascii="Arial"/>
                <w:color w:val="auto"/>
                <w:sz w:val="21"/>
                <w:highlight w:val="none"/>
              </w:rPr>
            </w:pPr>
          </w:p>
        </w:tc>
        <w:tc>
          <w:tcPr>
            <w:tcW w:w="1076" w:type="dxa"/>
            <w:vAlign w:val="top"/>
          </w:tcPr>
          <w:p w14:paraId="7B5A92F2">
            <w:pPr>
              <w:rPr>
                <w:rFonts w:ascii="Arial"/>
                <w:color w:val="auto"/>
                <w:sz w:val="21"/>
                <w:highlight w:val="none"/>
              </w:rPr>
            </w:pPr>
          </w:p>
        </w:tc>
        <w:tc>
          <w:tcPr>
            <w:tcW w:w="1466" w:type="dxa"/>
            <w:tcBorders>
              <w:right w:val="single" w:color="000000" w:sz="6" w:space="0"/>
            </w:tcBorders>
            <w:vAlign w:val="top"/>
          </w:tcPr>
          <w:p w14:paraId="36466EDA">
            <w:pPr>
              <w:rPr>
                <w:rFonts w:ascii="Arial"/>
                <w:color w:val="auto"/>
                <w:sz w:val="21"/>
                <w:highlight w:val="none"/>
              </w:rPr>
            </w:pPr>
          </w:p>
        </w:tc>
      </w:tr>
      <w:tr w14:paraId="3204A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2071FFF8">
            <w:pPr>
              <w:rPr>
                <w:rFonts w:ascii="Arial"/>
                <w:color w:val="auto"/>
                <w:sz w:val="21"/>
                <w:highlight w:val="none"/>
              </w:rPr>
            </w:pPr>
          </w:p>
        </w:tc>
        <w:tc>
          <w:tcPr>
            <w:tcW w:w="2830" w:type="dxa"/>
            <w:vAlign w:val="top"/>
          </w:tcPr>
          <w:p w14:paraId="19719117">
            <w:pPr>
              <w:rPr>
                <w:rFonts w:ascii="Arial"/>
                <w:color w:val="auto"/>
                <w:sz w:val="21"/>
                <w:highlight w:val="none"/>
              </w:rPr>
            </w:pPr>
          </w:p>
        </w:tc>
        <w:tc>
          <w:tcPr>
            <w:tcW w:w="1890" w:type="dxa"/>
            <w:vAlign w:val="top"/>
          </w:tcPr>
          <w:p w14:paraId="7DF1E8B7">
            <w:pPr>
              <w:rPr>
                <w:rFonts w:ascii="Arial"/>
                <w:color w:val="auto"/>
                <w:sz w:val="21"/>
                <w:highlight w:val="none"/>
              </w:rPr>
            </w:pPr>
          </w:p>
        </w:tc>
        <w:tc>
          <w:tcPr>
            <w:tcW w:w="807" w:type="dxa"/>
            <w:vAlign w:val="top"/>
          </w:tcPr>
          <w:p w14:paraId="73FE5BCF">
            <w:pPr>
              <w:rPr>
                <w:rFonts w:ascii="Arial"/>
                <w:color w:val="auto"/>
                <w:sz w:val="21"/>
                <w:highlight w:val="none"/>
              </w:rPr>
            </w:pPr>
          </w:p>
        </w:tc>
        <w:tc>
          <w:tcPr>
            <w:tcW w:w="1076" w:type="dxa"/>
            <w:vAlign w:val="top"/>
          </w:tcPr>
          <w:p w14:paraId="6ADB2B9E">
            <w:pPr>
              <w:rPr>
                <w:rFonts w:ascii="Arial"/>
                <w:color w:val="auto"/>
                <w:sz w:val="21"/>
                <w:highlight w:val="none"/>
              </w:rPr>
            </w:pPr>
          </w:p>
        </w:tc>
        <w:tc>
          <w:tcPr>
            <w:tcW w:w="1466" w:type="dxa"/>
            <w:tcBorders>
              <w:right w:val="single" w:color="000000" w:sz="6" w:space="0"/>
            </w:tcBorders>
            <w:vAlign w:val="top"/>
          </w:tcPr>
          <w:p w14:paraId="48CC3304">
            <w:pPr>
              <w:rPr>
                <w:rFonts w:ascii="Arial"/>
                <w:color w:val="auto"/>
                <w:sz w:val="21"/>
                <w:highlight w:val="none"/>
              </w:rPr>
            </w:pPr>
          </w:p>
        </w:tc>
      </w:tr>
      <w:tr w14:paraId="32ED9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75BC2E06">
            <w:pPr>
              <w:rPr>
                <w:rFonts w:ascii="Arial"/>
                <w:color w:val="auto"/>
                <w:sz w:val="21"/>
                <w:highlight w:val="none"/>
              </w:rPr>
            </w:pPr>
          </w:p>
        </w:tc>
        <w:tc>
          <w:tcPr>
            <w:tcW w:w="2830" w:type="dxa"/>
            <w:vAlign w:val="top"/>
          </w:tcPr>
          <w:p w14:paraId="554838EA">
            <w:pPr>
              <w:rPr>
                <w:rFonts w:ascii="Arial"/>
                <w:color w:val="auto"/>
                <w:sz w:val="21"/>
                <w:highlight w:val="none"/>
              </w:rPr>
            </w:pPr>
          </w:p>
        </w:tc>
        <w:tc>
          <w:tcPr>
            <w:tcW w:w="1890" w:type="dxa"/>
            <w:vAlign w:val="top"/>
          </w:tcPr>
          <w:p w14:paraId="006FE9B4">
            <w:pPr>
              <w:rPr>
                <w:rFonts w:ascii="Arial"/>
                <w:color w:val="auto"/>
                <w:sz w:val="21"/>
                <w:highlight w:val="none"/>
              </w:rPr>
            </w:pPr>
          </w:p>
        </w:tc>
        <w:tc>
          <w:tcPr>
            <w:tcW w:w="807" w:type="dxa"/>
            <w:vAlign w:val="top"/>
          </w:tcPr>
          <w:p w14:paraId="47372108">
            <w:pPr>
              <w:rPr>
                <w:rFonts w:ascii="Arial"/>
                <w:color w:val="auto"/>
                <w:sz w:val="21"/>
                <w:highlight w:val="none"/>
              </w:rPr>
            </w:pPr>
          </w:p>
        </w:tc>
        <w:tc>
          <w:tcPr>
            <w:tcW w:w="1076" w:type="dxa"/>
            <w:vAlign w:val="top"/>
          </w:tcPr>
          <w:p w14:paraId="2223CFFD">
            <w:pPr>
              <w:rPr>
                <w:rFonts w:ascii="Arial"/>
                <w:color w:val="auto"/>
                <w:sz w:val="21"/>
                <w:highlight w:val="none"/>
              </w:rPr>
            </w:pPr>
          </w:p>
        </w:tc>
        <w:tc>
          <w:tcPr>
            <w:tcW w:w="1466" w:type="dxa"/>
            <w:tcBorders>
              <w:right w:val="single" w:color="000000" w:sz="6" w:space="0"/>
            </w:tcBorders>
            <w:vAlign w:val="top"/>
          </w:tcPr>
          <w:p w14:paraId="3E496BD6">
            <w:pPr>
              <w:rPr>
                <w:rFonts w:ascii="Arial"/>
                <w:color w:val="auto"/>
                <w:sz w:val="21"/>
                <w:highlight w:val="none"/>
              </w:rPr>
            </w:pPr>
          </w:p>
        </w:tc>
      </w:tr>
      <w:tr w14:paraId="1ACF1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423BA40B">
            <w:pPr>
              <w:rPr>
                <w:rFonts w:ascii="Arial"/>
                <w:color w:val="auto"/>
                <w:sz w:val="21"/>
                <w:highlight w:val="none"/>
              </w:rPr>
            </w:pPr>
          </w:p>
        </w:tc>
        <w:tc>
          <w:tcPr>
            <w:tcW w:w="2830" w:type="dxa"/>
            <w:vAlign w:val="top"/>
          </w:tcPr>
          <w:p w14:paraId="7B6FE142">
            <w:pPr>
              <w:rPr>
                <w:rFonts w:ascii="Arial"/>
                <w:color w:val="auto"/>
                <w:sz w:val="21"/>
                <w:highlight w:val="none"/>
              </w:rPr>
            </w:pPr>
          </w:p>
        </w:tc>
        <w:tc>
          <w:tcPr>
            <w:tcW w:w="1890" w:type="dxa"/>
            <w:vAlign w:val="top"/>
          </w:tcPr>
          <w:p w14:paraId="6B21D5C4">
            <w:pPr>
              <w:rPr>
                <w:rFonts w:ascii="Arial"/>
                <w:color w:val="auto"/>
                <w:sz w:val="21"/>
                <w:highlight w:val="none"/>
              </w:rPr>
            </w:pPr>
          </w:p>
        </w:tc>
        <w:tc>
          <w:tcPr>
            <w:tcW w:w="807" w:type="dxa"/>
            <w:vAlign w:val="top"/>
          </w:tcPr>
          <w:p w14:paraId="22633C3B">
            <w:pPr>
              <w:rPr>
                <w:rFonts w:ascii="Arial"/>
                <w:color w:val="auto"/>
                <w:sz w:val="21"/>
                <w:highlight w:val="none"/>
              </w:rPr>
            </w:pPr>
          </w:p>
        </w:tc>
        <w:tc>
          <w:tcPr>
            <w:tcW w:w="1076" w:type="dxa"/>
            <w:vAlign w:val="top"/>
          </w:tcPr>
          <w:p w14:paraId="1C8C2428">
            <w:pPr>
              <w:rPr>
                <w:rFonts w:ascii="Arial"/>
                <w:color w:val="auto"/>
                <w:sz w:val="21"/>
                <w:highlight w:val="none"/>
              </w:rPr>
            </w:pPr>
          </w:p>
        </w:tc>
        <w:tc>
          <w:tcPr>
            <w:tcW w:w="1466" w:type="dxa"/>
            <w:tcBorders>
              <w:right w:val="single" w:color="000000" w:sz="6" w:space="0"/>
            </w:tcBorders>
            <w:vAlign w:val="top"/>
          </w:tcPr>
          <w:p w14:paraId="18B58988">
            <w:pPr>
              <w:rPr>
                <w:rFonts w:ascii="Arial"/>
                <w:color w:val="auto"/>
                <w:sz w:val="21"/>
                <w:highlight w:val="none"/>
              </w:rPr>
            </w:pPr>
          </w:p>
        </w:tc>
      </w:tr>
      <w:tr w14:paraId="71E81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6E9FD885">
            <w:pPr>
              <w:rPr>
                <w:rFonts w:ascii="Arial"/>
                <w:color w:val="auto"/>
                <w:sz w:val="21"/>
                <w:highlight w:val="none"/>
              </w:rPr>
            </w:pPr>
          </w:p>
        </w:tc>
        <w:tc>
          <w:tcPr>
            <w:tcW w:w="2830" w:type="dxa"/>
            <w:vAlign w:val="top"/>
          </w:tcPr>
          <w:p w14:paraId="26BAE1DD">
            <w:pPr>
              <w:rPr>
                <w:rFonts w:ascii="Arial"/>
                <w:color w:val="auto"/>
                <w:sz w:val="21"/>
                <w:highlight w:val="none"/>
              </w:rPr>
            </w:pPr>
          </w:p>
        </w:tc>
        <w:tc>
          <w:tcPr>
            <w:tcW w:w="1890" w:type="dxa"/>
            <w:vAlign w:val="top"/>
          </w:tcPr>
          <w:p w14:paraId="77779B1B">
            <w:pPr>
              <w:rPr>
                <w:rFonts w:ascii="Arial"/>
                <w:color w:val="auto"/>
                <w:sz w:val="21"/>
                <w:highlight w:val="none"/>
              </w:rPr>
            </w:pPr>
          </w:p>
        </w:tc>
        <w:tc>
          <w:tcPr>
            <w:tcW w:w="807" w:type="dxa"/>
            <w:vAlign w:val="top"/>
          </w:tcPr>
          <w:p w14:paraId="178ADBF9">
            <w:pPr>
              <w:rPr>
                <w:rFonts w:ascii="Arial"/>
                <w:color w:val="auto"/>
                <w:sz w:val="21"/>
                <w:highlight w:val="none"/>
              </w:rPr>
            </w:pPr>
          </w:p>
        </w:tc>
        <w:tc>
          <w:tcPr>
            <w:tcW w:w="1076" w:type="dxa"/>
            <w:vAlign w:val="top"/>
          </w:tcPr>
          <w:p w14:paraId="2D7C339C">
            <w:pPr>
              <w:rPr>
                <w:rFonts w:ascii="Arial"/>
                <w:color w:val="auto"/>
                <w:sz w:val="21"/>
                <w:highlight w:val="none"/>
              </w:rPr>
            </w:pPr>
          </w:p>
        </w:tc>
        <w:tc>
          <w:tcPr>
            <w:tcW w:w="1466" w:type="dxa"/>
            <w:tcBorders>
              <w:right w:val="single" w:color="000000" w:sz="6" w:space="0"/>
            </w:tcBorders>
            <w:vAlign w:val="top"/>
          </w:tcPr>
          <w:p w14:paraId="5607A925">
            <w:pPr>
              <w:rPr>
                <w:rFonts w:ascii="Arial"/>
                <w:color w:val="auto"/>
                <w:sz w:val="21"/>
                <w:highlight w:val="none"/>
              </w:rPr>
            </w:pPr>
          </w:p>
        </w:tc>
      </w:tr>
      <w:tr w14:paraId="6B885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6D8E64B3">
            <w:pPr>
              <w:rPr>
                <w:rFonts w:ascii="Arial"/>
                <w:color w:val="auto"/>
                <w:sz w:val="21"/>
                <w:highlight w:val="none"/>
              </w:rPr>
            </w:pPr>
          </w:p>
        </w:tc>
        <w:tc>
          <w:tcPr>
            <w:tcW w:w="2830" w:type="dxa"/>
            <w:vAlign w:val="top"/>
          </w:tcPr>
          <w:p w14:paraId="3A6432F1">
            <w:pPr>
              <w:rPr>
                <w:rFonts w:ascii="Arial"/>
                <w:color w:val="auto"/>
                <w:sz w:val="21"/>
                <w:highlight w:val="none"/>
              </w:rPr>
            </w:pPr>
          </w:p>
        </w:tc>
        <w:tc>
          <w:tcPr>
            <w:tcW w:w="1890" w:type="dxa"/>
            <w:vAlign w:val="top"/>
          </w:tcPr>
          <w:p w14:paraId="22E1A5B7">
            <w:pPr>
              <w:rPr>
                <w:rFonts w:ascii="Arial"/>
                <w:color w:val="auto"/>
                <w:sz w:val="21"/>
                <w:highlight w:val="none"/>
              </w:rPr>
            </w:pPr>
          </w:p>
        </w:tc>
        <w:tc>
          <w:tcPr>
            <w:tcW w:w="807" w:type="dxa"/>
            <w:vAlign w:val="top"/>
          </w:tcPr>
          <w:p w14:paraId="7C1E3806">
            <w:pPr>
              <w:rPr>
                <w:rFonts w:ascii="Arial"/>
                <w:color w:val="auto"/>
                <w:sz w:val="21"/>
                <w:highlight w:val="none"/>
              </w:rPr>
            </w:pPr>
          </w:p>
        </w:tc>
        <w:tc>
          <w:tcPr>
            <w:tcW w:w="1076" w:type="dxa"/>
            <w:vAlign w:val="top"/>
          </w:tcPr>
          <w:p w14:paraId="4D27CBA9">
            <w:pPr>
              <w:rPr>
                <w:rFonts w:ascii="Arial"/>
                <w:color w:val="auto"/>
                <w:sz w:val="21"/>
                <w:highlight w:val="none"/>
              </w:rPr>
            </w:pPr>
          </w:p>
        </w:tc>
        <w:tc>
          <w:tcPr>
            <w:tcW w:w="1466" w:type="dxa"/>
            <w:tcBorders>
              <w:right w:val="single" w:color="000000" w:sz="6" w:space="0"/>
            </w:tcBorders>
            <w:vAlign w:val="top"/>
          </w:tcPr>
          <w:p w14:paraId="23591738">
            <w:pPr>
              <w:rPr>
                <w:rFonts w:ascii="Arial"/>
                <w:color w:val="auto"/>
                <w:sz w:val="21"/>
                <w:highlight w:val="none"/>
              </w:rPr>
            </w:pPr>
          </w:p>
        </w:tc>
      </w:tr>
      <w:tr w14:paraId="3D58E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5BAA38F7">
            <w:pPr>
              <w:rPr>
                <w:rFonts w:ascii="Arial"/>
                <w:color w:val="auto"/>
                <w:sz w:val="21"/>
                <w:highlight w:val="none"/>
              </w:rPr>
            </w:pPr>
          </w:p>
        </w:tc>
        <w:tc>
          <w:tcPr>
            <w:tcW w:w="2830" w:type="dxa"/>
            <w:vAlign w:val="top"/>
          </w:tcPr>
          <w:p w14:paraId="734336AB">
            <w:pPr>
              <w:rPr>
                <w:rFonts w:ascii="Arial"/>
                <w:color w:val="auto"/>
                <w:sz w:val="21"/>
                <w:highlight w:val="none"/>
              </w:rPr>
            </w:pPr>
          </w:p>
        </w:tc>
        <w:tc>
          <w:tcPr>
            <w:tcW w:w="1890" w:type="dxa"/>
            <w:vAlign w:val="top"/>
          </w:tcPr>
          <w:p w14:paraId="540E8744">
            <w:pPr>
              <w:rPr>
                <w:rFonts w:ascii="Arial"/>
                <w:color w:val="auto"/>
                <w:sz w:val="21"/>
                <w:highlight w:val="none"/>
              </w:rPr>
            </w:pPr>
          </w:p>
        </w:tc>
        <w:tc>
          <w:tcPr>
            <w:tcW w:w="807" w:type="dxa"/>
            <w:vAlign w:val="top"/>
          </w:tcPr>
          <w:p w14:paraId="380F3D0D">
            <w:pPr>
              <w:rPr>
                <w:rFonts w:ascii="Arial"/>
                <w:color w:val="auto"/>
                <w:sz w:val="21"/>
                <w:highlight w:val="none"/>
              </w:rPr>
            </w:pPr>
          </w:p>
        </w:tc>
        <w:tc>
          <w:tcPr>
            <w:tcW w:w="1076" w:type="dxa"/>
            <w:vAlign w:val="top"/>
          </w:tcPr>
          <w:p w14:paraId="1B616E32">
            <w:pPr>
              <w:rPr>
                <w:rFonts w:ascii="Arial"/>
                <w:color w:val="auto"/>
                <w:sz w:val="21"/>
                <w:highlight w:val="none"/>
              </w:rPr>
            </w:pPr>
          </w:p>
        </w:tc>
        <w:tc>
          <w:tcPr>
            <w:tcW w:w="1466" w:type="dxa"/>
            <w:tcBorders>
              <w:right w:val="single" w:color="000000" w:sz="6" w:space="0"/>
            </w:tcBorders>
            <w:vAlign w:val="top"/>
          </w:tcPr>
          <w:p w14:paraId="762F9152">
            <w:pPr>
              <w:rPr>
                <w:rFonts w:ascii="Arial"/>
                <w:color w:val="auto"/>
                <w:sz w:val="21"/>
                <w:highlight w:val="none"/>
              </w:rPr>
            </w:pPr>
          </w:p>
        </w:tc>
      </w:tr>
      <w:tr w14:paraId="0061A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06D3BD11">
            <w:pPr>
              <w:rPr>
                <w:rFonts w:ascii="Arial"/>
                <w:color w:val="auto"/>
                <w:sz w:val="21"/>
                <w:highlight w:val="none"/>
              </w:rPr>
            </w:pPr>
          </w:p>
        </w:tc>
        <w:tc>
          <w:tcPr>
            <w:tcW w:w="2830" w:type="dxa"/>
            <w:vAlign w:val="top"/>
          </w:tcPr>
          <w:p w14:paraId="666B3769">
            <w:pPr>
              <w:rPr>
                <w:rFonts w:ascii="Arial"/>
                <w:color w:val="auto"/>
                <w:sz w:val="21"/>
                <w:highlight w:val="none"/>
              </w:rPr>
            </w:pPr>
          </w:p>
        </w:tc>
        <w:tc>
          <w:tcPr>
            <w:tcW w:w="1890" w:type="dxa"/>
            <w:vAlign w:val="top"/>
          </w:tcPr>
          <w:p w14:paraId="71B9EFA1">
            <w:pPr>
              <w:rPr>
                <w:rFonts w:ascii="Arial"/>
                <w:color w:val="auto"/>
                <w:sz w:val="21"/>
                <w:highlight w:val="none"/>
              </w:rPr>
            </w:pPr>
          </w:p>
        </w:tc>
        <w:tc>
          <w:tcPr>
            <w:tcW w:w="807" w:type="dxa"/>
            <w:vAlign w:val="top"/>
          </w:tcPr>
          <w:p w14:paraId="524436FB">
            <w:pPr>
              <w:rPr>
                <w:rFonts w:ascii="Arial"/>
                <w:color w:val="auto"/>
                <w:sz w:val="21"/>
                <w:highlight w:val="none"/>
              </w:rPr>
            </w:pPr>
          </w:p>
        </w:tc>
        <w:tc>
          <w:tcPr>
            <w:tcW w:w="1076" w:type="dxa"/>
            <w:vAlign w:val="top"/>
          </w:tcPr>
          <w:p w14:paraId="1B732C51">
            <w:pPr>
              <w:rPr>
                <w:rFonts w:ascii="Arial"/>
                <w:color w:val="auto"/>
                <w:sz w:val="21"/>
                <w:highlight w:val="none"/>
              </w:rPr>
            </w:pPr>
          </w:p>
        </w:tc>
        <w:tc>
          <w:tcPr>
            <w:tcW w:w="1466" w:type="dxa"/>
            <w:tcBorders>
              <w:right w:val="single" w:color="000000" w:sz="6" w:space="0"/>
            </w:tcBorders>
            <w:vAlign w:val="top"/>
          </w:tcPr>
          <w:p w14:paraId="3CE5F852">
            <w:pPr>
              <w:rPr>
                <w:rFonts w:ascii="Arial"/>
                <w:color w:val="auto"/>
                <w:sz w:val="21"/>
                <w:highlight w:val="none"/>
              </w:rPr>
            </w:pPr>
          </w:p>
        </w:tc>
      </w:tr>
      <w:tr w14:paraId="4F029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78F8A64E">
            <w:pPr>
              <w:rPr>
                <w:rFonts w:ascii="Arial"/>
                <w:color w:val="auto"/>
                <w:sz w:val="21"/>
                <w:highlight w:val="none"/>
              </w:rPr>
            </w:pPr>
          </w:p>
        </w:tc>
        <w:tc>
          <w:tcPr>
            <w:tcW w:w="2830" w:type="dxa"/>
            <w:vAlign w:val="top"/>
          </w:tcPr>
          <w:p w14:paraId="79D019BB">
            <w:pPr>
              <w:rPr>
                <w:rFonts w:ascii="Arial"/>
                <w:color w:val="auto"/>
                <w:sz w:val="21"/>
                <w:highlight w:val="none"/>
              </w:rPr>
            </w:pPr>
          </w:p>
        </w:tc>
        <w:tc>
          <w:tcPr>
            <w:tcW w:w="1890" w:type="dxa"/>
            <w:vAlign w:val="top"/>
          </w:tcPr>
          <w:p w14:paraId="00ADED0F">
            <w:pPr>
              <w:rPr>
                <w:rFonts w:ascii="Arial"/>
                <w:color w:val="auto"/>
                <w:sz w:val="21"/>
                <w:highlight w:val="none"/>
              </w:rPr>
            </w:pPr>
          </w:p>
        </w:tc>
        <w:tc>
          <w:tcPr>
            <w:tcW w:w="807" w:type="dxa"/>
            <w:vAlign w:val="top"/>
          </w:tcPr>
          <w:p w14:paraId="7127C337">
            <w:pPr>
              <w:rPr>
                <w:rFonts w:ascii="Arial"/>
                <w:color w:val="auto"/>
                <w:sz w:val="21"/>
                <w:highlight w:val="none"/>
              </w:rPr>
            </w:pPr>
          </w:p>
        </w:tc>
        <w:tc>
          <w:tcPr>
            <w:tcW w:w="1076" w:type="dxa"/>
            <w:vAlign w:val="top"/>
          </w:tcPr>
          <w:p w14:paraId="30165575">
            <w:pPr>
              <w:rPr>
                <w:rFonts w:ascii="Arial"/>
                <w:color w:val="auto"/>
                <w:sz w:val="21"/>
                <w:highlight w:val="none"/>
              </w:rPr>
            </w:pPr>
          </w:p>
        </w:tc>
        <w:tc>
          <w:tcPr>
            <w:tcW w:w="1466" w:type="dxa"/>
            <w:tcBorders>
              <w:right w:val="single" w:color="000000" w:sz="6" w:space="0"/>
            </w:tcBorders>
            <w:vAlign w:val="top"/>
          </w:tcPr>
          <w:p w14:paraId="082A0368">
            <w:pPr>
              <w:rPr>
                <w:rFonts w:ascii="Arial"/>
                <w:color w:val="auto"/>
                <w:sz w:val="21"/>
                <w:highlight w:val="none"/>
              </w:rPr>
            </w:pPr>
          </w:p>
        </w:tc>
      </w:tr>
      <w:tr w14:paraId="212A9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0850298A">
            <w:pPr>
              <w:rPr>
                <w:rFonts w:ascii="Arial"/>
                <w:color w:val="auto"/>
                <w:sz w:val="21"/>
                <w:highlight w:val="none"/>
              </w:rPr>
            </w:pPr>
          </w:p>
        </w:tc>
        <w:tc>
          <w:tcPr>
            <w:tcW w:w="2830" w:type="dxa"/>
            <w:vAlign w:val="top"/>
          </w:tcPr>
          <w:p w14:paraId="492068AA">
            <w:pPr>
              <w:rPr>
                <w:rFonts w:ascii="Arial"/>
                <w:color w:val="auto"/>
                <w:sz w:val="21"/>
                <w:highlight w:val="none"/>
              </w:rPr>
            </w:pPr>
          </w:p>
        </w:tc>
        <w:tc>
          <w:tcPr>
            <w:tcW w:w="1890" w:type="dxa"/>
            <w:vAlign w:val="top"/>
          </w:tcPr>
          <w:p w14:paraId="2737AA9E">
            <w:pPr>
              <w:rPr>
                <w:rFonts w:ascii="Arial"/>
                <w:color w:val="auto"/>
                <w:sz w:val="21"/>
                <w:highlight w:val="none"/>
              </w:rPr>
            </w:pPr>
          </w:p>
        </w:tc>
        <w:tc>
          <w:tcPr>
            <w:tcW w:w="807" w:type="dxa"/>
            <w:vAlign w:val="top"/>
          </w:tcPr>
          <w:p w14:paraId="3F473D2A">
            <w:pPr>
              <w:rPr>
                <w:rFonts w:ascii="Arial"/>
                <w:color w:val="auto"/>
                <w:sz w:val="21"/>
                <w:highlight w:val="none"/>
              </w:rPr>
            </w:pPr>
          </w:p>
        </w:tc>
        <w:tc>
          <w:tcPr>
            <w:tcW w:w="1076" w:type="dxa"/>
            <w:vAlign w:val="top"/>
          </w:tcPr>
          <w:p w14:paraId="41CE9415">
            <w:pPr>
              <w:rPr>
                <w:rFonts w:ascii="Arial"/>
                <w:color w:val="auto"/>
                <w:sz w:val="21"/>
                <w:highlight w:val="none"/>
              </w:rPr>
            </w:pPr>
          </w:p>
        </w:tc>
        <w:tc>
          <w:tcPr>
            <w:tcW w:w="1466" w:type="dxa"/>
            <w:tcBorders>
              <w:right w:val="single" w:color="000000" w:sz="6" w:space="0"/>
            </w:tcBorders>
            <w:vAlign w:val="top"/>
          </w:tcPr>
          <w:p w14:paraId="5B305723">
            <w:pPr>
              <w:rPr>
                <w:rFonts w:ascii="Arial"/>
                <w:color w:val="auto"/>
                <w:sz w:val="21"/>
                <w:highlight w:val="none"/>
              </w:rPr>
            </w:pPr>
          </w:p>
        </w:tc>
      </w:tr>
      <w:tr w14:paraId="25B6D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382B3A5D">
            <w:pPr>
              <w:rPr>
                <w:rFonts w:ascii="Arial"/>
                <w:color w:val="auto"/>
                <w:sz w:val="21"/>
                <w:highlight w:val="none"/>
              </w:rPr>
            </w:pPr>
          </w:p>
        </w:tc>
        <w:tc>
          <w:tcPr>
            <w:tcW w:w="2830" w:type="dxa"/>
            <w:vAlign w:val="top"/>
          </w:tcPr>
          <w:p w14:paraId="375BAF63">
            <w:pPr>
              <w:rPr>
                <w:rFonts w:ascii="Arial"/>
                <w:color w:val="auto"/>
                <w:sz w:val="21"/>
                <w:highlight w:val="none"/>
              </w:rPr>
            </w:pPr>
          </w:p>
        </w:tc>
        <w:tc>
          <w:tcPr>
            <w:tcW w:w="1890" w:type="dxa"/>
            <w:vAlign w:val="top"/>
          </w:tcPr>
          <w:p w14:paraId="67B7D6CE">
            <w:pPr>
              <w:rPr>
                <w:rFonts w:ascii="Arial"/>
                <w:color w:val="auto"/>
                <w:sz w:val="21"/>
                <w:highlight w:val="none"/>
              </w:rPr>
            </w:pPr>
          </w:p>
        </w:tc>
        <w:tc>
          <w:tcPr>
            <w:tcW w:w="807" w:type="dxa"/>
            <w:vAlign w:val="top"/>
          </w:tcPr>
          <w:p w14:paraId="3DB87EEF">
            <w:pPr>
              <w:rPr>
                <w:rFonts w:ascii="Arial"/>
                <w:color w:val="auto"/>
                <w:sz w:val="21"/>
                <w:highlight w:val="none"/>
              </w:rPr>
            </w:pPr>
          </w:p>
        </w:tc>
        <w:tc>
          <w:tcPr>
            <w:tcW w:w="1076" w:type="dxa"/>
            <w:vAlign w:val="top"/>
          </w:tcPr>
          <w:p w14:paraId="31B3EBF0">
            <w:pPr>
              <w:rPr>
                <w:rFonts w:ascii="Arial"/>
                <w:color w:val="auto"/>
                <w:sz w:val="21"/>
                <w:highlight w:val="none"/>
              </w:rPr>
            </w:pPr>
          </w:p>
        </w:tc>
        <w:tc>
          <w:tcPr>
            <w:tcW w:w="1466" w:type="dxa"/>
            <w:tcBorders>
              <w:right w:val="single" w:color="000000" w:sz="6" w:space="0"/>
            </w:tcBorders>
            <w:vAlign w:val="top"/>
          </w:tcPr>
          <w:p w14:paraId="24BDCE37">
            <w:pPr>
              <w:rPr>
                <w:rFonts w:ascii="Arial"/>
                <w:color w:val="auto"/>
                <w:sz w:val="21"/>
                <w:highlight w:val="none"/>
              </w:rPr>
            </w:pPr>
          </w:p>
        </w:tc>
      </w:tr>
      <w:tr w14:paraId="6F750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15281F80">
            <w:pPr>
              <w:rPr>
                <w:rFonts w:ascii="Arial"/>
                <w:color w:val="auto"/>
                <w:sz w:val="21"/>
                <w:highlight w:val="none"/>
              </w:rPr>
            </w:pPr>
          </w:p>
        </w:tc>
        <w:tc>
          <w:tcPr>
            <w:tcW w:w="2830" w:type="dxa"/>
            <w:vAlign w:val="top"/>
          </w:tcPr>
          <w:p w14:paraId="4F5E3FC2">
            <w:pPr>
              <w:rPr>
                <w:rFonts w:ascii="Arial"/>
                <w:color w:val="auto"/>
                <w:sz w:val="21"/>
                <w:highlight w:val="none"/>
              </w:rPr>
            </w:pPr>
          </w:p>
        </w:tc>
        <w:tc>
          <w:tcPr>
            <w:tcW w:w="1890" w:type="dxa"/>
            <w:vAlign w:val="top"/>
          </w:tcPr>
          <w:p w14:paraId="22661204">
            <w:pPr>
              <w:rPr>
                <w:rFonts w:ascii="Arial"/>
                <w:color w:val="auto"/>
                <w:sz w:val="21"/>
                <w:highlight w:val="none"/>
              </w:rPr>
            </w:pPr>
          </w:p>
        </w:tc>
        <w:tc>
          <w:tcPr>
            <w:tcW w:w="807" w:type="dxa"/>
            <w:vAlign w:val="top"/>
          </w:tcPr>
          <w:p w14:paraId="112C99C4">
            <w:pPr>
              <w:rPr>
                <w:rFonts w:ascii="Arial"/>
                <w:color w:val="auto"/>
                <w:sz w:val="21"/>
                <w:highlight w:val="none"/>
              </w:rPr>
            </w:pPr>
          </w:p>
        </w:tc>
        <w:tc>
          <w:tcPr>
            <w:tcW w:w="1076" w:type="dxa"/>
            <w:vAlign w:val="top"/>
          </w:tcPr>
          <w:p w14:paraId="41A3C749">
            <w:pPr>
              <w:rPr>
                <w:rFonts w:ascii="Arial"/>
                <w:color w:val="auto"/>
                <w:sz w:val="21"/>
                <w:highlight w:val="none"/>
              </w:rPr>
            </w:pPr>
          </w:p>
        </w:tc>
        <w:tc>
          <w:tcPr>
            <w:tcW w:w="1466" w:type="dxa"/>
            <w:tcBorders>
              <w:right w:val="single" w:color="000000" w:sz="6" w:space="0"/>
            </w:tcBorders>
            <w:vAlign w:val="top"/>
          </w:tcPr>
          <w:p w14:paraId="77E92787">
            <w:pPr>
              <w:rPr>
                <w:rFonts w:ascii="Arial"/>
                <w:color w:val="auto"/>
                <w:sz w:val="21"/>
                <w:highlight w:val="none"/>
              </w:rPr>
            </w:pPr>
          </w:p>
        </w:tc>
      </w:tr>
      <w:tr w14:paraId="1268C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743" w:type="dxa"/>
            <w:tcBorders>
              <w:left w:val="single" w:color="000000" w:sz="6" w:space="0"/>
            </w:tcBorders>
            <w:vAlign w:val="top"/>
          </w:tcPr>
          <w:p w14:paraId="116E7CDD">
            <w:pPr>
              <w:rPr>
                <w:rFonts w:ascii="Arial"/>
                <w:color w:val="auto"/>
                <w:sz w:val="21"/>
                <w:highlight w:val="none"/>
              </w:rPr>
            </w:pPr>
          </w:p>
        </w:tc>
        <w:tc>
          <w:tcPr>
            <w:tcW w:w="2830" w:type="dxa"/>
            <w:vAlign w:val="top"/>
          </w:tcPr>
          <w:p w14:paraId="12AA26B2">
            <w:pPr>
              <w:rPr>
                <w:rFonts w:ascii="Arial"/>
                <w:color w:val="auto"/>
                <w:sz w:val="21"/>
                <w:highlight w:val="none"/>
              </w:rPr>
            </w:pPr>
          </w:p>
        </w:tc>
        <w:tc>
          <w:tcPr>
            <w:tcW w:w="1890" w:type="dxa"/>
            <w:vAlign w:val="top"/>
          </w:tcPr>
          <w:p w14:paraId="077C2210">
            <w:pPr>
              <w:rPr>
                <w:rFonts w:ascii="Arial"/>
                <w:color w:val="auto"/>
                <w:sz w:val="21"/>
                <w:highlight w:val="none"/>
              </w:rPr>
            </w:pPr>
          </w:p>
        </w:tc>
        <w:tc>
          <w:tcPr>
            <w:tcW w:w="807" w:type="dxa"/>
            <w:vAlign w:val="top"/>
          </w:tcPr>
          <w:p w14:paraId="791D4CCD">
            <w:pPr>
              <w:rPr>
                <w:rFonts w:ascii="Arial"/>
                <w:color w:val="auto"/>
                <w:sz w:val="21"/>
                <w:highlight w:val="none"/>
              </w:rPr>
            </w:pPr>
          </w:p>
        </w:tc>
        <w:tc>
          <w:tcPr>
            <w:tcW w:w="1076" w:type="dxa"/>
            <w:vAlign w:val="top"/>
          </w:tcPr>
          <w:p w14:paraId="79DDDC90">
            <w:pPr>
              <w:rPr>
                <w:rFonts w:ascii="Arial"/>
                <w:color w:val="auto"/>
                <w:sz w:val="21"/>
                <w:highlight w:val="none"/>
              </w:rPr>
            </w:pPr>
          </w:p>
        </w:tc>
        <w:tc>
          <w:tcPr>
            <w:tcW w:w="1466" w:type="dxa"/>
            <w:tcBorders>
              <w:right w:val="single" w:color="000000" w:sz="6" w:space="0"/>
            </w:tcBorders>
            <w:vAlign w:val="top"/>
          </w:tcPr>
          <w:p w14:paraId="443B040C">
            <w:pPr>
              <w:rPr>
                <w:rFonts w:ascii="Arial"/>
                <w:color w:val="auto"/>
                <w:sz w:val="21"/>
                <w:highlight w:val="none"/>
              </w:rPr>
            </w:pPr>
          </w:p>
        </w:tc>
      </w:tr>
      <w:tr w14:paraId="36FE3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743" w:type="dxa"/>
            <w:tcBorders>
              <w:left w:val="single" w:color="000000" w:sz="6" w:space="0"/>
            </w:tcBorders>
            <w:vAlign w:val="top"/>
          </w:tcPr>
          <w:p w14:paraId="6ABBD7CE">
            <w:pPr>
              <w:rPr>
                <w:rFonts w:ascii="Arial"/>
                <w:color w:val="auto"/>
                <w:sz w:val="21"/>
                <w:highlight w:val="none"/>
              </w:rPr>
            </w:pPr>
          </w:p>
        </w:tc>
        <w:tc>
          <w:tcPr>
            <w:tcW w:w="2830" w:type="dxa"/>
            <w:vAlign w:val="top"/>
          </w:tcPr>
          <w:p w14:paraId="679DFC4E">
            <w:pPr>
              <w:rPr>
                <w:rFonts w:ascii="Arial"/>
                <w:color w:val="auto"/>
                <w:sz w:val="21"/>
                <w:highlight w:val="none"/>
              </w:rPr>
            </w:pPr>
          </w:p>
        </w:tc>
        <w:tc>
          <w:tcPr>
            <w:tcW w:w="1890" w:type="dxa"/>
            <w:vAlign w:val="top"/>
          </w:tcPr>
          <w:p w14:paraId="5215A6F8">
            <w:pPr>
              <w:rPr>
                <w:rFonts w:ascii="Arial"/>
                <w:color w:val="auto"/>
                <w:sz w:val="21"/>
                <w:highlight w:val="none"/>
              </w:rPr>
            </w:pPr>
          </w:p>
        </w:tc>
        <w:tc>
          <w:tcPr>
            <w:tcW w:w="807" w:type="dxa"/>
            <w:vAlign w:val="top"/>
          </w:tcPr>
          <w:p w14:paraId="557BBBD3">
            <w:pPr>
              <w:rPr>
                <w:rFonts w:ascii="Arial"/>
                <w:color w:val="auto"/>
                <w:sz w:val="21"/>
                <w:highlight w:val="none"/>
              </w:rPr>
            </w:pPr>
          </w:p>
        </w:tc>
        <w:tc>
          <w:tcPr>
            <w:tcW w:w="1076" w:type="dxa"/>
            <w:vAlign w:val="top"/>
          </w:tcPr>
          <w:p w14:paraId="10FAB947">
            <w:pPr>
              <w:rPr>
                <w:rFonts w:ascii="Arial"/>
                <w:color w:val="auto"/>
                <w:sz w:val="21"/>
                <w:highlight w:val="none"/>
              </w:rPr>
            </w:pPr>
          </w:p>
        </w:tc>
        <w:tc>
          <w:tcPr>
            <w:tcW w:w="1466" w:type="dxa"/>
            <w:tcBorders>
              <w:right w:val="single" w:color="000000" w:sz="6" w:space="0"/>
            </w:tcBorders>
            <w:vAlign w:val="top"/>
          </w:tcPr>
          <w:p w14:paraId="72ABF04D">
            <w:pPr>
              <w:rPr>
                <w:rFonts w:ascii="Arial"/>
                <w:color w:val="auto"/>
                <w:sz w:val="21"/>
                <w:highlight w:val="none"/>
              </w:rPr>
            </w:pPr>
          </w:p>
        </w:tc>
      </w:tr>
      <w:tr w14:paraId="1CA1E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743" w:type="dxa"/>
            <w:tcBorders>
              <w:left w:val="single" w:color="000000" w:sz="6" w:space="0"/>
              <w:bottom w:val="single" w:color="000000" w:sz="6" w:space="0"/>
            </w:tcBorders>
            <w:vAlign w:val="top"/>
          </w:tcPr>
          <w:p w14:paraId="663DD009">
            <w:pPr>
              <w:rPr>
                <w:rFonts w:ascii="Arial"/>
                <w:color w:val="auto"/>
                <w:sz w:val="21"/>
                <w:highlight w:val="none"/>
              </w:rPr>
            </w:pPr>
          </w:p>
        </w:tc>
        <w:tc>
          <w:tcPr>
            <w:tcW w:w="2830" w:type="dxa"/>
            <w:tcBorders>
              <w:bottom w:val="single" w:color="000000" w:sz="6" w:space="0"/>
            </w:tcBorders>
            <w:vAlign w:val="top"/>
          </w:tcPr>
          <w:p w14:paraId="1CDA836F">
            <w:pPr>
              <w:rPr>
                <w:rFonts w:ascii="Arial"/>
                <w:color w:val="auto"/>
                <w:sz w:val="21"/>
                <w:highlight w:val="none"/>
              </w:rPr>
            </w:pPr>
          </w:p>
        </w:tc>
        <w:tc>
          <w:tcPr>
            <w:tcW w:w="1890" w:type="dxa"/>
            <w:tcBorders>
              <w:bottom w:val="single" w:color="000000" w:sz="6" w:space="0"/>
            </w:tcBorders>
            <w:vAlign w:val="top"/>
          </w:tcPr>
          <w:p w14:paraId="04096205">
            <w:pPr>
              <w:rPr>
                <w:rFonts w:ascii="Arial"/>
                <w:color w:val="auto"/>
                <w:sz w:val="21"/>
                <w:highlight w:val="none"/>
              </w:rPr>
            </w:pPr>
          </w:p>
        </w:tc>
        <w:tc>
          <w:tcPr>
            <w:tcW w:w="807" w:type="dxa"/>
            <w:tcBorders>
              <w:bottom w:val="single" w:color="000000" w:sz="6" w:space="0"/>
            </w:tcBorders>
            <w:vAlign w:val="top"/>
          </w:tcPr>
          <w:p w14:paraId="75EB1612">
            <w:pPr>
              <w:rPr>
                <w:rFonts w:ascii="Arial"/>
                <w:color w:val="auto"/>
                <w:sz w:val="21"/>
                <w:highlight w:val="none"/>
              </w:rPr>
            </w:pPr>
          </w:p>
        </w:tc>
        <w:tc>
          <w:tcPr>
            <w:tcW w:w="1076" w:type="dxa"/>
            <w:tcBorders>
              <w:bottom w:val="single" w:color="000000" w:sz="6" w:space="0"/>
            </w:tcBorders>
            <w:vAlign w:val="top"/>
          </w:tcPr>
          <w:p w14:paraId="6C442191">
            <w:pPr>
              <w:rPr>
                <w:rFonts w:ascii="Arial"/>
                <w:color w:val="auto"/>
                <w:sz w:val="21"/>
                <w:highlight w:val="none"/>
              </w:rPr>
            </w:pPr>
          </w:p>
        </w:tc>
        <w:tc>
          <w:tcPr>
            <w:tcW w:w="1466" w:type="dxa"/>
            <w:tcBorders>
              <w:bottom w:val="single" w:color="000000" w:sz="6" w:space="0"/>
              <w:right w:val="single" w:color="000000" w:sz="6" w:space="0"/>
            </w:tcBorders>
            <w:vAlign w:val="top"/>
          </w:tcPr>
          <w:p w14:paraId="4D54F393">
            <w:pPr>
              <w:rPr>
                <w:rFonts w:ascii="Arial"/>
                <w:color w:val="auto"/>
                <w:sz w:val="21"/>
                <w:highlight w:val="none"/>
              </w:rPr>
            </w:pPr>
          </w:p>
        </w:tc>
      </w:tr>
    </w:tbl>
    <w:p w14:paraId="5302526C">
      <w:pPr>
        <w:pStyle w:val="3"/>
        <w:rPr>
          <w:color w:val="auto"/>
          <w:highlight w:val="none"/>
        </w:rPr>
      </w:pPr>
    </w:p>
    <w:p w14:paraId="3D780816">
      <w:pPr>
        <w:rPr>
          <w:color w:val="auto"/>
          <w:highlight w:val="none"/>
        </w:rPr>
        <w:sectPr>
          <w:footerReference r:id="rId175" w:type="default"/>
          <w:pgSz w:w="11907" w:h="16841"/>
          <w:pgMar w:top="400" w:right="1511" w:bottom="1254" w:left="1567" w:header="0" w:footer="1093" w:gutter="0"/>
          <w:pgNumType w:fmt="decimal"/>
          <w:cols w:space="720" w:num="1"/>
        </w:sectPr>
      </w:pPr>
    </w:p>
    <w:p w14:paraId="731CBBD5">
      <w:pPr>
        <w:pStyle w:val="3"/>
        <w:spacing w:line="246" w:lineRule="auto"/>
        <w:rPr>
          <w:color w:val="auto"/>
          <w:highlight w:val="none"/>
        </w:rPr>
      </w:pPr>
    </w:p>
    <w:p w14:paraId="5C884987">
      <w:pPr>
        <w:pStyle w:val="3"/>
        <w:spacing w:line="246" w:lineRule="auto"/>
        <w:rPr>
          <w:color w:val="auto"/>
          <w:highlight w:val="none"/>
        </w:rPr>
      </w:pPr>
    </w:p>
    <w:p w14:paraId="03FFE227">
      <w:pPr>
        <w:pStyle w:val="3"/>
        <w:spacing w:line="246" w:lineRule="auto"/>
        <w:rPr>
          <w:color w:val="auto"/>
          <w:highlight w:val="none"/>
        </w:rPr>
      </w:pPr>
    </w:p>
    <w:p w14:paraId="78D5C8A9">
      <w:pPr>
        <w:pStyle w:val="3"/>
        <w:spacing w:line="246" w:lineRule="auto"/>
        <w:rPr>
          <w:color w:val="auto"/>
          <w:highlight w:val="none"/>
        </w:rPr>
      </w:pPr>
    </w:p>
    <w:p w14:paraId="08F031FD">
      <w:pPr>
        <w:spacing w:before="91" w:line="219" w:lineRule="auto"/>
        <w:ind w:left="2446"/>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电、风、水、砂石基础单价汇总表</w:t>
      </w:r>
    </w:p>
    <w:p w14:paraId="188BA4AA">
      <w:pPr>
        <w:spacing w:before="206" w:line="220" w:lineRule="auto"/>
        <w:ind w:left="13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第</w:t>
      </w:r>
      <w:r>
        <w:rPr>
          <w:rFonts w:ascii="宋体" w:hAnsi="宋体" w:eastAsia="宋体" w:cs="宋体"/>
          <w:color w:val="auto"/>
          <w:spacing w:val="12"/>
          <w:sz w:val="24"/>
          <w:szCs w:val="24"/>
          <w:highlight w:val="none"/>
        </w:rPr>
        <w:t xml:space="preserve">  </w:t>
      </w:r>
      <w:r>
        <w:rPr>
          <w:rFonts w:ascii="宋体" w:hAnsi="宋体" w:eastAsia="宋体" w:cs="宋体"/>
          <w:color w:val="auto"/>
          <w:spacing w:val="-2"/>
          <w:sz w:val="24"/>
          <w:szCs w:val="24"/>
          <w:highlight w:val="none"/>
        </w:rPr>
        <w:t>页共</w:t>
      </w:r>
      <w:r>
        <w:rPr>
          <w:rFonts w:ascii="宋体" w:hAnsi="宋体" w:eastAsia="宋体" w:cs="宋体"/>
          <w:color w:val="auto"/>
          <w:spacing w:val="7"/>
          <w:sz w:val="24"/>
          <w:szCs w:val="24"/>
          <w:highlight w:val="none"/>
        </w:rPr>
        <w:t xml:space="preserve">  </w:t>
      </w:r>
      <w:r>
        <w:rPr>
          <w:rFonts w:ascii="宋体" w:hAnsi="宋体" w:eastAsia="宋体" w:cs="宋体"/>
          <w:color w:val="auto"/>
          <w:spacing w:val="-2"/>
          <w:sz w:val="24"/>
          <w:szCs w:val="24"/>
          <w:highlight w:val="none"/>
        </w:rPr>
        <w:t>页</w:t>
      </w:r>
    </w:p>
    <w:p w14:paraId="122D54EC">
      <w:pPr>
        <w:spacing w:line="143" w:lineRule="exact"/>
        <w:rPr>
          <w:color w:val="auto"/>
          <w:highlight w:val="none"/>
        </w:rPr>
      </w:pPr>
    </w:p>
    <w:tbl>
      <w:tblPr>
        <w:tblStyle w:val="16"/>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6"/>
        <w:gridCol w:w="3129"/>
        <w:gridCol w:w="1078"/>
        <w:gridCol w:w="1893"/>
        <w:gridCol w:w="1903"/>
      </w:tblGrid>
      <w:tr w14:paraId="439A8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006" w:type="dxa"/>
            <w:tcBorders>
              <w:top w:val="single" w:color="000000" w:sz="6" w:space="0"/>
              <w:left w:val="single" w:color="000000" w:sz="6" w:space="0"/>
            </w:tcBorders>
            <w:vAlign w:val="top"/>
          </w:tcPr>
          <w:p w14:paraId="2FD5E65B">
            <w:pPr>
              <w:pStyle w:val="17"/>
              <w:spacing w:before="275" w:line="221" w:lineRule="auto"/>
              <w:ind w:left="262"/>
              <w:rPr>
                <w:color w:val="auto"/>
                <w:sz w:val="24"/>
                <w:szCs w:val="24"/>
                <w:highlight w:val="none"/>
              </w:rPr>
            </w:pPr>
            <w:r>
              <w:rPr>
                <w:color w:val="auto"/>
                <w:spacing w:val="-3"/>
                <w:sz w:val="24"/>
                <w:szCs w:val="24"/>
                <w:highlight w:val="none"/>
              </w:rPr>
              <w:t>序号</w:t>
            </w:r>
          </w:p>
        </w:tc>
        <w:tc>
          <w:tcPr>
            <w:tcW w:w="3129" w:type="dxa"/>
            <w:tcBorders>
              <w:top w:val="single" w:color="000000" w:sz="6" w:space="0"/>
            </w:tcBorders>
            <w:vAlign w:val="top"/>
          </w:tcPr>
          <w:p w14:paraId="4CF19E1E">
            <w:pPr>
              <w:pStyle w:val="17"/>
              <w:spacing w:before="275" w:line="222" w:lineRule="auto"/>
              <w:ind w:left="969"/>
              <w:rPr>
                <w:color w:val="auto"/>
                <w:sz w:val="24"/>
                <w:szCs w:val="24"/>
                <w:highlight w:val="none"/>
              </w:rPr>
            </w:pPr>
            <w:r>
              <w:rPr>
                <w:color w:val="auto"/>
                <w:spacing w:val="-7"/>
                <w:sz w:val="24"/>
                <w:szCs w:val="24"/>
                <w:highlight w:val="none"/>
              </w:rPr>
              <w:t>名</w:t>
            </w:r>
            <w:r>
              <w:rPr>
                <w:color w:val="auto"/>
                <w:spacing w:val="1"/>
                <w:sz w:val="24"/>
                <w:szCs w:val="24"/>
                <w:highlight w:val="none"/>
              </w:rPr>
              <w:t xml:space="preserve">      </w:t>
            </w:r>
            <w:r>
              <w:rPr>
                <w:color w:val="auto"/>
                <w:spacing w:val="-7"/>
                <w:sz w:val="24"/>
                <w:szCs w:val="24"/>
                <w:highlight w:val="none"/>
              </w:rPr>
              <w:t>称</w:t>
            </w:r>
          </w:p>
        </w:tc>
        <w:tc>
          <w:tcPr>
            <w:tcW w:w="1078" w:type="dxa"/>
            <w:tcBorders>
              <w:top w:val="single" w:color="000000" w:sz="6" w:space="0"/>
            </w:tcBorders>
            <w:vAlign w:val="top"/>
          </w:tcPr>
          <w:p w14:paraId="5A03CB4E">
            <w:pPr>
              <w:pStyle w:val="17"/>
              <w:spacing w:before="42" w:line="221" w:lineRule="auto"/>
              <w:ind w:left="304"/>
              <w:rPr>
                <w:color w:val="auto"/>
                <w:sz w:val="24"/>
                <w:szCs w:val="24"/>
                <w:highlight w:val="none"/>
              </w:rPr>
            </w:pPr>
            <w:r>
              <w:rPr>
                <w:color w:val="auto"/>
                <w:spacing w:val="-3"/>
                <w:sz w:val="24"/>
                <w:szCs w:val="24"/>
                <w:highlight w:val="none"/>
              </w:rPr>
              <w:t>计量</w:t>
            </w:r>
          </w:p>
          <w:p w14:paraId="5E945E3C">
            <w:pPr>
              <w:pStyle w:val="17"/>
              <w:spacing w:before="178" w:line="220" w:lineRule="auto"/>
              <w:ind w:left="306"/>
              <w:rPr>
                <w:color w:val="auto"/>
                <w:sz w:val="24"/>
                <w:szCs w:val="24"/>
                <w:highlight w:val="none"/>
              </w:rPr>
            </w:pPr>
            <w:r>
              <w:rPr>
                <w:color w:val="auto"/>
                <w:spacing w:val="-3"/>
                <w:sz w:val="24"/>
                <w:szCs w:val="24"/>
                <w:highlight w:val="none"/>
              </w:rPr>
              <w:t>单位</w:t>
            </w:r>
          </w:p>
        </w:tc>
        <w:tc>
          <w:tcPr>
            <w:tcW w:w="1893" w:type="dxa"/>
            <w:tcBorders>
              <w:top w:val="single" w:color="000000" w:sz="6" w:space="0"/>
            </w:tcBorders>
            <w:vAlign w:val="top"/>
          </w:tcPr>
          <w:p w14:paraId="397D532D">
            <w:pPr>
              <w:pStyle w:val="17"/>
              <w:spacing w:before="275" w:line="218" w:lineRule="auto"/>
              <w:ind w:left="356"/>
              <w:rPr>
                <w:color w:val="auto"/>
                <w:sz w:val="24"/>
                <w:szCs w:val="24"/>
                <w:highlight w:val="none"/>
              </w:rPr>
            </w:pPr>
            <w:r>
              <w:rPr>
                <w:color w:val="auto"/>
                <w:spacing w:val="-5"/>
                <w:sz w:val="24"/>
                <w:szCs w:val="24"/>
                <w:highlight w:val="none"/>
              </w:rPr>
              <w:t>单价（元）</w:t>
            </w:r>
          </w:p>
        </w:tc>
        <w:tc>
          <w:tcPr>
            <w:tcW w:w="1903" w:type="dxa"/>
            <w:tcBorders>
              <w:top w:val="single" w:color="000000" w:sz="6" w:space="0"/>
              <w:right w:val="single" w:color="000000" w:sz="6" w:space="0"/>
            </w:tcBorders>
            <w:vAlign w:val="top"/>
          </w:tcPr>
          <w:p w14:paraId="0EE859F4">
            <w:pPr>
              <w:pStyle w:val="17"/>
              <w:spacing w:before="275" w:line="221" w:lineRule="auto"/>
              <w:ind w:left="720"/>
              <w:rPr>
                <w:color w:val="auto"/>
                <w:sz w:val="24"/>
                <w:szCs w:val="24"/>
                <w:highlight w:val="none"/>
              </w:rPr>
            </w:pPr>
            <w:r>
              <w:rPr>
                <w:color w:val="auto"/>
                <w:spacing w:val="-4"/>
                <w:sz w:val="24"/>
                <w:szCs w:val="24"/>
                <w:highlight w:val="none"/>
              </w:rPr>
              <w:t>备注</w:t>
            </w:r>
          </w:p>
        </w:tc>
      </w:tr>
      <w:tr w14:paraId="495B8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50111316">
            <w:pPr>
              <w:rPr>
                <w:rFonts w:ascii="Arial"/>
                <w:color w:val="auto"/>
                <w:sz w:val="21"/>
                <w:highlight w:val="none"/>
              </w:rPr>
            </w:pPr>
          </w:p>
        </w:tc>
        <w:tc>
          <w:tcPr>
            <w:tcW w:w="3129" w:type="dxa"/>
            <w:vAlign w:val="top"/>
          </w:tcPr>
          <w:p w14:paraId="2EFD5C13">
            <w:pPr>
              <w:rPr>
                <w:rFonts w:ascii="Arial"/>
                <w:color w:val="auto"/>
                <w:sz w:val="21"/>
                <w:highlight w:val="none"/>
              </w:rPr>
            </w:pPr>
          </w:p>
        </w:tc>
        <w:tc>
          <w:tcPr>
            <w:tcW w:w="1078" w:type="dxa"/>
            <w:vAlign w:val="top"/>
          </w:tcPr>
          <w:p w14:paraId="200BAB7C">
            <w:pPr>
              <w:rPr>
                <w:rFonts w:ascii="Arial"/>
                <w:color w:val="auto"/>
                <w:sz w:val="21"/>
                <w:highlight w:val="none"/>
              </w:rPr>
            </w:pPr>
          </w:p>
        </w:tc>
        <w:tc>
          <w:tcPr>
            <w:tcW w:w="1893" w:type="dxa"/>
            <w:vAlign w:val="top"/>
          </w:tcPr>
          <w:p w14:paraId="6472F25F">
            <w:pPr>
              <w:rPr>
                <w:rFonts w:ascii="Arial"/>
                <w:color w:val="auto"/>
                <w:sz w:val="21"/>
                <w:highlight w:val="none"/>
              </w:rPr>
            </w:pPr>
          </w:p>
        </w:tc>
        <w:tc>
          <w:tcPr>
            <w:tcW w:w="1903" w:type="dxa"/>
            <w:tcBorders>
              <w:right w:val="single" w:color="000000" w:sz="6" w:space="0"/>
            </w:tcBorders>
            <w:vAlign w:val="top"/>
          </w:tcPr>
          <w:p w14:paraId="7AEA268D">
            <w:pPr>
              <w:rPr>
                <w:rFonts w:ascii="Arial"/>
                <w:color w:val="auto"/>
                <w:sz w:val="21"/>
                <w:highlight w:val="none"/>
              </w:rPr>
            </w:pPr>
          </w:p>
        </w:tc>
      </w:tr>
      <w:tr w14:paraId="52BA0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006" w:type="dxa"/>
            <w:tcBorders>
              <w:left w:val="single" w:color="000000" w:sz="6" w:space="0"/>
            </w:tcBorders>
            <w:vAlign w:val="top"/>
          </w:tcPr>
          <w:p w14:paraId="071EB4DC">
            <w:pPr>
              <w:rPr>
                <w:rFonts w:ascii="Arial"/>
                <w:color w:val="auto"/>
                <w:sz w:val="21"/>
                <w:highlight w:val="none"/>
              </w:rPr>
            </w:pPr>
          </w:p>
        </w:tc>
        <w:tc>
          <w:tcPr>
            <w:tcW w:w="3129" w:type="dxa"/>
            <w:vAlign w:val="top"/>
          </w:tcPr>
          <w:p w14:paraId="6644223D">
            <w:pPr>
              <w:rPr>
                <w:rFonts w:ascii="Arial"/>
                <w:color w:val="auto"/>
                <w:sz w:val="21"/>
                <w:highlight w:val="none"/>
              </w:rPr>
            </w:pPr>
          </w:p>
        </w:tc>
        <w:tc>
          <w:tcPr>
            <w:tcW w:w="1078" w:type="dxa"/>
            <w:vAlign w:val="top"/>
          </w:tcPr>
          <w:p w14:paraId="36FB32A1">
            <w:pPr>
              <w:rPr>
                <w:rFonts w:ascii="Arial"/>
                <w:color w:val="auto"/>
                <w:sz w:val="21"/>
                <w:highlight w:val="none"/>
              </w:rPr>
            </w:pPr>
          </w:p>
        </w:tc>
        <w:tc>
          <w:tcPr>
            <w:tcW w:w="1893" w:type="dxa"/>
            <w:vAlign w:val="top"/>
          </w:tcPr>
          <w:p w14:paraId="096D04AE">
            <w:pPr>
              <w:rPr>
                <w:rFonts w:ascii="Arial"/>
                <w:color w:val="auto"/>
                <w:sz w:val="21"/>
                <w:highlight w:val="none"/>
              </w:rPr>
            </w:pPr>
          </w:p>
        </w:tc>
        <w:tc>
          <w:tcPr>
            <w:tcW w:w="1903" w:type="dxa"/>
            <w:tcBorders>
              <w:right w:val="single" w:color="000000" w:sz="6" w:space="0"/>
            </w:tcBorders>
            <w:vAlign w:val="top"/>
          </w:tcPr>
          <w:p w14:paraId="6ACB8C74">
            <w:pPr>
              <w:rPr>
                <w:rFonts w:ascii="Arial"/>
                <w:color w:val="auto"/>
                <w:sz w:val="21"/>
                <w:highlight w:val="none"/>
              </w:rPr>
            </w:pPr>
          </w:p>
        </w:tc>
      </w:tr>
      <w:tr w14:paraId="670E2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774CF61F">
            <w:pPr>
              <w:rPr>
                <w:rFonts w:ascii="Arial"/>
                <w:color w:val="auto"/>
                <w:sz w:val="21"/>
                <w:highlight w:val="none"/>
              </w:rPr>
            </w:pPr>
          </w:p>
        </w:tc>
        <w:tc>
          <w:tcPr>
            <w:tcW w:w="3129" w:type="dxa"/>
            <w:vAlign w:val="top"/>
          </w:tcPr>
          <w:p w14:paraId="044F8570">
            <w:pPr>
              <w:rPr>
                <w:rFonts w:ascii="Arial"/>
                <w:color w:val="auto"/>
                <w:sz w:val="21"/>
                <w:highlight w:val="none"/>
              </w:rPr>
            </w:pPr>
          </w:p>
        </w:tc>
        <w:tc>
          <w:tcPr>
            <w:tcW w:w="1078" w:type="dxa"/>
            <w:vAlign w:val="top"/>
          </w:tcPr>
          <w:p w14:paraId="0CE599E1">
            <w:pPr>
              <w:rPr>
                <w:rFonts w:ascii="Arial"/>
                <w:color w:val="auto"/>
                <w:sz w:val="21"/>
                <w:highlight w:val="none"/>
              </w:rPr>
            </w:pPr>
          </w:p>
        </w:tc>
        <w:tc>
          <w:tcPr>
            <w:tcW w:w="1893" w:type="dxa"/>
            <w:vAlign w:val="top"/>
          </w:tcPr>
          <w:p w14:paraId="50087FD9">
            <w:pPr>
              <w:rPr>
                <w:rFonts w:ascii="Arial"/>
                <w:color w:val="auto"/>
                <w:sz w:val="21"/>
                <w:highlight w:val="none"/>
              </w:rPr>
            </w:pPr>
          </w:p>
        </w:tc>
        <w:tc>
          <w:tcPr>
            <w:tcW w:w="1903" w:type="dxa"/>
            <w:tcBorders>
              <w:right w:val="single" w:color="000000" w:sz="6" w:space="0"/>
            </w:tcBorders>
            <w:vAlign w:val="top"/>
          </w:tcPr>
          <w:p w14:paraId="1B889224">
            <w:pPr>
              <w:rPr>
                <w:rFonts w:ascii="Arial"/>
                <w:color w:val="auto"/>
                <w:sz w:val="21"/>
                <w:highlight w:val="none"/>
              </w:rPr>
            </w:pPr>
          </w:p>
        </w:tc>
      </w:tr>
      <w:tr w14:paraId="301A5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642B8130">
            <w:pPr>
              <w:rPr>
                <w:rFonts w:ascii="Arial"/>
                <w:color w:val="auto"/>
                <w:sz w:val="21"/>
                <w:highlight w:val="none"/>
              </w:rPr>
            </w:pPr>
          </w:p>
        </w:tc>
        <w:tc>
          <w:tcPr>
            <w:tcW w:w="3129" w:type="dxa"/>
            <w:vAlign w:val="top"/>
          </w:tcPr>
          <w:p w14:paraId="413C875C">
            <w:pPr>
              <w:rPr>
                <w:rFonts w:ascii="Arial"/>
                <w:color w:val="auto"/>
                <w:sz w:val="21"/>
                <w:highlight w:val="none"/>
              </w:rPr>
            </w:pPr>
          </w:p>
        </w:tc>
        <w:tc>
          <w:tcPr>
            <w:tcW w:w="1078" w:type="dxa"/>
            <w:vAlign w:val="top"/>
          </w:tcPr>
          <w:p w14:paraId="1BB4F76F">
            <w:pPr>
              <w:rPr>
                <w:rFonts w:ascii="Arial"/>
                <w:color w:val="auto"/>
                <w:sz w:val="21"/>
                <w:highlight w:val="none"/>
              </w:rPr>
            </w:pPr>
          </w:p>
        </w:tc>
        <w:tc>
          <w:tcPr>
            <w:tcW w:w="1893" w:type="dxa"/>
            <w:vAlign w:val="top"/>
          </w:tcPr>
          <w:p w14:paraId="7F7634A5">
            <w:pPr>
              <w:rPr>
                <w:rFonts w:ascii="Arial"/>
                <w:color w:val="auto"/>
                <w:sz w:val="21"/>
                <w:highlight w:val="none"/>
              </w:rPr>
            </w:pPr>
          </w:p>
        </w:tc>
        <w:tc>
          <w:tcPr>
            <w:tcW w:w="1903" w:type="dxa"/>
            <w:tcBorders>
              <w:right w:val="single" w:color="000000" w:sz="6" w:space="0"/>
            </w:tcBorders>
            <w:vAlign w:val="top"/>
          </w:tcPr>
          <w:p w14:paraId="5B26F16A">
            <w:pPr>
              <w:rPr>
                <w:rFonts w:ascii="Arial"/>
                <w:color w:val="auto"/>
                <w:sz w:val="21"/>
                <w:highlight w:val="none"/>
              </w:rPr>
            </w:pPr>
          </w:p>
        </w:tc>
      </w:tr>
      <w:tr w14:paraId="779B1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72329DE2">
            <w:pPr>
              <w:rPr>
                <w:rFonts w:ascii="Arial"/>
                <w:color w:val="auto"/>
                <w:sz w:val="21"/>
                <w:highlight w:val="none"/>
              </w:rPr>
            </w:pPr>
          </w:p>
        </w:tc>
        <w:tc>
          <w:tcPr>
            <w:tcW w:w="3129" w:type="dxa"/>
            <w:vAlign w:val="top"/>
          </w:tcPr>
          <w:p w14:paraId="13AD5A94">
            <w:pPr>
              <w:rPr>
                <w:rFonts w:ascii="Arial"/>
                <w:color w:val="auto"/>
                <w:sz w:val="21"/>
                <w:highlight w:val="none"/>
              </w:rPr>
            </w:pPr>
          </w:p>
        </w:tc>
        <w:tc>
          <w:tcPr>
            <w:tcW w:w="1078" w:type="dxa"/>
            <w:vAlign w:val="top"/>
          </w:tcPr>
          <w:p w14:paraId="1158262D">
            <w:pPr>
              <w:rPr>
                <w:rFonts w:ascii="Arial"/>
                <w:color w:val="auto"/>
                <w:sz w:val="21"/>
                <w:highlight w:val="none"/>
              </w:rPr>
            </w:pPr>
          </w:p>
        </w:tc>
        <w:tc>
          <w:tcPr>
            <w:tcW w:w="1893" w:type="dxa"/>
            <w:vAlign w:val="top"/>
          </w:tcPr>
          <w:p w14:paraId="659A6561">
            <w:pPr>
              <w:rPr>
                <w:rFonts w:ascii="Arial"/>
                <w:color w:val="auto"/>
                <w:sz w:val="21"/>
                <w:highlight w:val="none"/>
              </w:rPr>
            </w:pPr>
          </w:p>
        </w:tc>
        <w:tc>
          <w:tcPr>
            <w:tcW w:w="1903" w:type="dxa"/>
            <w:tcBorders>
              <w:right w:val="single" w:color="000000" w:sz="6" w:space="0"/>
            </w:tcBorders>
            <w:vAlign w:val="top"/>
          </w:tcPr>
          <w:p w14:paraId="500EA149">
            <w:pPr>
              <w:rPr>
                <w:rFonts w:ascii="Arial"/>
                <w:color w:val="auto"/>
                <w:sz w:val="21"/>
                <w:highlight w:val="none"/>
              </w:rPr>
            </w:pPr>
          </w:p>
        </w:tc>
      </w:tr>
      <w:tr w14:paraId="5BC23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19071145">
            <w:pPr>
              <w:rPr>
                <w:rFonts w:ascii="Arial"/>
                <w:color w:val="auto"/>
                <w:sz w:val="21"/>
                <w:highlight w:val="none"/>
              </w:rPr>
            </w:pPr>
          </w:p>
        </w:tc>
        <w:tc>
          <w:tcPr>
            <w:tcW w:w="3129" w:type="dxa"/>
            <w:vAlign w:val="top"/>
          </w:tcPr>
          <w:p w14:paraId="26D35AA2">
            <w:pPr>
              <w:rPr>
                <w:rFonts w:ascii="Arial"/>
                <w:color w:val="auto"/>
                <w:sz w:val="21"/>
                <w:highlight w:val="none"/>
              </w:rPr>
            </w:pPr>
          </w:p>
        </w:tc>
        <w:tc>
          <w:tcPr>
            <w:tcW w:w="1078" w:type="dxa"/>
            <w:vAlign w:val="top"/>
          </w:tcPr>
          <w:p w14:paraId="3A7512F0">
            <w:pPr>
              <w:rPr>
                <w:rFonts w:ascii="Arial"/>
                <w:color w:val="auto"/>
                <w:sz w:val="21"/>
                <w:highlight w:val="none"/>
              </w:rPr>
            </w:pPr>
          </w:p>
        </w:tc>
        <w:tc>
          <w:tcPr>
            <w:tcW w:w="1893" w:type="dxa"/>
            <w:vAlign w:val="top"/>
          </w:tcPr>
          <w:p w14:paraId="4CEF3F82">
            <w:pPr>
              <w:rPr>
                <w:rFonts w:ascii="Arial"/>
                <w:color w:val="auto"/>
                <w:sz w:val="21"/>
                <w:highlight w:val="none"/>
              </w:rPr>
            </w:pPr>
          </w:p>
        </w:tc>
        <w:tc>
          <w:tcPr>
            <w:tcW w:w="1903" w:type="dxa"/>
            <w:tcBorders>
              <w:right w:val="single" w:color="000000" w:sz="6" w:space="0"/>
            </w:tcBorders>
            <w:vAlign w:val="top"/>
          </w:tcPr>
          <w:p w14:paraId="00C4566D">
            <w:pPr>
              <w:rPr>
                <w:rFonts w:ascii="Arial"/>
                <w:color w:val="auto"/>
                <w:sz w:val="21"/>
                <w:highlight w:val="none"/>
              </w:rPr>
            </w:pPr>
          </w:p>
        </w:tc>
      </w:tr>
      <w:tr w14:paraId="1ABEC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04A35732">
            <w:pPr>
              <w:rPr>
                <w:rFonts w:ascii="Arial"/>
                <w:color w:val="auto"/>
                <w:sz w:val="21"/>
                <w:highlight w:val="none"/>
              </w:rPr>
            </w:pPr>
          </w:p>
        </w:tc>
        <w:tc>
          <w:tcPr>
            <w:tcW w:w="3129" w:type="dxa"/>
            <w:vAlign w:val="top"/>
          </w:tcPr>
          <w:p w14:paraId="0E8916A6">
            <w:pPr>
              <w:rPr>
                <w:rFonts w:ascii="Arial"/>
                <w:color w:val="auto"/>
                <w:sz w:val="21"/>
                <w:highlight w:val="none"/>
              </w:rPr>
            </w:pPr>
          </w:p>
        </w:tc>
        <w:tc>
          <w:tcPr>
            <w:tcW w:w="1078" w:type="dxa"/>
            <w:vAlign w:val="top"/>
          </w:tcPr>
          <w:p w14:paraId="5A9216AB">
            <w:pPr>
              <w:rPr>
                <w:rFonts w:ascii="Arial"/>
                <w:color w:val="auto"/>
                <w:sz w:val="21"/>
                <w:highlight w:val="none"/>
              </w:rPr>
            </w:pPr>
          </w:p>
        </w:tc>
        <w:tc>
          <w:tcPr>
            <w:tcW w:w="1893" w:type="dxa"/>
            <w:vAlign w:val="top"/>
          </w:tcPr>
          <w:p w14:paraId="033F8C9F">
            <w:pPr>
              <w:rPr>
                <w:rFonts w:ascii="Arial"/>
                <w:color w:val="auto"/>
                <w:sz w:val="21"/>
                <w:highlight w:val="none"/>
              </w:rPr>
            </w:pPr>
          </w:p>
        </w:tc>
        <w:tc>
          <w:tcPr>
            <w:tcW w:w="1903" w:type="dxa"/>
            <w:tcBorders>
              <w:right w:val="single" w:color="000000" w:sz="6" w:space="0"/>
            </w:tcBorders>
            <w:vAlign w:val="top"/>
          </w:tcPr>
          <w:p w14:paraId="2FB472CC">
            <w:pPr>
              <w:rPr>
                <w:rFonts w:ascii="Arial"/>
                <w:color w:val="auto"/>
                <w:sz w:val="21"/>
                <w:highlight w:val="none"/>
              </w:rPr>
            </w:pPr>
          </w:p>
        </w:tc>
      </w:tr>
      <w:tr w14:paraId="7177F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274F0BC2">
            <w:pPr>
              <w:rPr>
                <w:rFonts w:ascii="Arial"/>
                <w:color w:val="auto"/>
                <w:sz w:val="21"/>
                <w:highlight w:val="none"/>
              </w:rPr>
            </w:pPr>
          </w:p>
        </w:tc>
        <w:tc>
          <w:tcPr>
            <w:tcW w:w="3129" w:type="dxa"/>
            <w:vAlign w:val="top"/>
          </w:tcPr>
          <w:p w14:paraId="57D63354">
            <w:pPr>
              <w:rPr>
                <w:rFonts w:ascii="Arial"/>
                <w:color w:val="auto"/>
                <w:sz w:val="21"/>
                <w:highlight w:val="none"/>
              </w:rPr>
            </w:pPr>
          </w:p>
        </w:tc>
        <w:tc>
          <w:tcPr>
            <w:tcW w:w="1078" w:type="dxa"/>
            <w:vAlign w:val="top"/>
          </w:tcPr>
          <w:p w14:paraId="6F02679B">
            <w:pPr>
              <w:rPr>
                <w:rFonts w:ascii="Arial"/>
                <w:color w:val="auto"/>
                <w:sz w:val="21"/>
                <w:highlight w:val="none"/>
              </w:rPr>
            </w:pPr>
          </w:p>
        </w:tc>
        <w:tc>
          <w:tcPr>
            <w:tcW w:w="1893" w:type="dxa"/>
            <w:vAlign w:val="top"/>
          </w:tcPr>
          <w:p w14:paraId="10F0659E">
            <w:pPr>
              <w:rPr>
                <w:rFonts w:ascii="Arial"/>
                <w:color w:val="auto"/>
                <w:sz w:val="21"/>
                <w:highlight w:val="none"/>
              </w:rPr>
            </w:pPr>
          </w:p>
        </w:tc>
        <w:tc>
          <w:tcPr>
            <w:tcW w:w="1903" w:type="dxa"/>
            <w:tcBorders>
              <w:right w:val="single" w:color="000000" w:sz="6" w:space="0"/>
            </w:tcBorders>
            <w:vAlign w:val="top"/>
          </w:tcPr>
          <w:p w14:paraId="357C2A6C">
            <w:pPr>
              <w:rPr>
                <w:rFonts w:ascii="Arial"/>
                <w:color w:val="auto"/>
                <w:sz w:val="21"/>
                <w:highlight w:val="none"/>
              </w:rPr>
            </w:pPr>
          </w:p>
        </w:tc>
      </w:tr>
      <w:tr w14:paraId="433C4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104BD1C0">
            <w:pPr>
              <w:rPr>
                <w:rFonts w:ascii="Arial"/>
                <w:color w:val="auto"/>
                <w:sz w:val="21"/>
                <w:highlight w:val="none"/>
              </w:rPr>
            </w:pPr>
          </w:p>
        </w:tc>
        <w:tc>
          <w:tcPr>
            <w:tcW w:w="3129" w:type="dxa"/>
            <w:vAlign w:val="top"/>
          </w:tcPr>
          <w:p w14:paraId="75F95319">
            <w:pPr>
              <w:rPr>
                <w:rFonts w:ascii="Arial"/>
                <w:color w:val="auto"/>
                <w:sz w:val="21"/>
                <w:highlight w:val="none"/>
              </w:rPr>
            </w:pPr>
          </w:p>
        </w:tc>
        <w:tc>
          <w:tcPr>
            <w:tcW w:w="1078" w:type="dxa"/>
            <w:vAlign w:val="top"/>
          </w:tcPr>
          <w:p w14:paraId="4127D96B">
            <w:pPr>
              <w:rPr>
                <w:rFonts w:ascii="Arial"/>
                <w:color w:val="auto"/>
                <w:sz w:val="21"/>
                <w:highlight w:val="none"/>
              </w:rPr>
            </w:pPr>
          </w:p>
        </w:tc>
        <w:tc>
          <w:tcPr>
            <w:tcW w:w="1893" w:type="dxa"/>
            <w:vAlign w:val="top"/>
          </w:tcPr>
          <w:p w14:paraId="4841833E">
            <w:pPr>
              <w:rPr>
                <w:rFonts w:ascii="Arial"/>
                <w:color w:val="auto"/>
                <w:sz w:val="21"/>
                <w:highlight w:val="none"/>
              </w:rPr>
            </w:pPr>
          </w:p>
        </w:tc>
        <w:tc>
          <w:tcPr>
            <w:tcW w:w="1903" w:type="dxa"/>
            <w:tcBorders>
              <w:right w:val="single" w:color="000000" w:sz="6" w:space="0"/>
            </w:tcBorders>
            <w:vAlign w:val="top"/>
          </w:tcPr>
          <w:p w14:paraId="4C3EFF2C">
            <w:pPr>
              <w:rPr>
                <w:rFonts w:ascii="Arial"/>
                <w:color w:val="auto"/>
                <w:sz w:val="21"/>
                <w:highlight w:val="none"/>
              </w:rPr>
            </w:pPr>
          </w:p>
        </w:tc>
      </w:tr>
      <w:tr w14:paraId="6442A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54C3C73D">
            <w:pPr>
              <w:rPr>
                <w:rFonts w:ascii="Arial"/>
                <w:color w:val="auto"/>
                <w:sz w:val="21"/>
                <w:highlight w:val="none"/>
              </w:rPr>
            </w:pPr>
          </w:p>
        </w:tc>
        <w:tc>
          <w:tcPr>
            <w:tcW w:w="3129" w:type="dxa"/>
            <w:vAlign w:val="top"/>
          </w:tcPr>
          <w:p w14:paraId="52983D4A">
            <w:pPr>
              <w:rPr>
                <w:rFonts w:ascii="Arial"/>
                <w:color w:val="auto"/>
                <w:sz w:val="21"/>
                <w:highlight w:val="none"/>
              </w:rPr>
            </w:pPr>
          </w:p>
        </w:tc>
        <w:tc>
          <w:tcPr>
            <w:tcW w:w="1078" w:type="dxa"/>
            <w:vAlign w:val="top"/>
          </w:tcPr>
          <w:p w14:paraId="522857D0">
            <w:pPr>
              <w:rPr>
                <w:rFonts w:ascii="Arial"/>
                <w:color w:val="auto"/>
                <w:sz w:val="21"/>
                <w:highlight w:val="none"/>
              </w:rPr>
            </w:pPr>
          </w:p>
        </w:tc>
        <w:tc>
          <w:tcPr>
            <w:tcW w:w="1893" w:type="dxa"/>
            <w:vAlign w:val="top"/>
          </w:tcPr>
          <w:p w14:paraId="69F5776A">
            <w:pPr>
              <w:rPr>
                <w:rFonts w:ascii="Arial"/>
                <w:color w:val="auto"/>
                <w:sz w:val="21"/>
                <w:highlight w:val="none"/>
              </w:rPr>
            </w:pPr>
          </w:p>
        </w:tc>
        <w:tc>
          <w:tcPr>
            <w:tcW w:w="1903" w:type="dxa"/>
            <w:tcBorders>
              <w:right w:val="single" w:color="000000" w:sz="6" w:space="0"/>
            </w:tcBorders>
            <w:vAlign w:val="top"/>
          </w:tcPr>
          <w:p w14:paraId="4DF6052C">
            <w:pPr>
              <w:rPr>
                <w:rFonts w:ascii="Arial"/>
                <w:color w:val="auto"/>
                <w:sz w:val="21"/>
                <w:highlight w:val="none"/>
              </w:rPr>
            </w:pPr>
          </w:p>
        </w:tc>
      </w:tr>
      <w:tr w14:paraId="27A83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7B89702D">
            <w:pPr>
              <w:rPr>
                <w:rFonts w:ascii="Arial"/>
                <w:color w:val="auto"/>
                <w:sz w:val="21"/>
                <w:highlight w:val="none"/>
              </w:rPr>
            </w:pPr>
          </w:p>
        </w:tc>
        <w:tc>
          <w:tcPr>
            <w:tcW w:w="3129" w:type="dxa"/>
            <w:vAlign w:val="top"/>
          </w:tcPr>
          <w:p w14:paraId="21226841">
            <w:pPr>
              <w:rPr>
                <w:rFonts w:ascii="Arial"/>
                <w:color w:val="auto"/>
                <w:sz w:val="21"/>
                <w:highlight w:val="none"/>
              </w:rPr>
            </w:pPr>
          </w:p>
        </w:tc>
        <w:tc>
          <w:tcPr>
            <w:tcW w:w="1078" w:type="dxa"/>
            <w:vAlign w:val="top"/>
          </w:tcPr>
          <w:p w14:paraId="239AB55F">
            <w:pPr>
              <w:rPr>
                <w:rFonts w:ascii="Arial"/>
                <w:color w:val="auto"/>
                <w:sz w:val="21"/>
                <w:highlight w:val="none"/>
              </w:rPr>
            </w:pPr>
          </w:p>
        </w:tc>
        <w:tc>
          <w:tcPr>
            <w:tcW w:w="1893" w:type="dxa"/>
            <w:vAlign w:val="top"/>
          </w:tcPr>
          <w:p w14:paraId="65E643D1">
            <w:pPr>
              <w:rPr>
                <w:rFonts w:ascii="Arial"/>
                <w:color w:val="auto"/>
                <w:sz w:val="21"/>
                <w:highlight w:val="none"/>
              </w:rPr>
            </w:pPr>
          </w:p>
        </w:tc>
        <w:tc>
          <w:tcPr>
            <w:tcW w:w="1903" w:type="dxa"/>
            <w:tcBorders>
              <w:right w:val="single" w:color="000000" w:sz="6" w:space="0"/>
            </w:tcBorders>
            <w:vAlign w:val="top"/>
          </w:tcPr>
          <w:p w14:paraId="1D7B8111">
            <w:pPr>
              <w:rPr>
                <w:rFonts w:ascii="Arial"/>
                <w:color w:val="auto"/>
                <w:sz w:val="21"/>
                <w:highlight w:val="none"/>
              </w:rPr>
            </w:pPr>
          </w:p>
        </w:tc>
      </w:tr>
      <w:tr w14:paraId="4F3A7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3191973B">
            <w:pPr>
              <w:rPr>
                <w:rFonts w:ascii="Arial"/>
                <w:color w:val="auto"/>
                <w:sz w:val="21"/>
                <w:highlight w:val="none"/>
              </w:rPr>
            </w:pPr>
          </w:p>
        </w:tc>
        <w:tc>
          <w:tcPr>
            <w:tcW w:w="3129" w:type="dxa"/>
            <w:vAlign w:val="top"/>
          </w:tcPr>
          <w:p w14:paraId="45527CBF">
            <w:pPr>
              <w:rPr>
                <w:rFonts w:ascii="Arial"/>
                <w:color w:val="auto"/>
                <w:sz w:val="21"/>
                <w:highlight w:val="none"/>
              </w:rPr>
            </w:pPr>
          </w:p>
        </w:tc>
        <w:tc>
          <w:tcPr>
            <w:tcW w:w="1078" w:type="dxa"/>
            <w:vAlign w:val="top"/>
          </w:tcPr>
          <w:p w14:paraId="317B698A">
            <w:pPr>
              <w:rPr>
                <w:rFonts w:ascii="Arial"/>
                <w:color w:val="auto"/>
                <w:sz w:val="21"/>
                <w:highlight w:val="none"/>
              </w:rPr>
            </w:pPr>
          </w:p>
        </w:tc>
        <w:tc>
          <w:tcPr>
            <w:tcW w:w="1893" w:type="dxa"/>
            <w:vAlign w:val="top"/>
          </w:tcPr>
          <w:p w14:paraId="49C3895D">
            <w:pPr>
              <w:rPr>
                <w:rFonts w:ascii="Arial"/>
                <w:color w:val="auto"/>
                <w:sz w:val="21"/>
                <w:highlight w:val="none"/>
              </w:rPr>
            </w:pPr>
          </w:p>
        </w:tc>
        <w:tc>
          <w:tcPr>
            <w:tcW w:w="1903" w:type="dxa"/>
            <w:tcBorders>
              <w:right w:val="single" w:color="000000" w:sz="6" w:space="0"/>
            </w:tcBorders>
            <w:vAlign w:val="top"/>
          </w:tcPr>
          <w:p w14:paraId="413FD722">
            <w:pPr>
              <w:rPr>
                <w:rFonts w:ascii="Arial"/>
                <w:color w:val="auto"/>
                <w:sz w:val="21"/>
                <w:highlight w:val="none"/>
              </w:rPr>
            </w:pPr>
          </w:p>
        </w:tc>
      </w:tr>
      <w:tr w14:paraId="1E1DE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7FB047FA">
            <w:pPr>
              <w:rPr>
                <w:rFonts w:ascii="Arial"/>
                <w:color w:val="auto"/>
                <w:sz w:val="21"/>
                <w:highlight w:val="none"/>
              </w:rPr>
            </w:pPr>
          </w:p>
        </w:tc>
        <w:tc>
          <w:tcPr>
            <w:tcW w:w="3129" w:type="dxa"/>
            <w:vAlign w:val="top"/>
          </w:tcPr>
          <w:p w14:paraId="6062B99F">
            <w:pPr>
              <w:rPr>
                <w:rFonts w:ascii="Arial"/>
                <w:color w:val="auto"/>
                <w:sz w:val="21"/>
                <w:highlight w:val="none"/>
              </w:rPr>
            </w:pPr>
          </w:p>
        </w:tc>
        <w:tc>
          <w:tcPr>
            <w:tcW w:w="1078" w:type="dxa"/>
            <w:vAlign w:val="top"/>
          </w:tcPr>
          <w:p w14:paraId="2BB00C42">
            <w:pPr>
              <w:rPr>
                <w:rFonts w:ascii="Arial"/>
                <w:color w:val="auto"/>
                <w:sz w:val="21"/>
                <w:highlight w:val="none"/>
              </w:rPr>
            </w:pPr>
          </w:p>
        </w:tc>
        <w:tc>
          <w:tcPr>
            <w:tcW w:w="1893" w:type="dxa"/>
            <w:vAlign w:val="top"/>
          </w:tcPr>
          <w:p w14:paraId="48092AE5">
            <w:pPr>
              <w:rPr>
                <w:rFonts w:ascii="Arial"/>
                <w:color w:val="auto"/>
                <w:sz w:val="21"/>
                <w:highlight w:val="none"/>
              </w:rPr>
            </w:pPr>
          </w:p>
        </w:tc>
        <w:tc>
          <w:tcPr>
            <w:tcW w:w="1903" w:type="dxa"/>
            <w:tcBorders>
              <w:right w:val="single" w:color="000000" w:sz="6" w:space="0"/>
            </w:tcBorders>
            <w:vAlign w:val="top"/>
          </w:tcPr>
          <w:p w14:paraId="70D6986D">
            <w:pPr>
              <w:rPr>
                <w:rFonts w:ascii="Arial"/>
                <w:color w:val="auto"/>
                <w:sz w:val="21"/>
                <w:highlight w:val="none"/>
              </w:rPr>
            </w:pPr>
          </w:p>
        </w:tc>
      </w:tr>
      <w:tr w14:paraId="19085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1AD93007">
            <w:pPr>
              <w:rPr>
                <w:rFonts w:ascii="Arial"/>
                <w:color w:val="auto"/>
                <w:sz w:val="21"/>
                <w:highlight w:val="none"/>
              </w:rPr>
            </w:pPr>
          </w:p>
        </w:tc>
        <w:tc>
          <w:tcPr>
            <w:tcW w:w="3129" w:type="dxa"/>
            <w:vAlign w:val="top"/>
          </w:tcPr>
          <w:p w14:paraId="06D6CEBB">
            <w:pPr>
              <w:rPr>
                <w:rFonts w:ascii="Arial"/>
                <w:color w:val="auto"/>
                <w:sz w:val="21"/>
                <w:highlight w:val="none"/>
              </w:rPr>
            </w:pPr>
          </w:p>
        </w:tc>
        <w:tc>
          <w:tcPr>
            <w:tcW w:w="1078" w:type="dxa"/>
            <w:vAlign w:val="top"/>
          </w:tcPr>
          <w:p w14:paraId="02FCEE78">
            <w:pPr>
              <w:rPr>
                <w:rFonts w:ascii="Arial"/>
                <w:color w:val="auto"/>
                <w:sz w:val="21"/>
                <w:highlight w:val="none"/>
              </w:rPr>
            </w:pPr>
          </w:p>
        </w:tc>
        <w:tc>
          <w:tcPr>
            <w:tcW w:w="1893" w:type="dxa"/>
            <w:vAlign w:val="top"/>
          </w:tcPr>
          <w:p w14:paraId="59A7DAB4">
            <w:pPr>
              <w:rPr>
                <w:rFonts w:ascii="Arial"/>
                <w:color w:val="auto"/>
                <w:sz w:val="21"/>
                <w:highlight w:val="none"/>
              </w:rPr>
            </w:pPr>
          </w:p>
        </w:tc>
        <w:tc>
          <w:tcPr>
            <w:tcW w:w="1903" w:type="dxa"/>
            <w:tcBorders>
              <w:right w:val="single" w:color="000000" w:sz="6" w:space="0"/>
            </w:tcBorders>
            <w:vAlign w:val="top"/>
          </w:tcPr>
          <w:p w14:paraId="5A9E7570">
            <w:pPr>
              <w:rPr>
                <w:rFonts w:ascii="Arial"/>
                <w:color w:val="auto"/>
                <w:sz w:val="21"/>
                <w:highlight w:val="none"/>
              </w:rPr>
            </w:pPr>
          </w:p>
        </w:tc>
      </w:tr>
      <w:tr w14:paraId="18FE0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202985AF">
            <w:pPr>
              <w:rPr>
                <w:rFonts w:ascii="Arial"/>
                <w:color w:val="auto"/>
                <w:sz w:val="21"/>
                <w:highlight w:val="none"/>
              </w:rPr>
            </w:pPr>
          </w:p>
        </w:tc>
        <w:tc>
          <w:tcPr>
            <w:tcW w:w="3129" w:type="dxa"/>
            <w:vAlign w:val="top"/>
          </w:tcPr>
          <w:p w14:paraId="5661184F">
            <w:pPr>
              <w:rPr>
                <w:rFonts w:ascii="Arial"/>
                <w:color w:val="auto"/>
                <w:sz w:val="21"/>
                <w:highlight w:val="none"/>
              </w:rPr>
            </w:pPr>
          </w:p>
        </w:tc>
        <w:tc>
          <w:tcPr>
            <w:tcW w:w="1078" w:type="dxa"/>
            <w:vAlign w:val="top"/>
          </w:tcPr>
          <w:p w14:paraId="1B6462F8">
            <w:pPr>
              <w:rPr>
                <w:rFonts w:ascii="Arial"/>
                <w:color w:val="auto"/>
                <w:sz w:val="21"/>
                <w:highlight w:val="none"/>
              </w:rPr>
            </w:pPr>
          </w:p>
        </w:tc>
        <w:tc>
          <w:tcPr>
            <w:tcW w:w="1893" w:type="dxa"/>
            <w:vAlign w:val="top"/>
          </w:tcPr>
          <w:p w14:paraId="161BF4FA">
            <w:pPr>
              <w:rPr>
                <w:rFonts w:ascii="Arial"/>
                <w:color w:val="auto"/>
                <w:sz w:val="21"/>
                <w:highlight w:val="none"/>
              </w:rPr>
            </w:pPr>
          </w:p>
        </w:tc>
        <w:tc>
          <w:tcPr>
            <w:tcW w:w="1903" w:type="dxa"/>
            <w:tcBorders>
              <w:right w:val="single" w:color="000000" w:sz="6" w:space="0"/>
            </w:tcBorders>
            <w:vAlign w:val="top"/>
          </w:tcPr>
          <w:p w14:paraId="2E97506A">
            <w:pPr>
              <w:rPr>
                <w:rFonts w:ascii="Arial"/>
                <w:color w:val="auto"/>
                <w:sz w:val="21"/>
                <w:highlight w:val="none"/>
              </w:rPr>
            </w:pPr>
          </w:p>
        </w:tc>
      </w:tr>
      <w:tr w14:paraId="149D5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1006" w:type="dxa"/>
            <w:tcBorders>
              <w:left w:val="single" w:color="000000" w:sz="6" w:space="0"/>
            </w:tcBorders>
            <w:vAlign w:val="top"/>
          </w:tcPr>
          <w:p w14:paraId="123A021D">
            <w:pPr>
              <w:rPr>
                <w:rFonts w:ascii="Arial"/>
                <w:color w:val="auto"/>
                <w:sz w:val="21"/>
                <w:highlight w:val="none"/>
              </w:rPr>
            </w:pPr>
          </w:p>
        </w:tc>
        <w:tc>
          <w:tcPr>
            <w:tcW w:w="3129" w:type="dxa"/>
            <w:vAlign w:val="top"/>
          </w:tcPr>
          <w:p w14:paraId="7EC89ED3">
            <w:pPr>
              <w:rPr>
                <w:rFonts w:ascii="Arial"/>
                <w:color w:val="auto"/>
                <w:sz w:val="21"/>
                <w:highlight w:val="none"/>
              </w:rPr>
            </w:pPr>
          </w:p>
        </w:tc>
        <w:tc>
          <w:tcPr>
            <w:tcW w:w="1078" w:type="dxa"/>
            <w:vAlign w:val="top"/>
          </w:tcPr>
          <w:p w14:paraId="253E824A">
            <w:pPr>
              <w:rPr>
                <w:rFonts w:ascii="Arial"/>
                <w:color w:val="auto"/>
                <w:sz w:val="21"/>
                <w:highlight w:val="none"/>
              </w:rPr>
            </w:pPr>
          </w:p>
        </w:tc>
        <w:tc>
          <w:tcPr>
            <w:tcW w:w="1893" w:type="dxa"/>
            <w:vAlign w:val="top"/>
          </w:tcPr>
          <w:p w14:paraId="79147248">
            <w:pPr>
              <w:rPr>
                <w:rFonts w:ascii="Arial"/>
                <w:color w:val="auto"/>
                <w:sz w:val="21"/>
                <w:highlight w:val="none"/>
              </w:rPr>
            </w:pPr>
          </w:p>
        </w:tc>
        <w:tc>
          <w:tcPr>
            <w:tcW w:w="1903" w:type="dxa"/>
            <w:tcBorders>
              <w:right w:val="single" w:color="000000" w:sz="6" w:space="0"/>
            </w:tcBorders>
            <w:vAlign w:val="top"/>
          </w:tcPr>
          <w:p w14:paraId="43CACCF6">
            <w:pPr>
              <w:rPr>
                <w:rFonts w:ascii="Arial"/>
                <w:color w:val="auto"/>
                <w:sz w:val="21"/>
                <w:highlight w:val="none"/>
              </w:rPr>
            </w:pPr>
          </w:p>
        </w:tc>
      </w:tr>
      <w:tr w14:paraId="1FCA3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1006" w:type="dxa"/>
            <w:tcBorders>
              <w:left w:val="single" w:color="000000" w:sz="6" w:space="0"/>
            </w:tcBorders>
            <w:vAlign w:val="top"/>
          </w:tcPr>
          <w:p w14:paraId="5842C365">
            <w:pPr>
              <w:rPr>
                <w:rFonts w:ascii="Arial"/>
                <w:color w:val="auto"/>
                <w:sz w:val="21"/>
                <w:highlight w:val="none"/>
              </w:rPr>
            </w:pPr>
          </w:p>
        </w:tc>
        <w:tc>
          <w:tcPr>
            <w:tcW w:w="3129" w:type="dxa"/>
            <w:vAlign w:val="top"/>
          </w:tcPr>
          <w:p w14:paraId="7ACD3702">
            <w:pPr>
              <w:rPr>
                <w:rFonts w:ascii="Arial"/>
                <w:color w:val="auto"/>
                <w:sz w:val="21"/>
                <w:highlight w:val="none"/>
              </w:rPr>
            </w:pPr>
          </w:p>
        </w:tc>
        <w:tc>
          <w:tcPr>
            <w:tcW w:w="1078" w:type="dxa"/>
            <w:vAlign w:val="top"/>
          </w:tcPr>
          <w:p w14:paraId="0C2F913F">
            <w:pPr>
              <w:rPr>
                <w:rFonts w:ascii="Arial"/>
                <w:color w:val="auto"/>
                <w:sz w:val="21"/>
                <w:highlight w:val="none"/>
              </w:rPr>
            </w:pPr>
          </w:p>
        </w:tc>
        <w:tc>
          <w:tcPr>
            <w:tcW w:w="1893" w:type="dxa"/>
            <w:vAlign w:val="top"/>
          </w:tcPr>
          <w:p w14:paraId="79CA1A9E">
            <w:pPr>
              <w:rPr>
                <w:rFonts w:ascii="Arial"/>
                <w:color w:val="auto"/>
                <w:sz w:val="21"/>
                <w:highlight w:val="none"/>
              </w:rPr>
            </w:pPr>
          </w:p>
        </w:tc>
        <w:tc>
          <w:tcPr>
            <w:tcW w:w="1903" w:type="dxa"/>
            <w:tcBorders>
              <w:right w:val="single" w:color="000000" w:sz="6" w:space="0"/>
            </w:tcBorders>
            <w:vAlign w:val="top"/>
          </w:tcPr>
          <w:p w14:paraId="6252284B">
            <w:pPr>
              <w:rPr>
                <w:rFonts w:ascii="Arial"/>
                <w:color w:val="auto"/>
                <w:sz w:val="21"/>
                <w:highlight w:val="none"/>
              </w:rPr>
            </w:pPr>
          </w:p>
        </w:tc>
      </w:tr>
      <w:tr w14:paraId="74826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06" w:type="dxa"/>
            <w:tcBorders>
              <w:left w:val="single" w:color="000000" w:sz="6" w:space="0"/>
              <w:bottom w:val="single" w:color="000000" w:sz="6" w:space="0"/>
            </w:tcBorders>
            <w:vAlign w:val="top"/>
          </w:tcPr>
          <w:p w14:paraId="4FBD793C">
            <w:pPr>
              <w:rPr>
                <w:rFonts w:ascii="Arial"/>
                <w:color w:val="auto"/>
                <w:sz w:val="21"/>
                <w:highlight w:val="none"/>
              </w:rPr>
            </w:pPr>
          </w:p>
        </w:tc>
        <w:tc>
          <w:tcPr>
            <w:tcW w:w="3129" w:type="dxa"/>
            <w:tcBorders>
              <w:bottom w:val="single" w:color="000000" w:sz="6" w:space="0"/>
            </w:tcBorders>
            <w:vAlign w:val="top"/>
          </w:tcPr>
          <w:p w14:paraId="38D3A2A2">
            <w:pPr>
              <w:rPr>
                <w:rFonts w:ascii="Arial"/>
                <w:color w:val="auto"/>
                <w:sz w:val="21"/>
                <w:highlight w:val="none"/>
              </w:rPr>
            </w:pPr>
          </w:p>
        </w:tc>
        <w:tc>
          <w:tcPr>
            <w:tcW w:w="1078" w:type="dxa"/>
            <w:tcBorders>
              <w:bottom w:val="single" w:color="000000" w:sz="6" w:space="0"/>
            </w:tcBorders>
            <w:vAlign w:val="top"/>
          </w:tcPr>
          <w:p w14:paraId="4C9FB0F4">
            <w:pPr>
              <w:rPr>
                <w:rFonts w:ascii="Arial"/>
                <w:color w:val="auto"/>
                <w:sz w:val="21"/>
                <w:highlight w:val="none"/>
              </w:rPr>
            </w:pPr>
          </w:p>
        </w:tc>
        <w:tc>
          <w:tcPr>
            <w:tcW w:w="1893" w:type="dxa"/>
            <w:tcBorders>
              <w:bottom w:val="single" w:color="000000" w:sz="6" w:space="0"/>
            </w:tcBorders>
            <w:vAlign w:val="top"/>
          </w:tcPr>
          <w:p w14:paraId="2C581F0C">
            <w:pPr>
              <w:rPr>
                <w:rFonts w:ascii="Arial"/>
                <w:color w:val="auto"/>
                <w:sz w:val="21"/>
                <w:highlight w:val="none"/>
              </w:rPr>
            </w:pPr>
          </w:p>
        </w:tc>
        <w:tc>
          <w:tcPr>
            <w:tcW w:w="1903" w:type="dxa"/>
            <w:tcBorders>
              <w:bottom w:val="single" w:color="000000" w:sz="6" w:space="0"/>
              <w:right w:val="single" w:color="000000" w:sz="6" w:space="0"/>
            </w:tcBorders>
            <w:vAlign w:val="top"/>
          </w:tcPr>
          <w:p w14:paraId="18565780">
            <w:pPr>
              <w:rPr>
                <w:rFonts w:ascii="Arial"/>
                <w:color w:val="auto"/>
                <w:sz w:val="21"/>
                <w:highlight w:val="none"/>
              </w:rPr>
            </w:pPr>
          </w:p>
        </w:tc>
      </w:tr>
    </w:tbl>
    <w:p w14:paraId="3973D0B2">
      <w:pPr>
        <w:pStyle w:val="3"/>
        <w:rPr>
          <w:color w:val="auto"/>
          <w:highlight w:val="none"/>
        </w:rPr>
      </w:pPr>
    </w:p>
    <w:p w14:paraId="021CAB1C">
      <w:pPr>
        <w:rPr>
          <w:color w:val="auto"/>
          <w:highlight w:val="none"/>
        </w:rPr>
        <w:sectPr>
          <w:footerReference r:id="rId176" w:type="default"/>
          <w:pgSz w:w="11907" w:h="16841"/>
          <w:pgMar w:top="400" w:right="1411" w:bottom="1254" w:left="1471" w:header="0" w:footer="1093" w:gutter="0"/>
          <w:pgNumType w:fmt="decimal"/>
          <w:cols w:space="720" w:num="1"/>
        </w:sectPr>
      </w:pPr>
    </w:p>
    <w:p w14:paraId="679DDB77">
      <w:pPr>
        <w:pStyle w:val="3"/>
        <w:spacing w:line="283" w:lineRule="auto"/>
        <w:rPr>
          <w:color w:val="auto"/>
          <w:highlight w:val="none"/>
        </w:rPr>
      </w:pPr>
    </w:p>
    <w:p w14:paraId="50BA3AEA">
      <w:pPr>
        <w:pStyle w:val="3"/>
        <w:spacing w:line="283" w:lineRule="auto"/>
        <w:rPr>
          <w:color w:val="auto"/>
          <w:highlight w:val="none"/>
        </w:rPr>
      </w:pPr>
    </w:p>
    <w:p w14:paraId="24512C70">
      <w:pPr>
        <w:pStyle w:val="3"/>
        <w:spacing w:line="283" w:lineRule="auto"/>
        <w:rPr>
          <w:color w:val="auto"/>
          <w:highlight w:val="none"/>
        </w:rPr>
      </w:pPr>
    </w:p>
    <w:p w14:paraId="0446A216">
      <w:pPr>
        <w:pStyle w:val="3"/>
        <w:spacing w:line="284" w:lineRule="auto"/>
        <w:rPr>
          <w:color w:val="auto"/>
          <w:highlight w:val="none"/>
        </w:rPr>
      </w:pPr>
    </w:p>
    <w:p w14:paraId="0B6F7C34">
      <w:pPr>
        <w:spacing w:before="91" w:line="219" w:lineRule="auto"/>
        <w:ind w:left="5025"/>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混凝土（砂浆）配合比材料费表</w:t>
      </w:r>
    </w:p>
    <w:p w14:paraId="06F8C4F2">
      <w:pPr>
        <w:spacing w:before="205" w:line="220" w:lineRule="auto"/>
        <w:ind w:left="1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2"/>
          <w:sz w:val="24"/>
          <w:szCs w:val="24"/>
          <w:highlight w:val="none"/>
        </w:rPr>
        <w:t xml:space="preserve">         第  页共  页</w:t>
      </w:r>
    </w:p>
    <w:p w14:paraId="08356BB3">
      <w:pPr>
        <w:spacing w:line="143" w:lineRule="exact"/>
        <w:rPr>
          <w:color w:val="auto"/>
          <w:highlight w:val="none"/>
        </w:rPr>
      </w:pPr>
    </w:p>
    <w:tbl>
      <w:tblPr>
        <w:tblStyle w:val="16"/>
        <w:tblW w:w="140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2"/>
        <w:gridCol w:w="1230"/>
        <w:gridCol w:w="837"/>
        <w:gridCol w:w="810"/>
        <w:gridCol w:w="868"/>
        <w:gridCol w:w="1342"/>
        <w:gridCol w:w="1242"/>
        <w:gridCol w:w="1163"/>
        <w:gridCol w:w="1187"/>
        <w:gridCol w:w="995"/>
        <w:gridCol w:w="1311"/>
        <w:gridCol w:w="1316"/>
        <w:gridCol w:w="1062"/>
      </w:tblGrid>
      <w:tr w14:paraId="3BC2F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42" w:type="dxa"/>
            <w:vMerge w:val="restart"/>
            <w:tcBorders>
              <w:top w:val="single" w:color="000000" w:sz="6" w:space="0"/>
              <w:left w:val="single" w:color="000000" w:sz="6" w:space="0"/>
              <w:bottom w:val="nil"/>
            </w:tcBorders>
            <w:textDirection w:val="tbRlV"/>
            <w:vAlign w:val="top"/>
          </w:tcPr>
          <w:p w14:paraId="497B7256">
            <w:pPr>
              <w:pStyle w:val="17"/>
              <w:spacing w:before="200" w:line="210" w:lineRule="auto"/>
              <w:ind w:left="710"/>
              <w:rPr>
                <w:color w:val="auto"/>
                <w:sz w:val="24"/>
                <w:szCs w:val="24"/>
                <w:highlight w:val="none"/>
              </w:rPr>
            </w:pPr>
            <w:r>
              <w:rPr>
                <w:color w:val="auto"/>
                <w:spacing w:val="34"/>
                <w:sz w:val="24"/>
                <w:szCs w:val="24"/>
                <w:highlight w:val="none"/>
              </w:rPr>
              <w:t>序号</w:t>
            </w:r>
          </w:p>
        </w:tc>
        <w:tc>
          <w:tcPr>
            <w:tcW w:w="1230" w:type="dxa"/>
            <w:vMerge w:val="restart"/>
            <w:tcBorders>
              <w:top w:val="single" w:color="000000" w:sz="6" w:space="0"/>
              <w:bottom w:val="nil"/>
            </w:tcBorders>
            <w:vAlign w:val="top"/>
          </w:tcPr>
          <w:p w14:paraId="4E9FBCC0">
            <w:pPr>
              <w:spacing w:line="474" w:lineRule="auto"/>
              <w:rPr>
                <w:rFonts w:ascii="Arial"/>
                <w:color w:val="auto"/>
                <w:sz w:val="21"/>
                <w:highlight w:val="none"/>
              </w:rPr>
            </w:pPr>
          </w:p>
          <w:p w14:paraId="73A217CA">
            <w:pPr>
              <w:pStyle w:val="17"/>
              <w:spacing w:before="78"/>
              <w:ind w:left="140" w:right="139" w:firstLine="117"/>
              <w:jc w:val="both"/>
              <w:rPr>
                <w:color w:val="auto"/>
                <w:sz w:val="24"/>
                <w:szCs w:val="24"/>
                <w:highlight w:val="none"/>
              </w:rPr>
            </w:pPr>
            <w:r>
              <w:rPr>
                <w:color w:val="auto"/>
                <w:spacing w:val="-5"/>
                <w:sz w:val="24"/>
                <w:szCs w:val="24"/>
                <w:highlight w:val="none"/>
              </w:rPr>
              <w:t>混凝土</w:t>
            </w:r>
            <w:r>
              <w:rPr>
                <w:color w:val="auto"/>
                <w:spacing w:val="-8"/>
                <w:sz w:val="24"/>
                <w:szCs w:val="24"/>
                <w:highlight w:val="none"/>
              </w:rPr>
              <w:t>（砂浆）</w:t>
            </w:r>
            <w:r>
              <w:rPr>
                <w:color w:val="auto"/>
                <w:spacing w:val="-4"/>
                <w:sz w:val="24"/>
                <w:szCs w:val="24"/>
                <w:highlight w:val="none"/>
              </w:rPr>
              <w:t>强度等级</w:t>
            </w:r>
          </w:p>
        </w:tc>
        <w:tc>
          <w:tcPr>
            <w:tcW w:w="837" w:type="dxa"/>
            <w:vMerge w:val="restart"/>
            <w:tcBorders>
              <w:top w:val="single" w:color="000000" w:sz="6" w:space="0"/>
              <w:bottom w:val="nil"/>
            </w:tcBorders>
            <w:vAlign w:val="top"/>
          </w:tcPr>
          <w:p w14:paraId="7ECD4A7B">
            <w:pPr>
              <w:spacing w:line="473" w:lineRule="auto"/>
              <w:rPr>
                <w:rFonts w:ascii="Arial"/>
                <w:color w:val="auto"/>
                <w:sz w:val="21"/>
                <w:highlight w:val="none"/>
              </w:rPr>
            </w:pPr>
          </w:p>
          <w:p w14:paraId="7B569780">
            <w:pPr>
              <w:pStyle w:val="17"/>
              <w:spacing w:before="78" w:line="239" w:lineRule="auto"/>
              <w:ind w:left="184" w:right="182" w:hanging="2"/>
              <w:rPr>
                <w:color w:val="auto"/>
                <w:sz w:val="24"/>
                <w:szCs w:val="24"/>
                <w:highlight w:val="none"/>
              </w:rPr>
            </w:pPr>
            <w:r>
              <w:rPr>
                <w:color w:val="auto"/>
                <w:spacing w:val="-7"/>
                <w:sz w:val="24"/>
                <w:szCs w:val="24"/>
                <w:highlight w:val="none"/>
              </w:rPr>
              <w:t>水泥</w:t>
            </w:r>
            <w:r>
              <w:rPr>
                <w:color w:val="auto"/>
                <w:spacing w:val="-8"/>
                <w:sz w:val="24"/>
                <w:szCs w:val="24"/>
                <w:highlight w:val="none"/>
              </w:rPr>
              <w:t>强度</w:t>
            </w:r>
          </w:p>
          <w:p w14:paraId="02527876">
            <w:pPr>
              <w:pStyle w:val="17"/>
              <w:spacing w:line="219" w:lineRule="auto"/>
              <w:ind w:left="181"/>
              <w:rPr>
                <w:color w:val="auto"/>
                <w:sz w:val="24"/>
                <w:szCs w:val="24"/>
                <w:highlight w:val="none"/>
              </w:rPr>
            </w:pPr>
            <w:r>
              <w:rPr>
                <w:color w:val="auto"/>
                <w:spacing w:val="-3"/>
                <w:sz w:val="24"/>
                <w:szCs w:val="24"/>
                <w:highlight w:val="none"/>
              </w:rPr>
              <w:t>等级</w:t>
            </w:r>
          </w:p>
        </w:tc>
        <w:tc>
          <w:tcPr>
            <w:tcW w:w="810" w:type="dxa"/>
            <w:vMerge w:val="restart"/>
            <w:tcBorders>
              <w:top w:val="single" w:color="000000" w:sz="6" w:space="0"/>
              <w:bottom w:val="nil"/>
            </w:tcBorders>
            <w:vAlign w:val="top"/>
          </w:tcPr>
          <w:p w14:paraId="139D1BB8">
            <w:pPr>
              <w:spacing w:line="260" w:lineRule="auto"/>
              <w:rPr>
                <w:rFonts w:ascii="Arial"/>
                <w:color w:val="auto"/>
                <w:sz w:val="21"/>
                <w:highlight w:val="none"/>
              </w:rPr>
            </w:pPr>
          </w:p>
          <w:p w14:paraId="5B027373">
            <w:pPr>
              <w:spacing w:line="260" w:lineRule="auto"/>
              <w:rPr>
                <w:rFonts w:ascii="Arial"/>
                <w:color w:val="auto"/>
                <w:sz w:val="21"/>
                <w:highlight w:val="none"/>
              </w:rPr>
            </w:pPr>
          </w:p>
          <w:p w14:paraId="5BAEDBD0">
            <w:pPr>
              <w:spacing w:line="260" w:lineRule="auto"/>
              <w:rPr>
                <w:rFonts w:ascii="Arial"/>
                <w:color w:val="auto"/>
                <w:sz w:val="21"/>
                <w:highlight w:val="none"/>
              </w:rPr>
            </w:pPr>
          </w:p>
          <w:p w14:paraId="648439C4">
            <w:pPr>
              <w:pStyle w:val="17"/>
              <w:spacing w:before="78" w:line="222" w:lineRule="auto"/>
              <w:ind w:left="171"/>
              <w:rPr>
                <w:color w:val="auto"/>
                <w:sz w:val="24"/>
                <w:szCs w:val="24"/>
                <w:highlight w:val="none"/>
              </w:rPr>
            </w:pPr>
            <w:r>
              <w:rPr>
                <w:color w:val="auto"/>
                <w:spacing w:val="-4"/>
                <w:sz w:val="24"/>
                <w:szCs w:val="24"/>
                <w:highlight w:val="none"/>
              </w:rPr>
              <w:t>级配</w:t>
            </w:r>
          </w:p>
        </w:tc>
        <w:tc>
          <w:tcPr>
            <w:tcW w:w="868" w:type="dxa"/>
            <w:vMerge w:val="restart"/>
            <w:tcBorders>
              <w:top w:val="single" w:color="000000" w:sz="6" w:space="0"/>
              <w:bottom w:val="nil"/>
            </w:tcBorders>
            <w:vAlign w:val="top"/>
          </w:tcPr>
          <w:p w14:paraId="65D5C6A7">
            <w:pPr>
              <w:spacing w:line="314" w:lineRule="auto"/>
              <w:rPr>
                <w:rFonts w:ascii="Arial"/>
                <w:color w:val="auto"/>
                <w:sz w:val="21"/>
                <w:highlight w:val="none"/>
              </w:rPr>
            </w:pPr>
          </w:p>
          <w:p w14:paraId="3C7D3195">
            <w:pPr>
              <w:spacing w:line="314" w:lineRule="auto"/>
              <w:rPr>
                <w:rFonts w:ascii="Arial"/>
                <w:color w:val="auto"/>
                <w:sz w:val="21"/>
                <w:highlight w:val="none"/>
              </w:rPr>
            </w:pPr>
          </w:p>
          <w:p w14:paraId="5E10B7EC">
            <w:pPr>
              <w:pStyle w:val="17"/>
              <w:spacing w:before="78" w:line="246" w:lineRule="auto"/>
              <w:ind w:left="343" w:right="194" w:hanging="143"/>
              <w:rPr>
                <w:color w:val="auto"/>
                <w:sz w:val="24"/>
                <w:szCs w:val="24"/>
                <w:highlight w:val="none"/>
              </w:rPr>
            </w:pPr>
            <w:r>
              <w:rPr>
                <w:color w:val="auto"/>
                <w:spacing w:val="-7"/>
                <w:sz w:val="24"/>
                <w:szCs w:val="24"/>
                <w:highlight w:val="none"/>
              </w:rPr>
              <w:t>水灰</w:t>
            </w:r>
            <w:r>
              <w:rPr>
                <w:color w:val="auto"/>
                <w:sz w:val="24"/>
                <w:szCs w:val="24"/>
                <w:highlight w:val="none"/>
              </w:rPr>
              <w:t>比</w:t>
            </w:r>
          </w:p>
        </w:tc>
        <w:tc>
          <w:tcPr>
            <w:tcW w:w="5929" w:type="dxa"/>
            <w:gridSpan w:val="5"/>
            <w:tcBorders>
              <w:top w:val="single" w:color="000000" w:sz="6" w:space="0"/>
            </w:tcBorders>
            <w:vAlign w:val="top"/>
          </w:tcPr>
          <w:p w14:paraId="11145A9B">
            <w:pPr>
              <w:pStyle w:val="17"/>
              <w:spacing w:before="102" w:line="219" w:lineRule="auto"/>
              <w:ind w:left="1758"/>
              <w:rPr>
                <w:color w:val="auto"/>
                <w:sz w:val="24"/>
                <w:szCs w:val="24"/>
                <w:highlight w:val="none"/>
              </w:rPr>
            </w:pPr>
            <w:r>
              <w:rPr>
                <w:color w:val="auto"/>
                <w:spacing w:val="-1"/>
                <w:sz w:val="24"/>
                <w:szCs w:val="24"/>
                <w:highlight w:val="none"/>
              </w:rPr>
              <w:t>每</w:t>
            </w:r>
            <w:r>
              <w:rPr>
                <w:rFonts w:ascii="Times New Roman" w:hAnsi="Times New Roman" w:eastAsia="Times New Roman" w:cs="Times New Roman"/>
                <w:color w:val="auto"/>
                <w:spacing w:val="-1"/>
                <w:sz w:val="24"/>
                <w:szCs w:val="24"/>
                <w:highlight w:val="none"/>
              </w:rPr>
              <w:t>m</w:t>
            </w:r>
            <w:r>
              <w:rPr>
                <w:rFonts w:ascii="Times New Roman" w:hAnsi="Times New Roman" w:eastAsia="Times New Roman" w:cs="Times New Roman"/>
                <w:color w:val="auto"/>
                <w:spacing w:val="-1"/>
                <w:position w:val="8"/>
                <w:sz w:val="16"/>
                <w:szCs w:val="16"/>
                <w:highlight w:val="none"/>
              </w:rPr>
              <w:t>3</w:t>
            </w:r>
            <w:r>
              <w:rPr>
                <w:color w:val="auto"/>
                <w:spacing w:val="-1"/>
                <w:sz w:val="24"/>
                <w:szCs w:val="24"/>
                <w:highlight w:val="none"/>
              </w:rPr>
              <w:t>混凝土材料预算量</w:t>
            </w:r>
          </w:p>
        </w:tc>
        <w:tc>
          <w:tcPr>
            <w:tcW w:w="1311" w:type="dxa"/>
            <w:vMerge w:val="restart"/>
            <w:tcBorders>
              <w:top w:val="single" w:color="000000" w:sz="6" w:space="0"/>
              <w:bottom w:val="nil"/>
            </w:tcBorders>
            <w:vAlign w:val="top"/>
          </w:tcPr>
          <w:p w14:paraId="24D436CE">
            <w:pPr>
              <w:spacing w:line="313" w:lineRule="auto"/>
              <w:rPr>
                <w:rFonts w:ascii="Arial"/>
                <w:color w:val="auto"/>
                <w:sz w:val="21"/>
                <w:highlight w:val="none"/>
              </w:rPr>
            </w:pPr>
          </w:p>
          <w:p w14:paraId="00932B3B">
            <w:pPr>
              <w:spacing w:line="314" w:lineRule="auto"/>
              <w:rPr>
                <w:rFonts w:ascii="Arial"/>
                <w:color w:val="auto"/>
                <w:sz w:val="21"/>
                <w:highlight w:val="none"/>
              </w:rPr>
            </w:pPr>
          </w:p>
          <w:p w14:paraId="0D2F4EAD">
            <w:pPr>
              <w:pStyle w:val="17"/>
              <w:spacing w:before="78" w:line="241" w:lineRule="auto"/>
              <w:ind w:left="144" w:right="137" w:firstLine="223"/>
              <w:rPr>
                <w:color w:val="auto"/>
                <w:sz w:val="24"/>
                <w:szCs w:val="24"/>
                <w:highlight w:val="none"/>
              </w:rPr>
            </w:pPr>
            <w:r>
              <w:rPr>
                <w:color w:val="auto"/>
                <w:spacing w:val="-11"/>
                <w:sz w:val="24"/>
                <w:szCs w:val="24"/>
                <w:highlight w:val="none"/>
              </w:rPr>
              <w:t>单</w:t>
            </w:r>
            <w:r>
              <w:rPr>
                <w:color w:val="auto"/>
                <w:spacing w:val="10"/>
                <w:sz w:val="24"/>
                <w:szCs w:val="24"/>
                <w:highlight w:val="none"/>
              </w:rPr>
              <w:t xml:space="preserve"> </w:t>
            </w:r>
            <w:r>
              <w:rPr>
                <w:color w:val="auto"/>
                <w:spacing w:val="-11"/>
                <w:sz w:val="24"/>
                <w:szCs w:val="24"/>
                <w:highlight w:val="none"/>
              </w:rPr>
              <w:t>价</w:t>
            </w:r>
            <w:r>
              <w:rPr>
                <w:color w:val="auto"/>
                <w:spacing w:val="-5"/>
                <w:sz w:val="24"/>
                <w:szCs w:val="24"/>
                <w:highlight w:val="none"/>
              </w:rPr>
              <w:t>（元</w:t>
            </w:r>
            <w:r>
              <w:rPr>
                <w:rFonts w:ascii="Times New Roman" w:hAnsi="Times New Roman" w:eastAsia="Times New Roman" w:cs="Times New Roman"/>
                <w:color w:val="auto"/>
                <w:spacing w:val="-5"/>
                <w:sz w:val="24"/>
                <w:szCs w:val="24"/>
                <w:highlight w:val="none"/>
              </w:rPr>
              <w:t>/m</w:t>
            </w:r>
            <w:r>
              <w:rPr>
                <w:rFonts w:ascii="Times New Roman" w:hAnsi="Times New Roman" w:eastAsia="Times New Roman" w:cs="Times New Roman"/>
                <w:color w:val="auto"/>
                <w:spacing w:val="-5"/>
                <w:position w:val="8"/>
                <w:sz w:val="16"/>
                <w:szCs w:val="16"/>
                <w:highlight w:val="none"/>
              </w:rPr>
              <w:t>3</w:t>
            </w:r>
            <w:r>
              <w:rPr>
                <w:color w:val="auto"/>
                <w:spacing w:val="-5"/>
                <w:sz w:val="24"/>
                <w:szCs w:val="24"/>
                <w:highlight w:val="none"/>
              </w:rPr>
              <w:t>）</w:t>
            </w:r>
          </w:p>
        </w:tc>
        <w:tc>
          <w:tcPr>
            <w:tcW w:w="1316" w:type="dxa"/>
            <w:vMerge w:val="restart"/>
            <w:tcBorders>
              <w:top w:val="single" w:color="000000" w:sz="6" w:space="0"/>
              <w:bottom w:val="nil"/>
            </w:tcBorders>
            <w:vAlign w:val="top"/>
          </w:tcPr>
          <w:p w14:paraId="1D5430A1">
            <w:pPr>
              <w:spacing w:line="313" w:lineRule="auto"/>
              <w:rPr>
                <w:rFonts w:ascii="Arial"/>
                <w:color w:val="auto"/>
                <w:sz w:val="21"/>
                <w:highlight w:val="none"/>
              </w:rPr>
            </w:pPr>
          </w:p>
          <w:p w14:paraId="66E05F04">
            <w:pPr>
              <w:spacing w:line="314" w:lineRule="auto"/>
              <w:rPr>
                <w:rFonts w:ascii="Arial"/>
                <w:color w:val="auto"/>
                <w:sz w:val="21"/>
                <w:highlight w:val="none"/>
              </w:rPr>
            </w:pPr>
          </w:p>
          <w:p w14:paraId="61831D57">
            <w:pPr>
              <w:pStyle w:val="17"/>
              <w:spacing w:before="78" w:line="241" w:lineRule="auto"/>
              <w:ind w:left="148" w:right="138" w:firstLine="221"/>
              <w:rPr>
                <w:color w:val="auto"/>
                <w:sz w:val="24"/>
                <w:szCs w:val="24"/>
                <w:highlight w:val="none"/>
              </w:rPr>
            </w:pPr>
            <w:r>
              <w:rPr>
                <w:color w:val="auto"/>
                <w:spacing w:val="-11"/>
                <w:sz w:val="24"/>
                <w:szCs w:val="24"/>
                <w:highlight w:val="none"/>
              </w:rPr>
              <w:t>补</w:t>
            </w:r>
            <w:r>
              <w:rPr>
                <w:color w:val="auto"/>
                <w:spacing w:val="12"/>
                <w:sz w:val="24"/>
                <w:szCs w:val="24"/>
                <w:highlight w:val="none"/>
              </w:rPr>
              <w:t xml:space="preserve"> </w:t>
            </w:r>
            <w:r>
              <w:rPr>
                <w:color w:val="auto"/>
                <w:spacing w:val="-11"/>
                <w:sz w:val="24"/>
                <w:szCs w:val="24"/>
                <w:highlight w:val="none"/>
              </w:rPr>
              <w:t>差</w:t>
            </w:r>
            <w:r>
              <w:rPr>
                <w:color w:val="auto"/>
                <w:spacing w:val="-5"/>
                <w:sz w:val="24"/>
                <w:szCs w:val="24"/>
                <w:highlight w:val="none"/>
              </w:rPr>
              <w:t>（元</w:t>
            </w:r>
            <w:r>
              <w:rPr>
                <w:rFonts w:ascii="Times New Roman" w:hAnsi="Times New Roman" w:eastAsia="Times New Roman" w:cs="Times New Roman"/>
                <w:color w:val="auto"/>
                <w:spacing w:val="-5"/>
                <w:sz w:val="24"/>
                <w:szCs w:val="24"/>
                <w:highlight w:val="none"/>
              </w:rPr>
              <w:t>/m</w:t>
            </w:r>
            <w:r>
              <w:rPr>
                <w:rFonts w:ascii="Times New Roman" w:hAnsi="Times New Roman" w:eastAsia="Times New Roman" w:cs="Times New Roman"/>
                <w:color w:val="auto"/>
                <w:spacing w:val="-5"/>
                <w:position w:val="8"/>
                <w:sz w:val="16"/>
                <w:szCs w:val="16"/>
                <w:highlight w:val="none"/>
              </w:rPr>
              <w:t>3</w:t>
            </w:r>
            <w:r>
              <w:rPr>
                <w:color w:val="auto"/>
                <w:spacing w:val="-5"/>
                <w:sz w:val="24"/>
                <w:szCs w:val="24"/>
                <w:highlight w:val="none"/>
              </w:rPr>
              <w:t>）</w:t>
            </w:r>
          </w:p>
        </w:tc>
        <w:tc>
          <w:tcPr>
            <w:tcW w:w="1062" w:type="dxa"/>
            <w:vMerge w:val="restart"/>
            <w:tcBorders>
              <w:top w:val="single" w:color="000000" w:sz="6" w:space="0"/>
              <w:bottom w:val="nil"/>
              <w:right w:val="single" w:color="000000" w:sz="6" w:space="0"/>
            </w:tcBorders>
            <w:vAlign w:val="top"/>
          </w:tcPr>
          <w:p w14:paraId="7C545280">
            <w:pPr>
              <w:spacing w:line="260" w:lineRule="auto"/>
              <w:rPr>
                <w:rFonts w:ascii="Arial"/>
                <w:color w:val="auto"/>
                <w:sz w:val="21"/>
                <w:highlight w:val="none"/>
              </w:rPr>
            </w:pPr>
          </w:p>
          <w:p w14:paraId="064D1D06">
            <w:pPr>
              <w:spacing w:line="260" w:lineRule="auto"/>
              <w:rPr>
                <w:rFonts w:ascii="Arial"/>
                <w:color w:val="auto"/>
                <w:sz w:val="21"/>
                <w:highlight w:val="none"/>
              </w:rPr>
            </w:pPr>
          </w:p>
          <w:p w14:paraId="412D8EC2">
            <w:pPr>
              <w:spacing w:line="260" w:lineRule="auto"/>
              <w:rPr>
                <w:rFonts w:ascii="Arial"/>
                <w:color w:val="auto"/>
                <w:sz w:val="21"/>
                <w:highlight w:val="none"/>
              </w:rPr>
            </w:pPr>
          </w:p>
          <w:p w14:paraId="719A3933">
            <w:pPr>
              <w:pStyle w:val="17"/>
              <w:spacing w:before="78" w:line="221" w:lineRule="auto"/>
              <w:ind w:left="242"/>
              <w:rPr>
                <w:color w:val="auto"/>
                <w:sz w:val="24"/>
                <w:szCs w:val="24"/>
                <w:highlight w:val="none"/>
              </w:rPr>
            </w:pPr>
            <w:r>
              <w:rPr>
                <w:color w:val="auto"/>
                <w:spacing w:val="-7"/>
                <w:sz w:val="24"/>
                <w:szCs w:val="24"/>
                <w:highlight w:val="none"/>
              </w:rPr>
              <w:t>备</w:t>
            </w:r>
            <w:r>
              <w:rPr>
                <w:color w:val="auto"/>
                <w:spacing w:val="10"/>
                <w:sz w:val="24"/>
                <w:szCs w:val="24"/>
                <w:highlight w:val="none"/>
              </w:rPr>
              <w:t xml:space="preserve"> </w:t>
            </w:r>
            <w:r>
              <w:rPr>
                <w:color w:val="auto"/>
                <w:spacing w:val="-7"/>
                <w:sz w:val="24"/>
                <w:szCs w:val="24"/>
                <w:highlight w:val="none"/>
              </w:rPr>
              <w:t>注</w:t>
            </w:r>
          </w:p>
        </w:tc>
      </w:tr>
      <w:tr w14:paraId="3F2B2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642" w:type="dxa"/>
            <w:vMerge w:val="continue"/>
            <w:tcBorders>
              <w:top w:val="nil"/>
              <w:left w:val="single" w:color="000000" w:sz="6" w:space="0"/>
              <w:bottom w:val="nil"/>
            </w:tcBorders>
            <w:textDirection w:val="tbRlV"/>
            <w:vAlign w:val="top"/>
          </w:tcPr>
          <w:p w14:paraId="3E3D41F4">
            <w:pPr>
              <w:rPr>
                <w:rFonts w:ascii="Arial"/>
                <w:color w:val="auto"/>
                <w:sz w:val="21"/>
                <w:highlight w:val="none"/>
              </w:rPr>
            </w:pPr>
          </w:p>
        </w:tc>
        <w:tc>
          <w:tcPr>
            <w:tcW w:w="1230" w:type="dxa"/>
            <w:vMerge w:val="continue"/>
            <w:tcBorders>
              <w:top w:val="nil"/>
              <w:bottom w:val="nil"/>
            </w:tcBorders>
            <w:vAlign w:val="top"/>
          </w:tcPr>
          <w:p w14:paraId="3503507D">
            <w:pPr>
              <w:rPr>
                <w:rFonts w:ascii="Arial"/>
                <w:color w:val="auto"/>
                <w:sz w:val="21"/>
                <w:highlight w:val="none"/>
              </w:rPr>
            </w:pPr>
          </w:p>
        </w:tc>
        <w:tc>
          <w:tcPr>
            <w:tcW w:w="837" w:type="dxa"/>
            <w:vMerge w:val="continue"/>
            <w:tcBorders>
              <w:top w:val="nil"/>
              <w:bottom w:val="nil"/>
            </w:tcBorders>
            <w:vAlign w:val="top"/>
          </w:tcPr>
          <w:p w14:paraId="1B70BA56">
            <w:pPr>
              <w:rPr>
                <w:rFonts w:ascii="Arial"/>
                <w:color w:val="auto"/>
                <w:sz w:val="21"/>
                <w:highlight w:val="none"/>
              </w:rPr>
            </w:pPr>
          </w:p>
        </w:tc>
        <w:tc>
          <w:tcPr>
            <w:tcW w:w="810" w:type="dxa"/>
            <w:vMerge w:val="continue"/>
            <w:tcBorders>
              <w:top w:val="nil"/>
              <w:bottom w:val="nil"/>
            </w:tcBorders>
            <w:vAlign w:val="top"/>
          </w:tcPr>
          <w:p w14:paraId="4AE0478A">
            <w:pPr>
              <w:rPr>
                <w:rFonts w:ascii="Arial"/>
                <w:color w:val="auto"/>
                <w:sz w:val="21"/>
                <w:highlight w:val="none"/>
              </w:rPr>
            </w:pPr>
          </w:p>
        </w:tc>
        <w:tc>
          <w:tcPr>
            <w:tcW w:w="868" w:type="dxa"/>
            <w:vMerge w:val="continue"/>
            <w:tcBorders>
              <w:top w:val="nil"/>
              <w:bottom w:val="nil"/>
            </w:tcBorders>
            <w:vAlign w:val="top"/>
          </w:tcPr>
          <w:p w14:paraId="0526C6F4">
            <w:pPr>
              <w:rPr>
                <w:rFonts w:ascii="Arial"/>
                <w:color w:val="auto"/>
                <w:sz w:val="21"/>
                <w:highlight w:val="none"/>
              </w:rPr>
            </w:pPr>
          </w:p>
        </w:tc>
        <w:tc>
          <w:tcPr>
            <w:tcW w:w="1342" w:type="dxa"/>
            <w:vAlign w:val="top"/>
          </w:tcPr>
          <w:p w14:paraId="7892391C">
            <w:pPr>
              <w:pStyle w:val="17"/>
              <w:spacing w:before="37" w:line="222" w:lineRule="auto"/>
              <w:ind w:left="322" w:right="325" w:firstLine="116"/>
              <w:rPr>
                <w:color w:val="auto"/>
                <w:sz w:val="24"/>
                <w:szCs w:val="24"/>
                <w:highlight w:val="none"/>
              </w:rPr>
            </w:pPr>
            <w:r>
              <w:rPr>
                <w:color w:val="auto"/>
                <w:spacing w:val="-7"/>
                <w:sz w:val="24"/>
                <w:szCs w:val="24"/>
                <w:highlight w:val="none"/>
              </w:rPr>
              <w:t>水泥</w:t>
            </w:r>
            <w:r>
              <w:rPr>
                <w:color w:val="auto"/>
                <w:spacing w:val="-8"/>
                <w:sz w:val="24"/>
                <w:szCs w:val="24"/>
                <w:highlight w:val="none"/>
              </w:rPr>
              <w:t>（</w:t>
            </w:r>
            <w:r>
              <w:rPr>
                <w:rFonts w:ascii="Times New Roman" w:hAnsi="Times New Roman" w:eastAsia="Times New Roman" w:cs="Times New Roman"/>
                <w:color w:val="auto"/>
                <w:spacing w:val="-8"/>
                <w:sz w:val="24"/>
                <w:szCs w:val="24"/>
                <w:highlight w:val="none"/>
              </w:rPr>
              <w:t>kg</w:t>
            </w:r>
            <w:r>
              <w:rPr>
                <w:color w:val="auto"/>
                <w:spacing w:val="-8"/>
                <w:sz w:val="24"/>
                <w:szCs w:val="24"/>
                <w:highlight w:val="none"/>
              </w:rPr>
              <w:t>）</w:t>
            </w:r>
          </w:p>
        </w:tc>
        <w:tc>
          <w:tcPr>
            <w:tcW w:w="1242" w:type="dxa"/>
            <w:vAlign w:val="top"/>
          </w:tcPr>
          <w:p w14:paraId="2C836ECC">
            <w:pPr>
              <w:pStyle w:val="17"/>
              <w:spacing w:before="190" w:line="222" w:lineRule="auto"/>
              <w:ind w:left="135"/>
              <w:rPr>
                <w:color w:val="auto"/>
                <w:sz w:val="24"/>
                <w:szCs w:val="24"/>
                <w:highlight w:val="none"/>
              </w:rPr>
            </w:pPr>
            <w:r>
              <w:rPr>
                <w:color w:val="auto"/>
                <w:spacing w:val="-2"/>
                <w:sz w:val="24"/>
                <w:szCs w:val="24"/>
                <w:highlight w:val="none"/>
              </w:rPr>
              <w:t>砂（</w:t>
            </w:r>
            <w:r>
              <w:rPr>
                <w:rFonts w:ascii="Times New Roman" w:hAnsi="Times New Roman" w:eastAsia="Times New Roman" w:cs="Times New Roman"/>
                <w:color w:val="auto"/>
                <w:spacing w:val="-2"/>
                <w:sz w:val="24"/>
                <w:szCs w:val="24"/>
                <w:highlight w:val="none"/>
              </w:rPr>
              <w:t>m</w:t>
            </w:r>
            <w:r>
              <w:rPr>
                <w:rFonts w:ascii="Times New Roman" w:hAnsi="Times New Roman" w:eastAsia="Times New Roman" w:cs="Times New Roman"/>
                <w:color w:val="auto"/>
                <w:spacing w:val="-2"/>
                <w:position w:val="8"/>
                <w:sz w:val="16"/>
                <w:szCs w:val="16"/>
                <w:highlight w:val="none"/>
              </w:rPr>
              <w:t>3</w:t>
            </w:r>
            <w:r>
              <w:rPr>
                <w:color w:val="auto"/>
                <w:spacing w:val="-2"/>
                <w:sz w:val="24"/>
                <w:szCs w:val="24"/>
                <w:highlight w:val="none"/>
              </w:rPr>
              <w:t>）</w:t>
            </w:r>
          </w:p>
        </w:tc>
        <w:tc>
          <w:tcPr>
            <w:tcW w:w="1163" w:type="dxa"/>
            <w:vAlign w:val="top"/>
          </w:tcPr>
          <w:p w14:paraId="4ABD3B49">
            <w:pPr>
              <w:pStyle w:val="17"/>
              <w:spacing w:before="37" w:line="222" w:lineRule="auto"/>
              <w:ind w:left="220" w:right="220" w:firstLine="248"/>
              <w:rPr>
                <w:color w:val="auto"/>
                <w:sz w:val="24"/>
                <w:szCs w:val="24"/>
                <w:highlight w:val="none"/>
              </w:rPr>
            </w:pPr>
            <w:r>
              <w:rPr>
                <w:color w:val="auto"/>
                <w:spacing w:val="-11"/>
                <w:sz w:val="24"/>
                <w:szCs w:val="24"/>
                <w:highlight w:val="none"/>
              </w:rPr>
              <w:t>石</w:t>
            </w:r>
            <w:r>
              <w:rPr>
                <w:color w:val="auto"/>
                <w:sz w:val="24"/>
                <w:szCs w:val="24"/>
                <w:highlight w:val="none"/>
              </w:rPr>
              <w:t xml:space="preserve"> </w:t>
            </w:r>
            <w:r>
              <w:rPr>
                <w:color w:val="auto"/>
                <w:spacing w:val="-8"/>
                <w:sz w:val="24"/>
                <w:szCs w:val="24"/>
                <w:highlight w:val="none"/>
              </w:rPr>
              <w:t>（</w:t>
            </w:r>
            <w:r>
              <w:rPr>
                <w:rFonts w:ascii="Times New Roman" w:hAnsi="Times New Roman" w:eastAsia="Times New Roman" w:cs="Times New Roman"/>
                <w:color w:val="auto"/>
                <w:spacing w:val="-8"/>
                <w:sz w:val="24"/>
                <w:szCs w:val="24"/>
                <w:highlight w:val="none"/>
              </w:rPr>
              <w:t>m</w:t>
            </w:r>
            <w:r>
              <w:rPr>
                <w:rFonts w:ascii="Times New Roman" w:hAnsi="Times New Roman" w:eastAsia="Times New Roman" w:cs="Times New Roman"/>
                <w:color w:val="auto"/>
                <w:spacing w:val="-8"/>
                <w:position w:val="8"/>
                <w:sz w:val="16"/>
                <w:szCs w:val="16"/>
                <w:highlight w:val="none"/>
              </w:rPr>
              <w:t>3</w:t>
            </w:r>
            <w:r>
              <w:rPr>
                <w:color w:val="auto"/>
                <w:spacing w:val="-8"/>
                <w:sz w:val="24"/>
                <w:szCs w:val="24"/>
                <w:highlight w:val="none"/>
              </w:rPr>
              <w:t>）</w:t>
            </w:r>
          </w:p>
        </w:tc>
        <w:tc>
          <w:tcPr>
            <w:tcW w:w="1187" w:type="dxa"/>
            <w:vAlign w:val="top"/>
          </w:tcPr>
          <w:p w14:paraId="623495C7">
            <w:pPr>
              <w:pStyle w:val="17"/>
              <w:spacing w:before="37" w:line="222" w:lineRule="auto"/>
              <w:ind w:left="235" w:right="229" w:firstLine="250"/>
              <w:rPr>
                <w:color w:val="auto"/>
                <w:sz w:val="24"/>
                <w:szCs w:val="24"/>
                <w:highlight w:val="none"/>
              </w:rPr>
            </w:pPr>
            <w:r>
              <w:rPr>
                <w:color w:val="auto"/>
                <w:spacing w:val="-13"/>
                <w:sz w:val="24"/>
                <w:szCs w:val="24"/>
                <w:highlight w:val="none"/>
              </w:rPr>
              <w:t>水</w:t>
            </w:r>
            <w:r>
              <w:rPr>
                <w:color w:val="auto"/>
                <w:sz w:val="24"/>
                <w:szCs w:val="24"/>
                <w:highlight w:val="none"/>
              </w:rPr>
              <w:t xml:space="preserve"> </w:t>
            </w:r>
            <w:r>
              <w:rPr>
                <w:color w:val="auto"/>
                <w:spacing w:val="-8"/>
                <w:sz w:val="24"/>
                <w:szCs w:val="24"/>
                <w:highlight w:val="none"/>
              </w:rPr>
              <w:t>（</w:t>
            </w:r>
            <w:r>
              <w:rPr>
                <w:rFonts w:ascii="Times New Roman" w:hAnsi="Times New Roman" w:eastAsia="Times New Roman" w:cs="Times New Roman"/>
                <w:color w:val="auto"/>
                <w:spacing w:val="-8"/>
                <w:sz w:val="24"/>
                <w:szCs w:val="24"/>
                <w:highlight w:val="none"/>
              </w:rPr>
              <w:t>m</w:t>
            </w:r>
            <w:r>
              <w:rPr>
                <w:rFonts w:ascii="Times New Roman" w:hAnsi="Times New Roman" w:eastAsia="Times New Roman" w:cs="Times New Roman"/>
                <w:color w:val="auto"/>
                <w:spacing w:val="-8"/>
                <w:position w:val="8"/>
                <w:sz w:val="16"/>
                <w:szCs w:val="16"/>
                <w:highlight w:val="none"/>
              </w:rPr>
              <w:t>3</w:t>
            </w:r>
            <w:r>
              <w:rPr>
                <w:color w:val="auto"/>
                <w:spacing w:val="-8"/>
                <w:sz w:val="24"/>
                <w:szCs w:val="24"/>
                <w:highlight w:val="none"/>
              </w:rPr>
              <w:t>）</w:t>
            </w:r>
          </w:p>
        </w:tc>
        <w:tc>
          <w:tcPr>
            <w:tcW w:w="995" w:type="dxa"/>
            <w:vAlign w:val="top"/>
          </w:tcPr>
          <w:p w14:paraId="5FF46CFC">
            <w:pPr>
              <w:spacing w:line="302" w:lineRule="auto"/>
              <w:rPr>
                <w:rFonts w:ascii="Arial"/>
                <w:color w:val="auto"/>
                <w:sz w:val="21"/>
                <w:highlight w:val="none"/>
              </w:rPr>
            </w:pPr>
          </w:p>
          <w:p w14:paraId="7ABF2EAB">
            <w:pPr>
              <w:spacing w:before="69" w:line="75" w:lineRule="exact"/>
              <w:ind w:left="283"/>
              <w:rPr>
                <w:rFonts w:ascii="Times New Roman" w:hAnsi="Times New Roman" w:eastAsia="Times New Roman" w:cs="Times New Roman"/>
                <w:color w:val="auto"/>
                <w:sz w:val="24"/>
                <w:szCs w:val="24"/>
                <w:highlight w:val="none"/>
              </w:rPr>
            </w:pPr>
            <w:r>
              <w:rPr>
                <w:rFonts w:ascii="Times New Roman" w:hAnsi="Times New Roman" w:eastAsia="Times New Roman" w:cs="Times New Roman"/>
                <w:color w:val="auto"/>
                <w:spacing w:val="-7"/>
                <w:position w:val="-1"/>
                <w:sz w:val="24"/>
                <w:szCs w:val="24"/>
                <w:highlight w:val="none"/>
              </w:rPr>
              <w:t>……</w:t>
            </w:r>
          </w:p>
        </w:tc>
        <w:tc>
          <w:tcPr>
            <w:tcW w:w="1311" w:type="dxa"/>
            <w:vMerge w:val="continue"/>
            <w:tcBorders>
              <w:top w:val="nil"/>
              <w:bottom w:val="nil"/>
            </w:tcBorders>
            <w:vAlign w:val="top"/>
          </w:tcPr>
          <w:p w14:paraId="2404DA1F">
            <w:pPr>
              <w:rPr>
                <w:rFonts w:ascii="Arial"/>
                <w:color w:val="auto"/>
                <w:sz w:val="21"/>
                <w:highlight w:val="none"/>
              </w:rPr>
            </w:pPr>
          </w:p>
        </w:tc>
        <w:tc>
          <w:tcPr>
            <w:tcW w:w="1316" w:type="dxa"/>
            <w:vMerge w:val="continue"/>
            <w:tcBorders>
              <w:top w:val="nil"/>
              <w:bottom w:val="nil"/>
            </w:tcBorders>
            <w:vAlign w:val="top"/>
          </w:tcPr>
          <w:p w14:paraId="2C498CE1">
            <w:pPr>
              <w:rPr>
                <w:rFonts w:ascii="Arial"/>
                <w:color w:val="auto"/>
                <w:sz w:val="21"/>
                <w:highlight w:val="none"/>
              </w:rPr>
            </w:pPr>
          </w:p>
        </w:tc>
        <w:tc>
          <w:tcPr>
            <w:tcW w:w="1062" w:type="dxa"/>
            <w:vMerge w:val="continue"/>
            <w:tcBorders>
              <w:top w:val="nil"/>
              <w:bottom w:val="nil"/>
              <w:right w:val="single" w:color="000000" w:sz="6" w:space="0"/>
            </w:tcBorders>
            <w:vAlign w:val="top"/>
          </w:tcPr>
          <w:p w14:paraId="2F2EE356">
            <w:pPr>
              <w:rPr>
                <w:rFonts w:ascii="Arial"/>
                <w:color w:val="auto"/>
                <w:sz w:val="21"/>
                <w:highlight w:val="none"/>
              </w:rPr>
            </w:pPr>
          </w:p>
        </w:tc>
      </w:tr>
      <w:tr w14:paraId="2D869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42" w:type="dxa"/>
            <w:vMerge w:val="continue"/>
            <w:tcBorders>
              <w:top w:val="nil"/>
              <w:left w:val="single" w:color="000000" w:sz="6" w:space="0"/>
              <w:bottom w:val="nil"/>
            </w:tcBorders>
            <w:textDirection w:val="tbRlV"/>
            <w:vAlign w:val="top"/>
          </w:tcPr>
          <w:p w14:paraId="23F32048">
            <w:pPr>
              <w:rPr>
                <w:rFonts w:ascii="Arial"/>
                <w:color w:val="auto"/>
                <w:sz w:val="21"/>
                <w:highlight w:val="none"/>
              </w:rPr>
            </w:pPr>
          </w:p>
        </w:tc>
        <w:tc>
          <w:tcPr>
            <w:tcW w:w="1230" w:type="dxa"/>
            <w:vMerge w:val="continue"/>
            <w:tcBorders>
              <w:top w:val="nil"/>
              <w:bottom w:val="nil"/>
            </w:tcBorders>
            <w:vAlign w:val="top"/>
          </w:tcPr>
          <w:p w14:paraId="73FB2794">
            <w:pPr>
              <w:rPr>
                <w:rFonts w:ascii="Arial"/>
                <w:color w:val="auto"/>
                <w:sz w:val="21"/>
                <w:highlight w:val="none"/>
              </w:rPr>
            </w:pPr>
          </w:p>
        </w:tc>
        <w:tc>
          <w:tcPr>
            <w:tcW w:w="837" w:type="dxa"/>
            <w:vMerge w:val="continue"/>
            <w:tcBorders>
              <w:top w:val="nil"/>
              <w:bottom w:val="nil"/>
            </w:tcBorders>
            <w:vAlign w:val="top"/>
          </w:tcPr>
          <w:p w14:paraId="615288EC">
            <w:pPr>
              <w:rPr>
                <w:rFonts w:ascii="Arial"/>
                <w:color w:val="auto"/>
                <w:sz w:val="21"/>
                <w:highlight w:val="none"/>
              </w:rPr>
            </w:pPr>
          </w:p>
        </w:tc>
        <w:tc>
          <w:tcPr>
            <w:tcW w:w="810" w:type="dxa"/>
            <w:vMerge w:val="continue"/>
            <w:tcBorders>
              <w:top w:val="nil"/>
              <w:bottom w:val="nil"/>
            </w:tcBorders>
            <w:vAlign w:val="top"/>
          </w:tcPr>
          <w:p w14:paraId="41E2C9A8">
            <w:pPr>
              <w:rPr>
                <w:rFonts w:ascii="Arial"/>
                <w:color w:val="auto"/>
                <w:sz w:val="21"/>
                <w:highlight w:val="none"/>
              </w:rPr>
            </w:pPr>
          </w:p>
        </w:tc>
        <w:tc>
          <w:tcPr>
            <w:tcW w:w="868" w:type="dxa"/>
            <w:vMerge w:val="continue"/>
            <w:tcBorders>
              <w:top w:val="nil"/>
              <w:bottom w:val="nil"/>
            </w:tcBorders>
            <w:vAlign w:val="top"/>
          </w:tcPr>
          <w:p w14:paraId="19E3C395">
            <w:pPr>
              <w:rPr>
                <w:rFonts w:ascii="Arial"/>
                <w:color w:val="auto"/>
                <w:sz w:val="21"/>
                <w:highlight w:val="none"/>
              </w:rPr>
            </w:pPr>
          </w:p>
        </w:tc>
        <w:tc>
          <w:tcPr>
            <w:tcW w:w="1342" w:type="dxa"/>
            <w:vAlign w:val="top"/>
          </w:tcPr>
          <w:p w14:paraId="693BD90C">
            <w:pPr>
              <w:pStyle w:val="17"/>
              <w:spacing w:before="100" w:line="218" w:lineRule="auto"/>
              <w:ind w:left="202"/>
              <w:rPr>
                <w:color w:val="auto"/>
                <w:sz w:val="24"/>
                <w:szCs w:val="24"/>
                <w:highlight w:val="none"/>
              </w:rPr>
            </w:pPr>
            <w:r>
              <w:rPr>
                <w:color w:val="auto"/>
                <w:spacing w:val="-6"/>
                <w:sz w:val="24"/>
                <w:szCs w:val="24"/>
                <w:highlight w:val="none"/>
              </w:rPr>
              <w:t>（单价）</w:t>
            </w:r>
          </w:p>
        </w:tc>
        <w:tc>
          <w:tcPr>
            <w:tcW w:w="1242" w:type="dxa"/>
            <w:vAlign w:val="top"/>
          </w:tcPr>
          <w:p w14:paraId="6DFF0610">
            <w:pPr>
              <w:pStyle w:val="17"/>
              <w:spacing w:before="100" w:line="218" w:lineRule="auto"/>
              <w:ind w:left="154"/>
              <w:rPr>
                <w:color w:val="auto"/>
                <w:sz w:val="24"/>
                <w:szCs w:val="24"/>
                <w:highlight w:val="none"/>
              </w:rPr>
            </w:pPr>
            <w:r>
              <w:rPr>
                <w:color w:val="auto"/>
                <w:spacing w:val="-6"/>
                <w:sz w:val="24"/>
                <w:szCs w:val="24"/>
                <w:highlight w:val="none"/>
              </w:rPr>
              <w:t>（单价）</w:t>
            </w:r>
          </w:p>
        </w:tc>
        <w:tc>
          <w:tcPr>
            <w:tcW w:w="1163" w:type="dxa"/>
            <w:vAlign w:val="top"/>
          </w:tcPr>
          <w:p w14:paraId="0A68654F">
            <w:pPr>
              <w:pStyle w:val="17"/>
              <w:spacing w:before="100" w:line="218" w:lineRule="auto"/>
              <w:ind w:left="122"/>
              <w:rPr>
                <w:color w:val="auto"/>
                <w:sz w:val="24"/>
                <w:szCs w:val="24"/>
                <w:highlight w:val="none"/>
              </w:rPr>
            </w:pPr>
            <w:r>
              <w:rPr>
                <w:color w:val="auto"/>
                <w:spacing w:val="-6"/>
                <w:sz w:val="24"/>
                <w:szCs w:val="24"/>
                <w:highlight w:val="none"/>
              </w:rPr>
              <w:t>（单价）</w:t>
            </w:r>
          </w:p>
        </w:tc>
        <w:tc>
          <w:tcPr>
            <w:tcW w:w="1187" w:type="dxa"/>
            <w:vAlign w:val="top"/>
          </w:tcPr>
          <w:p w14:paraId="6388D169">
            <w:pPr>
              <w:pStyle w:val="17"/>
              <w:spacing w:before="100" w:line="218" w:lineRule="auto"/>
              <w:ind w:left="130"/>
              <w:rPr>
                <w:color w:val="auto"/>
                <w:sz w:val="24"/>
                <w:szCs w:val="24"/>
                <w:highlight w:val="none"/>
              </w:rPr>
            </w:pPr>
            <w:r>
              <w:rPr>
                <w:color w:val="auto"/>
                <w:spacing w:val="-6"/>
                <w:sz w:val="24"/>
                <w:szCs w:val="24"/>
                <w:highlight w:val="none"/>
              </w:rPr>
              <w:t>（单价）</w:t>
            </w:r>
          </w:p>
        </w:tc>
        <w:tc>
          <w:tcPr>
            <w:tcW w:w="995" w:type="dxa"/>
            <w:vAlign w:val="top"/>
          </w:tcPr>
          <w:p w14:paraId="43CF82C2">
            <w:pPr>
              <w:rPr>
                <w:rFonts w:ascii="Arial"/>
                <w:color w:val="auto"/>
                <w:sz w:val="21"/>
                <w:highlight w:val="none"/>
              </w:rPr>
            </w:pPr>
          </w:p>
        </w:tc>
        <w:tc>
          <w:tcPr>
            <w:tcW w:w="1311" w:type="dxa"/>
            <w:vMerge w:val="continue"/>
            <w:tcBorders>
              <w:top w:val="nil"/>
              <w:bottom w:val="nil"/>
            </w:tcBorders>
            <w:vAlign w:val="top"/>
          </w:tcPr>
          <w:p w14:paraId="0D7A39C7">
            <w:pPr>
              <w:rPr>
                <w:rFonts w:ascii="Arial"/>
                <w:color w:val="auto"/>
                <w:sz w:val="21"/>
                <w:highlight w:val="none"/>
              </w:rPr>
            </w:pPr>
          </w:p>
        </w:tc>
        <w:tc>
          <w:tcPr>
            <w:tcW w:w="1316" w:type="dxa"/>
            <w:vMerge w:val="continue"/>
            <w:tcBorders>
              <w:top w:val="nil"/>
              <w:bottom w:val="nil"/>
            </w:tcBorders>
            <w:vAlign w:val="top"/>
          </w:tcPr>
          <w:p w14:paraId="2D92EC0C">
            <w:pPr>
              <w:rPr>
                <w:rFonts w:ascii="Arial"/>
                <w:color w:val="auto"/>
                <w:sz w:val="21"/>
                <w:highlight w:val="none"/>
              </w:rPr>
            </w:pPr>
          </w:p>
        </w:tc>
        <w:tc>
          <w:tcPr>
            <w:tcW w:w="1062" w:type="dxa"/>
            <w:vMerge w:val="continue"/>
            <w:tcBorders>
              <w:top w:val="nil"/>
              <w:bottom w:val="nil"/>
              <w:right w:val="single" w:color="000000" w:sz="6" w:space="0"/>
            </w:tcBorders>
            <w:vAlign w:val="top"/>
          </w:tcPr>
          <w:p w14:paraId="1F046A29">
            <w:pPr>
              <w:rPr>
                <w:rFonts w:ascii="Arial"/>
                <w:color w:val="auto"/>
                <w:sz w:val="21"/>
                <w:highlight w:val="none"/>
              </w:rPr>
            </w:pPr>
          </w:p>
        </w:tc>
      </w:tr>
      <w:tr w14:paraId="436DC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42" w:type="dxa"/>
            <w:vMerge w:val="continue"/>
            <w:tcBorders>
              <w:top w:val="nil"/>
              <w:left w:val="single" w:color="000000" w:sz="6" w:space="0"/>
            </w:tcBorders>
            <w:textDirection w:val="tbRlV"/>
            <w:vAlign w:val="top"/>
          </w:tcPr>
          <w:p w14:paraId="1A7A3C4D">
            <w:pPr>
              <w:rPr>
                <w:rFonts w:ascii="Arial"/>
                <w:color w:val="auto"/>
                <w:sz w:val="21"/>
                <w:highlight w:val="none"/>
              </w:rPr>
            </w:pPr>
          </w:p>
        </w:tc>
        <w:tc>
          <w:tcPr>
            <w:tcW w:w="1230" w:type="dxa"/>
            <w:vMerge w:val="continue"/>
            <w:tcBorders>
              <w:top w:val="nil"/>
            </w:tcBorders>
            <w:vAlign w:val="top"/>
          </w:tcPr>
          <w:p w14:paraId="05FF5BB8">
            <w:pPr>
              <w:rPr>
                <w:rFonts w:ascii="Arial"/>
                <w:color w:val="auto"/>
                <w:sz w:val="21"/>
                <w:highlight w:val="none"/>
              </w:rPr>
            </w:pPr>
          </w:p>
        </w:tc>
        <w:tc>
          <w:tcPr>
            <w:tcW w:w="837" w:type="dxa"/>
            <w:vMerge w:val="continue"/>
            <w:tcBorders>
              <w:top w:val="nil"/>
            </w:tcBorders>
            <w:vAlign w:val="top"/>
          </w:tcPr>
          <w:p w14:paraId="6F8544E1">
            <w:pPr>
              <w:rPr>
                <w:rFonts w:ascii="Arial"/>
                <w:color w:val="auto"/>
                <w:sz w:val="21"/>
                <w:highlight w:val="none"/>
              </w:rPr>
            </w:pPr>
          </w:p>
        </w:tc>
        <w:tc>
          <w:tcPr>
            <w:tcW w:w="810" w:type="dxa"/>
            <w:vMerge w:val="continue"/>
            <w:tcBorders>
              <w:top w:val="nil"/>
            </w:tcBorders>
            <w:vAlign w:val="top"/>
          </w:tcPr>
          <w:p w14:paraId="4EACC9A1">
            <w:pPr>
              <w:rPr>
                <w:rFonts w:ascii="Arial"/>
                <w:color w:val="auto"/>
                <w:sz w:val="21"/>
                <w:highlight w:val="none"/>
              </w:rPr>
            </w:pPr>
          </w:p>
        </w:tc>
        <w:tc>
          <w:tcPr>
            <w:tcW w:w="868" w:type="dxa"/>
            <w:vMerge w:val="continue"/>
            <w:tcBorders>
              <w:top w:val="nil"/>
            </w:tcBorders>
            <w:vAlign w:val="top"/>
          </w:tcPr>
          <w:p w14:paraId="78F2E92A">
            <w:pPr>
              <w:rPr>
                <w:rFonts w:ascii="Arial"/>
                <w:color w:val="auto"/>
                <w:sz w:val="21"/>
                <w:highlight w:val="none"/>
              </w:rPr>
            </w:pPr>
          </w:p>
        </w:tc>
        <w:tc>
          <w:tcPr>
            <w:tcW w:w="1342" w:type="dxa"/>
            <w:vAlign w:val="top"/>
          </w:tcPr>
          <w:p w14:paraId="1F4D06A0">
            <w:pPr>
              <w:pStyle w:val="17"/>
              <w:spacing w:before="101" w:line="218" w:lineRule="auto"/>
              <w:ind w:left="202"/>
              <w:rPr>
                <w:color w:val="auto"/>
                <w:sz w:val="24"/>
                <w:szCs w:val="24"/>
                <w:highlight w:val="none"/>
              </w:rPr>
            </w:pPr>
            <w:r>
              <w:rPr>
                <w:color w:val="auto"/>
                <w:spacing w:val="-6"/>
                <w:sz w:val="24"/>
                <w:szCs w:val="24"/>
                <w:highlight w:val="none"/>
              </w:rPr>
              <w:t>（价差）</w:t>
            </w:r>
          </w:p>
        </w:tc>
        <w:tc>
          <w:tcPr>
            <w:tcW w:w="1242" w:type="dxa"/>
            <w:vAlign w:val="top"/>
          </w:tcPr>
          <w:p w14:paraId="5D8EC3EF">
            <w:pPr>
              <w:pStyle w:val="17"/>
              <w:spacing w:before="101" w:line="218" w:lineRule="auto"/>
              <w:ind w:left="154"/>
              <w:rPr>
                <w:color w:val="auto"/>
                <w:sz w:val="24"/>
                <w:szCs w:val="24"/>
                <w:highlight w:val="none"/>
              </w:rPr>
            </w:pPr>
            <w:r>
              <w:rPr>
                <w:color w:val="auto"/>
                <w:spacing w:val="-6"/>
                <w:sz w:val="24"/>
                <w:szCs w:val="24"/>
                <w:highlight w:val="none"/>
              </w:rPr>
              <w:t>（价差）</w:t>
            </w:r>
          </w:p>
        </w:tc>
        <w:tc>
          <w:tcPr>
            <w:tcW w:w="1163" w:type="dxa"/>
            <w:vAlign w:val="top"/>
          </w:tcPr>
          <w:p w14:paraId="4E7FC210">
            <w:pPr>
              <w:pStyle w:val="17"/>
              <w:spacing w:before="101" w:line="218" w:lineRule="auto"/>
              <w:ind w:left="122"/>
              <w:rPr>
                <w:color w:val="auto"/>
                <w:sz w:val="24"/>
                <w:szCs w:val="24"/>
                <w:highlight w:val="none"/>
              </w:rPr>
            </w:pPr>
            <w:r>
              <w:rPr>
                <w:color w:val="auto"/>
                <w:spacing w:val="-6"/>
                <w:sz w:val="24"/>
                <w:szCs w:val="24"/>
                <w:highlight w:val="none"/>
              </w:rPr>
              <w:t>（价差）</w:t>
            </w:r>
          </w:p>
        </w:tc>
        <w:tc>
          <w:tcPr>
            <w:tcW w:w="1187" w:type="dxa"/>
            <w:vAlign w:val="top"/>
          </w:tcPr>
          <w:p w14:paraId="6198C3F4">
            <w:pPr>
              <w:rPr>
                <w:rFonts w:ascii="Arial"/>
                <w:color w:val="auto"/>
                <w:sz w:val="21"/>
                <w:highlight w:val="none"/>
              </w:rPr>
            </w:pPr>
          </w:p>
        </w:tc>
        <w:tc>
          <w:tcPr>
            <w:tcW w:w="995" w:type="dxa"/>
            <w:vAlign w:val="top"/>
          </w:tcPr>
          <w:p w14:paraId="53E40D17">
            <w:pPr>
              <w:rPr>
                <w:rFonts w:ascii="Arial"/>
                <w:color w:val="auto"/>
                <w:sz w:val="21"/>
                <w:highlight w:val="none"/>
              </w:rPr>
            </w:pPr>
          </w:p>
        </w:tc>
        <w:tc>
          <w:tcPr>
            <w:tcW w:w="1311" w:type="dxa"/>
            <w:vMerge w:val="continue"/>
            <w:tcBorders>
              <w:top w:val="nil"/>
            </w:tcBorders>
            <w:vAlign w:val="top"/>
          </w:tcPr>
          <w:p w14:paraId="2A10A30F">
            <w:pPr>
              <w:rPr>
                <w:rFonts w:ascii="Arial"/>
                <w:color w:val="auto"/>
                <w:sz w:val="21"/>
                <w:highlight w:val="none"/>
              </w:rPr>
            </w:pPr>
          </w:p>
        </w:tc>
        <w:tc>
          <w:tcPr>
            <w:tcW w:w="1316" w:type="dxa"/>
            <w:vMerge w:val="continue"/>
            <w:tcBorders>
              <w:top w:val="nil"/>
            </w:tcBorders>
            <w:vAlign w:val="top"/>
          </w:tcPr>
          <w:p w14:paraId="4591D1E0">
            <w:pPr>
              <w:rPr>
                <w:rFonts w:ascii="Arial"/>
                <w:color w:val="auto"/>
                <w:sz w:val="21"/>
                <w:highlight w:val="none"/>
              </w:rPr>
            </w:pPr>
          </w:p>
        </w:tc>
        <w:tc>
          <w:tcPr>
            <w:tcW w:w="1062" w:type="dxa"/>
            <w:vMerge w:val="continue"/>
            <w:tcBorders>
              <w:top w:val="nil"/>
              <w:right w:val="single" w:color="000000" w:sz="6" w:space="0"/>
            </w:tcBorders>
            <w:vAlign w:val="top"/>
          </w:tcPr>
          <w:p w14:paraId="3B55D035">
            <w:pPr>
              <w:rPr>
                <w:rFonts w:ascii="Arial"/>
                <w:color w:val="auto"/>
                <w:sz w:val="21"/>
                <w:highlight w:val="none"/>
              </w:rPr>
            </w:pPr>
          </w:p>
        </w:tc>
      </w:tr>
      <w:tr w14:paraId="2D631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18C25F86">
            <w:pPr>
              <w:rPr>
                <w:rFonts w:ascii="Arial"/>
                <w:color w:val="auto"/>
                <w:sz w:val="21"/>
                <w:highlight w:val="none"/>
              </w:rPr>
            </w:pPr>
          </w:p>
        </w:tc>
        <w:tc>
          <w:tcPr>
            <w:tcW w:w="1230" w:type="dxa"/>
            <w:vAlign w:val="top"/>
          </w:tcPr>
          <w:p w14:paraId="1E5FB00A">
            <w:pPr>
              <w:rPr>
                <w:rFonts w:ascii="Arial"/>
                <w:color w:val="auto"/>
                <w:sz w:val="21"/>
                <w:highlight w:val="none"/>
              </w:rPr>
            </w:pPr>
          </w:p>
        </w:tc>
        <w:tc>
          <w:tcPr>
            <w:tcW w:w="837" w:type="dxa"/>
            <w:vAlign w:val="top"/>
          </w:tcPr>
          <w:p w14:paraId="3310F5E6">
            <w:pPr>
              <w:rPr>
                <w:rFonts w:ascii="Arial"/>
                <w:color w:val="auto"/>
                <w:sz w:val="21"/>
                <w:highlight w:val="none"/>
              </w:rPr>
            </w:pPr>
          </w:p>
        </w:tc>
        <w:tc>
          <w:tcPr>
            <w:tcW w:w="810" w:type="dxa"/>
            <w:vAlign w:val="top"/>
          </w:tcPr>
          <w:p w14:paraId="4CD4ABB1">
            <w:pPr>
              <w:rPr>
                <w:rFonts w:ascii="Arial"/>
                <w:color w:val="auto"/>
                <w:sz w:val="21"/>
                <w:highlight w:val="none"/>
              </w:rPr>
            </w:pPr>
          </w:p>
        </w:tc>
        <w:tc>
          <w:tcPr>
            <w:tcW w:w="868" w:type="dxa"/>
            <w:vAlign w:val="top"/>
          </w:tcPr>
          <w:p w14:paraId="6B305E28">
            <w:pPr>
              <w:rPr>
                <w:rFonts w:ascii="Arial"/>
                <w:color w:val="auto"/>
                <w:sz w:val="21"/>
                <w:highlight w:val="none"/>
              </w:rPr>
            </w:pPr>
          </w:p>
        </w:tc>
        <w:tc>
          <w:tcPr>
            <w:tcW w:w="1342" w:type="dxa"/>
            <w:vAlign w:val="top"/>
          </w:tcPr>
          <w:p w14:paraId="5F5576AA">
            <w:pPr>
              <w:rPr>
                <w:rFonts w:ascii="Arial"/>
                <w:color w:val="auto"/>
                <w:sz w:val="21"/>
                <w:highlight w:val="none"/>
              </w:rPr>
            </w:pPr>
          </w:p>
        </w:tc>
        <w:tc>
          <w:tcPr>
            <w:tcW w:w="1242" w:type="dxa"/>
            <w:vAlign w:val="top"/>
          </w:tcPr>
          <w:p w14:paraId="33C8EBE5">
            <w:pPr>
              <w:rPr>
                <w:rFonts w:ascii="Arial"/>
                <w:color w:val="auto"/>
                <w:sz w:val="21"/>
                <w:highlight w:val="none"/>
              </w:rPr>
            </w:pPr>
          </w:p>
        </w:tc>
        <w:tc>
          <w:tcPr>
            <w:tcW w:w="1163" w:type="dxa"/>
            <w:vAlign w:val="top"/>
          </w:tcPr>
          <w:p w14:paraId="61A50771">
            <w:pPr>
              <w:rPr>
                <w:rFonts w:ascii="Arial"/>
                <w:color w:val="auto"/>
                <w:sz w:val="21"/>
                <w:highlight w:val="none"/>
              </w:rPr>
            </w:pPr>
          </w:p>
        </w:tc>
        <w:tc>
          <w:tcPr>
            <w:tcW w:w="1187" w:type="dxa"/>
            <w:vAlign w:val="top"/>
          </w:tcPr>
          <w:p w14:paraId="23518844">
            <w:pPr>
              <w:rPr>
                <w:rFonts w:ascii="Arial"/>
                <w:color w:val="auto"/>
                <w:sz w:val="21"/>
                <w:highlight w:val="none"/>
              </w:rPr>
            </w:pPr>
          </w:p>
        </w:tc>
        <w:tc>
          <w:tcPr>
            <w:tcW w:w="995" w:type="dxa"/>
            <w:vAlign w:val="top"/>
          </w:tcPr>
          <w:p w14:paraId="411F0A19">
            <w:pPr>
              <w:rPr>
                <w:rFonts w:ascii="Arial"/>
                <w:color w:val="auto"/>
                <w:sz w:val="21"/>
                <w:highlight w:val="none"/>
              </w:rPr>
            </w:pPr>
          </w:p>
        </w:tc>
        <w:tc>
          <w:tcPr>
            <w:tcW w:w="1311" w:type="dxa"/>
            <w:vAlign w:val="top"/>
          </w:tcPr>
          <w:p w14:paraId="3AAB7318">
            <w:pPr>
              <w:rPr>
                <w:rFonts w:ascii="Arial"/>
                <w:color w:val="auto"/>
                <w:sz w:val="21"/>
                <w:highlight w:val="none"/>
              </w:rPr>
            </w:pPr>
          </w:p>
        </w:tc>
        <w:tc>
          <w:tcPr>
            <w:tcW w:w="1316" w:type="dxa"/>
            <w:vAlign w:val="top"/>
          </w:tcPr>
          <w:p w14:paraId="6C714D70">
            <w:pPr>
              <w:rPr>
                <w:rFonts w:ascii="Arial"/>
                <w:color w:val="auto"/>
                <w:sz w:val="21"/>
                <w:highlight w:val="none"/>
              </w:rPr>
            </w:pPr>
          </w:p>
        </w:tc>
        <w:tc>
          <w:tcPr>
            <w:tcW w:w="1062" w:type="dxa"/>
            <w:tcBorders>
              <w:right w:val="single" w:color="000000" w:sz="6" w:space="0"/>
            </w:tcBorders>
            <w:vAlign w:val="top"/>
          </w:tcPr>
          <w:p w14:paraId="315FE995">
            <w:pPr>
              <w:rPr>
                <w:rFonts w:ascii="Arial"/>
                <w:color w:val="auto"/>
                <w:sz w:val="21"/>
                <w:highlight w:val="none"/>
              </w:rPr>
            </w:pPr>
          </w:p>
        </w:tc>
      </w:tr>
      <w:tr w14:paraId="6BD8A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2F78A09F">
            <w:pPr>
              <w:rPr>
                <w:rFonts w:ascii="Arial"/>
                <w:color w:val="auto"/>
                <w:sz w:val="21"/>
                <w:highlight w:val="none"/>
              </w:rPr>
            </w:pPr>
          </w:p>
        </w:tc>
        <w:tc>
          <w:tcPr>
            <w:tcW w:w="1230" w:type="dxa"/>
            <w:vAlign w:val="top"/>
          </w:tcPr>
          <w:p w14:paraId="0B608886">
            <w:pPr>
              <w:rPr>
                <w:rFonts w:ascii="Arial"/>
                <w:color w:val="auto"/>
                <w:sz w:val="21"/>
                <w:highlight w:val="none"/>
              </w:rPr>
            </w:pPr>
          </w:p>
        </w:tc>
        <w:tc>
          <w:tcPr>
            <w:tcW w:w="837" w:type="dxa"/>
            <w:vAlign w:val="top"/>
          </w:tcPr>
          <w:p w14:paraId="2B3A4D09">
            <w:pPr>
              <w:rPr>
                <w:rFonts w:ascii="Arial"/>
                <w:color w:val="auto"/>
                <w:sz w:val="21"/>
                <w:highlight w:val="none"/>
              </w:rPr>
            </w:pPr>
          </w:p>
        </w:tc>
        <w:tc>
          <w:tcPr>
            <w:tcW w:w="810" w:type="dxa"/>
            <w:vAlign w:val="top"/>
          </w:tcPr>
          <w:p w14:paraId="1E4D75B2">
            <w:pPr>
              <w:rPr>
                <w:rFonts w:ascii="Arial"/>
                <w:color w:val="auto"/>
                <w:sz w:val="21"/>
                <w:highlight w:val="none"/>
              </w:rPr>
            </w:pPr>
          </w:p>
        </w:tc>
        <w:tc>
          <w:tcPr>
            <w:tcW w:w="868" w:type="dxa"/>
            <w:vAlign w:val="top"/>
          </w:tcPr>
          <w:p w14:paraId="51D9A68A">
            <w:pPr>
              <w:rPr>
                <w:rFonts w:ascii="Arial"/>
                <w:color w:val="auto"/>
                <w:sz w:val="21"/>
                <w:highlight w:val="none"/>
              </w:rPr>
            </w:pPr>
          </w:p>
        </w:tc>
        <w:tc>
          <w:tcPr>
            <w:tcW w:w="1342" w:type="dxa"/>
            <w:vAlign w:val="top"/>
          </w:tcPr>
          <w:p w14:paraId="423D6604">
            <w:pPr>
              <w:rPr>
                <w:rFonts w:ascii="Arial"/>
                <w:color w:val="auto"/>
                <w:sz w:val="21"/>
                <w:highlight w:val="none"/>
              </w:rPr>
            </w:pPr>
          </w:p>
        </w:tc>
        <w:tc>
          <w:tcPr>
            <w:tcW w:w="1242" w:type="dxa"/>
            <w:vAlign w:val="top"/>
          </w:tcPr>
          <w:p w14:paraId="29A46F0D">
            <w:pPr>
              <w:rPr>
                <w:rFonts w:ascii="Arial"/>
                <w:color w:val="auto"/>
                <w:sz w:val="21"/>
                <w:highlight w:val="none"/>
              </w:rPr>
            </w:pPr>
          </w:p>
        </w:tc>
        <w:tc>
          <w:tcPr>
            <w:tcW w:w="1163" w:type="dxa"/>
            <w:vAlign w:val="top"/>
          </w:tcPr>
          <w:p w14:paraId="1D6D6781">
            <w:pPr>
              <w:rPr>
                <w:rFonts w:ascii="Arial"/>
                <w:color w:val="auto"/>
                <w:sz w:val="21"/>
                <w:highlight w:val="none"/>
              </w:rPr>
            </w:pPr>
          </w:p>
        </w:tc>
        <w:tc>
          <w:tcPr>
            <w:tcW w:w="1187" w:type="dxa"/>
            <w:vAlign w:val="top"/>
          </w:tcPr>
          <w:p w14:paraId="312F8D1F">
            <w:pPr>
              <w:rPr>
                <w:rFonts w:ascii="Arial"/>
                <w:color w:val="auto"/>
                <w:sz w:val="21"/>
                <w:highlight w:val="none"/>
              </w:rPr>
            </w:pPr>
          </w:p>
        </w:tc>
        <w:tc>
          <w:tcPr>
            <w:tcW w:w="995" w:type="dxa"/>
            <w:vAlign w:val="top"/>
          </w:tcPr>
          <w:p w14:paraId="533E84FF">
            <w:pPr>
              <w:rPr>
                <w:rFonts w:ascii="Arial"/>
                <w:color w:val="auto"/>
                <w:sz w:val="21"/>
                <w:highlight w:val="none"/>
              </w:rPr>
            </w:pPr>
          </w:p>
        </w:tc>
        <w:tc>
          <w:tcPr>
            <w:tcW w:w="1311" w:type="dxa"/>
            <w:vAlign w:val="top"/>
          </w:tcPr>
          <w:p w14:paraId="122FF085">
            <w:pPr>
              <w:rPr>
                <w:rFonts w:ascii="Arial"/>
                <w:color w:val="auto"/>
                <w:sz w:val="21"/>
                <w:highlight w:val="none"/>
              </w:rPr>
            </w:pPr>
          </w:p>
        </w:tc>
        <w:tc>
          <w:tcPr>
            <w:tcW w:w="1316" w:type="dxa"/>
            <w:vAlign w:val="top"/>
          </w:tcPr>
          <w:p w14:paraId="6784A6CF">
            <w:pPr>
              <w:rPr>
                <w:rFonts w:ascii="Arial"/>
                <w:color w:val="auto"/>
                <w:sz w:val="21"/>
                <w:highlight w:val="none"/>
              </w:rPr>
            </w:pPr>
          </w:p>
        </w:tc>
        <w:tc>
          <w:tcPr>
            <w:tcW w:w="1062" w:type="dxa"/>
            <w:tcBorders>
              <w:right w:val="single" w:color="000000" w:sz="6" w:space="0"/>
            </w:tcBorders>
            <w:vAlign w:val="top"/>
          </w:tcPr>
          <w:p w14:paraId="132D79D0">
            <w:pPr>
              <w:rPr>
                <w:rFonts w:ascii="Arial"/>
                <w:color w:val="auto"/>
                <w:sz w:val="21"/>
                <w:highlight w:val="none"/>
              </w:rPr>
            </w:pPr>
          </w:p>
        </w:tc>
      </w:tr>
      <w:tr w14:paraId="59450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42" w:type="dxa"/>
            <w:tcBorders>
              <w:left w:val="single" w:color="000000" w:sz="6" w:space="0"/>
            </w:tcBorders>
            <w:vAlign w:val="top"/>
          </w:tcPr>
          <w:p w14:paraId="23F304B2">
            <w:pPr>
              <w:rPr>
                <w:rFonts w:ascii="Arial"/>
                <w:color w:val="auto"/>
                <w:sz w:val="21"/>
                <w:highlight w:val="none"/>
              </w:rPr>
            </w:pPr>
          </w:p>
        </w:tc>
        <w:tc>
          <w:tcPr>
            <w:tcW w:w="1230" w:type="dxa"/>
            <w:vAlign w:val="top"/>
          </w:tcPr>
          <w:p w14:paraId="3E9A6AFC">
            <w:pPr>
              <w:rPr>
                <w:rFonts w:ascii="Arial"/>
                <w:color w:val="auto"/>
                <w:sz w:val="21"/>
                <w:highlight w:val="none"/>
              </w:rPr>
            </w:pPr>
          </w:p>
        </w:tc>
        <w:tc>
          <w:tcPr>
            <w:tcW w:w="837" w:type="dxa"/>
            <w:vAlign w:val="top"/>
          </w:tcPr>
          <w:p w14:paraId="3940E77D">
            <w:pPr>
              <w:rPr>
                <w:rFonts w:ascii="Arial"/>
                <w:color w:val="auto"/>
                <w:sz w:val="21"/>
                <w:highlight w:val="none"/>
              </w:rPr>
            </w:pPr>
          </w:p>
        </w:tc>
        <w:tc>
          <w:tcPr>
            <w:tcW w:w="810" w:type="dxa"/>
            <w:vAlign w:val="top"/>
          </w:tcPr>
          <w:p w14:paraId="78780418">
            <w:pPr>
              <w:rPr>
                <w:rFonts w:ascii="Arial"/>
                <w:color w:val="auto"/>
                <w:sz w:val="21"/>
                <w:highlight w:val="none"/>
              </w:rPr>
            </w:pPr>
          </w:p>
        </w:tc>
        <w:tc>
          <w:tcPr>
            <w:tcW w:w="868" w:type="dxa"/>
            <w:vAlign w:val="top"/>
          </w:tcPr>
          <w:p w14:paraId="60DCCFD3">
            <w:pPr>
              <w:rPr>
                <w:rFonts w:ascii="Arial"/>
                <w:color w:val="auto"/>
                <w:sz w:val="21"/>
                <w:highlight w:val="none"/>
              </w:rPr>
            </w:pPr>
          </w:p>
        </w:tc>
        <w:tc>
          <w:tcPr>
            <w:tcW w:w="1342" w:type="dxa"/>
            <w:vAlign w:val="top"/>
          </w:tcPr>
          <w:p w14:paraId="09787F71">
            <w:pPr>
              <w:rPr>
                <w:rFonts w:ascii="Arial"/>
                <w:color w:val="auto"/>
                <w:sz w:val="21"/>
                <w:highlight w:val="none"/>
              </w:rPr>
            </w:pPr>
          </w:p>
        </w:tc>
        <w:tc>
          <w:tcPr>
            <w:tcW w:w="1242" w:type="dxa"/>
            <w:vAlign w:val="top"/>
          </w:tcPr>
          <w:p w14:paraId="15B08479">
            <w:pPr>
              <w:rPr>
                <w:rFonts w:ascii="Arial"/>
                <w:color w:val="auto"/>
                <w:sz w:val="21"/>
                <w:highlight w:val="none"/>
              </w:rPr>
            </w:pPr>
          </w:p>
        </w:tc>
        <w:tc>
          <w:tcPr>
            <w:tcW w:w="1163" w:type="dxa"/>
            <w:vAlign w:val="top"/>
          </w:tcPr>
          <w:p w14:paraId="24AD9705">
            <w:pPr>
              <w:rPr>
                <w:rFonts w:ascii="Arial"/>
                <w:color w:val="auto"/>
                <w:sz w:val="21"/>
                <w:highlight w:val="none"/>
              </w:rPr>
            </w:pPr>
          </w:p>
        </w:tc>
        <w:tc>
          <w:tcPr>
            <w:tcW w:w="1187" w:type="dxa"/>
            <w:vAlign w:val="top"/>
          </w:tcPr>
          <w:p w14:paraId="323C5370">
            <w:pPr>
              <w:rPr>
                <w:rFonts w:ascii="Arial"/>
                <w:color w:val="auto"/>
                <w:sz w:val="21"/>
                <w:highlight w:val="none"/>
              </w:rPr>
            </w:pPr>
          </w:p>
        </w:tc>
        <w:tc>
          <w:tcPr>
            <w:tcW w:w="995" w:type="dxa"/>
            <w:vAlign w:val="top"/>
          </w:tcPr>
          <w:p w14:paraId="47F48838">
            <w:pPr>
              <w:rPr>
                <w:rFonts w:ascii="Arial"/>
                <w:color w:val="auto"/>
                <w:sz w:val="21"/>
                <w:highlight w:val="none"/>
              </w:rPr>
            </w:pPr>
          </w:p>
        </w:tc>
        <w:tc>
          <w:tcPr>
            <w:tcW w:w="1311" w:type="dxa"/>
            <w:vAlign w:val="top"/>
          </w:tcPr>
          <w:p w14:paraId="2F0FC9A0">
            <w:pPr>
              <w:rPr>
                <w:rFonts w:ascii="Arial"/>
                <w:color w:val="auto"/>
                <w:sz w:val="21"/>
                <w:highlight w:val="none"/>
              </w:rPr>
            </w:pPr>
          </w:p>
        </w:tc>
        <w:tc>
          <w:tcPr>
            <w:tcW w:w="1316" w:type="dxa"/>
            <w:vAlign w:val="top"/>
          </w:tcPr>
          <w:p w14:paraId="02DD8927">
            <w:pPr>
              <w:rPr>
                <w:rFonts w:ascii="Arial"/>
                <w:color w:val="auto"/>
                <w:sz w:val="21"/>
                <w:highlight w:val="none"/>
              </w:rPr>
            </w:pPr>
          </w:p>
        </w:tc>
        <w:tc>
          <w:tcPr>
            <w:tcW w:w="1062" w:type="dxa"/>
            <w:tcBorders>
              <w:right w:val="single" w:color="000000" w:sz="6" w:space="0"/>
            </w:tcBorders>
            <w:vAlign w:val="top"/>
          </w:tcPr>
          <w:p w14:paraId="4D187F06">
            <w:pPr>
              <w:rPr>
                <w:rFonts w:ascii="Arial"/>
                <w:color w:val="auto"/>
                <w:sz w:val="21"/>
                <w:highlight w:val="none"/>
              </w:rPr>
            </w:pPr>
          </w:p>
        </w:tc>
      </w:tr>
      <w:tr w14:paraId="3D404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642" w:type="dxa"/>
            <w:tcBorders>
              <w:left w:val="single" w:color="000000" w:sz="6" w:space="0"/>
            </w:tcBorders>
            <w:vAlign w:val="top"/>
          </w:tcPr>
          <w:p w14:paraId="7D2FC8C1">
            <w:pPr>
              <w:rPr>
                <w:rFonts w:ascii="Arial"/>
                <w:color w:val="auto"/>
                <w:sz w:val="21"/>
                <w:highlight w:val="none"/>
              </w:rPr>
            </w:pPr>
          </w:p>
        </w:tc>
        <w:tc>
          <w:tcPr>
            <w:tcW w:w="1230" w:type="dxa"/>
            <w:vAlign w:val="top"/>
          </w:tcPr>
          <w:p w14:paraId="0AE4DA6E">
            <w:pPr>
              <w:rPr>
                <w:rFonts w:ascii="Arial"/>
                <w:color w:val="auto"/>
                <w:sz w:val="21"/>
                <w:highlight w:val="none"/>
              </w:rPr>
            </w:pPr>
          </w:p>
        </w:tc>
        <w:tc>
          <w:tcPr>
            <w:tcW w:w="837" w:type="dxa"/>
            <w:vAlign w:val="top"/>
          </w:tcPr>
          <w:p w14:paraId="535A7FA4">
            <w:pPr>
              <w:rPr>
                <w:rFonts w:ascii="Arial"/>
                <w:color w:val="auto"/>
                <w:sz w:val="21"/>
                <w:highlight w:val="none"/>
              </w:rPr>
            </w:pPr>
          </w:p>
        </w:tc>
        <w:tc>
          <w:tcPr>
            <w:tcW w:w="810" w:type="dxa"/>
            <w:vAlign w:val="top"/>
          </w:tcPr>
          <w:p w14:paraId="4D6382A0">
            <w:pPr>
              <w:rPr>
                <w:rFonts w:ascii="Arial"/>
                <w:color w:val="auto"/>
                <w:sz w:val="21"/>
                <w:highlight w:val="none"/>
              </w:rPr>
            </w:pPr>
          </w:p>
        </w:tc>
        <w:tc>
          <w:tcPr>
            <w:tcW w:w="868" w:type="dxa"/>
            <w:vAlign w:val="top"/>
          </w:tcPr>
          <w:p w14:paraId="16FFA5C4">
            <w:pPr>
              <w:rPr>
                <w:rFonts w:ascii="Arial"/>
                <w:color w:val="auto"/>
                <w:sz w:val="21"/>
                <w:highlight w:val="none"/>
              </w:rPr>
            </w:pPr>
          </w:p>
        </w:tc>
        <w:tc>
          <w:tcPr>
            <w:tcW w:w="1342" w:type="dxa"/>
            <w:vAlign w:val="top"/>
          </w:tcPr>
          <w:p w14:paraId="334872E5">
            <w:pPr>
              <w:rPr>
                <w:rFonts w:ascii="Arial"/>
                <w:color w:val="auto"/>
                <w:sz w:val="21"/>
                <w:highlight w:val="none"/>
              </w:rPr>
            </w:pPr>
          </w:p>
        </w:tc>
        <w:tc>
          <w:tcPr>
            <w:tcW w:w="1242" w:type="dxa"/>
            <w:vAlign w:val="top"/>
          </w:tcPr>
          <w:p w14:paraId="29A1B081">
            <w:pPr>
              <w:rPr>
                <w:rFonts w:ascii="Arial"/>
                <w:color w:val="auto"/>
                <w:sz w:val="21"/>
                <w:highlight w:val="none"/>
              </w:rPr>
            </w:pPr>
          </w:p>
        </w:tc>
        <w:tc>
          <w:tcPr>
            <w:tcW w:w="1163" w:type="dxa"/>
            <w:vAlign w:val="top"/>
          </w:tcPr>
          <w:p w14:paraId="2AD90A3C">
            <w:pPr>
              <w:rPr>
                <w:rFonts w:ascii="Arial"/>
                <w:color w:val="auto"/>
                <w:sz w:val="21"/>
                <w:highlight w:val="none"/>
              </w:rPr>
            </w:pPr>
          </w:p>
        </w:tc>
        <w:tc>
          <w:tcPr>
            <w:tcW w:w="1187" w:type="dxa"/>
            <w:vAlign w:val="top"/>
          </w:tcPr>
          <w:p w14:paraId="3BD889ED">
            <w:pPr>
              <w:rPr>
                <w:rFonts w:ascii="Arial"/>
                <w:color w:val="auto"/>
                <w:sz w:val="21"/>
                <w:highlight w:val="none"/>
              </w:rPr>
            </w:pPr>
          </w:p>
        </w:tc>
        <w:tc>
          <w:tcPr>
            <w:tcW w:w="995" w:type="dxa"/>
            <w:vAlign w:val="top"/>
          </w:tcPr>
          <w:p w14:paraId="5F60E74A">
            <w:pPr>
              <w:rPr>
                <w:rFonts w:ascii="Arial"/>
                <w:color w:val="auto"/>
                <w:sz w:val="21"/>
                <w:highlight w:val="none"/>
              </w:rPr>
            </w:pPr>
          </w:p>
        </w:tc>
        <w:tc>
          <w:tcPr>
            <w:tcW w:w="1311" w:type="dxa"/>
            <w:vAlign w:val="top"/>
          </w:tcPr>
          <w:p w14:paraId="1799F208">
            <w:pPr>
              <w:rPr>
                <w:rFonts w:ascii="Arial"/>
                <w:color w:val="auto"/>
                <w:sz w:val="21"/>
                <w:highlight w:val="none"/>
              </w:rPr>
            </w:pPr>
          </w:p>
        </w:tc>
        <w:tc>
          <w:tcPr>
            <w:tcW w:w="1316" w:type="dxa"/>
            <w:vAlign w:val="top"/>
          </w:tcPr>
          <w:p w14:paraId="6E36377A">
            <w:pPr>
              <w:rPr>
                <w:rFonts w:ascii="Arial"/>
                <w:color w:val="auto"/>
                <w:sz w:val="21"/>
                <w:highlight w:val="none"/>
              </w:rPr>
            </w:pPr>
          </w:p>
        </w:tc>
        <w:tc>
          <w:tcPr>
            <w:tcW w:w="1062" w:type="dxa"/>
            <w:tcBorders>
              <w:right w:val="single" w:color="000000" w:sz="6" w:space="0"/>
            </w:tcBorders>
            <w:vAlign w:val="top"/>
          </w:tcPr>
          <w:p w14:paraId="451A2FF0">
            <w:pPr>
              <w:rPr>
                <w:rFonts w:ascii="Arial"/>
                <w:color w:val="auto"/>
                <w:sz w:val="21"/>
                <w:highlight w:val="none"/>
              </w:rPr>
            </w:pPr>
          </w:p>
        </w:tc>
      </w:tr>
      <w:tr w14:paraId="260F6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42" w:type="dxa"/>
            <w:tcBorders>
              <w:left w:val="single" w:color="000000" w:sz="6" w:space="0"/>
            </w:tcBorders>
            <w:vAlign w:val="top"/>
          </w:tcPr>
          <w:p w14:paraId="70AEED93">
            <w:pPr>
              <w:rPr>
                <w:rFonts w:ascii="Arial"/>
                <w:color w:val="auto"/>
                <w:sz w:val="21"/>
                <w:highlight w:val="none"/>
              </w:rPr>
            </w:pPr>
          </w:p>
        </w:tc>
        <w:tc>
          <w:tcPr>
            <w:tcW w:w="1230" w:type="dxa"/>
            <w:vAlign w:val="top"/>
          </w:tcPr>
          <w:p w14:paraId="638CA660">
            <w:pPr>
              <w:rPr>
                <w:rFonts w:ascii="Arial"/>
                <w:color w:val="auto"/>
                <w:sz w:val="21"/>
                <w:highlight w:val="none"/>
              </w:rPr>
            </w:pPr>
          </w:p>
        </w:tc>
        <w:tc>
          <w:tcPr>
            <w:tcW w:w="837" w:type="dxa"/>
            <w:vAlign w:val="top"/>
          </w:tcPr>
          <w:p w14:paraId="11076BFA">
            <w:pPr>
              <w:rPr>
                <w:rFonts w:ascii="Arial"/>
                <w:color w:val="auto"/>
                <w:sz w:val="21"/>
                <w:highlight w:val="none"/>
              </w:rPr>
            </w:pPr>
          </w:p>
        </w:tc>
        <w:tc>
          <w:tcPr>
            <w:tcW w:w="810" w:type="dxa"/>
            <w:vAlign w:val="top"/>
          </w:tcPr>
          <w:p w14:paraId="4EC5A946">
            <w:pPr>
              <w:rPr>
                <w:rFonts w:ascii="Arial"/>
                <w:color w:val="auto"/>
                <w:sz w:val="21"/>
                <w:highlight w:val="none"/>
              </w:rPr>
            </w:pPr>
          </w:p>
        </w:tc>
        <w:tc>
          <w:tcPr>
            <w:tcW w:w="868" w:type="dxa"/>
            <w:vAlign w:val="top"/>
          </w:tcPr>
          <w:p w14:paraId="0F3427A4">
            <w:pPr>
              <w:rPr>
                <w:rFonts w:ascii="Arial"/>
                <w:color w:val="auto"/>
                <w:sz w:val="21"/>
                <w:highlight w:val="none"/>
              </w:rPr>
            </w:pPr>
          </w:p>
        </w:tc>
        <w:tc>
          <w:tcPr>
            <w:tcW w:w="1342" w:type="dxa"/>
            <w:vAlign w:val="top"/>
          </w:tcPr>
          <w:p w14:paraId="0DBCA440">
            <w:pPr>
              <w:rPr>
                <w:rFonts w:ascii="Arial"/>
                <w:color w:val="auto"/>
                <w:sz w:val="21"/>
                <w:highlight w:val="none"/>
              </w:rPr>
            </w:pPr>
          </w:p>
        </w:tc>
        <w:tc>
          <w:tcPr>
            <w:tcW w:w="1242" w:type="dxa"/>
            <w:vAlign w:val="top"/>
          </w:tcPr>
          <w:p w14:paraId="47339BF3">
            <w:pPr>
              <w:rPr>
                <w:rFonts w:ascii="Arial"/>
                <w:color w:val="auto"/>
                <w:sz w:val="21"/>
                <w:highlight w:val="none"/>
              </w:rPr>
            </w:pPr>
          </w:p>
        </w:tc>
        <w:tc>
          <w:tcPr>
            <w:tcW w:w="1163" w:type="dxa"/>
            <w:vAlign w:val="top"/>
          </w:tcPr>
          <w:p w14:paraId="4F00BFF6">
            <w:pPr>
              <w:rPr>
                <w:rFonts w:ascii="Arial"/>
                <w:color w:val="auto"/>
                <w:sz w:val="21"/>
                <w:highlight w:val="none"/>
              </w:rPr>
            </w:pPr>
          </w:p>
        </w:tc>
        <w:tc>
          <w:tcPr>
            <w:tcW w:w="1187" w:type="dxa"/>
            <w:vAlign w:val="top"/>
          </w:tcPr>
          <w:p w14:paraId="40D612BF">
            <w:pPr>
              <w:rPr>
                <w:rFonts w:ascii="Arial"/>
                <w:color w:val="auto"/>
                <w:sz w:val="21"/>
                <w:highlight w:val="none"/>
              </w:rPr>
            </w:pPr>
          </w:p>
        </w:tc>
        <w:tc>
          <w:tcPr>
            <w:tcW w:w="995" w:type="dxa"/>
            <w:vAlign w:val="top"/>
          </w:tcPr>
          <w:p w14:paraId="4440697F">
            <w:pPr>
              <w:rPr>
                <w:rFonts w:ascii="Arial"/>
                <w:color w:val="auto"/>
                <w:sz w:val="21"/>
                <w:highlight w:val="none"/>
              </w:rPr>
            </w:pPr>
          </w:p>
        </w:tc>
        <w:tc>
          <w:tcPr>
            <w:tcW w:w="1311" w:type="dxa"/>
            <w:vAlign w:val="top"/>
          </w:tcPr>
          <w:p w14:paraId="24212B7B">
            <w:pPr>
              <w:rPr>
                <w:rFonts w:ascii="Arial"/>
                <w:color w:val="auto"/>
                <w:sz w:val="21"/>
                <w:highlight w:val="none"/>
              </w:rPr>
            </w:pPr>
          </w:p>
        </w:tc>
        <w:tc>
          <w:tcPr>
            <w:tcW w:w="1316" w:type="dxa"/>
            <w:vAlign w:val="top"/>
          </w:tcPr>
          <w:p w14:paraId="3614E1C5">
            <w:pPr>
              <w:rPr>
                <w:rFonts w:ascii="Arial"/>
                <w:color w:val="auto"/>
                <w:sz w:val="21"/>
                <w:highlight w:val="none"/>
              </w:rPr>
            </w:pPr>
          </w:p>
        </w:tc>
        <w:tc>
          <w:tcPr>
            <w:tcW w:w="1062" w:type="dxa"/>
            <w:tcBorders>
              <w:right w:val="single" w:color="000000" w:sz="6" w:space="0"/>
            </w:tcBorders>
            <w:vAlign w:val="top"/>
          </w:tcPr>
          <w:p w14:paraId="2AADDD50">
            <w:pPr>
              <w:rPr>
                <w:rFonts w:ascii="Arial"/>
                <w:color w:val="auto"/>
                <w:sz w:val="21"/>
                <w:highlight w:val="none"/>
              </w:rPr>
            </w:pPr>
          </w:p>
        </w:tc>
      </w:tr>
      <w:tr w14:paraId="6A459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461F8D85">
            <w:pPr>
              <w:rPr>
                <w:rFonts w:ascii="Arial"/>
                <w:color w:val="auto"/>
                <w:sz w:val="21"/>
                <w:highlight w:val="none"/>
              </w:rPr>
            </w:pPr>
          </w:p>
        </w:tc>
        <w:tc>
          <w:tcPr>
            <w:tcW w:w="1230" w:type="dxa"/>
            <w:vAlign w:val="top"/>
          </w:tcPr>
          <w:p w14:paraId="2D2372DA">
            <w:pPr>
              <w:rPr>
                <w:rFonts w:ascii="Arial"/>
                <w:color w:val="auto"/>
                <w:sz w:val="21"/>
                <w:highlight w:val="none"/>
              </w:rPr>
            </w:pPr>
          </w:p>
        </w:tc>
        <w:tc>
          <w:tcPr>
            <w:tcW w:w="837" w:type="dxa"/>
            <w:vAlign w:val="top"/>
          </w:tcPr>
          <w:p w14:paraId="3441C77D">
            <w:pPr>
              <w:rPr>
                <w:rFonts w:ascii="Arial"/>
                <w:color w:val="auto"/>
                <w:sz w:val="21"/>
                <w:highlight w:val="none"/>
              </w:rPr>
            </w:pPr>
          </w:p>
        </w:tc>
        <w:tc>
          <w:tcPr>
            <w:tcW w:w="810" w:type="dxa"/>
            <w:vAlign w:val="top"/>
          </w:tcPr>
          <w:p w14:paraId="43EC2C2D">
            <w:pPr>
              <w:rPr>
                <w:rFonts w:ascii="Arial"/>
                <w:color w:val="auto"/>
                <w:sz w:val="21"/>
                <w:highlight w:val="none"/>
              </w:rPr>
            </w:pPr>
          </w:p>
        </w:tc>
        <w:tc>
          <w:tcPr>
            <w:tcW w:w="868" w:type="dxa"/>
            <w:vAlign w:val="top"/>
          </w:tcPr>
          <w:p w14:paraId="4B5B857E">
            <w:pPr>
              <w:rPr>
                <w:rFonts w:ascii="Arial"/>
                <w:color w:val="auto"/>
                <w:sz w:val="21"/>
                <w:highlight w:val="none"/>
              </w:rPr>
            </w:pPr>
          </w:p>
        </w:tc>
        <w:tc>
          <w:tcPr>
            <w:tcW w:w="1342" w:type="dxa"/>
            <w:vAlign w:val="top"/>
          </w:tcPr>
          <w:p w14:paraId="7E492CC8">
            <w:pPr>
              <w:rPr>
                <w:rFonts w:ascii="Arial"/>
                <w:color w:val="auto"/>
                <w:sz w:val="21"/>
                <w:highlight w:val="none"/>
              </w:rPr>
            </w:pPr>
          </w:p>
        </w:tc>
        <w:tc>
          <w:tcPr>
            <w:tcW w:w="1242" w:type="dxa"/>
            <w:vAlign w:val="top"/>
          </w:tcPr>
          <w:p w14:paraId="02BB894A">
            <w:pPr>
              <w:rPr>
                <w:rFonts w:ascii="Arial"/>
                <w:color w:val="auto"/>
                <w:sz w:val="21"/>
                <w:highlight w:val="none"/>
              </w:rPr>
            </w:pPr>
          </w:p>
        </w:tc>
        <w:tc>
          <w:tcPr>
            <w:tcW w:w="1163" w:type="dxa"/>
            <w:vAlign w:val="top"/>
          </w:tcPr>
          <w:p w14:paraId="19F88CF2">
            <w:pPr>
              <w:rPr>
                <w:rFonts w:ascii="Arial"/>
                <w:color w:val="auto"/>
                <w:sz w:val="21"/>
                <w:highlight w:val="none"/>
              </w:rPr>
            </w:pPr>
          </w:p>
        </w:tc>
        <w:tc>
          <w:tcPr>
            <w:tcW w:w="1187" w:type="dxa"/>
            <w:vAlign w:val="top"/>
          </w:tcPr>
          <w:p w14:paraId="23011F6F">
            <w:pPr>
              <w:rPr>
                <w:rFonts w:ascii="Arial"/>
                <w:color w:val="auto"/>
                <w:sz w:val="21"/>
                <w:highlight w:val="none"/>
              </w:rPr>
            </w:pPr>
          </w:p>
        </w:tc>
        <w:tc>
          <w:tcPr>
            <w:tcW w:w="995" w:type="dxa"/>
            <w:vAlign w:val="top"/>
          </w:tcPr>
          <w:p w14:paraId="1EC3A0C6">
            <w:pPr>
              <w:rPr>
                <w:rFonts w:ascii="Arial"/>
                <w:color w:val="auto"/>
                <w:sz w:val="21"/>
                <w:highlight w:val="none"/>
              </w:rPr>
            </w:pPr>
          </w:p>
        </w:tc>
        <w:tc>
          <w:tcPr>
            <w:tcW w:w="1311" w:type="dxa"/>
            <w:vAlign w:val="top"/>
          </w:tcPr>
          <w:p w14:paraId="74BAA89B">
            <w:pPr>
              <w:rPr>
                <w:rFonts w:ascii="Arial"/>
                <w:color w:val="auto"/>
                <w:sz w:val="21"/>
                <w:highlight w:val="none"/>
              </w:rPr>
            </w:pPr>
          </w:p>
        </w:tc>
        <w:tc>
          <w:tcPr>
            <w:tcW w:w="1316" w:type="dxa"/>
            <w:vAlign w:val="top"/>
          </w:tcPr>
          <w:p w14:paraId="3059C77E">
            <w:pPr>
              <w:rPr>
                <w:rFonts w:ascii="Arial"/>
                <w:color w:val="auto"/>
                <w:sz w:val="21"/>
                <w:highlight w:val="none"/>
              </w:rPr>
            </w:pPr>
          </w:p>
        </w:tc>
        <w:tc>
          <w:tcPr>
            <w:tcW w:w="1062" w:type="dxa"/>
            <w:tcBorders>
              <w:right w:val="single" w:color="000000" w:sz="6" w:space="0"/>
            </w:tcBorders>
            <w:vAlign w:val="top"/>
          </w:tcPr>
          <w:p w14:paraId="6A4A01FA">
            <w:pPr>
              <w:rPr>
                <w:rFonts w:ascii="Arial"/>
                <w:color w:val="auto"/>
                <w:sz w:val="21"/>
                <w:highlight w:val="none"/>
              </w:rPr>
            </w:pPr>
          </w:p>
        </w:tc>
      </w:tr>
      <w:tr w14:paraId="5960A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642" w:type="dxa"/>
            <w:tcBorders>
              <w:left w:val="single" w:color="000000" w:sz="6" w:space="0"/>
            </w:tcBorders>
            <w:vAlign w:val="top"/>
          </w:tcPr>
          <w:p w14:paraId="3DFB5A50">
            <w:pPr>
              <w:rPr>
                <w:rFonts w:ascii="Arial"/>
                <w:color w:val="auto"/>
                <w:sz w:val="21"/>
                <w:highlight w:val="none"/>
              </w:rPr>
            </w:pPr>
          </w:p>
        </w:tc>
        <w:tc>
          <w:tcPr>
            <w:tcW w:w="1230" w:type="dxa"/>
            <w:vAlign w:val="top"/>
          </w:tcPr>
          <w:p w14:paraId="0F5FA4DA">
            <w:pPr>
              <w:rPr>
                <w:rFonts w:ascii="Arial"/>
                <w:color w:val="auto"/>
                <w:sz w:val="21"/>
                <w:highlight w:val="none"/>
              </w:rPr>
            </w:pPr>
          </w:p>
        </w:tc>
        <w:tc>
          <w:tcPr>
            <w:tcW w:w="837" w:type="dxa"/>
            <w:vAlign w:val="top"/>
          </w:tcPr>
          <w:p w14:paraId="44DBB4CE">
            <w:pPr>
              <w:rPr>
                <w:rFonts w:ascii="Arial"/>
                <w:color w:val="auto"/>
                <w:sz w:val="21"/>
                <w:highlight w:val="none"/>
              </w:rPr>
            </w:pPr>
          </w:p>
        </w:tc>
        <w:tc>
          <w:tcPr>
            <w:tcW w:w="810" w:type="dxa"/>
            <w:vAlign w:val="top"/>
          </w:tcPr>
          <w:p w14:paraId="2910A73E">
            <w:pPr>
              <w:rPr>
                <w:rFonts w:ascii="Arial"/>
                <w:color w:val="auto"/>
                <w:sz w:val="21"/>
                <w:highlight w:val="none"/>
              </w:rPr>
            </w:pPr>
          </w:p>
        </w:tc>
        <w:tc>
          <w:tcPr>
            <w:tcW w:w="868" w:type="dxa"/>
            <w:vAlign w:val="top"/>
          </w:tcPr>
          <w:p w14:paraId="217E1326">
            <w:pPr>
              <w:rPr>
                <w:rFonts w:ascii="Arial"/>
                <w:color w:val="auto"/>
                <w:sz w:val="21"/>
                <w:highlight w:val="none"/>
              </w:rPr>
            </w:pPr>
          </w:p>
        </w:tc>
        <w:tc>
          <w:tcPr>
            <w:tcW w:w="1342" w:type="dxa"/>
            <w:vAlign w:val="top"/>
          </w:tcPr>
          <w:p w14:paraId="1DD5334A">
            <w:pPr>
              <w:rPr>
                <w:rFonts w:ascii="Arial"/>
                <w:color w:val="auto"/>
                <w:sz w:val="21"/>
                <w:highlight w:val="none"/>
              </w:rPr>
            </w:pPr>
          </w:p>
        </w:tc>
        <w:tc>
          <w:tcPr>
            <w:tcW w:w="1242" w:type="dxa"/>
            <w:vAlign w:val="top"/>
          </w:tcPr>
          <w:p w14:paraId="47BDE033">
            <w:pPr>
              <w:rPr>
                <w:rFonts w:ascii="Arial"/>
                <w:color w:val="auto"/>
                <w:sz w:val="21"/>
                <w:highlight w:val="none"/>
              </w:rPr>
            </w:pPr>
          </w:p>
        </w:tc>
        <w:tc>
          <w:tcPr>
            <w:tcW w:w="1163" w:type="dxa"/>
            <w:vAlign w:val="top"/>
          </w:tcPr>
          <w:p w14:paraId="545149E1">
            <w:pPr>
              <w:rPr>
                <w:rFonts w:ascii="Arial"/>
                <w:color w:val="auto"/>
                <w:sz w:val="21"/>
                <w:highlight w:val="none"/>
              </w:rPr>
            </w:pPr>
          </w:p>
        </w:tc>
        <w:tc>
          <w:tcPr>
            <w:tcW w:w="1187" w:type="dxa"/>
            <w:vAlign w:val="top"/>
          </w:tcPr>
          <w:p w14:paraId="292229CF">
            <w:pPr>
              <w:rPr>
                <w:rFonts w:ascii="Arial"/>
                <w:color w:val="auto"/>
                <w:sz w:val="21"/>
                <w:highlight w:val="none"/>
              </w:rPr>
            </w:pPr>
          </w:p>
        </w:tc>
        <w:tc>
          <w:tcPr>
            <w:tcW w:w="995" w:type="dxa"/>
            <w:vAlign w:val="top"/>
          </w:tcPr>
          <w:p w14:paraId="6E50B0DB">
            <w:pPr>
              <w:rPr>
                <w:rFonts w:ascii="Arial"/>
                <w:color w:val="auto"/>
                <w:sz w:val="21"/>
                <w:highlight w:val="none"/>
              </w:rPr>
            </w:pPr>
          </w:p>
        </w:tc>
        <w:tc>
          <w:tcPr>
            <w:tcW w:w="1311" w:type="dxa"/>
            <w:vAlign w:val="top"/>
          </w:tcPr>
          <w:p w14:paraId="230EFC08">
            <w:pPr>
              <w:rPr>
                <w:rFonts w:ascii="Arial"/>
                <w:color w:val="auto"/>
                <w:sz w:val="21"/>
                <w:highlight w:val="none"/>
              </w:rPr>
            </w:pPr>
          </w:p>
        </w:tc>
        <w:tc>
          <w:tcPr>
            <w:tcW w:w="1316" w:type="dxa"/>
            <w:vAlign w:val="top"/>
          </w:tcPr>
          <w:p w14:paraId="40335B3A">
            <w:pPr>
              <w:rPr>
                <w:rFonts w:ascii="Arial"/>
                <w:color w:val="auto"/>
                <w:sz w:val="21"/>
                <w:highlight w:val="none"/>
              </w:rPr>
            </w:pPr>
          </w:p>
        </w:tc>
        <w:tc>
          <w:tcPr>
            <w:tcW w:w="1062" w:type="dxa"/>
            <w:tcBorders>
              <w:right w:val="single" w:color="000000" w:sz="6" w:space="0"/>
            </w:tcBorders>
            <w:vAlign w:val="top"/>
          </w:tcPr>
          <w:p w14:paraId="4436843C">
            <w:pPr>
              <w:rPr>
                <w:rFonts w:ascii="Arial"/>
                <w:color w:val="auto"/>
                <w:sz w:val="21"/>
                <w:highlight w:val="none"/>
              </w:rPr>
            </w:pPr>
          </w:p>
        </w:tc>
      </w:tr>
      <w:tr w14:paraId="31EE4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642" w:type="dxa"/>
            <w:tcBorders>
              <w:left w:val="single" w:color="000000" w:sz="6" w:space="0"/>
            </w:tcBorders>
            <w:vAlign w:val="top"/>
          </w:tcPr>
          <w:p w14:paraId="646445D5">
            <w:pPr>
              <w:rPr>
                <w:rFonts w:ascii="Arial"/>
                <w:color w:val="auto"/>
                <w:sz w:val="21"/>
                <w:highlight w:val="none"/>
              </w:rPr>
            </w:pPr>
          </w:p>
        </w:tc>
        <w:tc>
          <w:tcPr>
            <w:tcW w:w="1230" w:type="dxa"/>
            <w:vAlign w:val="top"/>
          </w:tcPr>
          <w:p w14:paraId="26935B34">
            <w:pPr>
              <w:rPr>
                <w:rFonts w:ascii="Arial"/>
                <w:color w:val="auto"/>
                <w:sz w:val="21"/>
                <w:highlight w:val="none"/>
              </w:rPr>
            </w:pPr>
          </w:p>
        </w:tc>
        <w:tc>
          <w:tcPr>
            <w:tcW w:w="837" w:type="dxa"/>
            <w:vAlign w:val="top"/>
          </w:tcPr>
          <w:p w14:paraId="50A4ED28">
            <w:pPr>
              <w:rPr>
                <w:rFonts w:ascii="Arial"/>
                <w:color w:val="auto"/>
                <w:sz w:val="21"/>
                <w:highlight w:val="none"/>
              </w:rPr>
            </w:pPr>
          </w:p>
        </w:tc>
        <w:tc>
          <w:tcPr>
            <w:tcW w:w="810" w:type="dxa"/>
            <w:vAlign w:val="top"/>
          </w:tcPr>
          <w:p w14:paraId="3BBC6013">
            <w:pPr>
              <w:rPr>
                <w:rFonts w:ascii="Arial"/>
                <w:color w:val="auto"/>
                <w:sz w:val="21"/>
                <w:highlight w:val="none"/>
              </w:rPr>
            </w:pPr>
          </w:p>
        </w:tc>
        <w:tc>
          <w:tcPr>
            <w:tcW w:w="868" w:type="dxa"/>
            <w:vAlign w:val="top"/>
          </w:tcPr>
          <w:p w14:paraId="49543875">
            <w:pPr>
              <w:rPr>
                <w:rFonts w:ascii="Arial"/>
                <w:color w:val="auto"/>
                <w:sz w:val="21"/>
                <w:highlight w:val="none"/>
              </w:rPr>
            </w:pPr>
          </w:p>
        </w:tc>
        <w:tc>
          <w:tcPr>
            <w:tcW w:w="1342" w:type="dxa"/>
            <w:vAlign w:val="top"/>
          </w:tcPr>
          <w:p w14:paraId="21A2E9DD">
            <w:pPr>
              <w:rPr>
                <w:rFonts w:ascii="Arial"/>
                <w:color w:val="auto"/>
                <w:sz w:val="21"/>
                <w:highlight w:val="none"/>
              </w:rPr>
            </w:pPr>
          </w:p>
        </w:tc>
        <w:tc>
          <w:tcPr>
            <w:tcW w:w="1242" w:type="dxa"/>
            <w:vAlign w:val="top"/>
          </w:tcPr>
          <w:p w14:paraId="4641FD2F">
            <w:pPr>
              <w:rPr>
                <w:rFonts w:ascii="Arial"/>
                <w:color w:val="auto"/>
                <w:sz w:val="21"/>
                <w:highlight w:val="none"/>
              </w:rPr>
            </w:pPr>
          </w:p>
        </w:tc>
        <w:tc>
          <w:tcPr>
            <w:tcW w:w="1163" w:type="dxa"/>
            <w:vAlign w:val="top"/>
          </w:tcPr>
          <w:p w14:paraId="6ADBB970">
            <w:pPr>
              <w:rPr>
                <w:rFonts w:ascii="Arial"/>
                <w:color w:val="auto"/>
                <w:sz w:val="21"/>
                <w:highlight w:val="none"/>
              </w:rPr>
            </w:pPr>
          </w:p>
        </w:tc>
        <w:tc>
          <w:tcPr>
            <w:tcW w:w="1187" w:type="dxa"/>
            <w:vAlign w:val="top"/>
          </w:tcPr>
          <w:p w14:paraId="13443E24">
            <w:pPr>
              <w:rPr>
                <w:rFonts w:ascii="Arial"/>
                <w:color w:val="auto"/>
                <w:sz w:val="21"/>
                <w:highlight w:val="none"/>
              </w:rPr>
            </w:pPr>
          </w:p>
        </w:tc>
        <w:tc>
          <w:tcPr>
            <w:tcW w:w="995" w:type="dxa"/>
            <w:vAlign w:val="top"/>
          </w:tcPr>
          <w:p w14:paraId="2891CDC0">
            <w:pPr>
              <w:rPr>
                <w:rFonts w:ascii="Arial"/>
                <w:color w:val="auto"/>
                <w:sz w:val="21"/>
                <w:highlight w:val="none"/>
              </w:rPr>
            </w:pPr>
          </w:p>
        </w:tc>
        <w:tc>
          <w:tcPr>
            <w:tcW w:w="1311" w:type="dxa"/>
            <w:vAlign w:val="top"/>
          </w:tcPr>
          <w:p w14:paraId="0DC52131">
            <w:pPr>
              <w:rPr>
                <w:rFonts w:ascii="Arial"/>
                <w:color w:val="auto"/>
                <w:sz w:val="21"/>
                <w:highlight w:val="none"/>
              </w:rPr>
            </w:pPr>
          </w:p>
        </w:tc>
        <w:tc>
          <w:tcPr>
            <w:tcW w:w="1316" w:type="dxa"/>
            <w:vAlign w:val="top"/>
          </w:tcPr>
          <w:p w14:paraId="6F1D49F8">
            <w:pPr>
              <w:rPr>
                <w:rFonts w:ascii="Arial"/>
                <w:color w:val="auto"/>
                <w:sz w:val="21"/>
                <w:highlight w:val="none"/>
              </w:rPr>
            </w:pPr>
          </w:p>
        </w:tc>
        <w:tc>
          <w:tcPr>
            <w:tcW w:w="1062" w:type="dxa"/>
            <w:tcBorders>
              <w:right w:val="single" w:color="000000" w:sz="6" w:space="0"/>
            </w:tcBorders>
            <w:vAlign w:val="top"/>
          </w:tcPr>
          <w:p w14:paraId="7A353AF9">
            <w:pPr>
              <w:rPr>
                <w:rFonts w:ascii="Arial"/>
                <w:color w:val="auto"/>
                <w:sz w:val="21"/>
                <w:highlight w:val="none"/>
              </w:rPr>
            </w:pPr>
          </w:p>
        </w:tc>
      </w:tr>
      <w:tr w14:paraId="1CB0A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642" w:type="dxa"/>
            <w:tcBorders>
              <w:left w:val="single" w:color="000000" w:sz="6" w:space="0"/>
              <w:bottom w:val="single" w:color="000000" w:sz="6" w:space="0"/>
            </w:tcBorders>
            <w:vAlign w:val="top"/>
          </w:tcPr>
          <w:p w14:paraId="45354CA4">
            <w:pPr>
              <w:rPr>
                <w:rFonts w:ascii="Arial"/>
                <w:color w:val="auto"/>
                <w:sz w:val="21"/>
                <w:highlight w:val="none"/>
              </w:rPr>
            </w:pPr>
          </w:p>
        </w:tc>
        <w:tc>
          <w:tcPr>
            <w:tcW w:w="1230" w:type="dxa"/>
            <w:tcBorders>
              <w:bottom w:val="single" w:color="000000" w:sz="6" w:space="0"/>
            </w:tcBorders>
            <w:vAlign w:val="top"/>
          </w:tcPr>
          <w:p w14:paraId="478A0837">
            <w:pPr>
              <w:rPr>
                <w:rFonts w:ascii="Arial"/>
                <w:color w:val="auto"/>
                <w:sz w:val="21"/>
                <w:highlight w:val="none"/>
              </w:rPr>
            </w:pPr>
          </w:p>
        </w:tc>
        <w:tc>
          <w:tcPr>
            <w:tcW w:w="837" w:type="dxa"/>
            <w:tcBorders>
              <w:bottom w:val="single" w:color="000000" w:sz="6" w:space="0"/>
            </w:tcBorders>
            <w:vAlign w:val="top"/>
          </w:tcPr>
          <w:p w14:paraId="48BFB201">
            <w:pPr>
              <w:rPr>
                <w:rFonts w:ascii="Arial"/>
                <w:color w:val="auto"/>
                <w:sz w:val="21"/>
                <w:highlight w:val="none"/>
              </w:rPr>
            </w:pPr>
          </w:p>
        </w:tc>
        <w:tc>
          <w:tcPr>
            <w:tcW w:w="810" w:type="dxa"/>
            <w:tcBorders>
              <w:bottom w:val="single" w:color="000000" w:sz="6" w:space="0"/>
            </w:tcBorders>
            <w:vAlign w:val="top"/>
          </w:tcPr>
          <w:p w14:paraId="735E7F04">
            <w:pPr>
              <w:rPr>
                <w:rFonts w:ascii="Arial"/>
                <w:color w:val="auto"/>
                <w:sz w:val="21"/>
                <w:highlight w:val="none"/>
              </w:rPr>
            </w:pPr>
          </w:p>
        </w:tc>
        <w:tc>
          <w:tcPr>
            <w:tcW w:w="868" w:type="dxa"/>
            <w:tcBorders>
              <w:bottom w:val="single" w:color="000000" w:sz="6" w:space="0"/>
            </w:tcBorders>
            <w:vAlign w:val="top"/>
          </w:tcPr>
          <w:p w14:paraId="722FB8C1">
            <w:pPr>
              <w:rPr>
                <w:rFonts w:ascii="Arial"/>
                <w:color w:val="auto"/>
                <w:sz w:val="21"/>
                <w:highlight w:val="none"/>
              </w:rPr>
            </w:pPr>
          </w:p>
        </w:tc>
        <w:tc>
          <w:tcPr>
            <w:tcW w:w="1342" w:type="dxa"/>
            <w:tcBorders>
              <w:bottom w:val="single" w:color="000000" w:sz="6" w:space="0"/>
            </w:tcBorders>
            <w:vAlign w:val="top"/>
          </w:tcPr>
          <w:p w14:paraId="2A20EC36">
            <w:pPr>
              <w:rPr>
                <w:rFonts w:ascii="Arial"/>
                <w:color w:val="auto"/>
                <w:sz w:val="21"/>
                <w:highlight w:val="none"/>
              </w:rPr>
            </w:pPr>
          </w:p>
        </w:tc>
        <w:tc>
          <w:tcPr>
            <w:tcW w:w="1242" w:type="dxa"/>
            <w:tcBorders>
              <w:bottom w:val="single" w:color="000000" w:sz="6" w:space="0"/>
            </w:tcBorders>
            <w:vAlign w:val="top"/>
          </w:tcPr>
          <w:p w14:paraId="2F8CCB81">
            <w:pPr>
              <w:rPr>
                <w:rFonts w:ascii="Arial"/>
                <w:color w:val="auto"/>
                <w:sz w:val="21"/>
                <w:highlight w:val="none"/>
              </w:rPr>
            </w:pPr>
          </w:p>
        </w:tc>
        <w:tc>
          <w:tcPr>
            <w:tcW w:w="1163" w:type="dxa"/>
            <w:tcBorders>
              <w:bottom w:val="single" w:color="000000" w:sz="6" w:space="0"/>
            </w:tcBorders>
            <w:vAlign w:val="top"/>
          </w:tcPr>
          <w:p w14:paraId="74F69465">
            <w:pPr>
              <w:rPr>
                <w:rFonts w:ascii="Arial"/>
                <w:color w:val="auto"/>
                <w:sz w:val="21"/>
                <w:highlight w:val="none"/>
              </w:rPr>
            </w:pPr>
          </w:p>
        </w:tc>
        <w:tc>
          <w:tcPr>
            <w:tcW w:w="1187" w:type="dxa"/>
            <w:tcBorders>
              <w:bottom w:val="single" w:color="000000" w:sz="6" w:space="0"/>
            </w:tcBorders>
            <w:vAlign w:val="top"/>
          </w:tcPr>
          <w:p w14:paraId="7480A5D6">
            <w:pPr>
              <w:rPr>
                <w:rFonts w:ascii="Arial"/>
                <w:color w:val="auto"/>
                <w:sz w:val="21"/>
                <w:highlight w:val="none"/>
              </w:rPr>
            </w:pPr>
          </w:p>
        </w:tc>
        <w:tc>
          <w:tcPr>
            <w:tcW w:w="995" w:type="dxa"/>
            <w:tcBorders>
              <w:bottom w:val="single" w:color="000000" w:sz="6" w:space="0"/>
            </w:tcBorders>
            <w:vAlign w:val="top"/>
          </w:tcPr>
          <w:p w14:paraId="289BD4A3">
            <w:pPr>
              <w:rPr>
                <w:rFonts w:ascii="Arial"/>
                <w:color w:val="auto"/>
                <w:sz w:val="21"/>
                <w:highlight w:val="none"/>
              </w:rPr>
            </w:pPr>
          </w:p>
        </w:tc>
        <w:tc>
          <w:tcPr>
            <w:tcW w:w="1311" w:type="dxa"/>
            <w:tcBorders>
              <w:bottom w:val="single" w:color="000000" w:sz="6" w:space="0"/>
            </w:tcBorders>
            <w:vAlign w:val="top"/>
          </w:tcPr>
          <w:p w14:paraId="16306D08">
            <w:pPr>
              <w:rPr>
                <w:rFonts w:ascii="Arial"/>
                <w:color w:val="auto"/>
                <w:sz w:val="21"/>
                <w:highlight w:val="none"/>
              </w:rPr>
            </w:pPr>
          </w:p>
        </w:tc>
        <w:tc>
          <w:tcPr>
            <w:tcW w:w="1316" w:type="dxa"/>
            <w:tcBorders>
              <w:bottom w:val="single" w:color="000000" w:sz="6" w:space="0"/>
            </w:tcBorders>
            <w:vAlign w:val="top"/>
          </w:tcPr>
          <w:p w14:paraId="3516FB7B">
            <w:pPr>
              <w:rPr>
                <w:rFonts w:ascii="Arial"/>
                <w:color w:val="auto"/>
                <w:sz w:val="21"/>
                <w:highlight w:val="none"/>
              </w:rPr>
            </w:pPr>
          </w:p>
        </w:tc>
        <w:tc>
          <w:tcPr>
            <w:tcW w:w="1062" w:type="dxa"/>
            <w:tcBorders>
              <w:bottom w:val="single" w:color="000000" w:sz="6" w:space="0"/>
              <w:right w:val="single" w:color="000000" w:sz="6" w:space="0"/>
            </w:tcBorders>
            <w:vAlign w:val="top"/>
          </w:tcPr>
          <w:p w14:paraId="43C665E0">
            <w:pPr>
              <w:rPr>
                <w:rFonts w:ascii="Arial"/>
                <w:color w:val="auto"/>
                <w:sz w:val="21"/>
                <w:highlight w:val="none"/>
              </w:rPr>
            </w:pPr>
          </w:p>
        </w:tc>
      </w:tr>
    </w:tbl>
    <w:p w14:paraId="28603E3D">
      <w:pPr>
        <w:pStyle w:val="3"/>
        <w:rPr>
          <w:color w:val="auto"/>
          <w:highlight w:val="none"/>
        </w:rPr>
      </w:pPr>
    </w:p>
    <w:p w14:paraId="223C4D7B">
      <w:pPr>
        <w:rPr>
          <w:color w:val="auto"/>
          <w:highlight w:val="none"/>
        </w:rPr>
        <w:sectPr>
          <w:footerReference r:id="rId177" w:type="default"/>
          <w:pgSz w:w="16841" w:h="11907"/>
          <w:pgMar w:top="400" w:right="1380" w:bottom="1252" w:left="1440" w:header="0" w:footer="1091" w:gutter="0"/>
          <w:pgNumType w:fmt="decimal"/>
          <w:cols w:space="720" w:num="1"/>
        </w:sectPr>
      </w:pPr>
    </w:p>
    <w:p w14:paraId="361CBC45">
      <w:pPr>
        <w:pStyle w:val="3"/>
        <w:spacing w:line="246" w:lineRule="auto"/>
        <w:rPr>
          <w:color w:val="auto"/>
          <w:highlight w:val="none"/>
        </w:rPr>
      </w:pPr>
    </w:p>
    <w:p w14:paraId="70FCBA30">
      <w:pPr>
        <w:pStyle w:val="3"/>
        <w:spacing w:line="246" w:lineRule="auto"/>
        <w:rPr>
          <w:color w:val="auto"/>
          <w:highlight w:val="none"/>
        </w:rPr>
      </w:pPr>
    </w:p>
    <w:p w14:paraId="7D0772D9">
      <w:pPr>
        <w:pStyle w:val="3"/>
        <w:spacing w:line="246" w:lineRule="auto"/>
        <w:rPr>
          <w:color w:val="auto"/>
          <w:highlight w:val="none"/>
        </w:rPr>
      </w:pPr>
    </w:p>
    <w:p w14:paraId="5857A83E">
      <w:pPr>
        <w:pStyle w:val="3"/>
        <w:spacing w:line="246" w:lineRule="auto"/>
        <w:rPr>
          <w:color w:val="auto"/>
          <w:highlight w:val="none"/>
        </w:rPr>
      </w:pPr>
    </w:p>
    <w:p w14:paraId="57D7AE8C">
      <w:pPr>
        <w:spacing w:before="91" w:line="219" w:lineRule="auto"/>
        <w:ind w:left="300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招标人供应材料价格表</w:t>
      </w:r>
    </w:p>
    <w:p w14:paraId="70E83FB6">
      <w:pPr>
        <w:spacing w:before="206" w:line="220" w:lineRule="auto"/>
        <w:ind w:left="1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第</w:t>
      </w:r>
      <w:r>
        <w:rPr>
          <w:rFonts w:ascii="宋体" w:hAnsi="宋体" w:eastAsia="宋体" w:cs="宋体"/>
          <w:color w:val="auto"/>
          <w:spacing w:val="12"/>
          <w:sz w:val="24"/>
          <w:szCs w:val="24"/>
          <w:highlight w:val="none"/>
        </w:rPr>
        <w:t xml:space="preserve">  </w:t>
      </w:r>
      <w:r>
        <w:rPr>
          <w:rFonts w:ascii="宋体" w:hAnsi="宋体" w:eastAsia="宋体" w:cs="宋体"/>
          <w:color w:val="auto"/>
          <w:spacing w:val="-2"/>
          <w:sz w:val="24"/>
          <w:szCs w:val="24"/>
          <w:highlight w:val="none"/>
        </w:rPr>
        <w:t>页共</w:t>
      </w:r>
      <w:r>
        <w:rPr>
          <w:rFonts w:ascii="宋体" w:hAnsi="宋体" w:eastAsia="宋体" w:cs="宋体"/>
          <w:color w:val="auto"/>
          <w:spacing w:val="7"/>
          <w:sz w:val="24"/>
          <w:szCs w:val="24"/>
          <w:highlight w:val="none"/>
        </w:rPr>
        <w:t xml:space="preserve">  </w:t>
      </w:r>
      <w:r>
        <w:rPr>
          <w:rFonts w:ascii="宋体" w:hAnsi="宋体" w:eastAsia="宋体" w:cs="宋体"/>
          <w:color w:val="auto"/>
          <w:spacing w:val="-2"/>
          <w:sz w:val="24"/>
          <w:szCs w:val="24"/>
          <w:highlight w:val="none"/>
        </w:rPr>
        <w:t>页</w:t>
      </w:r>
    </w:p>
    <w:p w14:paraId="0C89E274">
      <w:pPr>
        <w:spacing w:line="143" w:lineRule="exact"/>
        <w:rPr>
          <w:color w:val="auto"/>
          <w:highlight w:val="none"/>
        </w:rPr>
      </w:pPr>
    </w:p>
    <w:tbl>
      <w:tblPr>
        <w:tblStyle w:val="16"/>
        <w:tblW w:w="914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2540"/>
        <w:gridCol w:w="2003"/>
        <w:gridCol w:w="1004"/>
        <w:gridCol w:w="1253"/>
        <w:gridCol w:w="1512"/>
      </w:tblGrid>
      <w:tr w14:paraId="5DEE0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836" w:type="dxa"/>
            <w:tcBorders>
              <w:top w:val="single" w:color="000000" w:sz="6" w:space="0"/>
              <w:left w:val="single" w:color="000000" w:sz="6" w:space="0"/>
            </w:tcBorders>
            <w:vAlign w:val="top"/>
          </w:tcPr>
          <w:p w14:paraId="0FCE8BDF">
            <w:pPr>
              <w:pStyle w:val="17"/>
              <w:spacing w:before="275" w:line="221" w:lineRule="auto"/>
              <w:ind w:left="175"/>
              <w:rPr>
                <w:color w:val="auto"/>
                <w:sz w:val="24"/>
                <w:szCs w:val="24"/>
                <w:highlight w:val="none"/>
              </w:rPr>
            </w:pPr>
            <w:r>
              <w:rPr>
                <w:color w:val="auto"/>
                <w:spacing w:val="-3"/>
                <w:sz w:val="24"/>
                <w:szCs w:val="24"/>
                <w:highlight w:val="none"/>
              </w:rPr>
              <w:t>序号</w:t>
            </w:r>
          </w:p>
        </w:tc>
        <w:tc>
          <w:tcPr>
            <w:tcW w:w="2540" w:type="dxa"/>
            <w:tcBorders>
              <w:top w:val="single" w:color="000000" w:sz="6" w:space="0"/>
            </w:tcBorders>
            <w:vAlign w:val="top"/>
          </w:tcPr>
          <w:p w14:paraId="52F42730">
            <w:pPr>
              <w:pStyle w:val="17"/>
              <w:spacing w:before="275" w:line="219" w:lineRule="auto"/>
              <w:ind w:left="792"/>
              <w:rPr>
                <w:color w:val="auto"/>
                <w:sz w:val="24"/>
                <w:szCs w:val="24"/>
                <w:highlight w:val="none"/>
              </w:rPr>
            </w:pPr>
            <w:r>
              <w:rPr>
                <w:color w:val="auto"/>
                <w:spacing w:val="-2"/>
                <w:sz w:val="24"/>
                <w:szCs w:val="24"/>
                <w:highlight w:val="none"/>
              </w:rPr>
              <w:t>材料名称</w:t>
            </w:r>
          </w:p>
        </w:tc>
        <w:tc>
          <w:tcPr>
            <w:tcW w:w="2003" w:type="dxa"/>
            <w:tcBorders>
              <w:top w:val="single" w:color="000000" w:sz="6" w:space="0"/>
            </w:tcBorders>
            <w:vAlign w:val="top"/>
          </w:tcPr>
          <w:p w14:paraId="0AD4F2F1">
            <w:pPr>
              <w:pStyle w:val="17"/>
              <w:spacing w:before="275" w:line="220" w:lineRule="auto"/>
              <w:ind w:left="526"/>
              <w:rPr>
                <w:color w:val="auto"/>
                <w:sz w:val="24"/>
                <w:szCs w:val="24"/>
                <w:highlight w:val="none"/>
              </w:rPr>
            </w:pPr>
            <w:r>
              <w:rPr>
                <w:color w:val="auto"/>
                <w:spacing w:val="-2"/>
                <w:sz w:val="24"/>
                <w:szCs w:val="24"/>
                <w:highlight w:val="none"/>
              </w:rPr>
              <w:t>规格型号</w:t>
            </w:r>
          </w:p>
        </w:tc>
        <w:tc>
          <w:tcPr>
            <w:tcW w:w="1004" w:type="dxa"/>
            <w:tcBorders>
              <w:top w:val="single" w:color="000000" w:sz="6" w:space="0"/>
            </w:tcBorders>
            <w:vAlign w:val="top"/>
          </w:tcPr>
          <w:p w14:paraId="76D7934F">
            <w:pPr>
              <w:pStyle w:val="17"/>
              <w:spacing w:before="42" w:line="221" w:lineRule="auto"/>
              <w:ind w:left="269"/>
              <w:rPr>
                <w:color w:val="auto"/>
                <w:sz w:val="24"/>
                <w:szCs w:val="24"/>
                <w:highlight w:val="none"/>
              </w:rPr>
            </w:pPr>
            <w:r>
              <w:rPr>
                <w:color w:val="auto"/>
                <w:spacing w:val="-3"/>
                <w:sz w:val="24"/>
                <w:szCs w:val="24"/>
                <w:highlight w:val="none"/>
              </w:rPr>
              <w:t>计量</w:t>
            </w:r>
          </w:p>
          <w:p w14:paraId="6D2AE808">
            <w:pPr>
              <w:pStyle w:val="17"/>
              <w:spacing w:before="178" w:line="220" w:lineRule="auto"/>
              <w:ind w:left="271"/>
              <w:rPr>
                <w:color w:val="auto"/>
                <w:sz w:val="24"/>
                <w:szCs w:val="24"/>
                <w:highlight w:val="none"/>
              </w:rPr>
            </w:pPr>
            <w:r>
              <w:rPr>
                <w:color w:val="auto"/>
                <w:spacing w:val="-3"/>
                <w:sz w:val="24"/>
                <w:szCs w:val="24"/>
                <w:highlight w:val="none"/>
              </w:rPr>
              <w:t>单位</w:t>
            </w:r>
          </w:p>
        </w:tc>
        <w:tc>
          <w:tcPr>
            <w:tcW w:w="1253" w:type="dxa"/>
            <w:tcBorders>
              <w:top w:val="single" w:color="000000" w:sz="6" w:space="0"/>
            </w:tcBorders>
            <w:vAlign w:val="top"/>
          </w:tcPr>
          <w:p w14:paraId="290C911B">
            <w:pPr>
              <w:pStyle w:val="17"/>
              <w:spacing w:before="42" w:line="218" w:lineRule="auto"/>
              <w:ind w:left="273"/>
              <w:rPr>
                <w:color w:val="auto"/>
                <w:sz w:val="24"/>
                <w:szCs w:val="24"/>
                <w:highlight w:val="none"/>
              </w:rPr>
            </w:pPr>
            <w:r>
              <w:rPr>
                <w:color w:val="auto"/>
                <w:spacing w:val="-3"/>
                <w:sz w:val="24"/>
                <w:szCs w:val="24"/>
                <w:highlight w:val="none"/>
              </w:rPr>
              <w:t>供应价</w:t>
            </w:r>
          </w:p>
          <w:p w14:paraId="71392FF5">
            <w:pPr>
              <w:pStyle w:val="17"/>
              <w:spacing w:before="182" w:line="220" w:lineRule="auto"/>
              <w:ind w:left="280"/>
              <w:rPr>
                <w:color w:val="auto"/>
                <w:sz w:val="24"/>
                <w:szCs w:val="24"/>
                <w:highlight w:val="none"/>
              </w:rPr>
            </w:pPr>
            <w:r>
              <w:rPr>
                <w:color w:val="auto"/>
                <w:spacing w:val="-8"/>
                <w:sz w:val="24"/>
                <w:szCs w:val="24"/>
                <w:highlight w:val="none"/>
              </w:rPr>
              <w:t>（元）</w:t>
            </w:r>
          </w:p>
        </w:tc>
        <w:tc>
          <w:tcPr>
            <w:tcW w:w="1512" w:type="dxa"/>
            <w:tcBorders>
              <w:top w:val="single" w:color="000000" w:sz="6" w:space="0"/>
              <w:right w:val="single" w:color="000000" w:sz="6" w:space="0"/>
            </w:tcBorders>
            <w:vAlign w:val="top"/>
          </w:tcPr>
          <w:p w14:paraId="4250C2C1">
            <w:pPr>
              <w:pStyle w:val="17"/>
              <w:spacing w:before="42" w:line="218" w:lineRule="auto"/>
              <w:ind w:left="405"/>
              <w:rPr>
                <w:color w:val="auto"/>
                <w:sz w:val="24"/>
                <w:szCs w:val="24"/>
                <w:highlight w:val="none"/>
              </w:rPr>
            </w:pPr>
            <w:r>
              <w:rPr>
                <w:color w:val="auto"/>
                <w:spacing w:val="-3"/>
                <w:sz w:val="24"/>
                <w:szCs w:val="24"/>
                <w:highlight w:val="none"/>
              </w:rPr>
              <w:t>预算价</w:t>
            </w:r>
          </w:p>
          <w:p w14:paraId="6DBE60A8">
            <w:pPr>
              <w:pStyle w:val="17"/>
              <w:spacing w:before="182" w:line="220" w:lineRule="auto"/>
              <w:ind w:left="409"/>
              <w:rPr>
                <w:color w:val="auto"/>
                <w:sz w:val="24"/>
                <w:szCs w:val="24"/>
                <w:highlight w:val="none"/>
              </w:rPr>
            </w:pPr>
            <w:r>
              <w:rPr>
                <w:color w:val="auto"/>
                <w:spacing w:val="-8"/>
                <w:sz w:val="24"/>
                <w:szCs w:val="24"/>
                <w:highlight w:val="none"/>
              </w:rPr>
              <w:t>（元）</w:t>
            </w:r>
          </w:p>
        </w:tc>
      </w:tr>
      <w:tr w14:paraId="22DF9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1D64DC87">
            <w:pPr>
              <w:rPr>
                <w:rFonts w:ascii="Arial"/>
                <w:color w:val="auto"/>
                <w:sz w:val="21"/>
                <w:highlight w:val="none"/>
              </w:rPr>
            </w:pPr>
          </w:p>
        </w:tc>
        <w:tc>
          <w:tcPr>
            <w:tcW w:w="2540" w:type="dxa"/>
            <w:vAlign w:val="top"/>
          </w:tcPr>
          <w:p w14:paraId="23E725AD">
            <w:pPr>
              <w:rPr>
                <w:rFonts w:ascii="Arial"/>
                <w:color w:val="auto"/>
                <w:sz w:val="21"/>
                <w:highlight w:val="none"/>
              </w:rPr>
            </w:pPr>
          </w:p>
        </w:tc>
        <w:tc>
          <w:tcPr>
            <w:tcW w:w="2003" w:type="dxa"/>
            <w:vAlign w:val="top"/>
          </w:tcPr>
          <w:p w14:paraId="72B5B67C">
            <w:pPr>
              <w:rPr>
                <w:rFonts w:ascii="Arial"/>
                <w:color w:val="auto"/>
                <w:sz w:val="21"/>
                <w:highlight w:val="none"/>
              </w:rPr>
            </w:pPr>
          </w:p>
        </w:tc>
        <w:tc>
          <w:tcPr>
            <w:tcW w:w="1004" w:type="dxa"/>
            <w:vAlign w:val="top"/>
          </w:tcPr>
          <w:p w14:paraId="363CF031">
            <w:pPr>
              <w:rPr>
                <w:rFonts w:ascii="Arial"/>
                <w:color w:val="auto"/>
                <w:sz w:val="21"/>
                <w:highlight w:val="none"/>
              </w:rPr>
            </w:pPr>
          </w:p>
        </w:tc>
        <w:tc>
          <w:tcPr>
            <w:tcW w:w="1253" w:type="dxa"/>
            <w:vAlign w:val="top"/>
          </w:tcPr>
          <w:p w14:paraId="777C9E81">
            <w:pPr>
              <w:rPr>
                <w:rFonts w:ascii="Arial"/>
                <w:color w:val="auto"/>
                <w:sz w:val="21"/>
                <w:highlight w:val="none"/>
              </w:rPr>
            </w:pPr>
          </w:p>
        </w:tc>
        <w:tc>
          <w:tcPr>
            <w:tcW w:w="1512" w:type="dxa"/>
            <w:tcBorders>
              <w:right w:val="single" w:color="000000" w:sz="6" w:space="0"/>
            </w:tcBorders>
            <w:vAlign w:val="top"/>
          </w:tcPr>
          <w:p w14:paraId="098EA411">
            <w:pPr>
              <w:rPr>
                <w:rFonts w:ascii="Arial"/>
                <w:color w:val="auto"/>
                <w:sz w:val="21"/>
                <w:highlight w:val="none"/>
              </w:rPr>
            </w:pPr>
          </w:p>
        </w:tc>
      </w:tr>
      <w:tr w14:paraId="19163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6" w:type="dxa"/>
            <w:tcBorders>
              <w:left w:val="single" w:color="000000" w:sz="6" w:space="0"/>
            </w:tcBorders>
            <w:vAlign w:val="top"/>
          </w:tcPr>
          <w:p w14:paraId="04C69924">
            <w:pPr>
              <w:rPr>
                <w:rFonts w:ascii="Arial"/>
                <w:color w:val="auto"/>
                <w:sz w:val="21"/>
                <w:highlight w:val="none"/>
              </w:rPr>
            </w:pPr>
          </w:p>
        </w:tc>
        <w:tc>
          <w:tcPr>
            <w:tcW w:w="2540" w:type="dxa"/>
            <w:vAlign w:val="top"/>
          </w:tcPr>
          <w:p w14:paraId="7A7EFE01">
            <w:pPr>
              <w:rPr>
                <w:rFonts w:ascii="Arial"/>
                <w:color w:val="auto"/>
                <w:sz w:val="21"/>
                <w:highlight w:val="none"/>
              </w:rPr>
            </w:pPr>
          </w:p>
        </w:tc>
        <w:tc>
          <w:tcPr>
            <w:tcW w:w="2003" w:type="dxa"/>
            <w:vAlign w:val="top"/>
          </w:tcPr>
          <w:p w14:paraId="063C3F0B">
            <w:pPr>
              <w:rPr>
                <w:rFonts w:ascii="Arial"/>
                <w:color w:val="auto"/>
                <w:sz w:val="21"/>
                <w:highlight w:val="none"/>
              </w:rPr>
            </w:pPr>
          </w:p>
        </w:tc>
        <w:tc>
          <w:tcPr>
            <w:tcW w:w="1004" w:type="dxa"/>
            <w:vAlign w:val="top"/>
          </w:tcPr>
          <w:p w14:paraId="2D21F7B5">
            <w:pPr>
              <w:rPr>
                <w:rFonts w:ascii="Arial"/>
                <w:color w:val="auto"/>
                <w:sz w:val="21"/>
                <w:highlight w:val="none"/>
              </w:rPr>
            </w:pPr>
          </w:p>
        </w:tc>
        <w:tc>
          <w:tcPr>
            <w:tcW w:w="1253" w:type="dxa"/>
            <w:vAlign w:val="top"/>
          </w:tcPr>
          <w:p w14:paraId="41D3DE39">
            <w:pPr>
              <w:rPr>
                <w:rFonts w:ascii="Arial"/>
                <w:color w:val="auto"/>
                <w:sz w:val="21"/>
                <w:highlight w:val="none"/>
              </w:rPr>
            </w:pPr>
          </w:p>
        </w:tc>
        <w:tc>
          <w:tcPr>
            <w:tcW w:w="1512" w:type="dxa"/>
            <w:tcBorders>
              <w:right w:val="single" w:color="000000" w:sz="6" w:space="0"/>
            </w:tcBorders>
            <w:vAlign w:val="top"/>
          </w:tcPr>
          <w:p w14:paraId="3690060A">
            <w:pPr>
              <w:rPr>
                <w:rFonts w:ascii="Arial"/>
                <w:color w:val="auto"/>
                <w:sz w:val="21"/>
                <w:highlight w:val="none"/>
              </w:rPr>
            </w:pPr>
          </w:p>
        </w:tc>
      </w:tr>
      <w:tr w14:paraId="35CD4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0962C582">
            <w:pPr>
              <w:rPr>
                <w:rFonts w:ascii="Arial"/>
                <w:color w:val="auto"/>
                <w:sz w:val="21"/>
                <w:highlight w:val="none"/>
              </w:rPr>
            </w:pPr>
          </w:p>
        </w:tc>
        <w:tc>
          <w:tcPr>
            <w:tcW w:w="2540" w:type="dxa"/>
            <w:vAlign w:val="top"/>
          </w:tcPr>
          <w:p w14:paraId="5EAC4476">
            <w:pPr>
              <w:rPr>
                <w:rFonts w:ascii="Arial"/>
                <w:color w:val="auto"/>
                <w:sz w:val="21"/>
                <w:highlight w:val="none"/>
              </w:rPr>
            </w:pPr>
          </w:p>
        </w:tc>
        <w:tc>
          <w:tcPr>
            <w:tcW w:w="2003" w:type="dxa"/>
            <w:vAlign w:val="top"/>
          </w:tcPr>
          <w:p w14:paraId="3FBF9DB2">
            <w:pPr>
              <w:rPr>
                <w:rFonts w:ascii="Arial"/>
                <w:color w:val="auto"/>
                <w:sz w:val="21"/>
                <w:highlight w:val="none"/>
              </w:rPr>
            </w:pPr>
          </w:p>
        </w:tc>
        <w:tc>
          <w:tcPr>
            <w:tcW w:w="1004" w:type="dxa"/>
            <w:vAlign w:val="top"/>
          </w:tcPr>
          <w:p w14:paraId="4D43AA3F">
            <w:pPr>
              <w:rPr>
                <w:rFonts w:ascii="Arial"/>
                <w:color w:val="auto"/>
                <w:sz w:val="21"/>
                <w:highlight w:val="none"/>
              </w:rPr>
            </w:pPr>
          </w:p>
        </w:tc>
        <w:tc>
          <w:tcPr>
            <w:tcW w:w="1253" w:type="dxa"/>
            <w:vAlign w:val="top"/>
          </w:tcPr>
          <w:p w14:paraId="3D55D8E1">
            <w:pPr>
              <w:rPr>
                <w:rFonts w:ascii="Arial"/>
                <w:color w:val="auto"/>
                <w:sz w:val="21"/>
                <w:highlight w:val="none"/>
              </w:rPr>
            </w:pPr>
          </w:p>
        </w:tc>
        <w:tc>
          <w:tcPr>
            <w:tcW w:w="1512" w:type="dxa"/>
            <w:tcBorders>
              <w:right w:val="single" w:color="000000" w:sz="6" w:space="0"/>
            </w:tcBorders>
            <w:vAlign w:val="top"/>
          </w:tcPr>
          <w:p w14:paraId="564F4F68">
            <w:pPr>
              <w:rPr>
                <w:rFonts w:ascii="Arial"/>
                <w:color w:val="auto"/>
                <w:sz w:val="21"/>
                <w:highlight w:val="none"/>
              </w:rPr>
            </w:pPr>
          </w:p>
        </w:tc>
      </w:tr>
      <w:tr w14:paraId="6E912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0CA461F0">
            <w:pPr>
              <w:rPr>
                <w:rFonts w:ascii="Arial"/>
                <w:color w:val="auto"/>
                <w:sz w:val="21"/>
                <w:highlight w:val="none"/>
              </w:rPr>
            </w:pPr>
          </w:p>
        </w:tc>
        <w:tc>
          <w:tcPr>
            <w:tcW w:w="2540" w:type="dxa"/>
            <w:vAlign w:val="top"/>
          </w:tcPr>
          <w:p w14:paraId="29234B45">
            <w:pPr>
              <w:rPr>
                <w:rFonts w:ascii="Arial"/>
                <w:color w:val="auto"/>
                <w:sz w:val="21"/>
                <w:highlight w:val="none"/>
              </w:rPr>
            </w:pPr>
          </w:p>
        </w:tc>
        <w:tc>
          <w:tcPr>
            <w:tcW w:w="2003" w:type="dxa"/>
            <w:vAlign w:val="top"/>
          </w:tcPr>
          <w:p w14:paraId="433B3C0F">
            <w:pPr>
              <w:rPr>
                <w:rFonts w:ascii="Arial"/>
                <w:color w:val="auto"/>
                <w:sz w:val="21"/>
                <w:highlight w:val="none"/>
              </w:rPr>
            </w:pPr>
          </w:p>
        </w:tc>
        <w:tc>
          <w:tcPr>
            <w:tcW w:w="1004" w:type="dxa"/>
            <w:vAlign w:val="top"/>
          </w:tcPr>
          <w:p w14:paraId="214E3046">
            <w:pPr>
              <w:rPr>
                <w:rFonts w:ascii="Arial"/>
                <w:color w:val="auto"/>
                <w:sz w:val="21"/>
                <w:highlight w:val="none"/>
              </w:rPr>
            </w:pPr>
          </w:p>
        </w:tc>
        <w:tc>
          <w:tcPr>
            <w:tcW w:w="1253" w:type="dxa"/>
            <w:vAlign w:val="top"/>
          </w:tcPr>
          <w:p w14:paraId="4E082FC4">
            <w:pPr>
              <w:rPr>
                <w:rFonts w:ascii="Arial"/>
                <w:color w:val="auto"/>
                <w:sz w:val="21"/>
                <w:highlight w:val="none"/>
              </w:rPr>
            </w:pPr>
          </w:p>
        </w:tc>
        <w:tc>
          <w:tcPr>
            <w:tcW w:w="1512" w:type="dxa"/>
            <w:tcBorders>
              <w:right w:val="single" w:color="000000" w:sz="6" w:space="0"/>
            </w:tcBorders>
            <w:vAlign w:val="top"/>
          </w:tcPr>
          <w:p w14:paraId="55C2AE59">
            <w:pPr>
              <w:rPr>
                <w:rFonts w:ascii="Arial"/>
                <w:color w:val="auto"/>
                <w:sz w:val="21"/>
                <w:highlight w:val="none"/>
              </w:rPr>
            </w:pPr>
          </w:p>
        </w:tc>
      </w:tr>
      <w:tr w14:paraId="2E9D3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6" w:type="dxa"/>
            <w:tcBorders>
              <w:left w:val="single" w:color="000000" w:sz="6" w:space="0"/>
            </w:tcBorders>
            <w:vAlign w:val="top"/>
          </w:tcPr>
          <w:p w14:paraId="5974CEBF">
            <w:pPr>
              <w:rPr>
                <w:rFonts w:ascii="Arial"/>
                <w:color w:val="auto"/>
                <w:sz w:val="21"/>
                <w:highlight w:val="none"/>
              </w:rPr>
            </w:pPr>
          </w:p>
        </w:tc>
        <w:tc>
          <w:tcPr>
            <w:tcW w:w="2540" w:type="dxa"/>
            <w:vAlign w:val="top"/>
          </w:tcPr>
          <w:p w14:paraId="365BADF2">
            <w:pPr>
              <w:rPr>
                <w:rFonts w:ascii="Arial"/>
                <w:color w:val="auto"/>
                <w:sz w:val="21"/>
                <w:highlight w:val="none"/>
              </w:rPr>
            </w:pPr>
          </w:p>
        </w:tc>
        <w:tc>
          <w:tcPr>
            <w:tcW w:w="2003" w:type="dxa"/>
            <w:vAlign w:val="top"/>
          </w:tcPr>
          <w:p w14:paraId="5AAB6050">
            <w:pPr>
              <w:rPr>
                <w:rFonts w:ascii="Arial"/>
                <w:color w:val="auto"/>
                <w:sz w:val="21"/>
                <w:highlight w:val="none"/>
              </w:rPr>
            </w:pPr>
          </w:p>
        </w:tc>
        <w:tc>
          <w:tcPr>
            <w:tcW w:w="1004" w:type="dxa"/>
            <w:vAlign w:val="top"/>
          </w:tcPr>
          <w:p w14:paraId="12DAE5D5">
            <w:pPr>
              <w:rPr>
                <w:rFonts w:ascii="Arial"/>
                <w:color w:val="auto"/>
                <w:sz w:val="21"/>
                <w:highlight w:val="none"/>
              </w:rPr>
            </w:pPr>
          </w:p>
        </w:tc>
        <w:tc>
          <w:tcPr>
            <w:tcW w:w="1253" w:type="dxa"/>
            <w:vAlign w:val="top"/>
          </w:tcPr>
          <w:p w14:paraId="318E1279">
            <w:pPr>
              <w:rPr>
                <w:rFonts w:ascii="Arial"/>
                <w:color w:val="auto"/>
                <w:sz w:val="21"/>
                <w:highlight w:val="none"/>
              </w:rPr>
            </w:pPr>
          </w:p>
        </w:tc>
        <w:tc>
          <w:tcPr>
            <w:tcW w:w="1512" w:type="dxa"/>
            <w:tcBorders>
              <w:right w:val="single" w:color="000000" w:sz="6" w:space="0"/>
            </w:tcBorders>
            <w:vAlign w:val="top"/>
          </w:tcPr>
          <w:p w14:paraId="65F33146">
            <w:pPr>
              <w:rPr>
                <w:rFonts w:ascii="Arial"/>
                <w:color w:val="auto"/>
                <w:sz w:val="21"/>
                <w:highlight w:val="none"/>
              </w:rPr>
            </w:pPr>
          </w:p>
        </w:tc>
      </w:tr>
      <w:tr w14:paraId="37CA6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64078F4A">
            <w:pPr>
              <w:rPr>
                <w:rFonts w:ascii="Arial"/>
                <w:color w:val="auto"/>
                <w:sz w:val="21"/>
                <w:highlight w:val="none"/>
              </w:rPr>
            </w:pPr>
          </w:p>
        </w:tc>
        <w:tc>
          <w:tcPr>
            <w:tcW w:w="2540" w:type="dxa"/>
            <w:vAlign w:val="top"/>
          </w:tcPr>
          <w:p w14:paraId="7AB20372">
            <w:pPr>
              <w:rPr>
                <w:rFonts w:ascii="Arial"/>
                <w:color w:val="auto"/>
                <w:sz w:val="21"/>
                <w:highlight w:val="none"/>
              </w:rPr>
            </w:pPr>
          </w:p>
        </w:tc>
        <w:tc>
          <w:tcPr>
            <w:tcW w:w="2003" w:type="dxa"/>
            <w:vAlign w:val="top"/>
          </w:tcPr>
          <w:p w14:paraId="425B8640">
            <w:pPr>
              <w:rPr>
                <w:rFonts w:ascii="Arial"/>
                <w:color w:val="auto"/>
                <w:sz w:val="21"/>
                <w:highlight w:val="none"/>
              </w:rPr>
            </w:pPr>
          </w:p>
        </w:tc>
        <w:tc>
          <w:tcPr>
            <w:tcW w:w="1004" w:type="dxa"/>
            <w:vAlign w:val="top"/>
          </w:tcPr>
          <w:p w14:paraId="0EEC163F">
            <w:pPr>
              <w:rPr>
                <w:rFonts w:ascii="Arial"/>
                <w:color w:val="auto"/>
                <w:sz w:val="21"/>
                <w:highlight w:val="none"/>
              </w:rPr>
            </w:pPr>
          </w:p>
        </w:tc>
        <w:tc>
          <w:tcPr>
            <w:tcW w:w="1253" w:type="dxa"/>
            <w:vAlign w:val="top"/>
          </w:tcPr>
          <w:p w14:paraId="5D5A2B42">
            <w:pPr>
              <w:rPr>
                <w:rFonts w:ascii="Arial"/>
                <w:color w:val="auto"/>
                <w:sz w:val="21"/>
                <w:highlight w:val="none"/>
              </w:rPr>
            </w:pPr>
          </w:p>
        </w:tc>
        <w:tc>
          <w:tcPr>
            <w:tcW w:w="1512" w:type="dxa"/>
            <w:tcBorders>
              <w:right w:val="single" w:color="000000" w:sz="6" w:space="0"/>
            </w:tcBorders>
            <w:vAlign w:val="top"/>
          </w:tcPr>
          <w:p w14:paraId="32C5AD61">
            <w:pPr>
              <w:rPr>
                <w:rFonts w:ascii="Arial"/>
                <w:color w:val="auto"/>
                <w:sz w:val="21"/>
                <w:highlight w:val="none"/>
              </w:rPr>
            </w:pPr>
          </w:p>
        </w:tc>
      </w:tr>
      <w:tr w14:paraId="3C071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72B642E5">
            <w:pPr>
              <w:rPr>
                <w:rFonts w:ascii="Arial"/>
                <w:color w:val="auto"/>
                <w:sz w:val="21"/>
                <w:highlight w:val="none"/>
              </w:rPr>
            </w:pPr>
          </w:p>
        </w:tc>
        <w:tc>
          <w:tcPr>
            <w:tcW w:w="2540" w:type="dxa"/>
            <w:vAlign w:val="top"/>
          </w:tcPr>
          <w:p w14:paraId="620E0930">
            <w:pPr>
              <w:rPr>
                <w:rFonts w:ascii="Arial"/>
                <w:color w:val="auto"/>
                <w:sz w:val="21"/>
                <w:highlight w:val="none"/>
              </w:rPr>
            </w:pPr>
          </w:p>
        </w:tc>
        <w:tc>
          <w:tcPr>
            <w:tcW w:w="2003" w:type="dxa"/>
            <w:vAlign w:val="top"/>
          </w:tcPr>
          <w:p w14:paraId="646512AE">
            <w:pPr>
              <w:rPr>
                <w:rFonts w:ascii="Arial"/>
                <w:color w:val="auto"/>
                <w:sz w:val="21"/>
                <w:highlight w:val="none"/>
              </w:rPr>
            </w:pPr>
          </w:p>
        </w:tc>
        <w:tc>
          <w:tcPr>
            <w:tcW w:w="1004" w:type="dxa"/>
            <w:vAlign w:val="top"/>
          </w:tcPr>
          <w:p w14:paraId="19C85523">
            <w:pPr>
              <w:rPr>
                <w:rFonts w:ascii="Arial"/>
                <w:color w:val="auto"/>
                <w:sz w:val="21"/>
                <w:highlight w:val="none"/>
              </w:rPr>
            </w:pPr>
          </w:p>
        </w:tc>
        <w:tc>
          <w:tcPr>
            <w:tcW w:w="1253" w:type="dxa"/>
            <w:vAlign w:val="top"/>
          </w:tcPr>
          <w:p w14:paraId="3B83BDCD">
            <w:pPr>
              <w:rPr>
                <w:rFonts w:ascii="Arial"/>
                <w:color w:val="auto"/>
                <w:sz w:val="21"/>
                <w:highlight w:val="none"/>
              </w:rPr>
            </w:pPr>
          </w:p>
        </w:tc>
        <w:tc>
          <w:tcPr>
            <w:tcW w:w="1512" w:type="dxa"/>
            <w:tcBorders>
              <w:right w:val="single" w:color="000000" w:sz="6" w:space="0"/>
            </w:tcBorders>
            <w:vAlign w:val="top"/>
          </w:tcPr>
          <w:p w14:paraId="33A10157">
            <w:pPr>
              <w:rPr>
                <w:rFonts w:ascii="Arial"/>
                <w:color w:val="auto"/>
                <w:sz w:val="21"/>
                <w:highlight w:val="none"/>
              </w:rPr>
            </w:pPr>
          </w:p>
        </w:tc>
      </w:tr>
      <w:tr w14:paraId="51C7C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36" w:type="dxa"/>
            <w:tcBorders>
              <w:left w:val="single" w:color="000000" w:sz="6" w:space="0"/>
            </w:tcBorders>
            <w:vAlign w:val="top"/>
          </w:tcPr>
          <w:p w14:paraId="5F032EA4">
            <w:pPr>
              <w:rPr>
                <w:rFonts w:ascii="Arial"/>
                <w:color w:val="auto"/>
                <w:sz w:val="21"/>
                <w:highlight w:val="none"/>
              </w:rPr>
            </w:pPr>
          </w:p>
        </w:tc>
        <w:tc>
          <w:tcPr>
            <w:tcW w:w="2540" w:type="dxa"/>
            <w:vAlign w:val="top"/>
          </w:tcPr>
          <w:p w14:paraId="2C5602AB">
            <w:pPr>
              <w:rPr>
                <w:rFonts w:ascii="Arial"/>
                <w:color w:val="auto"/>
                <w:sz w:val="21"/>
                <w:highlight w:val="none"/>
              </w:rPr>
            </w:pPr>
          </w:p>
        </w:tc>
        <w:tc>
          <w:tcPr>
            <w:tcW w:w="2003" w:type="dxa"/>
            <w:vAlign w:val="top"/>
          </w:tcPr>
          <w:p w14:paraId="355F56EA">
            <w:pPr>
              <w:rPr>
                <w:rFonts w:ascii="Arial"/>
                <w:color w:val="auto"/>
                <w:sz w:val="21"/>
                <w:highlight w:val="none"/>
              </w:rPr>
            </w:pPr>
          </w:p>
        </w:tc>
        <w:tc>
          <w:tcPr>
            <w:tcW w:w="1004" w:type="dxa"/>
            <w:vAlign w:val="top"/>
          </w:tcPr>
          <w:p w14:paraId="0B45DF07">
            <w:pPr>
              <w:rPr>
                <w:rFonts w:ascii="Arial"/>
                <w:color w:val="auto"/>
                <w:sz w:val="21"/>
                <w:highlight w:val="none"/>
              </w:rPr>
            </w:pPr>
          </w:p>
        </w:tc>
        <w:tc>
          <w:tcPr>
            <w:tcW w:w="1253" w:type="dxa"/>
            <w:vAlign w:val="top"/>
          </w:tcPr>
          <w:p w14:paraId="760222D5">
            <w:pPr>
              <w:rPr>
                <w:rFonts w:ascii="Arial"/>
                <w:color w:val="auto"/>
                <w:sz w:val="21"/>
                <w:highlight w:val="none"/>
              </w:rPr>
            </w:pPr>
          </w:p>
        </w:tc>
        <w:tc>
          <w:tcPr>
            <w:tcW w:w="1512" w:type="dxa"/>
            <w:tcBorders>
              <w:right w:val="single" w:color="000000" w:sz="6" w:space="0"/>
            </w:tcBorders>
            <w:vAlign w:val="top"/>
          </w:tcPr>
          <w:p w14:paraId="6B7DE79B">
            <w:pPr>
              <w:rPr>
                <w:rFonts w:ascii="Arial"/>
                <w:color w:val="auto"/>
                <w:sz w:val="21"/>
                <w:highlight w:val="none"/>
              </w:rPr>
            </w:pPr>
          </w:p>
        </w:tc>
      </w:tr>
      <w:tr w14:paraId="200D0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2F48A6A3">
            <w:pPr>
              <w:rPr>
                <w:rFonts w:ascii="Arial"/>
                <w:color w:val="auto"/>
                <w:sz w:val="21"/>
                <w:highlight w:val="none"/>
              </w:rPr>
            </w:pPr>
          </w:p>
        </w:tc>
        <w:tc>
          <w:tcPr>
            <w:tcW w:w="2540" w:type="dxa"/>
            <w:vAlign w:val="top"/>
          </w:tcPr>
          <w:p w14:paraId="256BC113">
            <w:pPr>
              <w:rPr>
                <w:rFonts w:ascii="Arial"/>
                <w:color w:val="auto"/>
                <w:sz w:val="21"/>
                <w:highlight w:val="none"/>
              </w:rPr>
            </w:pPr>
          </w:p>
        </w:tc>
        <w:tc>
          <w:tcPr>
            <w:tcW w:w="2003" w:type="dxa"/>
            <w:vAlign w:val="top"/>
          </w:tcPr>
          <w:p w14:paraId="75A8E708">
            <w:pPr>
              <w:rPr>
                <w:rFonts w:ascii="Arial"/>
                <w:color w:val="auto"/>
                <w:sz w:val="21"/>
                <w:highlight w:val="none"/>
              </w:rPr>
            </w:pPr>
          </w:p>
        </w:tc>
        <w:tc>
          <w:tcPr>
            <w:tcW w:w="1004" w:type="dxa"/>
            <w:vAlign w:val="top"/>
          </w:tcPr>
          <w:p w14:paraId="033F15BC">
            <w:pPr>
              <w:rPr>
                <w:rFonts w:ascii="Arial"/>
                <w:color w:val="auto"/>
                <w:sz w:val="21"/>
                <w:highlight w:val="none"/>
              </w:rPr>
            </w:pPr>
          </w:p>
        </w:tc>
        <w:tc>
          <w:tcPr>
            <w:tcW w:w="1253" w:type="dxa"/>
            <w:vAlign w:val="top"/>
          </w:tcPr>
          <w:p w14:paraId="441BF0AF">
            <w:pPr>
              <w:rPr>
                <w:rFonts w:ascii="Arial"/>
                <w:color w:val="auto"/>
                <w:sz w:val="21"/>
                <w:highlight w:val="none"/>
              </w:rPr>
            </w:pPr>
          </w:p>
        </w:tc>
        <w:tc>
          <w:tcPr>
            <w:tcW w:w="1512" w:type="dxa"/>
            <w:tcBorders>
              <w:right w:val="single" w:color="000000" w:sz="6" w:space="0"/>
            </w:tcBorders>
            <w:vAlign w:val="top"/>
          </w:tcPr>
          <w:p w14:paraId="19769008">
            <w:pPr>
              <w:rPr>
                <w:rFonts w:ascii="Arial"/>
                <w:color w:val="auto"/>
                <w:sz w:val="21"/>
                <w:highlight w:val="none"/>
              </w:rPr>
            </w:pPr>
          </w:p>
        </w:tc>
      </w:tr>
      <w:tr w14:paraId="487C0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5BF95FDD">
            <w:pPr>
              <w:rPr>
                <w:rFonts w:ascii="Arial"/>
                <w:color w:val="auto"/>
                <w:sz w:val="21"/>
                <w:highlight w:val="none"/>
              </w:rPr>
            </w:pPr>
          </w:p>
        </w:tc>
        <w:tc>
          <w:tcPr>
            <w:tcW w:w="2540" w:type="dxa"/>
            <w:vAlign w:val="top"/>
          </w:tcPr>
          <w:p w14:paraId="064CDD34">
            <w:pPr>
              <w:rPr>
                <w:rFonts w:ascii="Arial"/>
                <w:color w:val="auto"/>
                <w:sz w:val="21"/>
                <w:highlight w:val="none"/>
              </w:rPr>
            </w:pPr>
          </w:p>
        </w:tc>
        <w:tc>
          <w:tcPr>
            <w:tcW w:w="2003" w:type="dxa"/>
            <w:vAlign w:val="top"/>
          </w:tcPr>
          <w:p w14:paraId="7FD05B78">
            <w:pPr>
              <w:rPr>
                <w:rFonts w:ascii="Arial"/>
                <w:color w:val="auto"/>
                <w:sz w:val="21"/>
                <w:highlight w:val="none"/>
              </w:rPr>
            </w:pPr>
          </w:p>
        </w:tc>
        <w:tc>
          <w:tcPr>
            <w:tcW w:w="1004" w:type="dxa"/>
            <w:vAlign w:val="top"/>
          </w:tcPr>
          <w:p w14:paraId="63DF3ABD">
            <w:pPr>
              <w:rPr>
                <w:rFonts w:ascii="Arial"/>
                <w:color w:val="auto"/>
                <w:sz w:val="21"/>
                <w:highlight w:val="none"/>
              </w:rPr>
            </w:pPr>
          </w:p>
        </w:tc>
        <w:tc>
          <w:tcPr>
            <w:tcW w:w="1253" w:type="dxa"/>
            <w:vAlign w:val="top"/>
          </w:tcPr>
          <w:p w14:paraId="03E09C4F">
            <w:pPr>
              <w:rPr>
                <w:rFonts w:ascii="Arial"/>
                <w:color w:val="auto"/>
                <w:sz w:val="21"/>
                <w:highlight w:val="none"/>
              </w:rPr>
            </w:pPr>
          </w:p>
        </w:tc>
        <w:tc>
          <w:tcPr>
            <w:tcW w:w="1512" w:type="dxa"/>
            <w:tcBorders>
              <w:right w:val="single" w:color="000000" w:sz="6" w:space="0"/>
            </w:tcBorders>
            <w:vAlign w:val="top"/>
          </w:tcPr>
          <w:p w14:paraId="2032378C">
            <w:pPr>
              <w:rPr>
                <w:rFonts w:ascii="Arial"/>
                <w:color w:val="auto"/>
                <w:sz w:val="21"/>
                <w:highlight w:val="none"/>
              </w:rPr>
            </w:pPr>
          </w:p>
        </w:tc>
      </w:tr>
      <w:tr w14:paraId="136C4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36" w:type="dxa"/>
            <w:tcBorders>
              <w:left w:val="single" w:color="000000" w:sz="6" w:space="0"/>
            </w:tcBorders>
            <w:vAlign w:val="top"/>
          </w:tcPr>
          <w:p w14:paraId="62FCC69C">
            <w:pPr>
              <w:rPr>
                <w:rFonts w:ascii="Arial"/>
                <w:color w:val="auto"/>
                <w:sz w:val="21"/>
                <w:highlight w:val="none"/>
              </w:rPr>
            </w:pPr>
          </w:p>
        </w:tc>
        <w:tc>
          <w:tcPr>
            <w:tcW w:w="2540" w:type="dxa"/>
            <w:vAlign w:val="top"/>
          </w:tcPr>
          <w:p w14:paraId="0FC7DBFE">
            <w:pPr>
              <w:rPr>
                <w:rFonts w:ascii="Arial"/>
                <w:color w:val="auto"/>
                <w:sz w:val="21"/>
                <w:highlight w:val="none"/>
              </w:rPr>
            </w:pPr>
          </w:p>
        </w:tc>
        <w:tc>
          <w:tcPr>
            <w:tcW w:w="2003" w:type="dxa"/>
            <w:vAlign w:val="top"/>
          </w:tcPr>
          <w:p w14:paraId="13562282">
            <w:pPr>
              <w:rPr>
                <w:rFonts w:ascii="Arial"/>
                <w:color w:val="auto"/>
                <w:sz w:val="21"/>
                <w:highlight w:val="none"/>
              </w:rPr>
            </w:pPr>
          </w:p>
        </w:tc>
        <w:tc>
          <w:tcPr>
            <w:tcW w:w="1004" w:type="dxa"/>
            <w:vAlign w:val="top"/>
          </w:tcPr>
          <w:p w14:paraId="7D282DD3">
            <w:pPr>
              <w:rPr>
                <w:rFonts w:ascii="Arial"/>
                <w:color w:val="auto"/>
                <w:sz w:val="21"/>
                <w:highlight w:val="none"/>
              </w:rPr>
            </w:pPr>
          </w:p>
        </w:tc>
        <w:tc>
          <w:tcPr>
            <w:tcW w:w="1253" w:type="dxa"/>
            <w:vAlign w:val="top"/>
          </w:tcPr>
          <w:p w14:paraId="5D430F8E">
            <w:pPr>
              <w:rPr>
                <w:rFonts w:ascii="Arial"/>
                <w:color w:val="auto"/>
                <w:sz w:val="21"/>
                <w:highlight w:val="none"/>
              </w:rPr>
            </w:pPr>
          </w:p>
        </w:tc>
        <w:tc>
          <w:tcPr>
            <w:tcW w:w="1512" w:type="dxa"/>
            <w:tcBorders>
              <w:right w:val="single" w:color="000000" w:sz="6" w:space="0"/>
            </w:tcBorders>
            <w:vAlign w:val="top"/>
          </w:tcPr>
          <w:p w14:paraId="0E7814B4">
            <w:pPr>
              <w:rPr>
                <w:rFonts w:ascii="Arial"/>
                <w:color w:val="auto"/>
                <w:sz w:val="21"/>
                <w:highlight w:val="none"/>
              </w:rPr>
            </w:pPr>
          </w:p>
        </w:tc>
      </w:tr>
      <w:tr w14:paraId="3869E2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709FB56A">
            <w:pPr>
              <w:rPr>
                <w:rFonts w:ascii="Arial"/>
                <w:color w:val="auto"/>
                <w:sz w:val="21"/>
                <w:highlight w:val="none"/>
              </w:rPr>
            </w:pPr>
          </w:p>
        </w:tc>
        <w:tc>
          <w:tcPr>
            <w:tcW w:w="2540" w:type="dxa"/>
            <w:vAlign w:val="top"/>
          </w:tcPr>
          <w:p w14:paraId="5F93D40F">
            <w:pPr>
              <w:rPr>
                <w:rFonts w:ascii="Arial"/>
                <w:color w:val="auto"/>
                <w:sz w:val="21"/>
                <w:highlight w:val="none"/>
              </w:rPr>
            </w:pPr>
          </w:p>
        </w:tc>
        <w:tc>
          <w:tcPr>
            <w:tcW w:w="2003" w:type="dxa"/>
            <w:vAlign w:val="top"/>
          </w:tcPr>
          <w:p w14:paraId="63461772">
            <w:pPr>
              <w:rPr>
                <w:rFonts w:ascii="Arial"/>
                <w:color w:val="auto"/>
                <w:sz w:val="21"/>
                <w:highlight w:val="none"/>
              </w:rPr>
            </w:pPr>
          </w:p>
        </w:tc>
        <w:tc>
          <w:tcPr>
            <w:tcW w:w="1004" w:type="dxa"/>
            <w:vAlign w:val="top"/>
          </w:tcPr>
          <w:p w14:paraId="48948675">
            <w:pPr>
              <w:rPr>
                <w:rFonts w:ascii="Arial"/>
                <w:color w:val="auto"/>
                <w:sz w:val="21"/>
                <w:highlight w:val="none"/>
              </w:rPr>
            </w:pPr>
          </w:p>
        </w:tc>
        <w:tc>
          <w:tcPr>
            <w:tcW w:w="1253" w:type="dxa"/>
            <w:vAlign w:val="top"/>
          </w:tcPr>
          <w:p w14:paraId="3B7681FD">
            <w:pPr>
              <w:rPr>
                <w:rFonts w:ascii="Arial"/>
                <w:color w:val="auto"/>
                <w:sz w:val="21"/>
                <w:highlight w:val="none"/>
              </w:rPr>
            </w:pPr>
          </w:p>
        </w:tc>
        <w:tc>
          <w:tcPr>
            <w:tcW w:w="1512" w:type="dxa"/>
            <w:tcBorders>
              <w:right w:val="single" w:color="000000" w:sz="6" w:space="0"/>
            </w:tcBorders>
            <w:vAlign w:val="top"/>
          </w:tcPr>
          <w:p w14:paraId="461B7A4A">
            <w:pPr>
              <w:rPr>
                <w:rFonts w:ascii="Arial"/>
                <w:color w:val="auto"/>
                <w:sz w:val="21"/>
                <w:highlight w:val="none"/>
              </w:rPr>
            </w:pPr>
          </w:p>
        </w:tc>
      </w:tr>
      <w:tr w14:paraId="2DFF4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10C988AA">
            <w:pPr>
              <w:rPr>
                <w:rFonts w:ascii="Arial"/>
                <w:color w:val="auto"/>
                <w:sz w:val="21"/>
                <w:highlight w:val="none"/>
              </w:rPr>
            </w:pPr>
          </w:p>
        </w:tc>
        <w:tc>
          <w:tcPr>
            <w:tcW w:w="2540" w:type="dxa"/>
            <w:vAlign w:val="top"/>
          </w:tcPr>
          <w:p w14:paraId="592E27BD">
            <w:pPr>
              <w:rPr>
                <w:rFonts w:ascii="Arial"/>
                <w:color w:val="auto"/>
                <w:sz w:val="21"/>
                <w:highlight w:val="none"/>
              </w:rPr>
            </w:pPr>
          </w:p>
        </w:tc>
        <w:tc>
          <w:tcPr>
            <w:tcW w:w="2003" w:type="dxa"/>
            <w:vAlign w:val="top"/>
          </w:tcPr>
          <w:p w14:paraId="48B16019">
            <w:pPr>
              <w:rPr>
                <w:rFonts w:ascii="Arial"/>
                <w:color w:val="auto"/>
                <w:sz w:val="21"/>
                <w:highlight w:val="none"/>
              </w:rPr>
            </w:pPr>
          </w:p>
        </w:tc>
        <w:tc>
          <w:tcPr>
            <w:tcW w:w="1004" w:type="dxa"/>
            <w:vAlign w:val="top"/>
          </w:tcPr>
          <w:p w14:paraId="49F4C72D">
            <w:pPr>
              <w:rPr>
                <w:rFonts w:ascii="Arial"/>
                <w:color w:val="auto"/>
                <w:sz w:val="21"/>
                <w:highlight w:val="none"/>
              </w:rPr>
            </w:pPr>
          </w:p>
        </w:tc>
        <w:tc>
          <w:tcPr>
            <w:tcW w:w="1253" w:type="dxa"/>
            <w:vAlign w:val="top"/>
          </w:tcPr>
          <w:p w14:paraId="409D8097">
            <w:pPr>
              <w:rPr>
                <w:rFonts w:ascii="Arial"/>
                <w:color w:val="auto"/>
                <w:sz w:val="21"/>
                <w:highlight w:val="none"/>
              </w:rPr>
            </w:pPr>
          </w:p>
        </w:tc>
        <w:tc>
          <w:tcPr>
            <w:tcW w:w="1512" w:type="dxa"/>
            <w:tcBorders>
              <w:right w:val="single" w:color="000000" w:sz="6" w:space="0"/>
            </w:tcBorders>
            <w:vAlign w:val="top"/>
          </w:tcPr>
          <w:p w14:paraId="38C30414">
            <w:pPr>
              <w:rPr>
                <w:rFonts w:ascii="Arial"/>
                <w:color w:val="auto"/>
                <w:sz w:val="21"/>
                <w:highlight w:val="none"/>
              </w:rPr>
            </w:pPr>
          </w:p>
        </w:tc>
      </w:tr>
      <w:tr w14:paraId="29C86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36" w:type="dxa"/>
            <w:tcBorders>
              <w:left w:val="single" w:color="000000" w:sz="6" w:space="0"/>
            </w:tcBorders>
            <w:vAlign w:val="top"/>
          </w:tcPr>
          <w:p w14:paraId="4F9EB79F">
            <w:pPr>
              <w:rPr>
                <w:rFonts w:ascii="Arial"/>
                <w:color w:val="auto"/>
                <w:sz w:val="21"/>
                <w:highlight w:val="none"/>
              </w:rPr>
            </w:pPr>
          </w:p>
        </w:tc>
        <w:tc>
          <w:tcPr>
            <w:tcW w:w="2540" w:type="dxa"/>
            <w:vAlign w:val="top"/>
          </w:tcPr>
          <w:p w14:paraId="6FC08085">
            <w:pPr>
              <w:rPr>
                <w:rFonts w:ascii="Arial"/>
                <w:color w:val="auto"/>
                <w:sz w:val="21"/>
                <w:highlight w:val="none"/>
              </w:rPr>
            </w:pPr>
          </w:p>
        </w:tc>
        <w:tc>
          <w:tcPr>
            <w:tcW w:w="2003" w:type="dxa"/>
            <w:vAlign w:val="top"/>
          </w:tcPr>
          <w:p w14:paraId="5C9FD28D">
            <w:pPr>
              <w:rPr>
                <w:rFonts w:ascii="Arial"/>
                <w:color w:val="auto"/>
                <w:sz w:val="21"/>
                <w:highlight w:val="none"/>
              </w:rPr>
            </w:pPr>
          </w:p>
        </w:tc>
        <w:tc>
          <w:tcPr>
            <w:tcW w:w="1004" w:type="dxa"/>
            <w:vAlign w:val="top"/>
          </w:tcPr>
          <w:p w14:paraId="1ABC62F5">
            <w:pPr>
              <w:rPr>
                <w:rFonts w:ascii="Arial"/>
                <w:color w:val="auto"/>
                <w:sz w:val="21"/>
                <w:highlight w:val="none"/>
              </w:rPr>
            </w:pPr>
          </w:p>
        </w:tc>
        <w:tc>
          <w:tcPr>
            <w:tcW w:w="1253" w:type="dxa"/>
            <w:vAlign w:val="top"/>
          </w:tcPr>
          <w:p w14:paraId="014090C5">
            <w:pPr>
              <w:rPr>
                <w:rFonts w:ascii="Arial"/>
                <w:color w:val="auto"/>
                <w:sz w:val="21"/>
                <w:highlight w:val="none"/>
              </w:rPr>
            </w:pPr>
          </w:p>
        </w:tc>
        <w:tc>
          <w:tcPr>
            <w:tcW w:w="1512" w:type="dxa"/>
            <w:tcBorders>
              <w:right w:val="single" w:color="000000" w:sz="6" w:space="0"/>
            </w:tcBorders>
            <w:vAlign w:val="top"/>
          </w:tcPr>
          <w:p w14:paraId="7B1F9AF5">
            <w:pPr>
              <w:rPr>
                <w:rFonts w:ascii="Arial"/>
                <w:color w:val="auto"/>
                <w:sz w:val="21"/>
                <w:highlight w:val="none"/>
              </w:rPr>
            </w:pPr>
          </w:p>
        </w:tc>
      </w:tr>
      <w:tr w14:paraId="55E1C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691B5768">
            <w:pPr>
              <w:rPr>
                <w:rFonts w:ascii="Arial"/>
                <w:color w:val="auto"/>
                <w:sz w:val="21"/>
                <w:highlight w:val="none"/>
              </w:rPr>
            </w:pPr>
          </w:p>
        </w:tc>
        <w:tc>
          <w:tcPr>
            <w:tcW w:w="2540" w:type="dxa"/>
            <w:vAlign w:val="top"/>
          </w:tcPr>
          <w:p w14:paraId="55B743F7">
            <w:pPr>
              <w:rPr>
                <w:rFonts w:ascii="Arial"/>
                <w:color w:val="auto"/>
                <w:sz w:val="21"/>
                <w:highlight w:val="none"/>
              </w:rPr>
            </w:pPr>
          </w:p>
        </w:tc>
        <w:tc>
          <w:tcPr>
            <w:tcW w:w="2003" w:type="dxa"/>
            <w:vAlign w:val="top"/>
          </w:tcPr>
          <w:p w14:paraId="273A0AC7">
            <w:pPr>
              <w:rPr>
                <w:rFonts w:ascii="Arial"/>
                <w:color w:val="auto"/>
                <w:sz w:val="21"/>
                <w:highlight w:val="none"/>
              </w:rPr>
            </w:pPr>
          </w:p>
        </w:tc>
        <w:tc>
          <w:tcPr>
            <w:tcW w:w="1004" w:type="dxa"/>
            <w:vAlign w:val="top"/>
          </w:tcPr>
          <w:p w14:paraId="4F102DD5">
            <w:pPr>
              <w:rPr>
                <w:rFonts w:ascii="Arial"/>
                <w:color w:val="auto"/>
                <w:sz w:val="21"/>
                <w:highlight w:val="none"/>
              </w:rPr>
            </w:pPr>
          </w:p>
        </w:tc>
        <w:tc>
          <w:tcPr>
            <w:tcW w:w="1253" w:type="dxa"/>
            <w:vAlign w:val="top"/>
          </w:tcPr>
          <w:p w14:paraId="3248D8AD">
            <w:pPr>
              <w:rPr>
                <w:rFonts w:ascii="Arial"/>
                <w:color w:val="auto"/>
                <w:sz w:val="21"/>
                <w:highlight w:val="none"/>
              </w:rPr>
            </w:pPr>
          </w:p>
        </w:tc>
        <w:tc>
          <w:tcPr>
            <w:tcW w:w="1512" w:type="dxa"/>
            <w:tcBorders>
              <w:right w:val="single" w:color="000000" w:sz="6" w:space="0"/>
            </w:tcBorders>
            <w:vAlign w:val="top"/>
          </w:tcPr>
          <w:p w14:paraId="0C8D246C">
            <w:pPr>
              <w:rPr>
                <w:rFonts w:ascii="Arial"/>
                <w:color w:val="auto"/>
                <w:sz w:val="21"/>
                <w:highlight w:val="none"/>
              </w:rPr>
            </w:pPr>
          </w:p>
        </w:tc>
      </w:tr>
      <w:tr w14:paraId="16875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36" w:type="dxa"/>
            <w:tcBorders>
              <w:left w:val="single" w:color="000000" w:sz="6" w:space="0"/>
            </w:tcBorders>
            <w:vAlign w:val="top"/>
          </w:tcPr>
          <w:p w14:paraId="3D021EA1">
            <w:pPr>
              <w:rPr>
                <w:rFonts w:ascii="Arial"/>
                <w:color w:val="auto"/>
                <w:sz w:val="21"/>
                <w:highlight w:val="none"/>
              </w:rPr>
            </w:pPr>
          </w:p>
        </w:tc>
        <w:tc>
          <w:tcPr>
            <w:tcW w:w="2540" w:type="dxa"/>
            <w:vAlign w:val="top"/>
          </w:tcPr>
          <w:p w14:paraId="129B29FD">
            <w:pPr>
              <w:rPr>
                <w:rFonts w:ascii="Arial"/>
                <w:color w:val="auto"/>
                <w:sz w:val="21"/>
                <w:highlight w:val="none"/>
              </w:rPr>
            </w:pPr>
          </w:p>
        </w:tc>
        <w:tc>
          <w:tcPr>
            <w:tcW w:w="2003" w:type="dxa"/>
            <w:vAlign w:val="top"/>
          </w:tcPr>
          <w:p w14:paraId="092D2E5E">
            <w:pPr>
              <w:rPr>
                <w:rFonts w:ascii="Arial"/>
                <w:color w:val="auto"/>
                <w:sz w:val="21"/>
                <w:highlight w:val="none"/>
              </w:rPr>
            </w:pPr>
          </w:p>
        </w:tc>
        <w:tc>
          <w:tcPr>
            <w:tcW w:w="1004" w:type="dxa"/>
            <w:vAlign w:val="top"/>
          </w:tcPr>
          <w:p w14:paraId="1985A4C9">
            <w:pPr>
              <w:rPr>
                <w:rFonts w:ascii="Arial"/>
                <w:color w:val="auto"/>
                <w:sz w:val="21"/>
                <w:highlight w:val="none"/>
              </w:rPr>
            </w:pPr>
          </w:p>
        </w:tc>
        <w:tc>
          <w:tcPr>
            <w:tcW w:w="1253" w:type="dxa"/>
            <w:vAlign w:val="top"/>
          </w:tcPr>
          <w:p w14:paraId="20F71E6D">
            <w:pPr>
              <w:rPr>
                <w:rFonts w:ascii="Arial"/>
                <w:color w:val="auto"/>
                <w:sz w:val="21"/>
                <w:highlight w:val="none"/>
              </w:rPr>
            </w:pPr>
          </w:p>
        </w:tc>
        <w:tc>
          <w:tcPr>
            <w:tcW w:w="1512" w:type="dxa"/>
            <w:tcBorders>
              <w:right w:val="single" w:color="000000" w:sz="6" w:space="0"/>
            </w:tcBorders>
            <w:vAlign w:val="top"/>
          </w:tcPr>
          <w:p w14:paraId="07E7C3B1">
            <w:pPr>
              <w:rPr>
                <w:rFonts w:ascii="Arial"/>
                <w:color w:val="auto"/>
                <w:sz w:val="21"/>
                <w:highlight w:val="none"/>
              </w:rPr>
            </w:pPr>
          </w:p>
        </w:tc>
      </w:tr>
      <w:tr w14:paraId="3B5EA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836" w:type="dxa"/>
            <w:tcBorders>
              <w:left w:val="single" w:color="000000" w:sz="6" w:space="0"/>
              <w:bottom w:val="single" w:color="000000" w:sz="6" w:space="0"/>
            </w:tcBorders>
            <w:vAlign w:val="top"/>
          </w:tcPr>
          <w:p w14:paraId="4E60EA4E">
            <w:pPr>
              <w:rPr>
                <w:rFonts w:ascii="Arial"/>
                <w:color w:val="auto"/>
                <w:sz w:val="21"/>
                <w:highlight w:val="none"/>
              </w:rPr>
            </w:pPr>
          </w:p>
        </w:tc>
        <w:tc>
          <w:tcPr>
            <w:tcW w:w="2540" w:type="dxa"/>
            <w:tcBorders>
              <w:bottom w:val="single" w:color="000000" w:sz="6" w:space="0"/>
            </w:tcBorders>
            <w:vAlign w:val="top"/>
          </w:tcPr>
          <w:p w14:paraId="35AFA972">
            <w:pPr>
              <w:rPr>
                <w:rFonts w:ascii="Arial"/>
                <w:color w:val="auto"/>
                <w:sz w:val="21"/>
                <w:highlight w:val="none"/>
              </w:rPr>
            </w:pPr>
          </w:p>
        </w:tc>
        <w:tc>
          <w:tcPr>
            <w:tcW w:w="2003" w:type="dxa"/>
            <w:tcBorders>
              <w:bottom w:val="single" w:color="000000" w:sz="6" w:space="0"/>
            </w:tcBorders>
            <w:vAlign w:val="top"/>
          </w:tcPr>
          <w:p w14:paraId="369CE05E">
            <w:pPr>
              <w:rPr>
                <w:rFonts w:ascii="Arial"/>
                <w:color w:val="auto"/>
                <w:sz w:val="21"/>
                <w:highlight w:val="none"/>
              </w:rPr>
            </w:pPr>
          </w:p>
        </w:tc>
        <w:tc>
          <w:tcPr>
            <w:tcW w:w="1004" w:type="dxa"/>
            <w:tcBorders>
              <w:bottom w:val="single" w:color="000000" w:sz="6" w:space="0"/>
            </w:tcBorders>
            <w:vAlign w:val="top"/>
          </w:tcPr>
          <w:p w14:paraId="2126E7AA">
            <w:pPr>
              <w:rPr>
                <w:rFonts w:ascii="Arial"/>
                <w:color w:val="auto"/>
                <w:sz w:val="21"/>
                <w:highlight w:val="none"/>
              </w:rPr>
            </w:pPr>
          </w:p>
        </w:tc>
        <w:tc>
          <w:tcPr>
            <w:tcW w:w="1253" w:type="dxa"/>
            <w:tcBorders>
              <w:bottom w:val="single" w:color="000000" w:sz="6" w:space="0"/>
            </w:tcBorders>
            <w:vAlign w:val="top"/>
          </w:tcPr>
          <w:p w14:paraId="1368B748">
            <w:pPr>
              <w:rPr>
                <w:rFonts w:ascii="Arial"/>
                <w:color w:val="auto"/>
                <w:sz w:val="21"/>
                <w:highlight w:val="none"/>
              </w:rPr>
            </w:pPr>
          </w:p>
        </w:tc>
        <w:tc>
          <w:tcPr>
            <w:tcW w:w="1512" w:type="dxa"/>
            <w:tcBorders>
              <w:bottom w:val="single" w:color="000000" w:sz="6" w:space="0"/>
              <w:right w:val="single" w:color="000000" w:sz="6" w:space="0"/>
            </w:tcBorders>
            <w:vAlign w:val="top"/>
          </w:tcPr>
          <w:p w14:paraId="3224DA94">
            <w:pPr>
              <w:rPr>
                <w:rFonts w:ascii="Arial"/>
                <w:color w:val="auto"/>
                <w:sz w:val="21"/>
                <w:highlight w:val="none"/>
              </w:rPr>
            </w:pPr>
          </w:p>
        </w:tc>
      </w:tr>
    </w:tbl>
    <w:p w14:paraId="117DE936">
      <w:pPr>
        <w:pStyle w:val="3"/>
        <w:rPr>
          <w:color w:val="auto"/>
          <w:highlight w:val="none"/>
        </w:rPr>
      </w:pPr>
    </w:p>
    <w:p w14:paraId="0FAA25EA">
      <w:pPr>
        <w:rPr>
          <w:color w:val="auto"/>
          <w:highlight w:val="none"/>
        </w:rPr>
        <w:sectPr>
          <w:footerReference r:id="rId178" w:type="default"/>
          <w:pgSz w:w="11907" w:h="16841"/>
          <w:pgMar w:top="400" w:right="1154" w:bottom="1254" w:left="1588" w:header="0" w:footer="1093" w:gutter="0"/>
          <w:pgNumType w:fmt="decimal"/>
          <w:cols w:space="720" w:num="1"/>
        </w:sectPr>
      </w:pPr>
    </w:p>
    <w:p w14:paraId="40848CD3">
      <w:pPr>
        <w:pStyle w:val="3"/>
        <w:spacing w:line="246" w:lineRule="auto"/>
        <w:rPr>
          <w:color w:val="auto"/>
          <w:highlight w:val="none"/>
        </w:rPr>
      </w:pPr>
    </w:p>
    <w:p w14:paraId="3EA0B76C">
      <w:pPr>
        <w:pStyle w:val="3"/>
        <w:spacing w:line="246" w:lineRule="auto"/>
        <w:rPr>
          <w:color w:val="auto"/>
          <w:highlight w:val="none"/>
        </w:rPr>
      </w:pPr>
    </w:p>
    <w:p w14:paraId="2CCEFCAB">
      <w:pPr>
        <w:pStyle w:val="3"/>
        <w:spacing w:line="246" w:lineRule="auto"/>
        <w:rPr>
          <w:color w:val="auto"/>
          <w:highlight w:val="none"/>
        </w:rPr>
      </w:pPr>
    </w:p>
    <w:p w14:paraId="1111F44C">
      <w:pPr>
        <w:pStyle w:val="3"/>
        <w:spacing w:line="246" w:lineRule="auto"/>
        <w:rPr>
          <w:color w:val="auto"/>
          <w:highlight w:val="none"/>
        </w:rPr>
      </w:pPr>
    </w:p>
    <w:p w14:paraId="2AAAE0C6">
      <w:pPr>
        <w:spacing w:before="91" w:line="219" w:lineRule="auto"/>
        <w:ind w:left="2439"/>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主要材料用量及预算价格汇总表</w:t>
      </w:r>
    </w:p>
    <w:p w14:paraId="0025E9FD">
      <w:pPr>
        <w:spacing w:before="206" w:line="220" w:lineRule="auto"/>
        <w:ind w:left="1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第</w:t>
      </w:r>
      <w:r>
        <w:rPr>
          <w:rFonts w:ascii="宋体" w:hAnsi="宋体" w:eastAsia="宋体" w:cs="宋体"/>
          <w:color w:val="auto"/>
          <w:spacing w:val="12"/>
          <w:sz w:val="24"/>
          <w:szCs w:val="24"/>
          <w:highlight w:val="none"/>
        </w:rPr>
        <w:t xml:space="preserve">  </w:t>
      </w:r>
      <w:r>
        <w:rPr>
          <w:rFonts w:ascii="宋体" w:hAnsi="宋体" w:eastAsia="宋体" w:cs="宋体"/>
          <w:color w:val="auto"/>
          <w:spacing w:val="-2"/>
          <w:sz w:val="24"/>
          <w:szCs w:val="24"/>
          <w:highlight w:val="none"/>
        </w:rPr>
        <w:t>页共</w:t>
      </w:r>
      <w:r>
        <w:rPr>
          <w:rFonts w:ascii="宋体" w:hAnsi="宋体" w:eastAsia="宋体" w:cs="宋体"/>
          <w:color w:val="auto"/>
          <w:spacing w:val="7"/>
          <w:sz w:val="24"/>
          <w:szCs w:val="24"/>
          <w:highlight w:val="none"/>
        </w:rPr>
        <w:t xml:space="preserve">  </w:t>
      </w:r>
      <w:r>
        <w:rPr>
          <w:rFonts w:ascii="宋体" w:hAnsi="宋体" w:eastAsia="宋体" w:cs="宋体"/>
          <w:color w:val="auto"/>
          <w:spacing w:val="-2"/>
          <w:sz w:val="24"/>
          <w:szCs w:val="24"/>
          <w:highlight w:val="none"/>
        </w:rPr>
        <w:t>页</w:t>
      </w:r>
    </w:p>
    <w:p w14:paraId="56D5AFAD">
      <w:pPr>
        <w:spacing w:line="143" w:lineRule="exact"/>
        <w:rPr>
          <w:color w:val="auto"/>
          <w:highlight w:val="none"/>
        </w:rPr>
      </w:pPr>
    </w:p>
    <w:tbl>
      <w:tblPr>
        <w:tblStyle w:val="16"/>
        <w:tblW w:w="90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4"/>
        <w:gridCol w:w="1608"/>
        <w:gridCol w:w="1557"/>
        <w:gridCol w:w="848"/>
        <w:gridCol w:w="992"/>
        <w:gridCol w:w="1306"/>
        <w:gridCol w:w="1272"/>
        <w:gridCol w:w="719"/>
      </w:tblGrid>
      <w:tr w14:paraId="2725D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74" w:type="dxa"/>
            <w:tcBorders>
              <w:top w:val="single" w:color="000000" w:sz="6" w:space="0"/>
              <w:left w:val="single" w:color="000000" w:sz="6" w:space="0"/>
            </w:tcBorders>
            <w:vAlign w:val="top"/>
          </w:tcPr>
          <w:p w14:paraId="55B08E70">
            <w:pPr>
              <w:pStyle w:val="17"/>
              <w:spacing w:before="275" w:line="221" w:lineRule="auto"/>
              <w:ind w:left="144"/>
              <w:rPr>
                <w:color w:val="auto"/>
                <w:sz w:val="24"/>
                <w:szCs w:val="24"/>
                <w:highlight w:val="none"/>
              </w:rPr>
            </w:pPr>
            <w:r>
              <w:rPr>
                <w:color w:val="auto"/>
                <w:spacing w:val="-3"/>
                <w:sz w:val="24"/>
                <w:szCs w:val="24"/>
                <w:highlight w:val="none"/>
              </w:rPr>
              <w:t>序号</w:t>
            </w:r>
          </w:p>
        </w:tc>
        <w:tc>
          <w:tcPr>
            <w:tcW w:w="1608" w:type="dxa"/>
            <w:tcBorders>
              <w:top w:val="single" w:color="000000" w:sz="6" w:space="0"/>
            </w:tcBorders>
            <w:vAlign w:val="top"/>
          </w:tcPr>
          <w:p w14:paraId="4FFC7BBA">
            <w:pPr>
              <w:pStyle w:val="17"/>
              <w:spacing w:before="275" w:line="219" w:lineRule="auto"/>
              <w:ind w:left="324"/>
              <w:rPr>
                <w:color w:val="auto"/>
                <w:sz w:val="24"/>
                <w:szCs w:val="24"/>
                <w:highlight w:val="none"/>
              </w:rPr>
            </w:pPr>
            <w:r>
              <w:rPr>
                <w:color w:val="auto"/>
                <w:spacing w:val="-2"/>
                <w:sz w:val="24"/>
                <w:szCs w:val="24"/>
                <w:highlight w:val="none"/>
              </w:rPr>
              <w:t>材料名称</w:t>
            </w:r>
          </w:p>
        </w:tc>
        <w:tc>
          <w:tcPr>
            <w:tcW w:w="1557" w:type="dxa"/>
            <w:tcBorders>
              <w:top w:val="single" w:color="000000" w:sz="6" w:space="0"/>
            </w:tcBorders>
            <w:vAlign w:val="top"/>
          </w:tcPr>
          <w:p w14:paraId="173C3B65">
            <w:pPr>
              <w:pStyle w:val="17"/>
              <w:spacing w:before="275" w:line="220" w:lineRule="auto"/>
              <w:ind w:left="310"/>
              <w:rPr>
                <w:color w:val="auto"/>
                <w:sz w:val="24"/>
                <w:szCs w:val="24"/>
                <w:highlight w:val="none"/>
              </w:rPr>
            </w:pPr>
            <w:r>
              <w:rPr>
                <w:color w:val="auto"/>
                <w:spacing w:val="-4"/>
                <w:sz w:val="24"/>
                <w:szCs w:val="24"/>
                <w:highlight w:val="none"/>
              </w:rPr>
              <w:t>型号规格</w:t>
            </w:r>
          </w:p>
        </w:tc>
        <w:tc>
          <w:tcPr>
            <w:tcW w:w="848" w:type="dxa"/>
            <w:tcBorders>
              <w:top w:val="single" w:color="000000" w:sz="6" w:space="0"/>
            </w:tcBorders>
            <w:vAlign w:val="top"/>
          </w:tcPr>
          <w:p w14:paraId="75A7B0DA">
            <w:pPr>
              <w:pStyle w:val="17"/>
              <w:spacing w:before="42" w:line="221" w:lineRule="auto"/>
              <w:ind w:left="190"/>
              <w:rPr>
                <w:color w:val="auto"/>
                <w:sz w:val="24"/>
                <w:szCs w:val="24"/>
                <w:highlight w:val="none"/>
              </w:rPr>
            </w:pPr>
            <w:r>
              <w:rPr>
                <w:color w:val="auto"/>
                <w:spacing w:val="-3"/>
                <w:sz w:val="24"/>
                <w:szCs w:val="24"/>
                <w:highlight w:val="none"/>
              </w:rPr>
              <w:t>计量</w:t>
            </w:r>
          </w:p>
          <w:p w14:paraId="1F3C3E97">
            <w:pPr>
              <w:pStyle w:val="17"/>
              <w:spacing w:before="178" w:line="220" w:lineRule="auto"/>
              <w:ind w:left="192"/>
              <w:rPr>
                <w:color w:val="auto"/>
                <w:sz w:val="24"/>
                <w:szCs w:val="24"/>
                <w:highlight w:val="none"/>
              </w:rPr>
            </w:pPr>
            <w:r>
              <w:rPr>
                <w:color w:val="auto"/>
                <w:spacing w:val="-3"/>
                <w:sz w:val="24"/>
                <w:szCs w:val="24"/>
                <w:highlight w:val="none"/>
              </w:rPr>
              <w:t>单位</w:t>
            </w:r>
          </w:p>
        </w:tc>
        <w:tc>
          <w:tcPr>
            <w:tcW w:w="992" w:type="dxa"/>
            <w:tcBorders>
              <w:top w:val="single" w:color="000000" w:sz="6" w:space="0"/>
            </w:tcBorders>
            <w:vAlign w:val="top"/>
          </w:tcPr>
          <w:p w14:paraId="61F272CA">
            <w:pPr>
              <w:pStyle w:val="17"/>
              <w:spacing w:before="275" w:line="220" w:lineRule="auto"/>
              <w:ind w:left="263"/>
              <w:rPr>
                <w:color w:val="auto"/>
                <w:sz w:val="24"/>
                <w:szCs w:val="24"/>
                <w:highlight w:val="none"/>
              </w:rPr>
            </w:pPr>
            <w:r>
              <w:rPr>
                <w:color w:val="auto"/>
                <w:spacing w:val="-3"/>
                <w:sz w:val="24"/>
                <w:szCs w:val="24"/>
                <w:highlight w:val="none"/>
              </w:rPr>
              <w:t>数量</w:t>
            </w:r>
          </w:p>
        </w:tc>
        <w:tc>
          <w:tcPr>
            <w:tcW w:w="1306" w:type="dxa"/>
            <w:tcBorders>
              <w:top w:val="single" w:color="000000" w:sz="6" w:space="0"/>
            </w:tcBorders>
            <w:vAlign w:val="top"/>
          </w:tcPr>
          <w:p w14:paraId="31FFB840">
            <w:pPr>
              <w:pStyle w:val="17"/>
              <w:spacing w:before="42" w:line="218" w:lineRule="auto"/>
              <w:ind w:left="301"/>
              <w:rPr>
                <w:color w:val="auto"/>
                <w:sz w:val="24"/>
                <w:szCs w:val="24"/>
                <w:highlight w:val="none"/>
              </w:rPr>
            </w:pPr>
            <w:r>
              <w:rPr>
                <w:color w:val="auto"/>
                <w:spacing w:val="-3"/>
                <w:sz w:val="24"/>
                <w:szCs w:val="24"/>
                <w:highlight w:val="none"/>
              </w:rPr>
              <w:t>预算价</w:t>
            </w:r>
          </w:p>
          <w:p w14:paraId="159D459F">
            <w:pPr>
              <w:pStyle w:val="17"/>
              <w:spacing w:before="182" w:line="220" w:lineRule="auto"/>
              <w:ind w:left="306"/>
              <w:rPr>
                <w:color w:val="auto"/>
                <w:sz w:val="24"/>
                <w:szCs w:val="24"/>
                <w:highlight w:val="none"/>
              </w:rPr>
            </w:pPr>
            <w:r>
              <w:rPr>
                <w:color w:val="auto"/>
                <w:spacing w:val="-8"/>
                <w:sz w:val="24"/>
                <w:szCs w:val="24"/>
                <w:highlight w:val="none"/>
              </w:rPr>
              <w:t>（元）</w:t>
            </w:r>
          </w:p>
        </w:tc>
        <w:tc>
          <w:tcPr>
            <w:tcW w:w="1272" w:type="dxa"/>
            <w:tcBorders>
              <w:top w:val="single" w:color="000000" w:sz="6" w:space="0"/>
            </w:tcBorders>
            <w:vAlign w:val="top"/>
          </w:tcPr>
          <w:p w14:paraId="28E83D82">
            <w:pPr>
              <w:pStyle w:val="17"/>
              <w:spacing w:before="42" w:line="343" w:lineRule="auto"/>
              <w:ind w:left="293" w:right="149" w:hanging="126"/>
              <w:rPr>
                <w:color w:val="auto"/>
                <w:sz w:val="24"/>
                <w:szCs w:val="24"/>
                <w:highlight w:val="none"/>
              </w:rPr>
            </w:pPr>
            <w:r>
              <w:rPr>
                <w:color w:val="auto"/>
                <w:spacing w:val="-3"/>
                <w:sz w:val="24"/>
                <w:szCs w:val="24"/>
                <w:highlight w:val="none"/>
              </w:rPr>
              <w:t>材料补差</w:t>
            </w:r>
            <w:r>
              <w:rPr>
                <w:color w:val="auto"/>
                <w:spacing w:val="-8"/>
                <w:sz w:val="24"/>
                <w:szCs w:val="24"/>
                <w:highlight w:val="none"/>
              </w:rPr>
              <w:t>（元）</w:t>
            </w:r>
          </w:p>
        </w:tc>
        <w:tc>
          <w:tcPr>
            <w:tcW w:w="719" w:type="dxa"/>
            <w:tcBorders>
              <w:top w:val="single" w:color="000000" w:sz="6" w:space="0"/>
              <w:right w:val="single" w:color="000000" w:sz="6" w:space="0"/>
            </w:tcBorders>
            <w:vAlign w:val="top"/>
          </w:tcPr>
          <w:p w14:paraId="7C262329">
            <w:pPr>
              <w:pStyle w:val="17"/>
              <w:spacing w:before="275" w:line="221" w:lineRule="auto"/>
              <w:ind w:left="129"/>
              <w:rPr>
                <w:color w:val="auto"/>
                <w:sz w:val="24"/>
                <w:szCs w:val="24"/>
                <w:highlight w:val="none"/>
              </w:rPr>
            </w:pPr>
            <w:r>
              <w:rPr>
                <w:color w:val="auto"/>
                <w:spacing w:val="-4"/>
                <w:sz w:val="24"/>
                <w:szCs w:val="24"/>
                <w:highlight w:val="none"/>
              </w:rPr>
              <w:t>备注</w:t>
            </w:r>
          </w:p>
        </w:tc>
      </w:tr>
      <w:tr w14:paraId="6D66A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3AE88C91">
            <w:pPr>
              <w:rPr>
                <w:rFonts w:ascii="Arial"/>
                <w:color w:val="auto"/>
                <w:sz w:val="21"/>
                <w:highlight w:val="none"/>
              </w:rPr>
            </w:pPr>
          </w:p>
        </w:tc>
        <w:tc>
          <w:tcPr>
            <w:tcW w:w="1608" w:type="dxa"/>
            <w:vAlign w:val="top"/>
          </w:tcPr>
          <w:p w14:paraId="4595F223">
            <w:pPr>
              <w:rPr>
                <w:rFonts w:ascii="Arial"/>
                <w:color w:val="auto"/>
                <w:sz w:val="21"/>
                <w:highlight w:val="none"/>
              </w:rPr>
            </w:pPr>
          </w:p>
        </w:tc>
        <w:tc>
          <w:tcPr>
            <w:tcW w:w="1557" w:type="dxa"/>
            <w:vAlign w:val="top"/>
          </w:tcPr>
          <w:p w14:paraId="0B2F42C9">
            <w:pPr>
              <w:rPr>
                <w:rFonts w:ascii="Arial"/>
                <w:color w:val="auto"/>
                <w:sz w:val="21"/>
                <w:highlight w:val="none"/>
              </w:rPr>
            </w:pPr>
          </w:p>
        </w:tc>
        <w:tc>
          <w:tcPr>
            <w:tcW w:w="848" w:type="dxa"/>
            <w:vAlign w:val="top"/>
          </w:tcPr>
          <w:p w14:paraId="53CCCBF5">
            <w:pPr>
              <w:rPr>
                <w:rFonts w:ascii="Arial"/>
                <w:color w:val="auto"/>
                <w:sz w:val="21"/>
                <w:highlight w:val="none"/>
              </w:rPr>
            </w:pPr>
          </w:p>
        </w:tc>
        <w:tc>
          <w:tcPr>
            <w:tcW w:w="992" w:type="dxa"/>
            <w:vAlign w:val="top"/>
          </w:tcPr>
          <w:p w14:paraId="0F305614">
            <w:pPr>
              <w:rPr>
                <w:rFonts w:ascii="Arial"/>
                <w:color w:val="auto"/>
                <w:sz w:val="21"/>
                <w:highlight w:val="none"/>
              </w:rPr>
            </w:pPr>
          </w:p>
        </w:tc>
        <w:tc>
          <w:tcPr>
            <w:tcW w:w="1306" w:type="dxa"/>
            <w:vAlign w:val="top"/>
          </w:tcPr>
          <w:p w14:paraId="5A1A9830">
            <w:pPr>
              <w:rPr>
                <w:rFonts w:ascii="Arial"/>
                <w:color w:val="auto"/>
                <w:sz w:val="21"/>
                <w:highlight w:val="none"/>
              </w:rPr>
            </w:pPr>
          </w:p>
        </w:tc>
        <w:tc>
          <w:tcPr>
            <w:tcW w:w="1272" w:type="dxa"/>
            <w:vAlign w:val="top"/>
          </w:tcPr>
          <w:p w14:paraId="2C63ACC4">
            <w:pPr>
              <w:rPr>
                <w:rFonts w:ascii="Arial"/>
                <w:color w:val="auto"/>
                <w:sz w:val="21"/>
                <w:highlight w:val="none"/>
              </w:rPr>
            </w:pPr>
          </w:p>
        </w:tc>
        <w:tc>
          <w:tcPr>
            <w:tcW w:w="719" w:type="dxa"/>
            <w:tcBorders>
              <w:right w:val="single" w:color="000000" w:sz="6" w:space="0"/>
            </w:tcBorders>
            <w:vAlign w:val="top"/>
          </w:tcPr>
          <w:p w14:paraId="49A7F576">
            <w:pPr>
              <w:rPr>
                <w:rFonts w:ascii="Arial"/>
                <w:color w:val="auto"/>
                <w:sz w:val="21"/>
                <w:highlight w:val="none"/>
              </w:rPr>
            </w:pPr>
          </w:p>
        </w:tc>
      </w:tr>
      <w:tr w14:paraId="64AB1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54BCE058">
            <w:pPr>
              <w:rPr>
                <w:rFonts w:ascii="Arial"/>
                <w:color w:val="auto"/>
                <w:sz w:val="21"/>
                <w:highlight w:val="none"/>
              </w:rPr>
            </w:pPr>
          </w:p>
        </w:tc>
        <w:tc>
          <w:tcPr>
            <w:tcW w:w="1608" w:type="dxa"/>
            <w:vAlign w:val="top"/>
          </w:tcPr>
          <w:p w14:paraId="1F044D04">
            <w:pPr>
              <w:rPr>
                <w:rFonts w:ascii="Arial"/>
                <w:color w:val="auto"/>
                <w:sz w:val="21"/>
                <w:highlight w:val="none"/>
              </w:rPr>
            </w:pPr>
          </w:p>
        </w:tc>
        <w:tc>
          <w:tcPr>
            <w:tcW w:w="1557" w:type="dxa"/>
            <w:vAlign w:val="top"/>
          </w:tcPr>
          <w:p w14:paraId="7DA4BD2C">
            <w:pPr>
              <w:rPr>
                <w:rFonts w:ascii="Arial"/>
                <w:color w:val="auto"/>
                <w:sz w:val="21"/>
                <w:highlight w:val="none"/>
              </w:rPr>
            </w:pPr>
          </w:p>
        </w:tc>
        <w:tc>
          <w:tcPr>
            <w:tcW w:w="848" w:type="dxa"/>
            <w:vAlign w:val="top"/>
          </w:tcPr>
          <w:p w14:paraId="375FC4D2">
            <w:pPr>
              <w:rPr>
                <w:rFonts w:ascii="Arial"/>
                <w:color w:val="auto"/>
                <w:sz w:val="21"/>
                <w:highlight w:val="none"/>
              </w:rPr>
            </w:pPr>
          </w:p>
        </w:tc>
        <w:tc>
          <w:tcPr>
            <w:tcW w:w="992" w:type="dxa"/>
            <w:vAlign w:val="top"/>
          </w:tcPr>
          <w:p w14:paraId="56393A4B">
            <w:pPr>
              <w:rPr>
                <w:rFonts w:ascii="Arial"/>
                <w:color w:val="auto"/>
                <w:sz w:val="21"/>
                <w:highlight w:val="none"/>
              </w:rPr>
            </w:pPr>
          </w:p>
        </w:tc>
        <w:tc>
          <w:tcPr>
            <w:tcW w:w="1306" w:type="dxa"/>
            <w:vAlign w:val="top"/>
          </w:tcPr>
          <w:p w14:paraId="3D0CFFFA">
            <w:pPr>
              <w:rPr>
                <w:rFonts w:ascii="Arial"/>
                <w:color w:val="auto"/>
                <w:sz w:val="21"/>
                <w:highlight w:val="none"/>
              </w:rPr>
            </w:pPr>
          </w:p>
        </w:tc>
        <w:tc>
          <w:tcPr>
            <w:tcW w:w="1272" w:type="dxa"/>
            <w:vAlign w:val="top"/>
          </w:tcPr>
          <w:p w14:paraId="0765615E">
            <w:pPr>
              <w:rPr>
                <w:rFonts w:ascii="Arial"/>
                <w:color w:val="auto"/>
                <w:sz w:val="21"/>
                <w:highlight w:val="none"/>
              </w:rPr>
            </w:pPr>
          </w:p>
        </w:tc>
        <w:tc>
          <w:tcPr>
            <w:tcW w:w="719" w:type="dxa"/>
            <w:tcBorders>
              <w:right w:val="single" w:color="000000" w:sz="6" w:space="0"/>
            </w:tcBorders>
            <w:vAlign w:val="top"/>
          </w:tcPr>
          <w:p w14:paraId="25F68E7C">
            <w:pPr>
              <w:rPr>
                <w:rFonts w:ascii="Arial"/>
                <w:color w:val="auto"/>
                <w:sz w:val="21"/>
                <w:highlight w:val="none"/>
              </w:rPr>
            </w:pPr>
          </w:p>
        </w:tc>
      </w:tr>
      <w:tr w14:paraId="364EA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1E8EF71A">
            <w:pPr>
              <w:rPr>
                <w:rFonts w:ascii="Arial"/>
                <w:color w:val="auto"/>
                <w:sz w:val="21"/>
                <w:highlight w:val="none"/>
              </w:rPr>
            </w:pPr>
          </w:p>
        </w:tc>
        <w:tc>
          <w:tcPr>
            <w:tcW w:w="1608" w:type="dxa"/>
            <w:vAlign w:val="top"/>
          </w:tcPr>
          <w:p w14:paraId="1245B68D">
            <w:pPr>
              <w:rPr>
                <w:rFonts w:ascii="Arial"/>
                <w:color w:val="auto"/>
                <w:sz w:val="21"/>
                <w:highlight w:val="none"/>
              </w:rPr>
            </w:pPr>
          </w:p>
        </w:tc>
        <w:tc>
          <w:tcPr>
            <w:tcW w:w="1557" w:type="dxa"/>
            <w:vAlign w:val="top"/>
          </w:tcPr>
          <w:p w14:paraId="19457790">
            <w:pPr>
              <w:rPr>
                <w:rFonts w:ascii="Arial"/>
                <w:color w:val="auto"/>
                <w:sz w:val="21"/>
                <w:highlight w:val="none"/>
              </w:rPr>
            </w:pPr>
          </w:p>
        </w:tc>
        <w:tc>
          <w:tcPr>
            <w:tcW w:w="848" w:type="dxa"/>
            <w:vAlign w:val="top"/>
          </w:tcPr>
          <w:p w14:paraId="4827DFC3">
            <w:pPr>
              <w:rPr>
                <w:rFonts w:ascii="Arial"/>
                <w:color w:val="auto"/>
                <w:sz w:val="21"/>
                <w:highlight w:val="none"/>
              </w:rPr>
            </w:pPr>
          </w:p>
        </w:tc>
        <w:tc>
          <w:tcPr>
            <w:tcW w:w="992" w:type="dxa"/>
            <w:vAlign w:val="top"/>
          </w:tcPr>
          <w:p w14:paraId="5CA2AF18">
            <w:pPr>
              <w:rPr>
                <w:rFonts w:ascii="Arial"/>
                <w:color w:val="auto"/>
                <w:sz w:val="21"/>
                <w:highlight w:val="none"/>
              </w:rPr>
            </w:pPr>
          </w:p>
        </w:tc>
        <w:tc>
          <w:tcPr>
            <w:tcW w:w="1306" w:type="dxa"/>
            <w:vAlign w:val="top"/>
          </w:tcPr>
          <w:p w14:paraId="49B30BD1">
            <w:pPr>
              <w:rPr>
                <w:rFonts w:ascii="Arial"/>
                <w:color w:val="auto"/>
                <w:sz w:val="21"/>
                <w:highlight w:val="none"/>
              </w:rPr>
            </w:pPr>
          </w:p>
        </w:tc>
        <w:tc>
          <w:tcPr>
            <w:tcW w:w="1272" w:type="dxa"/>
            <w:vAlign w:val="top"/>
          </w:tcPr>
          <w:p w14:paraId="57E96F9A">
            <w:pPr>
              <w:rPr>
                <w:rFonts w:ascii="Arial"/>
                <w:color w:val="auto"/>
                <w:sz w:val="21"/>
                <w:highlight w:val="none"/>
              </w:rPr>
            </w:pPr>
          </w:p>
        </w:tc>
        <w:tc>
          <w:tcPr>
            <w:tcW w:w="719" w:type="dxa"/>
            <w:tcBorders>
              <w:right w:val="single" w:color="000000" w:sz="6" w:space="0"/>
            </w:tcBorders>
            <w:vAlign w:val="top"/>
          </w:tcPr>
          <w:p w14:paraId="2A4C888C">
            <w:pPr>
              <w:rPr>
                <w:rFonts w:ascii="Arial"/>
                <w:color w:val="auto"/>
                <w:sz w:val="21"/>
                <w:highlight w:val="none"/>
              </w:rPr>
            </w:pPr>
          </w:p>
        </w:tc>
      </w:tr>
      <w:tr w14:paraId="11850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6FEAAA85">
            <w:pPr>
              <w:rPr>
                <w:rFonts w:ascii="Arial"/>
                <w:color w:val="auto"/>
                <w:sz w:val="21"/>
                <w:highlight w:val="none"/>
              </w:rPr>
            </w:pPr>
          </w:p>
        </w:tc>
        <w:tc>
          <w:tcPr>
            <w:tcW w:w="1608" w:type="dxa"/>
            <w:vAlign w:val="top"/>
          </w:tcPr>
          <w:p w14:paraId="2B55B07C">
            <w:pPr>
              <w:rPr>
                <w:rFonts w:ascii="Arial"/>
                <w:color w:val="auto"/>
                <w:sz w:val="21"/>
                <w:highlight w:val="none"/>
              </w:rPr>
            </w:pPr>
          </w:p>
        </w:tc>
        <w:tc>
          <w:tcPr>
            <w:tcW w:w="1557" w:type="dxa"/>
            <w:vAlign w:val="top"/>
          </w:tcPr>
          <w:p w14:paraId="2160F8F6">
            <w:pPr>
              <w:rPr>
                <w:rFonts w:ascii="Arial"/>
                <w:color w:val="auto"/>
                <w:sz w:val="21"/>
                <w:highlight w:val="none"/>
              </w:rPr>
            </w:pPr>
          </w:p>
        </w:tc>
        <w:tc>
          <w:tcPr>
            <w:tcW w:w="848" w:type="dxa"/>
            <w:vAlign w:val="top"/>
          </w:tcPr>
          <w:p w14:paraId="5D76E8E5">
            <w:pPr>
              <w:rPr>
                <w:rFonts w:ascii="Arial"/>
                <w:color w:val="auto"/>
                <w:sz w:val="21"/>
                <w:highlight w:val="none"/>
              </w:rPr>
            </w:pPr>
          </w:p>
        </w:tc>
        <w:tc>
          <w:tcPr>
            <w:tcW w:w="992" w:type="dxa"/>
            <w:vAlign w:val="top"/>
          </w:tcPr>
          <w:p w14:paraId="49CB9AEC">
            <w:pPr>
              <w:rPr>
                <w:rFonts w:ascii="Arial"/>
                <w:color w:val="auto"/>
                <w:sz w:val="21"/>
                <w:highlight w:val="none"/>
              </w:rPr>
            </w:pPr>
          </w:p>
        </w:tc>
        <w:tc>
          <w:tcPr>
            <w:tcW w:w="1306" w:type="dxa"/>
            <w:vAlign w:val="top"/>
          </w:tcPr>
          <w:p w14:paraId="2E0A717C">
            <w:pPr>
              <w:rPr>
                <w:rFonts w:ascii="Arial"/>
                <w:color w:val="auto"/>
                <w:sz w:val="21"/>
                <w:highlight w:val="none"/>
              </w:rPr>
            </w:pPr>
          </w:p>
        </w:tc>
        <w:tc>
          <w:tcPr>
            <w:tcW w:w="1272" w:type="dxa"/>
            <w:vAlign w:val="top"/>
          </w:tcPr>
          <w:p w14:paraId="34E501A8">
            <w:pPr>
              <w:rPr>
                <w:rFonts w:ascii="Arial"/>
                <w:color w:val="auto"/>
                <w:sz w:val="21"/>
                <w:highlight w:val="none"/>
              </w:rPr>
            </w:pPr>
          </w:p>
        </w:tc>
        <w:tc>
          <w:tcPr>
            <w:tcW w:w="719" w:type="dxa"/>
            <w:tcBorders>
              <w:right w:val="single" w:color="000000" w:sz="6" w:space="0"/>
            </w:tcBorders>
            <w:vAlign w:val="top"/>
          </w:tcPr>
          <w:p w14:paraId="0B60F5F2">
            <w:pPr>
              <w:rPr>
                <w:rFonts w:ascii="Arial"/>
                <w:color w:val="auto"/>
                <w:sz w:val="21"/>
                <w:highlight w:val="none"/>
              </w:rPr>
            </w:pPr>
          </w:p>
        </w:tc>
      </w:tr>
      <w:tr w14:paraId="68782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74" w:type="dxa"/>
            <w:tcBorders>
              <w:left w:val="single" w:color="000000" w:sz="6" w:space="0"/>
            </w:tcBorders>
            <w:vAlign w:val="top"/>
          </w:tcPr>
          <w:p w14:paraId="6F56B68F">
            <w:pPr>
              <w:rPr>
                <w:rFonts w:ascii="Arial"/>
                <w:color w:val="auto"/>
                <w:sz w:val="21"/>
                <w:highlight w:val="none"/>
              </w:rPr>
            </w:pPr>
          </w:p>
        </w:tc>
        <w:tc>
          <w:tcPr>
            <w:tcW w:w="1608" w:type="dxa"/>
            <w:vAlign w:val="top"/>
          </w:tcPr>
          <w:p w14:paraId="4D8EB2FE">
            <w:pPr>
              <w:rPr>
                <w:rFonts w:ascii="Arial"/>
                <w:color w:val="auto"/>
                <w:sz w:val="21"/>
                <w:highlight w:val="none"/>
              </w:rPr>
            </w:pPr>
          </w:p>
        </w:tc>
        <w:tc>
          <w:tcPr>
            <w:tcW w:w="1557" w:type="dxa"/>
            <w:vAlign w:val="top"/>
          </w:tcPr>
          <w:p w14:paraId="60EDB85B">
            <w:pPr>
              <w:rPr>
                <w:rFonts w:ascii="Arial"/>
                <w:color w:val="auto"/>
                <w:sz w:val="21"/>
                <w:highlight w:val="none"/>
              </w:rPr>
            </w:pPr>
          </w:p>
        </w:tc>
        <w:tc>
          <w:tcPr>
            <w:tcW w:w="848" w:type="dxa"/>
            <w:vAlign w:val="top"/>
          </w:tcPr>
          <w:p w14:paraId="30408110">
            <w:pPr>
              <w:rPr>
                <w:rFonts w:ascii="Arial"/>
                <w:color w:val="auto"/>
                <w:sz w:val="21"/>
                <w:highlight w:val="none"/>
              </w:rPr>
            </w:pPr>
          </w:p>
        </w:tc>
        <w:tc>
          <w:tcPr>
            <w:tcW w:w="992" w:type="dxa"/>
            <w:vAlign w:val="top"/>
          </w:tcPr>
          <w:p w14:paraId="03285BDC">
            <w:pPr>
              <w:rPr>
                <w:rFonts w:ascii="Arial"/>
                <w:color w:val="auto"/>
                <w:sz w:val="21"/>
                <w:highlight w:val="none"/>
              </w:rPr>
            </w:pPr>
          </w:p>
        </w:tc>
        <w:tc>
          <w:tcPr>
            <w:tcW w:w="1306" w:type="dxa"/>
            <w:vAlign w:val="top"/>
          </w:tcPr>
          <w:p w14:paraId="001268C9">
            <w:pPr>
              <w:rPr>
                <w:rFonts w:ascii="Arial"/>
                <w:color w:val="auto"/>
                <w:sz w:val="21"/>
                <w:highlight w:val="none"/>
              </w:rPr>
            </w:pPr>
          </w:p>
        </w:tc>
        <w:tc>
          <w:tcPr>
            <w:tcW w:w="1272" w:type="dxa"/>
            <w:vAlign w:val="top"/>
          </w:tcPr>
          <w:p w14:paraId="0534DBA1">
            <w:pPr>
              <w:rPr>
                <w:rFonts w:ascii="Arial"/>
                <w:color w:val="auto"/>
                <w:sz w:val="21"/>
                <w:highlight w:val="none"/>
              </w:rPr>
            </w:pPr>
          </w:p>
        </w:tc>
        <w:tc>
          <w:tcPr>
            <w:tcW w:w="719" w:type="dxa"/>
            <w:tcBorders>
              <w:right w:val="single" w:color="000000" w:sz="6" w:space="0"/>
            </w:tcBorders>
            <w:vAlign w:val="top"/>
          </w:tcPr>
          <w:p w14:paraId="3880819E">
            <w:pPr>
              <w:rPr>
                <w:rFonts w:ascii="Arial"/>
                <w:color w:val="auto"/>
                <w:sz w:val="21"/>
                <w:highlight w:val="none"/>
              </w:rPr>
            </w:pPr>
          </w:p>
        </w:tc>
      </w:tr>
      <w:tr w14:paraId="604E2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41CDEB55">
            <w:pPr>
              <w:rPr>
                <w:rFonts w:ascii="Arial"/>
                <w:color w:val="auto"/>
                <w:sz w:val="21"/>
                <w:highlight w:val="none"/>
              </w:rPr>
            </w:pPr>
          </w:p>
        </w:tc>
        <w:tc>
          <w:tcPr>
            <w:tcW w:w="1608" w:type="dxa"/>
            <w:vAlign w:val="top"/>
          </w:tcPr>
          <w:p w14:paraId="0A9D0112">
            <w:pPr>
              <w:rPr>
                <w:rFonts w:ascii="Arial"/>
                <w:color w:val="auto"/>
                <w:sz w:val="21"/>
                <w:highlight w:val="none"/>
              </w:rPr>
            </w:pPr>
          </w:p>
        </w:tc>
        <w:tc>
          <w:tcPr>
            <w:tcW w:w="1557" w:type="dxa"/>
            <w:vAlign w:val="top"/>
          </w:tcPr>
          <w:p w14:paraId="005F9BB6">
            <w:pPr>
              <w:rPr>
                <w:rFonts w:ascii="Arial"/>
                <w:color w:val="auto"/>
                <w:sz w:val="21"/>
                <w:highlight w:val="none"/>
              </w:rPr>
            </w:pPr>
          </w:p>
        </w:tc>
        <w:tc>
          <w:tcPr>
            <w:tcW w:w="848" w:type="dxa"/>
            <w:vAlign w:val="top"/>
          </w:tcPr>
          <w:p w14:paraId="501AC9DC">
            <w:pPr>
              <w:rPr>
                <w:rFonts w:ascii="Arial"/>
                <w:color w:val="auto"/>
                <w:sz w:val="21"/>
                <w:highlight w:val="none"/>
              </w:rPr>
            </w:pPr>
          </w:p>
        </w:tc>
        <w:tc>
          <w:tcPr>
            <w:tcW w:w="992" w:type="dxa"/>
            <w:vAlign w:val="top"/>
          </w:tcPr>
          <w:p w14:paraId="66AEC7AA">
            <w:pPr>
              <w:rPr>
                <w:rFonts w:ascii="Arial"/>
                <w:color w:val="auto"/>
                <w:sz w:val="21"/>
                <w:highlight w:val="none"/>
              </w:rPr>
            </w:pPr>
          </w:p>
        </w:tc>
        <w:tc>
          <w:tcPr>
            <w:tcW w:w="1306" w:type="dxa"/>
            <w:vAlign w:val="top"/>
          </w:tcPr>
          <w:p w14:paraId="77C3A7B0">
            <w:pPr>
              <w:rPr>
                <w:rFonts w:ascii="Arial"/>
                <w:color w:val="auto"/>
                <w:sz w:val="21"/>
                <w:highlight w:val="none"/>
              </w:rPr>
            </w:pPr>
          </w:p>
        </w:tc>
        <w:tc>
          <w:tcPr>
            <w:tcW w:w="1272" w:type="dxa"/>
            <w:vAlign w:val="top"/>
          </w:tcPr>
          <w:p w14:paraId="631C20C9">
            <w:pPr>
              <w:rPr>
                <w:rFonts w:ascii="Arial"/>
                <w:color w:val="auto"/>
                <w:sz w:val="21"/>
                <w:highlight w:val="none"/>
              </w:rPr>
            </w:pPr>
          </w:p>
        </w:tc>
        <w:tc>
          <w:tcPr>
            <w:tcW w:w="719" w:type="dxa"/>
            <w:tcBorders>
              <w:right w:val="single" w:color="000000" w:sz="6" w:space="0"/>
            </w:tcBorders>
            <w:vAlign w:val="top"/>
          </w:tcPr>
          <w:p w14:paraId="38EA2146">
            <w:pPr>
              <w:rPr>
                <w:rFonts w:ascii="Arial"/>
                <w:color w:val="auto"/>
                <w:sz w:val="21"/>
                <w:highlight w:val="none"/>
              </w:rPr>
            </w:pPr>
          </w:p>
        </w:tc>
      </w:tr>
      <w:tr w14:paraId="02697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221BE3BB">
            <w:pPr>
              <w:rPr>
                <w:rFonts w:ascii="Arial"/>
                <w:color w:val="auto"/>
                <w:sz w:val="21"/>
                <w:highlight w:val="none"/>
              </w:rPr>
            </w:pPr>
          </w:p>
        </w:tc>
        <w:tc>
          <w:tcPr>
            <w:tcW w:w="1608" w:type="dxa"/>
            <w:vAlign w:val="top"/>
          </w:tcPr>
          <w:p w14:paraId="118F4D67">
            <w:pPr>
              <w:rPr>
                <w:rFonts w:ascii="Arial"/>
                <w:color w:val="auto"/>
                <w:sz w:val="21"/>
                <w:highlight w:val="none"/>
              </w:rPr>
            </w:pPr>
          </w:p>
        </w:tc>
        <w:tc>
          <w:tcPr>
            <w:tcW w:w="1557" w:type="dxa"/>
            <w:vAlign w:val="top"/>
          </w:tcPr>
          <w:p w14:paraId="44FE723C">
            <w:pPr>
              <w:rPr>
                <w:rFonts w:ascii="Arial"/>
                <w:color w:val="auto"/>
                <w:sz w:val="21"/>
                <w:highlight w:val="none"/>
              </w:rPr>
            </w:pPr>
          </w:p>
        </w:tc>
        <w:tc>
          <w:tcPr>
            <w:tcW w:w="848" w:type="dxa"/>
            <w:vAlign w:val="top"/>
          </w:tcPr>
          <w:p w14:paraId="7AB52530">
            <w:pPr>
              <w:rPr>
                <w:rFonts w:ascii="Arial"/>
                <w:color w:val="auto"/>
                <w:sz w:val="21"/>
                <w:highlight w:val="none"/>
              </w:rPr>
            </w:pPr>
          </w:p>
        </w:tc>
        <w:tc>
          <w:tcPr>
            <w:tcW w:w="992" w:type="dxa"/>
            <w:vAlign w:val="top"/>
          </w:tcPr>
          <w:p w14:paraId="7564A784">
            <w:pPr>
              <w:rPr>
                <w:rFonts w:ascii="Arial"/>
                <w:color w:val="auto"/>
                <w:sz w:val="21"/>
                <w:highlight w:val="none"/>
              </w:rPr>
            </w:pPr>
          </w:p>
        </w:tc>
        <w:tc>
          <w:tcPr>
            <w:tcW w:w="1306" w:type="dxa"/>
            <w:vAlign w:val="top"/>
          </w:tcPr>
          <w:p w14:paraId="51FF288D">
            <w:pPr>
              <w:rPr>
                <w:rFonts w:ascii="Arial"/>
                <w:color w:val="auto"/>
                <w:sz w:val="21"/>
                <w:highlight w:val="none"/>
              </w:rPr>
            </w:pPr>
          </w:p>
        </w:tc>
        <w:tc>
          <w:tcPr>
            <w:tcW w:w="1272" w:type="dxa"/>
            <w:vAlign w:val="top"/>
          </w:tcPr>
          <w:p w14:paraId="30DB0242">
            <w:pPr>
              <w:rPr>
                <w:rFonts w:ascii="Arial"/>
                <w:color w:val="auto"/>
                <w:sz w:val="21"/>
                <w:highlight w:val="none"/>
              </w:rPr>
            </w:pPr>
          </w:p>
        </w:tc>
        <w:tc>
          <w:tcPr>
            <w:tcW w:w="719" w:type="dxa"/>
            <w:tcBorders>
              <w:right w:val="single" w:color="000000" w:sz="6" w:space="0"/>
            </w:tcBorders>
            <w:vAlign w:val="top"/>
          </w:tcPr>
          <w:p w14:paraId="643784A6">
            <w:pPr>
              <w:rPr>
                <w:rFonts w:ascii="Arial"/>
                <w:color w:val="auto"/>
                <w:sz w:val="21"/>
                <w:highlight w:val="none"/>
              </w:rPr>
            </w:pPr>
          </w:p>
        </w:tc>
      </w:tr>
      <w:tr w14:paraId="09A8B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1314D414">
            <w:pPr>
              <w:rPr>
                <w:rFonts w:ascii="Arial"/>
                <w:color w:val="auto"/>
                <w:sz w:val="21"/>
                <w:highlight w:val="none"/>
              </w:rPr>
            </w:pPr>
          </w:p>
        </w:tc>
        <w:tc>
          <w:tcPr>
            <w:tcW w:w="1608" w:type="dxa"/>
            <w:vAlign w:val="top"/>
          </w:tcPr>
          <w:p w14:paraId="63C933E1">
            <w:pPr>
              <w:rPr>
                <w:rFonts w:ascii="Arial"/>
                <w:color w:val="auto"/>
                <w:sz w:val="21"/>
                <w:highlight w:val="none"/>
              </w:rPr>
            </w:pPr>
          </w:p>
        </w:tc>
        <w:tc>
          <w:tcPr>
            <w:tcW w:w="1557" w:type="dxa"/>
            <w:vAlign w:val="top"/>
          </w:tcPr>
          <w:p w14:paraId="75B34529">
            <w:pPr>
              <w:rPr>
                <w:rFonts w:ascii="Arial"/>
                <w:color w:val="auto"/>
                <w:sz w:val="21"/>
                <w:highlight w:val="none"/>
              </w:rPr>
            </w:pPr>
          </w:p>
        </w:tc>
        <w:tc>
          <w:tcPr>
            <w:tcW w:w="848" w:type="dxa"/>
            <w:vAlign w:val="top"/>
          </w:tcPr>
          <w:p w14:paraId="0F35150B">
            <w:pPr>
              <w:rPr>
                <w:rFonts w:ascii="Arial"/>
                <w:color w:val="auto"/>
                <w:sz w:val="21"/>
                <w:highlight w:val="none"/>
              </w:rPr>
            </w:pPr>
          </w:p>
        </w:tc>
        <w:tc>
          <w:tcPr>
            <w:tcW w:w="992" w:type="dxa"/>
            <w:vAlign w:val="top"/>
          </w:tcPr>
          <w:p w14:paraId="2D8E8046">
            <w:pPr>
              <w:rPr>
                <w:rFonts w:ascii="Arial"/>
                <w:color w:val="auto"/>
                <w:sz w:val="21"/>
                <w:highlight w:val="none"/>
              </w:rPr>
            </w:pPr>
          </w:p>
        </w:tc>
        <w:tc>
          <w:tcPr>
            <w:tcW w:w="1306" w:type="dxa"/>
            <w:vAlign w:val="top"/>
          </w:tcPr>
          <w:p w14:paraId="10BB5A1C">
            <w:pPr>
              <w:rPr>
                <w:rFonts w:ascii="Arial"/>
                <w:color w:val="auto"/>
                <w:sz w:val="21"/>
                <w:highlight w:val="none"/>
              </w:rPr>
            </w:pPr>
          </w:p>
        </w:tc>
        <w:tc>
          <w:tcPr>
            <w:tcW w:w="1272" w:type="dxa"/>
            <w:vAlign w:val="top"/>
          </w:tcPr>
          <w:p w14:paraId="56ED21F6">
            <w:pPr>
              <w:rPr>
                <w:rFonts w:ascii="Arial"/>
                <w:color w:val="auto"/>
                <w:sz w:val="21"/>
                <w:highlight w:val="none"/>
              </w:rPr>
            </w:pPr>
          </w:p>
        </w:tc>
        <w:tc>
          <w:tcPr>
            <w:tcW w:w="719" w:type="dxa"/>
            <w:tcBorders>
              <w:right w:val="single" w:color="000000" w:sz="6" w:space="0"/>
            </w:tcBorders>
            <w:vAlign w:val="top"/>
          </w:tcPr>
          <w:p w14:paraId="259DE6D7">
            <w:pPr>
              <w:rPr>
                <w:rFonts w:ascii="Arial"/>
                <w:color w:val="auto"/>
                <w:sz w:val="21"/>
                <w:highlight w:val="none"/>
              </w:rPr>
            </w:pPr>
          </w:p>
        </w:tc>
      </w:tr>
      <w:tr w14:paraId="30A6B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2FBE9079">
            <w:pPr>
              <w:rPr>
                <w:rFonts w:ascii="Arial"/>
                <w:color w:val="auto"/>
                <w:sz w:val="21"/>
                <w:highlight w:val="none"/>
              </w:rPr>
            </w:pPr>
          </w:p>
        </w:tc>
        <w:tc>
          <w:tcPr>
            <w:tcW w:w="1608" w:type="dxa"/>
            <w:vAlign w:val="top"/>
          </w:tcPr>
          <w:p w14:paraId="37749ACA">
            <w:pPr>
              <w:rPr>
                <w:rFonts w:ascii="Arial"/>
                <w:color w:val="auto"/>
                <w:sz w:val="21"/>
                <w:highlight w:val="none"/>
              </w:rPr>
            </w:pPr>
          </w:p>
        </w:tc>
        <w:tc>
          <w:tcPr>
            <w:tcW w:w="1557" w:type="dxa"/>
            <w:vAlign w:val="top"/>
          </w:tcPr>
          <w:p w14:paraId="739331D6">
            <w:pPr>
              <w:rPr>
                <w:rFonts w:ascii="Arial"/>
                <w:color w:val="auto"/>
                <w:sz w:val="21"/>
                <w:highlight w:val="none"/>
              </w:rPr>
            </w:pPr>
          </w:p>
        </w:tc>
        <w:tc>
          <w:tcPr>
            <w:tcW w:w="848" w:type="dxa"/>
            <w:vAlign w:val="top"/>
          </w:tcPr>
          <w:p w14:paraId="40F530C7">
            <w:pPr>
              <w:rPr>
                <w:rFonts w:ascii="Arial"/>
                <w:color w:val="auto"/>
                <w:sz w:val="21"/>
                <w:highlight w:val="none"/>
              </w:rPr>
            </w:pPr>
          </w:p>
        </w:tc>
        <w:tc>
          <w:tcPr>
            <w:tcW w:w="992" w:type="dxa"/>
            <w:vAlign w:val="top"/>
          </w:tcPr>
          <w:p w14:paraId="526373AA">
            <w:pPr>
              <w:rPr>
                <w:rFonts w:ascii="Arial"/>
                <w:color w:val="auto"/>
                <w:sz w:val="21"/>
                <w:highlight w:val="none"/>
              </w:rPr>
            </w:pPr>
          </w:p>
        </w:tc>
        <w:tc>
          <w:tcPr>
            <w:tcW w:w="1306" w:type="dxa"/>
            <w:vAlign w:val="top"/>
          </w:tcPr>
          <w:p w14:paraId="005D561B">
            <w:pPr>
              <w:rPr>
                <w:rFonts w:ascii="Arial"/>
                <w:color w:val="auto"/>
                <w:sz w:val="21"/>
                <w:highlight w:val="none"/>
              </w:rPr>
            </w:pPr>
          </w:p>
        </w:tc>
        <w:tc>
          <w:tcPr>
            <w:tcW w:w="1272" w:type="dxa"/>
            <w:vAlign w:val="top"/>
          </w:tcPr>
          <w:p w14:paraId="7BF41405">
            <w:pPr>
              <w:rPr>
                <w:rFonts w:ascii="Arial"/>
                <w:color w:val="auto"/>
                <w:sz w:val="21"/>
                <w:highlight w:val="none"/>
              </w:rPr>
            </w:pPr>
          </w:p>
        </w:tc>
        <w:tc>
          <w:tcPr>
            <w:tcW w:w="719" w:type="dxa"/>
            <w:tcBorders>
              <w:right w:val="single" w:color="000000" w:sz="6" w:space="0"/>
            </w:tcBorders>
            <w:vAlign w:val="top"/>
          </w:tcPr>
          <w:p w14:paraId="4D10E289">
            <w:pPr>
              <w:rPr>
                <w:rFonts w:ascii="Arial"/>
                <w:color w:val="auto"/>
                <w:sz w:val="21"/>
                <w:highlight w:val="none"/>
              </w:rPr>
            </w:pPr>
          </w:p>
        </w:tc>
      </w:tr>
      <w:tr w14:paraId="520B6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70C731A8">
            <w:pPr>
              <w:rPr>
                <w:rFonts w:ascii="Arial"/>
                <w:color w:val="auto"/>
                <w:sz w:val="21"/>
                <w:highlight w:val="none"/>
              </w:rPr>
            </w:pPr>
          </w:p>
        </w:tc>
        <w:tc>
          <w:tcPr>
            <w:tcW w:w="1608" w:type="dxa"/>
            <w:vAlign w:val="top"/>
          </w:tcPr>
          <w:p w14:paraId="7A39932A">
            <w:pPr>
              <w:rPr>
                <w:rFonts w:ascii="Arial"/>
                <w:color w:val="auto"/>
                <w:sz w:val="21"/>
                <w:highlight w:val="none"/>
              </w:rPr>
            </w:pPr>
          </w:p>
        </w:tc>
        <w:tc>
          <w:tcPr>
            <w:tcW w:w="1557" w:type="dxa"/>
            <w:vAlign w:val="top"/>
          </w:tcPr>
          <w:p w14:paraId="29833821">
            <w:pPr>
              <w:rPr>
                <w:rFonts w:ascii="Arial"/>
                <w:color w:val="auto"/>
                <w:sz w:val="21"/>
                <w:highlight w:val="none"/>
              </w:rPr>
            </w:pPr>
          </w:p>
        </w:tc>
        <w:tc>
          <w:tcPr>
            <w:tcW w:w="848" w:type="dxa"/>
            <w:vAlign w:val="top"/>
          </w:tcPr>
          <w:p w14:paraId="7300AC53">
            <w:pPr>
              <w:rPr>
                <w:rFonts w:ascii="Arial"/>
                <w:color w:val="auto"/>
                <w:sz w:val="21"/>
                <w:highlight w:val="none"/>
              </w:rPr>
            </w:pPr>
          </w:p>
        </w:tc>
        <w:tc>
          <w:tcPr>
            <w:tcW w:w="992" w:type="dxa"/>
            <w:vAlign w:val="top"/>
          </w:tcPr>
          <w:p w14:paraId="6E4772DC">
            <w:pPr>
              <w:rPr>
                <w:rFonts w:ascii="Arial"/>
                <w:color w:val="auto"/>
                <w:sz w:val="21"/>
                <w:highlight w:val="none"/>
              </w:rPr>
            </w:pPr>
          </w:p>
        </w:tc>
        <w:tc>
          <w:tcPr>
            <w:tcW w:w="1306" w:type="dxa"/>
            <w:vAlign w:val="top"/>
          </w:tcPr>
          <w:p w14:paraId="1CE025F0">
            <w:pPr>
              <w:rPr>
                <w:rFonts w:ascii="Arial"/>
                <w:color w:val="auto"/>
                <w:sz w:val="21"/>
                <w:highlight w:val="none"/>
              </w:rPr>
            </w:pPr>
          </w:p>
        </w:tc>
        <w:tc>
          <w:tcPr>
            <w:tcW w:w="1272" w:type="dxa"/>
            <w:vAlign w:val="top"/>
          </w:tcPr>
          <w:p w14:paraId="2F677C91">
            <w:pPr>
              <w:rPr>
                <w:rFonts w:ascii="Arial"/>
                <w:color w:val="auto"/>
                <w:sz w:val="21"/>
                <w:highlight w:val="none"/>
              </w:rPr>
            </w:pPr>
          </w:p>
        </w:tc>
        <w:tc>
          <w:tcPr>
            <w:tcW w:w="719" w:type="dxa"/>
            <w:tcBorders>
              <w:right w:val="single" w:color="000000" w:sz="6" w:space="0"/>
            </w:tcBorders>
            <w:vAlign w:val="top"/>
          </w:tcPr>
          <w:p w14:paraId="2D44531D">
            <w:pPr>
              <w:rPr>
                <w:rFonts w:ascii="Arial"/>
                <w:color w:val="auto"/>
                <w:sz w:val="21"/>
                <w:highlight w:val="none"/>
              </w:rPr>
            </w:pPr>
          </w:p>
        </w:tc>
      </w:tr>
      <w:tr w14:paraId="6070F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774" w:type="dxa"/>
            <w:tcBorders>
              <w:left w:val="single" w:color="000000" w:sz="6" w:space="0"/>
            </w:tcBorders>
            <w:vAlign w:val="top"/>
          </w:tcPr>
          <w:p w14:paraId="31391F5B">
            <w:pPr>
              <w:rPr>
                <w:rFonts w:ascii="Arial"/>
                <w:color w:val="auto"/>
                <w:sz w:val="21"/>
                <w:highlight w:val="none"/>
              </w:rPr>
            </w:pPr>
          </w:p>
        </w:tc>
        <w:tc>
          <w:tcPr>
            <w:tcW w:w="1608" w:type="dxa"/>
            <w:vAlign w:val="top"/>
          </w:tcPr>
          <w:p w14:paraId="623300BA">
            <w:pPr>
              <w:rPr>
                <w:rFonts w:ascii="Arial"/>
                <w:color w:val="auto"/>
                <w:sz w:val="21"/>
                <w:highlight w:val="none"/>
              </w:rPr>
            </w:pPr>
          </w:p>
        </w:tc>
        <w:tc>
          <w:tcPr>
            <w:tcW w:w="1557" w:type="dxa"/>
            <w:vAlign w:val="top"/>
          </w:tcPr>
          <w:p w14:paraId="11B3E870">
            <w:pPr>
              <w:rPr>
                <w:rFonts w:ascii="Arial"/>
                <w:color w:val="auto"/>
                <w:sz w:val="21"/>
                <w:highlight w:val="none"/>
              </w:rPr>
            </w:pPr>
          </w:p>
        </w:tc>
        <w:tc>
          <w:tcPr>
            <w:tcW w:w="848" w:type="dxa"/>
            <w:vAlign w:val="top"/>
          </w:tcPr>
          <w:p w14:paraId="12501BFC">
            <w:pPr>
              <w:rPr>
                <w:rFonts w:ascii="Arial"/>
                <w:color w:val="auto"/>
                <w:sz w:val="21"/>
                <w:highlight w:val="none"/>
              </w:rPr>
            </w:pPr>
          </w:p>
        </w:tc>
        <w:tc>
          <w:tcPr>
            <w:tcW w:w="992" w:type="dxa"/>
            <w:vAlign w:val="top"/>
          </w:tcPr>
          <w:p w14:paraId="5974360E">
            <w:pPr>
              <w:rPr>
                <w:rFonts w:ascii="Arial"/>
                <w:color w:val="auto"/>
                <w:sz w:val="21"/>
                <w:highlight w:val="none"/>
              </w:rPr>
            </w:pPr>
          </w:p>
        </w:tc>
        <w:tc>
          <w:tcPr>
            <w:tcW w:w="1306" w:type="dxa"/>
            <w:vAlign w:val="top"/>
          </w:tcPr>
          <w:p w14:paraId="3C07E198">
            <w:pPr>
              <w:rPr>
                <w:rFonts w:ascii="Arial"/>
                <w:color w:val="auto"/>
                <w:sz w:val="21"/>
                <w:highlight w:val="none"/>
              </w:rPr>
            </w:pPr>
          </w:p>
        </w:tc>
        <w:tc>
          <w:tcPr>
            <w:tcW w:w="1272" w:type="dxa"/>
            <w:vAlign w:val="top"/>
          </w:tcPr>
          <w:p w14:paraId="2D23FD90">
            <w:pPr>
              <w:rPr>
                <w:rFonts w:ascii="Arial"/>
                <w:color w:val="auto"/>
                <w:sz w:val="21"/>
                <w:highlight w:val="none"/>
              </w:rPr>
            </w:pPr>
          </w:p>
        </w:tc>
        <w:tc>
          <w:tcPr>
            <w:tcW w:w="719" w:type="dxa"/>
            <w:tcBorders>
              <w:right w:val="single" w:color="000000" w:sz="6" w:space="0"/>
            </w:tcBorders>
            <w:vAlign w:val="top"/>
          </w:tcPr>
          <w:p w14:paraId="4A06E468">
            <w:pPr>
              <w:rPr>
                <w:rFonts w:ascii="Arial"/>
                <w:color w:val="auto"/>
                <w:sz w:val="21"/>
                <w:highlight w:val="none"/>
              </w:rPr>
            </w:pPr>
          </w:p>
        </w:tc>
      </w:tr>
      <w:tr w14:paraId="16F23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57514403">
            <w:pPr>
              <w:rPr>
                <w:rFonts w:ascii="Arial"/>
                <w:color w:val="auto"/>
                <w:sz w:val="21"/>
                <w:highlight w:val="none"/>
              </w:rPr>
            </w:pPr>
          </w:p>
        </w:tc>
        <w:tc>
          <w:tcPr>
            <w:tcW w:w="1608" w:type="dxa"/>
            <w:vAlign w:val="top"/>
          </w:tcPr>
          <w:p w14:paraId="1DA3DE6D">
            <w:pPr>
              <w:rPr>
                <w:rFonts w:ascii="Arial"/>
                <w:color w:val="auto"/>
                <w:sz w:val="21"/>
                <w:highlight w:val="none"/>
              </w:rPr>
            </w:pPr>
          </w:p>
        </w:tc>
        <w:tc>
          <w:tcPr>
            <w:tcW w:w="1557" w:type="dxa"/>
            <w:vAlign w:val="top"/>
          </w:tcPr>
          <w:p w14:paraId="43BD5ECF">
            <w:pPr>
              <w:rPr>
                <w:rFonts w:ascii="Arial"/>
                <w:color w:val="auto"/>
                <w:sz w:val="21"/>
                <w:highlight w:val="none"/>
              </w:rPr>
            </w:pPr>
          </w:p>
        </w:tc>
        <w:tc>
          <w:tcPr>
            <w:tcW w:w="848" w:type="dxa"/>
            <w:vAlign w:val="top"/>
          </w:tcPr>
          <w:p w14:paraId="61608282">
            <w:pPr>
              <w:rPr>
                <w:rFonts w:ascii="Arial"/>
                <w:color w:val="auto"/>
                <w:sz w:val="21"/>
                <w:highlight w:val="none"/>
              </w:rPr>
            </w:pPr>
          </w:p>
        </w:tc>
        <w:tc>
          <w:tcPr>
            <w:tcW w:w="992" w:type="dxa"/>
            <w:vAlign w:val="top"/>
          </w:tcPr>
          <w:p w14:paraId="7EE1815E">
            <w:pPr>
              <w:rPr>
                <w:rFonts w:ascii="Arial"/>
                <w:color w:val="auto"/>
                <w:sz w:val="21"/>
                <w:highlight w:val="none"/>
              </w:rPr>
            </w:pPr>
          </w:p>
        </w:tc>
        <w:tc>
          <w:tcPr>
            <w:tcW w:w="1306" w:type="dxa"/>
            <w:vAlign w:val="top"/>
          </w:tcPr>
          <w:p w14:paraId="1DB374C1">
            <w:pPr>
              <w:rPr>
                <w:rFonts w:ascii="Arial"/>
                <w:color w:val="auto"/>
                <w:sz w:val="21"/>
                <w:highlight w:val="none"/>
              </w:rPr>
            </w:pPr>
          </w:p>
        </w:tc>
        <w:tc>
          <w:tcPr>
            <w:tcW w:w="1272" w:type="dxa"/>
            <w:vAlign w:val="top"/>
          </w:tcPr>
          <w:p w14:paraId="1CCF959F">
            <w:pPr>
              <w:rPr>
                <w:rFonts w:ascii="Arial"/>
                <w:color w:val="auto"/>
                <w:sz w:val="21"/>
                <w:highlight w:val="none"/>
              </w:rPr>
            </w:pPr>
          </w:p>
        </w:tc>
        <w:tc>
          <w:tcPr>
            <w:tcW w:w="719" w:type="dxa"/>
            <w:tcBorders>
              <w:right w:val="single" w:color="000000" w:sz="6" w:space="0"/>
            </w:tcBorders>
            <w:vAlign w:val="top"/>
          </w:tcPr>
          <w:p w14:paraId="149626EE">
            <w:pPr>
              <w:rPr>
                <w:rFonts w:ascii="Arial"/>
                <w:color w:val="auto"/>
                <w:sz w:val="21"/>
                <w:highlight w:val="none"/>
              </w:rPr>
            </w:pPr>
          </w:p>
        </w:tc>
      </w:tr>
      <w:tr w14:paraId="1EF31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0C53715E">
            <w:pPr>
              <w:rPr>
                <w:rFonts w:ascii="Arial"/>
                <w:color w:val="auto"/>
                <w:sz w:val="21"/>
                <w:highlight w:val="none"/>
              </w:rPr>
            </w:pPr>
          </w:p>
        </w:tc>
        <w:tc>
          <w:tcPr>
            <w:tcW w:w="1608" w:type="dxa"/>
            <w:vAlign w:val="top"/>
          </w:tcPr>
          <w:p w14:paraId="4B0A24CD">
            <w:pPr>
              <w:rPr>
                <w:rFonts w:ascii="Arial"/>
                <w:color w:val="auto"/>
                <w:sz w:val="21"/>
                <w:highlight w:val="none"/>
              </w:rPr>
            </w:pPr>
          </w:p>
        </w:tc>
        <w:tc>
          <w:tcPr>
            <w:tcW w:w="1557" w:type="dxa"/>
            <w:vAlign w:val="top"/>
          </w:tcPr>
          <w:p w14:paraId="14F055F3">
            <w:pPr>
              <w:rPr>
                <w:rFonts w:ascii="Arial"/>
                <w:color w:val="auto"/>
                <w:sz w:val="21"/>
                <w:highlight w:val="none"/>
              </w:rPr>
            </w:pPr>
          </w:p>
        </w:tc>
        <w:tc>
          <w:tcPr>
            <w:tcW w:w="848" w:type="dxa"/>
            <w:vAlign w:val="top"/>
          </w:tcPr>
          <w:p w14:paraId="34085100">
            <w:pPr>
              <w:rPr>
                <w:rFonts w:ascii="Arial"/>
                <w:color w:val="auto"/>
                <w:sz w:val="21"/>
                <w:highlight w:val="none"/>
              </w:rPr>
            </w:pPr>
          </w:p>
        </w:tc>
        <w:tc>
          <w:tcPr>
            <w:tcW w:w="992" w:type="dxa"/>
            <w:vAlign w:val="top"/>
          </w:tcPr>
          <w:p w14:paraId="26474513">
            <w:pPr>
              <w:rPr>
                <w:rFonts w:ascii="Arial"/>
                <w:color w:val="auto"/>
                <w:sz w:val="21"/>
                <w:highlight w:val="none"/>
              </w:rPr>
            </w:pPr>
          </w:p>
        </w:tc>
        <w:tc>
          <w:tcPr>
            <w:tcW w:w="1306" w:type="dxa"/>
            <w:vAlign w:val="top"/>
          </w:tcPr>
          <w:p w14:paraId="640EB138">
            <w:pPr>
              <w:rPr>
                <w:rFonts w:ascii="Arial"/>
                <w:color w:val="auto"/>
                <w:sz w:val="21"/>
                <w:highlight w:val="none"/>
              </w:rPr>
            </w:pPr>
          </w:p>
        </w:tc>
        <w:tc>
          <w:tcPr>
            <w:tcW w:w="1272" w:type="dxa"/>
            <w:vAlign w:val="top"/>
          </w:tcPr>
          <w:p w14:paraId="118680DD">
            <w:pPr>
              <w:rPr>
                <w:rFonts w:ascii="Arial"/>
                <w:color w:val="auto"/>
                <w:sz w:val="21"/>
                <w:highlight w:val="none"/>
              </w:rPr>
            </w:pPr>
          </w:p>
        </w:tc>
        <w:tc>
          <w:tcPr>
            <w:tcW w:w="719" w:type="dxa"/>
            <w:tcBorders>
              <w:right w:val="single" w:color="000000" w:sz="6" w:space="0"/>
            </w:tcBorders>
            <w:vAlign w:val="top"/>
          </w:tcPr>
          <w:p w14:paraId="72B31077">
            <w:pPr>
              <w:rPr>
                <w:rFonts w:ascii="Arial"/>
                <w:color w:val="auto"/>
                <w:sz w:val="21"/>
                <w:highlight w:val="none"/>
              </w:rPr>
            </w:pPr>
          </w:p>
        </w:tc>
      </w:tr>
      <w:tr w14:paraId="08D46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672E5770">
            <w:pPr>
              <w:rPr>
                <w:rFonts w:ascii="Arial"/>
                <w:color w:val="auto"/>
                <w:sz w:val="21"/>
                <w:highlight w:val="none"/>
              </w:rPr>
            </w:pPr>
          </w:p>
        </w:tc>
        <w:tc>
          <w:tcPr>
            <w:tcW w:w="1608" w:type="dxa"/>
            <w:vAlign w:val="top"/>
          </w:tcPr>
          <w:p w14:paraId="41BE6C98">
            <w:pPr>
              <w:rPr>
                <w:rFonts w:ascii="Arial"/>
                <w:color w:val="auto"/>
                <w:sz w:val="21"/>
                <w:highlight w:val="none"/>
              </w:rPr>
            </w:pPr>
          </w:p>
        </w:tc>
        <w:tc>
          <w:tcPr>
            <w:tcW w:w="1557" w:type="dxa"/>
            <w:vAlign w:val="top"/>
          </w:tcPr>
          <w:p w14:paraId="4E743D94">
            <w:pPr>
              <w:rPr>
                <w:rFonts w:ascii="Arial"/>
                <w:color w:val="auto"/>
                <w:sz w:val="21"/>
                <w:highlight w:val="none"/>
              </w:rPr>
            </w:pPr>
          </w:p>
        </w:tc>
        <w:tc>
          <w:tcPr>
            <w:tcW w:w="848" w:type="dxa"/>
            <w:vAlign w:val="top"/>
          </w:tcPr>
          <w:p w14:paraId="7346F228">
            <w:pPr>
              <w:rPr>
                <w:rFonts w:ascii="Arial"/>
                <w:color w:val="auto"/>
                <w:sz w:val="21"/>
                <w:highlight w:val="none"/>
              </w:rPr>
            </w:pPr>
          </w:p>
        </w:tc>
        <w:tc>
          <w:tcPr>
            <w:tcW w:w="992" w:type="dxa"/>
            <w:vAlign w:val="top"/>
          </w:tcPr>
          <w:p w14:paraId="7EFB0795">
            <w:pPr>
              <w:rPr>
                <w:rFonts w:ascii="Arial"/>
                <w:color w:val="auto"/>
                <w:sz w:val="21"/>
                <w:highlight w:val="none"/>
              </w:rPr>
            </w:pPr>
          </w:p>
        </w:tc>
        <w:tc>
          <w:tcPr>
            <w:tcW w:w="1306" w:type="dxa"/>
            <w:vAlign w:val="top"/>
          </w:tcPr>
          <w:p w14:paraId="3490A096">
            <w:pPr>
              <w:rPr>
                <w:rFonts w:ascii="Arial"/>
                <w:color w:val="auto"/>
                <w:sz w:val="21"/>
                <w:highlight w:val="none"/>
              </w:rPr>
            </w:pPr>
          </w:p>
        </w:tc>
        <w:tc>
          <w:tcPr>
            <w:tcW w:w="1272" w:type="dxa"/>
            <w:vAlign w:val="top"/>
          </w:tcPr>
          <w:p w14:paraId="06E1EF8F">
            <w:pPr>
              <w:rPr>
                <w:rFonts w:ascii="Arial"/>
                <w:color w:val="auto"/>
                <w:sz w:val="21"/>
                <w:highlight w:val="none"/>
              </w:rPr>
            </w:pPr>
          </w:p>
        </w:tc>
        <w:tc>
          <w:tcPr>
            <w:tcW w:w="719" w:type="dxa"/>
            <w:tcBorders>
              <w:right w:val="single" w:color="000000" w:sz="6" w:space="0"/>
            </w:tcBorders>
            <w:vAlign w:val="top"/>
          </w:tcPr>
          <w:p w14:paraId="6B7E9C9D">
            <w:pPr>
              <w:rPr>
                <w:rFonts w:ascii="Arial"/>
                <w:color w:val="auto"/>
                <w:sz w:val="21"/>
                <w:highlight w:val="none"/>
              </w:rPr>
            </w:pPr>
          </w:p>
        </w:tc>
      </w:tr>
      <w:tr w14:paraId="5C246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1BB11165">
            <w:pPr>
              <w:rPr>
                <w:rFonts w:ascii="Arial"/>
                <w:color w:val="auto"/>
                <w:sz w:val="21"/>
                <w:highlight w:val="none"/>
              </w:rPr>
            </w:pPr>
          </w:p>
        </w:tc>
        <w:tc>
          <w:tcPr>
            <w:tcW w:w="1608" w:type="dxa"/>
            <w:vAlign w:val="top"/>
          </w:tcPr>
          <w:p w14:paraId="0999428A">
            <w:pPr>
              <w:rPr>
                <w:rFonts w:ascii="Arial"/>
                <w:color w:val="auto"/>
                <w:sz w:val="21"/>
                <w:highlight w:val="none"/>
              </w:rPr>
            </w:pPr>
          </w:p>
        </w:tc>
        <w:tc>
          <w:tcPr>
            <w:tcW w:w="1557" w:type="dxa"/>
            <w:vAlign w:val="top"/>
          </w:tcPr>
          <w:p w14:paraId="62E62752">
            <w:pPr>
              <w:rPr>
                <w:rFonts w:ascii="Arial"/>
                <w:color w:val="auto"/>
                <w:sz w:val="21"/>
                <w:highlight w:val="none"/>
              </w:rPr>
            </w:pPr>
          </w:p>
        </w:tc>
        <w:tc>
          <w:tcPr>
            <w:tcW w:w="848" w:type="dxa"/>
            <w:vAlign w:val="top"/>
          </w:tcPr>
          <w:p w14:paraId="1CC0C5A9">
            <w:pPr>
              <w:rPr>
                <w:rFonts w:ascii="Arial"/>
                <w:color w:val="auto"/>
                <w:sz w:val="21"/>
                <w:highlight w:val="none"/>
              </w:rPr>
            </w:pPr>
          </w:p>
        </w:tc>
        <w:tc>
          <w:tcPr>
            <w:tcW w:w="992" w:type="dxa"/>
            <w:vAlign w:val="top"/>
          </w:tcPr>
          <w:p w14:paraId="26EBDD90">
            <w:pPr>
              <w:rPr>
                <w:rFonts w:ascii="Arial"/>
                <w:color w:val="auto"/>
                <w:sz w:val="21"/>
                <w:highlight w:val="none"/>
              </w:rPr>
            </w:pPr>
          </w:p>
        </w:tc>
        <w:tc>
          <w:tcPr>
            <w:tcW w:w="1306" w:type="dxa"/>
            <w:vAlign w:val="top"/>
          </w:tcPr>
          <w:p w14:paraId="2E45B033">
            <w:pPr>
              <w:rPr>
                <w:rFonts w:ascii="Arial"/>
                <w:color w:val="auto"/>
                <w:sz w:val="21"/>
                <w:highlight w:val="none"/>
              </w:rPr>
            </w:pPr>
          </w:p>
        </w:tc>
        <w:tc>
          <w:tcPr>
            <w:tcW w:w="1272" w:type="dxa"/>
            <w:vAlign w:val="top"/>
          </w:tcPr>
          <w:p w14:paraId="0A68EBB7">
            <w:pPr>
              <w:rPr>
                <w:rFonts w:ascii="Arial"/>
                <w:color w:val="auto"/>
                <w:sz w:val="21"/>
                <w:highlight w:val="none"/>
              </w:rPr>
            </w:pPr>
          </w:p>
        </w:tc>
        <w:tc>
          <w:tcPr>
            <w:tcW w:w="719" w:type="dxa"/>
            <w:tcBorders>
              <w:right w:val="single" w:color="000000" w:sz="6" w:space="0"/>
            </w:tcBorders>
            <w:vAlign w:val="top"/>
          </w:tcPr>
          <w:p w14:paraId="41314A13">
            <w:pPr>
              <w:rPr>
                <w:rFonts w:ascii="Arial"/>
                <w:color w:val="auto"/>
                <w:sz w:val="21"/>
                <w:highlight w:val="none"/>
              </w:rPr>
            </w:pPr>
          </w:p>
        </w:tc>
      </w:tr>
      <w:tr w14:paraId="43590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74" w:type="dxa"/>
            <w:tcBorders>
              <w:left w:val="single" w:color="000000" w:sz="6" w:space="0"/>
            </w:tcBorders>
            <w:vAlign w:val="top"/>
          </w:tcPr>
          <w:p w14:paraId="1C601C6D">
            <w:pPr>
              <w:rPr>
                <w:rFonts w:ascii="Arial"/>
                <w:color w:val="auto"/>
                <w:sz w:val="21"/>
                <w:highlight w:val="none"/>
              </w:rPr>
            </w:pPr>
          </w:p>
        </w:tc>
        <w:tc>
          <w:tcPr>
            <w:tcW w:w="1608" w:type="dxa"/>
            <w:vAlign w:val="top"/>
          </w:tcPr>
          <w:p w14:paraId="4FF83F3D">
            <w:pPr>
              <w:rPr>
                <w:rFonts w:ascii="Arial"/>
                <w:color w:val="auto"/>
                <w:sz w:val="21"/>
                <w:highlight w:val="none"/>
              </w:rPr>
            </w:pPr>
          </w:p>
        </w:tc>
        <w:tc>
          <w:tcPr>
            <w:tcW w:w="1557" w:type="dxa"/>
            <w:vAlign w:val="top"/>
          </w:tcPr>
          <w:p w14:paraId="5B9021FF">
            <w:pPr>
              <w:rPr>
                <w:rFonts w:ascii="Arial"/>
                <w:color w:val="auto"/>
                <w:sz w:val="21"/>
                <w:highlight w:val="none"/>
              </w:rPr>
            </w:pPr>
          </w:p>
        </w:tc>
        <w:tc>
          <w:tcPr>
            <w:tcW w:w="848" w:type="dxa"/>
            <w:vAlign w:val="top"/>
          </w:tcPr>
          <w:p w14:paraId="20821640">
            <w:pPr>
              <w:rPr>
                <w:rFonts w:ascii="Arial"/>
                <w:color w:val="auto"/>
                <w:sz w:val="21"/>
                <w:highlight w:val="none"/>
              </w:rPr>
            </w:pPr>
          </w:p>
        </w:tc>
        <w:tc>
          <w:tcPr>
            <w:tcW w:w="992" w:type="dxa"/>
            <w:vAlign w:val="top"/>
          </w:tcPr>
          <w:p w14:paraId="12AB1D03">
            <w:pPr>
              <w:rPr>
                <w:rFonts w:ascii="Arial"/>
                <w:color w:val="auto"/>
                <w:sz w:val="21"/>
                <w:highlight w:val="none"/>
              </w:rPr>
            </w:pPr>
          </w:p>
        </w:tc>
        <w:tc>
          <w:tcPr>
            <w:tcW w:w="1306" w:type="dxa"/>
            <w:vAlign w:val="top"/>
          </w:tcPr>
          <w:p w14:paraId="6748F70A">
            <w:pPr>
              <w:rPr>
                <w:rFonts w:ascii="Arial"/>
                <w:color w:val="auto"/>
                <w:sz w:val="21"/>
                <w:highlight w:val="none"/>
              </w:rPr>
            </w:pPr>
          </w:p>
        </w:tc>
        <w:tc>
          <w:tcPr>
            <w:tcW w:w="1272" w:type="dxa"/>
            <w:vAlign w:val="top"/>
          </w:tcPr>
          <w:p w14:paraId="1D07CBDE">
            <w:pPr>
              <w:rPr>
                <w:rFonts w:ascii="Arial"/>
                <w:color w:val="auto"/>
                <w:sz w:val="21"/>
                <w:highlight w:val="none"/>
              </w:rPr>
            </w:pPr>
          </w:p>
        </w:tc>
        <w:tc>
          <w:tcPr>
            <w:tcW w:w="719" w:type="dxa"/>
            <w:tcBorders>
              <w:right w:val="single" w:color="000000" w:sz="6" w:space="0"/>
            </w:tcBorders>
            <w:vAlign w:val="top"/>
          </w:tcPr>
          <w:p w14:paraId="78D6F9B4">
            <w:pPr>
              <w:rPr>
                <w:rFonts w:ascii="Arial"/>
                <w:color w:val="auto"/>
                <w:sz w:val="21"/>
                <w:highlight w:val="none"/>
              </w:rPr>
            </w:pPr>
          </w:p>
        </w:tc>
      </w:tr>
      <w:tr w14:paraId="6B863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774" w:type="dxa"/>
            <w:tcBorders>
              <w:left w:val="single" w:color="000000" w:sz="6" w:space="0"/>
              <w:bottom w:val="single" w:color="000000" w:sz="6" w:space="0"/>
            </w:tcBorders>
            <w:vAlign w:val="top"/>
          </w:tcPr>
          <w:p w14:paraId="45757962">
            <w:pPr>
              <w:rPr>
                <w:rFonts w:ascii="Arial"/>
                <w:color w:val="auto"/>
                <w:sz w:val="21"/>
                <w:highlight w:val="none"/>
              </w:rPr>
            </w:pPr>
          </w:p>
        </w:tc>
        <w:tc>
          <w:tcPr>
            <w:tcW w:w="1608" w:type="dxa"/>
            <w:tcBorders>
              <w:bottom w:val="single" w:color="000000" w:sz="6" w:space="0"/>
            </w:tcBorders>
            <w:vAlign w:val="top"/>
          </w:tcPr>
          <w:p w14:paraId="2AC9908F">
            <w:pPr>
              <w:rPr>
                <w:rFonts w:ascii="Arial"/>
                <w:color w:val="auto"/>
                <w:sz w:val="21"/>
                <w:highlight w:val="none"/>
              </w:rPr>
            </w:pPr>
          </w:p>
        </w:tc>
        <w:tc>
          <w:tcPr>
            <w:tcW w:w="1557" w:type="dxa"/>
            <w:tcBorders>
              <w:bottom w:val="single" w:color="000000" w:sz="6" w:space="0"/>
            </w:tcBorders>
            <w:vAlign w:val="top"/>
          </w:tcPr>
          <w:p w14:paraId="7A4DFDAF">
            <w:pPr>
              <w:rPr>
                <w:rFonts w:ascii="Arial"/>
                <w:color w:val="auto"/>
                <w:sz w:val="21"/>
                <w:highlight w:val="none"/>
              </w:rPr>
            </w:pPr>
          </w:p>
        </w:tc>
        <w:tc>
          <w:tcPr>
            <w:tcW w:w="848" w:type="dxa"/>
            <w:tcBorders>
              <w:bottom w:val="single" w:color="000000" w:sz="6" w:space="0"/>
            </w:tcBorders>
            <w:vAlign w:val="top"/>
          </w:tcPr>
          <w:p w14:paraId="4BFAF0A4">
            <w:pPr>
              <w:rPr>
                <w:rFonts w:ascii="Arial"/>
                <w:color w:val="auto"/>
                <w:sz w:val="21"/>
                <w:highlight w:val="none"/>
              </w:rPr>
            </w:pPr>
          </w:p>
        </w:tc>
        <w:tc>
          <w:tcPr>
            <w:tcW w:w="992" w:type="dxa"/>
            <w:tcBorders>
              <w:bottom w:val="single" w:color="000000" w:sz="6" w:space="0"/>
            </w:tcBorders>
            <w:vAlign w:val="top"/>
          </w:tcPr>
          <w:p w14:paraId="7BB83E30">
            <w:pPr>
              <w:rPr>
                <w:rFonts w:ascii="Arial"/>
                <w:color w:val="auto"/>
                <w:sz w:val="21"/>
                <w:highlight w:val="none"/>
              </w:rPr>
            </w:pPr>
          </w:p>
        </w:tc>
        <w:tc>
          <w:tcPr>
            <w:tcW w:w="1306" w:type="dxa"/>
            <w:tcBorders>
              <w:bottom w:val="single" w:color="000000" w:sz="6" w:space="0"/>
            </w:tcBorders>
            <w:vAlign w:val="top"/>
          </w:tcPr>
          <w:p w14:paraId="638969C5">
            <w:pPr>
              <w:rPr>
                <w:rFonts w:ascii="Arial"/>
                <w:color w:val="auto"/>
                <w:sz w:val="21"/>
                <w:highlight w:val="none"/>
              </w:rPr>
            </w:pPr>
          </w:p>
        </w:tc>
        <w:tc>
          <w:tcPr>
            <w:tcW w:w="1272" w:type="dxa"/>
            <w:tcBorders>
              <w:bottom w:val="single" w:color="000000" w:sz="6" w:space="0"/>
            </w:tcBorders>
            <w:vAlign w:val="top"/>
          </w:tcPr>
          <w:p w14:paraId="461C7CB0">
            <w:pPr>
              <w:rPr>
                <w:rFonts w:ascii="Arial"/>
                <w:color w:val="auto"/>
                <w:sz w:val="21"/>
                <w:highlight w:val="none"/>
              </w:rPr>
            </w:pPr>
          </w:p>
        </w:tc>
        <w:tc>
          <w:tcPr>
            <w:tcW w:w="719" w:type="dxa"/>
            <w:tcBorders>
              <w:bottom w:val="single" w:color="000000" w:sz="6" w:space="0"/>
              <w:right w:val="single" w:color="000000" w:sz="6" w:space="0"/>
            </w:tcBorders>
            <w:vAlign w:val="top"/>
          </w:tcPr>
          <w:p w14:paraId="046DCA44">
            <w:pPr>
              <w:rPr>
                <w:rFonts w:ascii="Arial"/>
                <w:color w:val="auto"/>
                <w:sz w:val="21"/>
                <w:highlight w:val="none"/>
              </w:rPr>
            </w:pPr>
          </w:p>
        </w:tc>
      </w:tr>
    </w:tbl>
    <w:p w14:paraId="78DEE830">
      <w:pPr>
        <w:pStyle w:val="3"/>
        <w:rPr>
          <w:color w:val="auto"/>
          <w:highlight w:val="none"/>
        </w:rPr>
      </w:pPr>
    </w:p>
    <w:p w14:paraId="312D00E9">
      <w:pPr>
        <w:rPr>
          <w:color w:val="auto"/>
          <w:highlight w:val="none"/>
        </w:rPr>
        <w:sectPr>
          <w:footerReference r:id="rId179" w:type="default"/>
          <w:pgSz w:w="11907" w:h="16841"/>
          <w:pgMar w:top="400" w:right="1226" w:bottom="1254" w:left="1588" w:header="0" w:footer="1093" w:gutter="0"/>
          <w:pgNumType w:fmt="decimal"/>
          <w:cols w:space="720" w:num="1"/>
        </w:sectPr>
      </w:pPr>
    </w:p>
    <w:p w14:paraId="7A6B486F">
      <w:pPr>
        <w:pStyle w:val="3"/>
        <w:spacing w:line="283" w:lineRule="auto"/>
        <w:rPr>
          <w:color w:val="auto"/>
          <w:highlight w:val="none"/>
        </w:rPr>
      </w:pPr>
    </w:p>
    <w:p w14:paraId="2601A23A">
      <w:pPr>
        <w:pStyle w:val="3"/>
        <w:spacing w:line="283" w:lineRule="auto"/>
        <w:rPr>
          <w:color w:val="auto"/>
          <w:highlight w:val="none"/>
        </w:rPr>
      </w:pPr>
    </w:p>
    <w:p w14:paraId="27704FA0">
      <w:pPr>
        <w:pStyle w:val="3"/>
        <w:spacing w:line="283" w:lineRule="auto"/>
        <w:rPr>
          <w:color w:val="auto"/>
          <w:highlight w:val="none"/>
        </w:rPr>
      </w:pPr>
    </w:p>
    <w:p w14:paraId="6E2ABDC6">
      <w:pPr>
        <w:pStyle w:val="3"/>
        <w:spacing w:line="284" w:lineRule="auto"/>
        <w:rPr>
          <w:color w:val="auto"/>
          <w:highlight w:val="none"/>
        </w:rPr>
      </w:pPr>
    </w:p>
    <w:p w14:paraId="448B8F21">
      <w:pPr>
        <w:spacing w:before="91" w:line="219" w:lineRule="auto"/>
        <w:ind w:left="5571"/>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施工机械台班费汇总表</w:t>
      </w:r>
    </w:p>
    <w:p w14:paraId="6100299E">
      <w:pPr>
        <w:spacing w:before="205" w:line="220" w:lineRule="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项目及标段名称：</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 xml:space="preserve">                                                        </w:t>
      </w:r>
      <w:r>
        <w:rPr>
          <w:rFonts w:ascii="宋体" w:hAnsi="宋体" w:eastAsia="宋体" w:cs="宋体"/>
          <w:color w:val="auto"/>
          <w:spacing w:val="-2"/>
          <w:sz w:val="24"/>
          <w:szCs w:val="24"/>
          <w:highlight w:val="none"/>
        </w:rPr>
        <w:t xml:space="preserve">        第  页共  页</w:t>
      </w:r>
    </w:p>
    <w:p w14:paraId="037A564B">
      <w:pPr>
        <w:spacing w:line="143" w:lineRule="exact"/>
        <w:rPr>
          <w:color w:val="auto"/>
          <w:highlight w:val="none"/>
        </w:rPr>
      </w:pPr>
    </w:p>
    <w:tbl>
      <w:tblPr>
        <w:tblStyle w:val="16"/>
        <w:tblW w:w="12479" w:type="dxa"/>
        <w:tblInd w:w="7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
        <w:gridCol w:w="726"/>
        <w:gridCol w:w="726"/>
        <w:gridCol w:w="856"/>
        <w:gridCol w:w="1131"/>
        <w:gridCol w:w="1134"/>
        <w:gridCol w:w="1131"/>
        <w:gridCol w:w="1134"/>
        <w:gridCol w:w="1131"/>
        <w:gridCol w:w="1134"/>
        <w:gridCol w:w="1132"/>
        <w:gridCol w:w="851"/>
        <w:gridCol w:w="858"/>
      </w:tblGrid>
      <w:tr w14:paraId="58EF2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535" w:type="dxa"/>
            <w:vMerge w:val="restart"/>
            <w:tcBorders>
              <w:top w:val="single" w:color="000000" w:sz="6" w:space="0"/>
              <w:left w:val="single" w:color="000000" w:sz="6" w:space="0"/>
              <w:bottom w:val="nil"/>
            </w:tcBorders>
            <w:textDirection w:val="tbRlV"/>
            <w:vAlign w:val="top"/>
          </w:tcPr>
          <w:p w14:paraId="4B52BA38">
            <w:pPr>
              <w:pStyle w:val="17"/>
              <w:spacing w:before="146" w:line="210" w:lineRule="auto"/>
              <w:ind w:left="722"/>
              <w:rPr>
                <w:color w:val="auto"/>
                <w:sz w:val="24"/>
                <w:szCs w:val="24"/>
                <w:highlight w:val="none"/>
              </w:rPr>
            </w:pPr>
            <w:r>
              <w:rPr>
                <w:color w:val="auto"/>
                <w:sz w:val="24"/>
                <w:szCs w:val="24"/>
                <w:highlight w:val="none"/>
              </w:rPr>
              <w:t>序</w:t>
            </w:r>
            <w:r>
              <w:rPr>
                <w:color w:val="auto"/>
                <w:spacing w:val="-48"/>
                <w:sz w:val="24"/>
                <w:szCs w:val="24"/>
                <w:highlight w:val="none"/>
              </w:rPr>
              <w:t xml:space="preserve"> </w:t>
            </w:r>
            <w:r>
              <w:rPr>
                <w:color w:val="auto"/>
                <w:sz w:val="24"/>
                <w:szCs w:val="24"/>
                <w:highlight w:val="none"/>
              </w:rPr>
              <w:t>号</w:t>
            </w:r>
          </w:p>
        </w:tc>
        <w:tc>
          <w:tcPr>
            <w:tcW w:w="726" w:type="dxa"/>
            <w:vMerge w:val="restart"/>
            <w:tcBorders>
              <w:top w:val="single" w:color="000000" w:sz="6" w:space="0"/>
              <w:bottom w:val="nil"/>
            </w:tcBorders>
            <w:vAlign w:val="top"/>
          </w:tcPr>
          <w:p w14:paraId="0348DD98">
            <w:pPr>
              <w:spacing w:line="320" w:lineRule="auto"/>
              <w:rPr>
                <w:rFonts w:ascii="Arial"/>
                <w:color w:val="auto"/>
                <w:sz w:val="21"/>
                <w:highlight w:val="none"/>
              </w:rPr>
            </w:pPr>
          </w:p>
          <w:p w14:paraId="61AF939D">
            <w:pPr>
              <w:spacing w:line="320" w:lineRule="auto"/>
              <w:rPr>
                <w:rFonts w:ascii="Arial"/>
                <w:color w:val="auto"/>
                <w:sz w:val="21"/>
                <w:highlight w:val="none"/>
              </w:rPr>
            </w:pPr>
          </w:p>
          <w:p w14:paraId="31788EF5">
            <w:pPr>
              <w:pStyle w:val="17"/>
              <w:spacing w:before="78" w:line="243" w:lineRule="auto"/>
              <w:ind w:left="126" w:right="126" w:hanging="3"/>
              <w:rPr>
                <w:color w:val="auto"/>
                <w:sz w:val="24"/>
                <w:szCs w:val="24"/>
                <w:highlight w:val="none"/>
              </w:rPr>
            </w:pPr>
            <w:r>
              <w:rPr>
                <w:color w:val="auto"/>
                <w:spacing w:val="-5"/>
                <w:sz w:val="24"/>
                <w:szCs w:val="24"/>
                <w:highlight w:val="none"/>
              </w:rPr>
              <w:t>机械</w:t>
            </w:r>
            <w:r>
              <w:rPr>
                <w:color w:val="auto"/>
                <w:spacing w:val="-7"/>
                <w:sz w:val="24"/>
                <w:szCs w:val="24"/>
                <w:highlight w:val="none"/>
              </w:rPr>
              <w:t>名称</w:t>
            </w:r>
          </w:p>
        </w:tc>
        <w:tc>
          <w:tcPr>
            <w:tcW w:w="726" w:type="dxa"/>
            <w:vMerge w:val="restart"/>
            <w:tcBorders>
              <w:top w:val="single" w:color="000000" w:sz="6" w:space="0"/>
              <w:bottom w:val="nil"/>
            </w:tcBorders>
            <w:vAlign w:val="top"/>
          </w:tcPr>
          <w:p w14:paraId="364FD5AE">
            <w:pPr>
              <w:spacing w:line="320" w:lineRule="auto"/>
              <w:rPr>
                <w:rFonts w:ascii="Arial"/>
                <w:color w:val="auto"/>
                <w:sz w:val="21"/>
                <w:highlight w:val="none"/>
              </w:rPr>
            </w:pPr>
          </w:p>
          <w:p w14:paraId="7A91CF16">
            <w:pPr>
              <w:spacing w:line="320" w:lineRule="auto"/>
              <w:rPr>
                <w:rFonts w:ascii="Arial"/>
                <w:color w:val="auto"/>
                <w:sz w:val="21"/>
                <w:highlight w:val="none"/>
              </w:rPr>
            </w:pPr>
          </w:p>
          <w:p w14:paraId="2DE21B51">
            <w:pPr>
              <w:pStyle w:val="17"/>
              <w:spacing w:before="78" w:line="242" w:lineRule="auto"/>
              <w:ind w:left="126" w:right="124" w:firstLine="6"/>
              <w:rPr>
                <w:color w:val="auto"/>
                <w:sz w:val="24"/>
                <w:szCs w:val="24"/>
                <w:highlight w:val="none"/>
              </w:rPr>
            </w:pPr>
            <w:r>
              <w:rPr>
                <w:color w:val="auto"/>
                <w:spacing w:val="-9"/>
                <w:sz w:val="24"/>
                <w:szCs w:val="24"/>
                <w:highlight w:val="none"/>
              </w:rPr>
              <w:t>型号</w:t>
            </w:r>
            <w:r>
              <w:rPr>
                <w:color w:val="auto"/>
                <w:spacing w:val="-6"/>
                <w:sz w:val="24"/>
                <w:szCs w:val="24"/>
                <w:highlight w:val="none"/>
              </w:rPr>
              <w:t>规格</w:t>
            </w:r>
          </w:p>
        </w:tc>
        <w:tc>
          <w:tcPr>
            <w:tcW w:w="856" w:type="dxa"/>
            <w:vMerge w:val="restart"/>
            <w:tcBorders>
              <w:top w:val="single" w:color="000000" w:sz="6" w:space="0"/>
              <w:bottom w:val="nil"/>
            </w:tcBorders>
            <w:vAlign w:val="top"/>
          </w:tcPr>
          <w:p w14:paraId="1714ED9E">
            <w:pPr>
              <w:spacing w:line="320" w:lineRule="auto"/>
              <w:rPr>
                <w:rFonts w:ascii="Arial"/>
                <w:color w:val="auto"/>
                <w:sz w:val="21"/>
                <w:highlight w:val="none"/>
              </w:rPr>
            </w:pPr>
          </w:p>
          <w:p w14:paraId="3BF8897F">
            <w:pPr>
              <w:spacing w:line="321" w:lineRule="auto"/>
              <w:rPr>
                <w:rFonts w:ascii="Arial"/>
                <w:color w:val="auto"/>
                <w:sz w:val="21"/>
                <w:highlight w:val="none"/>
              </w:rPr>
            </w:pPr>
          </w:p>
          <w:p w14:paraId="2FFB2EF2">
            <w:pPr>
              <w:pStyle w:val="17"/>
              <w:spacing w:before="78" w:line="242" w:lineRule="auto"/>
              <w:ind w:left="204" w:right="188" w:hanging="9"/>
              <w:rPr>
                <w:color w:val="auto"/>
                <w:sz w:val="24"/>
                <w:szCs w:val="24"/>
                <w:highlight w:val="none"/>
              </w:rPr>
            </w:pPr>
            <w:r>
              <w:rPr>
                <w:color w:val="auto"/>
                <w:spacing w:val="-7"/>
                <w:sz w:val="24"/>
                <w:szCs w:val="24"/>
                <w:highlight w:val="none"/>
              </w:rPr>
              <w:t>一类</w:t>
            </w:r>
            <w:r>
              <w:rPr>
                <w:color w:val="auto"/>
                <w:spacing w:val="-12"/>
                <w:sz w:val="24"/>
                <w:szCs w:val="24"/>
                <w:highlight w:val="none"/>
              </w:rPr>
              <w:t>费用</w:t>
            </w:r>
          </w:p>
        </w:tc>
        <w:tc>
          <w:tcPr>
            <w:tcW w:w="7927" w:type="dxa"/>
            <w:gridSpan w:val="7"/>
            <w:tcBorders>
              <w:top w:val="single" w:color="000000" w:sz="6" w:space="0"/>
            </w:tcBorders>
            <w:vAlign w:val="top"/>
          </w:tcPr>
          <w:p w14:paraId="7CC27CAE">
            <w:pPr>
              <w:pStyle w:val="17"/>
              <w:spacing w:before="128" w:line="220" w:lineRule="auto"/>
              <w:ind w:left="3496"/>
              <w:rPr>
                <w:color w:val="auto"/>
                <w:sz w:val="24"/>
                <w:szCs w:val="24"/>
                <w:highlight w:val="none"/>
              </w:rPr>
            </w:pPr>
            <w:r>
              <w:rPr>
                <w:color w:val="auto"/>
                <w:spacing w:val="-3"/>
                <w:sz w:val="24"/>
                <w:szCs w:val="24"/>
                <w:highlight w:val="none"/>
              </w:rPr>
              <w:t>二类费用</w:t>
            </w:r>
          </w:p>
        </w:tc>
        <w:tc>
          <w:tcPr>
            <w:tcW w:w="851" w:type="dxa"/>
            <w:vMerge w:val="restart"/>
            <w:tcBorders>
              <w:top w:val="single" w:color="000000" w:sz="6" w:space="0"/>
              <w:bottom w:val="nil"/>
            </w:tcBorders>
            <w:vAlign w:val="top"/>
          </w:tcPr>
          <w:p w14:paraId="06B490FD">
            <w:pPr>
              <w:spacing w:line="265" w:lineRule="auto"/>
              <w:rPr>
                <w:rFonts w:ascii="Arial"/>
                <w:color w:val="auto"/>
                <w:sz w:val="21"/>
                <w:highlight w:val="none"/>
              </w:rPr>
            </w:pPr>
          </w:p>
          <w:p w14:paraId="582FAF89">
            <w:pPr>
              <w:spacing w:line="265" w:lineRule="auto"/>
              <w:rPr>
                <w:rFonts w:ascii="Arial"/>
                <w:color w:val="auto"/>
                <w:sz w:val="21"/>
                <w:highlight w:val="none"/>
              </w:rPr>
            </w:pPr>
          </w:p>
          <w:p w14:paraId="2598B26F">
            <w:pPr>
              <w:spacing w:line="265" w:lineRule="auto"/>
              <w:rPr>
                <w:rFonts w:ascii="Arial"/>
                <w:color w:val="auto"/>
                <w:sz w:val="21"/>
                <w:highlight w:val="none"/>
              </w:rPr>
            </w:pPr>
          </w:p>
          <w:p w14:paraId="32C7979C">
            <w:pPr>
              <w:pStyle w:val="17"/>
              <w:spacing w:before="78" w:line="221" w:lineRule="auto"/>
              <w:ind w:left="200"/>
              <w:rPr>
                <w:color w:val="auto"/>
                <w:sz w:val="24"/>
                <w:szCs w:val="24"/>
                <w:highlight w:val="none"/>
              </w:rPr>
            </w:pPr>
            <w:r>
              <w:rPr>
                <w:color w:val="auto"/>
                <w:spacing w:val="-3"/>
                <w:sz w:val="24"/>
                <w:szCs w:val="24"/>
                <w:highlight w:val="none"/>
              </w:rPr>
              <w:t>合计</w:t>
            </w:r>
          </w:p>
        </w:tc>
        <w:tc>
          <w:tcPr>
            <w:tcW w:w="858" w:type="dxa"/>
            <w:vMerge w:val="restart"/>
            <w:tcBorders>
              <w:top w:val="single" w:color="000000" w:sz="6" w:space="0"/>
              <w:bottom w:val="nil"/>
              <w:right w:val="single" w:color="000000" w:sz="6" w:space="0"/>
            </w:tcBorders>
            <w:vAlign w:val="top"/>
          </w:tcPr>
          <w:p w14:paraId="083478F4">
            <w:pPr>
              <w:spacing w:line="265" w:lineRule="auto"/>
              <w:rPr>
                <w:rFonts w:ascii="Arial"/>
                <w:color w:val="auto"/>
                <w:sz w:val="21"/>
                <w:highlight w:val="none"/>
              </w:rPr>
            </w:pPr>
          </w:p>
          <w:p w14:paraId="104E9341">
            <w:pPr>
              <w:spacing w:line="265" w:lineRule="auto"/>
              <w:rPr>
                <w:rFonts w:ascii="Arial"/>
                <w:color w:val="auto"/>
                <w:sz w:val="21"/>
                <w:highlight w:val="none"/>
              </w:rPr>
            </w:pPr>
          </w:p>
          <w:p w14:paraId="60BEE568">
            <w:pPr>
              <w:spacing w:line="265" w:lineRule="auto"/>
              <w:rPr>
                <w:rFonts w:ascii="Arial"/>
                <w:color w:val="auto"/>
                <w:sz w:val="21"/>
                <w:highlight w:val="none"/>
              </w:rPr>
            </w:pPr>
          </w:p>
          <w:p w14:paraId="6D5FB7AE">
            <w:pPr>
              <w:pStyle w:val="17"/>
              <w:spacing w:before="78" w:line="220" w:lineRule="auto"/>
              <w:ind w:left="198"/>
              <w:rPr>
                <w:color w:val="auto"/>
                <w:sz w:val="24"/>
                <w:szCs w:val="24"/>
                <w:highlight w:val="none"/>
              </w:rPr>
            </w:pPr>
            <w:r>
              <w:rPr>
                <w:color w:val="auto"/>
                <w:spacing w:val="-3"/>
                <w:sz w:val="24"/>
                <w:szCs w:val="24"/>
                <w:highlight w:val="none"/>
              </w:rPr>
              <w:t>补差</w:t>
            </w:r>
          </w:p>
        </w:tc>
      </w:tr>
      <w:tr w14:paraId="4D47C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535" w:type="dxa"/>
            <w:vMerge w:val="continue"/>
            <w:tcBorders>
              <w:top w:val="nil"/>
              <w:left w:val="single" w:color="000000" w:sz="6" w:space="0"/>
              <w:bottom w:val="nil"/>
            </w:tcBorders>
            <w:textDirection w:val="tbRlV"/>
            <w:vAlign w:val="top"/>
          </w:tcPr>
          <w:p w14:paraId="16C0F7C5">
            <w:pPr>
              <w:rPr>
                <w:rFonts w:ascii="Arial"/>
                <w:color w:val="auto"/>
                <w:sz w:val="21"/>
                <w:highlight w:val="none"/>
              </w:rPr>
            </w:pPr>
          </w:p>
        </w:tc>
        <w:tc>
          <w:tcPr>
            <w:tcW w:w="726" w:type="dxa"/>
            <w:vMerge w:val="continue"/>
            <w:tcBorders>
              <w:top w:val="nil"/>
              <w:bottom w:val="nil"/>
            </w:tcBorders>
            <w:vAlign w:val="top"/>
          </w:tcPr>
          <w:p w14:paraId="54E23653">
            <w:pPr>
              <w:rPr>
                <w:rFonts w:ascii="Arial"/>
                <w:color w:val="auto"/>
                <w:sz w:val="21"/>
                <w:highlight w:val="none"/>
              </w:rPr>
            </w:pPr>
          </w:p>
        </w:tc>
        <w:tc>
          <w:tcPr>
            <w:tcW w:w="726" w:type="dxa"/>
            <w:vMerge w:val="continue"/>
            <w:tcBorders>
              <w:top w:val="nil"/>
              <w:bottom w:val="nil"/>
            </w:tcBorders>
            <w:vAlign w:val="top"/>
          </w:tcPr>
          <w:p w14:paraId="3A333DD0">
            <w:pPr>
              <w:rPr>
                <w:rFonts w:ascii="Arial"/>
                <w:color w:val="auto"/>
                <w:sz w:val="21"/>
                <w:highlight w:val="none"/>
              </w:rPr>
            </w:pPr>
          </w:p>
        </w:tc>
        <w:tc>
          <w:tcPr>
            <w:tcW w:w="856" w:type="dxa"/>
            <w:vMerge w:val="continue"/>
            <w:tcBorders>
              <w:top w:val="nil"/>
              <w:bottom w:val="nil"/>
            </w:tcBorders>
            <w:vAlign w:val="top"/>
          </w:tcPr>
          <w:p w14:paraId="1792C6E6">
            <w:pPr>
              <w:rPr>
                <w:rFonts w:ascii="Arial"/>
                <w:color w:val="auto"/>
                <w:sz w:val="21"/>
                <w:highlight w:val="none"/>
              </w:rPr>
            </w:pPr>
          </w:p>
        </w:tc>
        <w:tc>
          <w:tcPr>
            <w:tcW w:w="1131" w:type="dxa"/>
            <w:vAlign w:val="top"/>
          </w:tcPr>
          <w:p w14:paraId="5E6485B1">
            <w:pPr>
              <w:pStyle w:val="17"/>
              <w:spacing w:before="37" w:line="222" w:lineRule="auto"/>
              <w:ind w:left="331"/>
              <w:rPr>
                <w:color w:val="auto"/>
                <w:sz w:val="24"/>
                <w:szCs w:val="24"/>
                <w:highlight w:val="none"/>
              </w:rPr>
            </w:pPr>
            <w:r>
              <w:rPr>
                <w:color w:val="auto"/>
                <w:spacing w:val="-3"/>
                <w:sz w:val="24"/>
                <w:szCs w:val="24"/>
                <w:highlight w:val="none"/>
              </w:rPr>
              <w:t>人工</w:t>
            </w:r>
          </w:p>
          <w:p w14:paraId="61433EAC">
            <w:pPr>
              <w:pStyle w:val="17"/>
              <w:spacing w:before="19" w:line="233" w:lineRule="auto"/>
              <w:ind w:left="335"/>
              <w:rPr>
                <w:color w:val="auto"/>
                <w:sz w:val="24"/>
                <w:szCs w:val="24"/>
                <w:highlight w:val="none"/>
              </w:rPr>
            </w:pPr>
            <w:r>
              <w:rPr>
                <w:color w:val="auto"/>
                <w:spacing w:val="-8"/>
                <w:sz w:val="24"/>
                <w:szCs w:val="24"/>
                <w:highlight w:val="none"/>
              </w:rPr>
              <w:t>（工</w:t>
            </w:r>
          </w:p>
          <w:p w14:paraId="5B3C8CFB">
            <w:pPr>
              <w:pStyle w:val="17"/>
              <w:spacing w:before="9" w:line="206" w:lineRule="auto"/>
              <w:ind w:left="370"/>
              <w:rPr>
                <w:color w:val="auto"/>
                <w:sz w:val="24"/>
                <w:szCs w:val="24"/>
                <w:highlight w:val="none"/>
              </w:rPr>
            </w:pPr>
            <w:r>
              <w:rPr>
                <w:color w:val="auto"/>
                <w:spacing w:val="-17"/>
                <w:sz w:val="24"/>
                <w:szCs w:val="24"/>
                <w:highlight w:val="none"/>
              </w:rPr>
              <w:t>日）</w:t>
            </w:r>
          </w:p>
        </w:tc>
        <w:tc>
          <w:tcPr>
            <w:tcW w:w="1134" w:type="dxa"/>
            <w:vAlign w:val="top"/>
          </w:tcPr>
          <w:p w14:paraId="20920620">
            <w:pPr>
              <w:pStyle w:val="17"/>
              <w:spacing w:before="190" w:line="237" w:lineRule="auto"/>
              <w:ind w:left="219" w:right="220" w:firstLine="113"/>
              <w:rPr>
                <w:color w:val="auto"/>
                <w:sz w:val="24"/>
                <w:szCs w:val="24"/>
                <w:highlight w:val="none"/>
              </w:rPr>
            </w:pPr>
            <w:r>
              <w:rPr>
                <w:color w:val="auto"/>
                <w:spacing w:val="-5"/>
                <w:sz w:val="24"/>
                <w:szCs w:val="24"/>
                <w:highlight w:val="none"/>
              </w:rPr>
              <w:t>汽油</w:t>
            </w:r>
            <w:r>
              <w:rPr>
                <w:color w:val="auto"/>
                <w:spacing w:val="-8"/>
                <w:sz w:val="24"/>
                <w:szCs w:val="24"/>
                <w:highlight w:val="none"/>
              </w:rPr>
              <w:t>（</w:t>
            </w:r>
            <w:r>
              <w:rPr>
                <w:rFonts w:ascii="Times New Roman" w:hAnsi="Times New Roman" w:eastAsia="Times New Roman" w:cs="Times New Roman"/>
                <w:color w:val="auto"/>
                <w:spacing w:val="-8"/>
                <w:sz w:val="24"/>
                <w:szCs w:val="24"/>
                <w:highlight w:val="none"/>
              </w:rPr>
              <w:t>kg</w:t>
            </w:r>
            <w:r>
              <w:rPr>
                <w:color w:val="auto"/>
                <w:spacing w:val="-8"/>
                <w:sz w:val="24"/>
                <w:szCs w:val="24"/>
                <w:highlight w:val="none"/>
              </w:rPr>
              <w:t>）</w:t>
            </w:r>
          </w:p>
        </w:tc>
        <w:tc>
          <w:tcPr>
            <w:tcW w:w="1131" w:type="dxa"/>
            <w:vAlign w:val="top"/>
          </w:tcPr>
          <w:p w14:paraId="16A6CB44">
            <w:pPr>
              <w:pStyle w:val="17"/>
              <w:spacing w:before="190" w:line="237" w:lineRule="auto"/>
              <w:ind w:left="218" w:right="219" w:firstLine="113"/>
              <w:rPr>
                <w:color w:val="auto"/>
                <w:sz w:val="24"/>
                <w:szCs w:val="24"/>
                <w:highlight w:val="none"/>
              </w:rPr>
            </w:pPr>
            <w:r>
              <w:rPr>
                <w:color w:val="auto"/>
                <w:spacing w:val="-5"/>
                <w:sz w:val="24"/>
                <w:szCs w:val="24"/>
                <w:highlight w:val="none"/>
              </w:rPr>
              <w:t>柴油</w:t>
            </w:r>
            <w:r>
              <w:rPr>
                <w:color w:val="auto"/>
                <w:spacing w:val="-8"/>
                <w:sz w:val="24"/>
                <w:szCs w:val="24"/>
                <w:highlight w:val="none"/>
              </w:rPr>
              <w:t>（</w:t>
            </w:r>
            <w:r>
              <w:rPr>
                <w:rFonts w:ascii="Times New Roman" w:hAnsi="Times New Roman" w:eastAsia="Times New Roman" w:cs="Times New Roman"/>
                <w:color w:val="auto"/>
                <w:spacing w:val="-8"/>
                <w:sz w:val="24"/>
                <w:szCs w:val="24"/>
                <w:highlight w:val="none"/>
              </w:rPr>
              <w:t>kg</w:t>
            </w:r>
            <w:r>
              <w:rPr>
                <w:color w:val="auto"/>
                <w:spacing w:val="-8"/>
                <w:sz w:val="24"/>
                <w:szCs w:val="24"/>
                <w:highlight w:val="none"/>
              </w:rPr>
              <w:t>）</w:t>
            </w:r>
          </w:p>
        </w:tc>
        <w:tc>
          <w:tcPr>
            <w:tcW w:w="1134" w:type="dxa"/>
            <w:vAlign w:val="top"/>
          </w:tcPr>
          <w:p w14:paraId="6853B7DD">
            <w:pPr>
              <w:pStyle w:val="17"/>
              <w:spacing w:before="37" w:line="225" w:lineRule="auto"/>
              <w:ind w:left="484"/>
              <w:rPr>
                <w:color w:val="auto"/>
                <w:sz w:val="24"/>
                <w:szCs w:val="24"/>
                <w:highlight w:val="none"/>
              </w:rPr>
            </w:pPr>
            <w:r>
              <w:rPr>
                <w:color w:val="auto"/>
                <w:sz w:val="24"/>
                <w:szCs w:val="24"/>
                <w:highlight w:val="none"/>
              </w:rPr>
              <w:t>电</w:t>
            </w:r>
          </w:p>
          <w:p w14:paraId="37A27245">
            <w:pPr>
              <w:pStyle w:val="17"/>
              <w:spacing w:before="16" w:line="233" w:lineRule="auto"/>
              <w:ind w:left="198"/>
              <w:rPr>
                <w:rFonts w:ascii="Times New Roman" w:hAnsi="Times New Roman" w:eastAsia="Times New Roman" w:cs="Times New Roman"/>
                <w:color w:val="auto"/>
                <w:sz w:val="24"/>
                <w:szCs w:val="24"/>
                <w:highlight w:val="none"/>
              </w:rPr>
            </w:pPr>
            <w:r>
              <w:rPr>
                <w:color w:val="auto"/>
                <w:spacing w:val="-4"/>
                <w:sz w:val="24"/>
                <w:szCs w:val="24"/>
                <w:highlight w:val="none"/>
              </w:rPr>
              <w:t>（</w:t>
            </w:r>
            <w:r>
              <w:rPr>
                <w:rFonts w:ascii="Times New Roman" w:hAnsi="Times New Roman" w:eastAsia="Times New Roman" w:cs="Times New Roman"/>
                <w:color w:val="auto"/>
                <w:spacing w:val="-4"/>
                <w:sz w:val="24"/>
                <w:szCs w:val="24"/>
                <w:highlight w:val="none"/>
              </w:rPr>
              <w:t>kW.h</w:t>
            </w:r>
          </w:p>
          <w:p w14:paraId="13E77466">
            <w:pPr>
              <w:pStyle w:val="17"/>
              <w:spacing w:before="9" w:line="206" w:lineRule="auto"/>
              <w:ind w:left="481"/>
              <w:rPr>
                <w:color w:val="auto"/>
                <w:sz w:val="24"/>
                <w:szCs w:val="24"/>
                <w:highlight w:val="none"/>
              </w:rPr>
            </w:pPr>
            <w:r>
              <w:rPr>
                <w:color w:val="auto"/>
                <w:sz w:val="24"/>
                <w:szCs w:val="24"/>
                <w:highlight w:val="none"/>
              </w:rPr>
              <w:t>)</w:t>
            </w:r>
          </w:p>
        </w:tc>
        <w:tc>
          <w:tcPr>
            <w:tcW w:w="1131" w:type="dxa"/>
            <w:vAlign w:val="top"/>
          </w:tcPr>
          <w:p w14:paraId="53765E31">
            <w:pPr>
              <w:pStyle w:val="17"/>
              <w:spacing w:before="191" w:line="248" w:lineRule="auto"/>
              <w:ind w:left="207" w:right="201" w:firstLine="248"/>
              <w:rPr>
                <w:color w:val="auto"/>
                <w:sz w:val="24"/>
                <w:szCs w:val="24"/>
                <w:highlight w:val="none"/>
              </w:rPr>
            </w:pPr>
            <w:r>
              <w:rPr>
                <w:color w:val="auto"/>
                <w:spacing w:val="-11"/>
                <w:sz w:val="24"/>
                <w:szCs w:val="24"/>
                <w:highlight w:val="none"/>
              </w:rPr>
              <w:t>风</w:t>
            </w:r>
            <w:r>
              <w:rPr>
                <w:color w:val="auto"/>
                <w:sz w:val="24"/>
                <w:szCs w:val="24"/>
                <w:highlight w:val="none"/>
              </w:rPr>
              <w:t xml:space="preserve"> </w:t>
            </w:r>
            <w:r>
              <w:rPr>
                <w:color w:val="auto"/>
                <w:spacing w:val="-8"/>
                <w:sz w:val="24"/>
                <w:szCs w:val="24"/>
                <w:highlight w:val="none"/>
              </w:rPr>
              <w:t>（</w:t>
            </w:r>
            <w:r>
              <w:rPr>
                <w:rFonts w:ascii="Times New Roman" w:hAnsi="Times New Roman" w:eastAsia="Times New Roman" w:cs="Times New Roman"/>
                <w:color w:val="auto"/>
                <w:spacing w:val="-8"/>
                <w:sz w:val="24"/>
                <w:szCs w:val="24"/>
                <w:highlight w:val="none"/>
              </w:rPr>
              <w:t>m</w:t>
            </w:r>
            <w:r>
              <w:rPr>
                <w:rFonts w:ascii="Times New Roman" w:hAnsi="Times New Roman" w:eastAsia="Times New Roman" w:cs="Times New Roman"/>
                <w:color w:val="auto"/>
                <w:spacing w:val="-8"/>
                <w:position w:val="8"/>
                <w:sz w:val="16"/>
                <w:szCs w:val="16"/>
                <w:highlight w:val="none"/>
              </w:rPr>
              <w:t>3</w:t>
            </w:r>
            <w:r>
              <w:rPr>
                <w:color w:val="auto"/>
                <w:spacing w:val="-8"/>
                <w:sz w:val="24"/>
                <w:szCs w:val="24"/>
                <w:highlight w:val="none"/>
              </w:rPr>
              <w:t>）</w:t>
            </w:r>
          </w:p>
        </w:tc>
        <w:tc>
          <w:tcPr>
            <w:tcW w:w="1134" w:type="dxa"/>
            <w:vAlign w:val="top"/>
          </w:tcPr>
          <w:p w14:paraId="3F617982">
            <w:pPr>
              <w:spacing w:line="266" w:lineRule="auto"/>
              <w:rPr>
                <w:rFonts w:ascii="Arial"/>
                <w:color w:val="auto"/>
                <w:sz w:val="21"/>
                <w:highlight w:val="none"/>
              </w:rPr>
            </w:pPr>
          </w:p>
          <w:p w14:paraId="18AC3C41">
            <w:pPr>
              <w:pStyle w:val="17"/>
              <w:spacing w:before="78" w:line="220" w:lineRule="auto"/>
              <w:ind w:left="188"/>
              <w:rPr>
                <w:color w:val="auto"/>
                <w:sz w:val="24"/>
                <w:szCs w:val="24"/>
                <w:highlight w:val="none"/>
              </w:rPr>
            </w:pPr>
            <w:r>
              <w:rPr>
                <w:color w:val="auto"/>
                <w:spacing w:val="-3"/>
                <w:sz w:val="24"/>
                <w:szCs w:val="24"/>
                <w:highlight w:val="none"/>
              </w:rPr>
              <w:t>水（</w:t>
            </w:r>
            <w:r>
              <w:rPr>
                <w:rFonts w:ascii="Times New Roman" w:hAnsi="Times New Roman" w:eastAsia="Times New Roman" w:cs="Times New Roman"/>
                <w:color w:val="auto"/>
                <w:spacing w:val="-3"/>
                <w:sz w:val="24"/>
                <w:szCs w:val="24"/>
                <w:highlight w:val="none"/>
              </w:rPr>
              <w:t>t</w:t>
            </w:r>
            <w:r>
              <w:rPr>
                <w:color w:val="auto"/>
                <w:spacing w:val="-3"/>
                <w:sz w:val="24"/>
                <w:szCs w:val="24"/>
                <w:highlight w:val="none"/>
              </w:rPr>
              <w:t>）</w:t>
            </w:r>
          </w:p>
        </w:tc>
        <w:tc>
          <w:tcPr>
            <w:tcW w:w="1132" w:type="dxa"/>
            <w:vMerge w:val="restart"/>
            <w:tcBorders>
              <w:bottom w:val="nil"/>
            </w:tcBorders>
            <w:vAlign w:val="top"/>
          </w:tcPr>
          <w:p w14:paraId="0BAE5DF4">
            <w:pPr>
              <w:spacing w:line="270" w:lineRule="auto"/>
              <w:rPr>
                <w:rFonts w:ascii="Arial"/>
                <w:color w:val="auto"/>
                <w:sz w:val="21"/>
                <w:highlight w:val="none"/>
              </w:rPr>
            </w:pPr>
          </w:p>
          <w:p w14:paraId="2B1E7EEE">
            <w:pPr>
              <w:spacing w:line="271" w:lineRule="auto"/>
              <w:rPr>
                <w:rFonts w:ascii="Arial"/>
                <w:color w:val="auto"/>
                <w:sz w:val="21"/>
                <w:highlight w:val="none"/>
              </w:rPr>
            </w:pPr>
          </w:p>
          <w:p w14:paraId="5FD0AAB5">
            <w:pPr>
              <w:pStyle w:val="17"/>
              <w:spacing w:before="78" w:line="221" w:lineRule="auto"/>
              <w:ind w:left="344"/>
              <w:rPr>
                <w:color w:val="auto"/>
                <w:sz w:val="24"/>
                <w:szCs w:val="24"/>
                <w:highlight w:val="none"/>
              </w:rPr>
            </w:pPr>
            <w:r>
              <w:rPr>
                <w:color w:val="auto"/>
                <w:spacing w:val="-4"/>
                <w:sz w:val="24"/>
                <w:szCs w:val="24"/>
                <w:highlight w:val="none"/>
              </w:rPr>
              <w:t>小计</w:t>
            </w:r>
          </w:p>
        </w:tc>
        <w:tc>
          <w:tcPr>
            <w:tcW w:w="851" w:type="dxa"/>
            <w:vMerge w:val="continue"/>
            <w:tcBorders>
              <w:top w:val="nil"/>
              <w:bottom w:val="nil"/>
            </w:tcBorders>
            <w:vAlign w:val="top"/>
          </w:tcPr>
          <w:p w14:paraId="3BE1D3BC">
            <w:pPr>
              <w:rPr>
                <w:rFonts w:ascii="Arial"/>
                <w:color w:val="auto"/>
                <w:sz w:val="21"/>
                <w:highlight w:val="none"/>
              </w:rPr>
            </w:pPr>
          </w:p>
        </w:tc>
        <w:tc>
          <w:tcPr>
            <w:tcW w:w="858" w:type="dxa"/>
            <w:vMerge w:val="continue"/>
            <w:tcBorders>
              <w:top w:val="nil"/>
              <w:bottom w:val="nil"/>
              <w:right w:val="single" w:color="000000" w:sz="6" w:space="0"/>
            </w:tcBorders>
            <w:vAlign w:val="top"/>
          </w:tcPr>
          <w:p w14:paraId="6BD442B3">
            <w:pPr>
              <w:rPr>
                <w:rFonts w:ascii="Arial"/>
                <w:color w:val="auto"/>
                <w:sz w:val="21"/>
                <w:highlight w:val="none"/>
              </w:rPr>
            </w:pPr>
          </w:p>
        </w:tc>
      </w:tr>
      <w:tr w14:paraId="10AC6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535" w:type="dxa"/>
            <w:vMerge w:val="continue"/>
            <w:tcBorders>
              <w:top w:val="nil"/>
              <w:left w:val="single" w:color="000000" w:sz="6" w:space="0"/>
            </w:tcBorders>
            <w:textDirection w:val="tbRlV"/>
            <w:vAlign w:val="top"/>
          </w:tcPr>
          <w:p w14:paraId="6894E15C">
            <w:pPr>
              <w:rPr>
                <w:rFonts w:ascii="Arial"/>
                <w:color w:val="auto"/>
                <w:sz w:val="21"/>
                <w:highlight w:val="none"/>
              </w:rPr>
            </w:pPr>
          </w:p>
        </w:tc>
        <w:tc>
          <w:tcPr>
            <w:tcW w:w="726" w:type="dxa"/>
            <w:vMerge w:val="continue"/>
            <w:tcBorders>
              <w:top w:val="nil"/>
            </w:tcBorders>
            <w:vAlign w:val="top"/>
          </w:tcPr>
          <w:p w14:paraId="6C2DC8A7">
            <w:pPr>
              <w:rPr>
                <w:rFonts w:ascii="Arial"/>
                <w:color w:val="auto"/>
                <w:sz w:val="21"/>
                <w:highlight w:val="none"/>
              </w:rPr>
            </w:pPr>
          </w:p>
        </w:tc>
        <w:tc>
          <w:tcPr>
            <w:tcW w:w="726" w:type="dxa"/>
            <w:vMerge w:val="continue"/>
            <w:tcBorders>
              <w:top w:val="nil"/>
            </w:tcBorders>
            <w:vAlign w:val="top"/>
          </w:tcPr>
          <w:p w14:paraId="69E1C540">
            <w:pPr>
              <w:rPr>
                <w:rFonts w:ascii="Arial"/>
                <w:color w:val="auto"/>
                <w:sz w:val="21"/>
                <w:highlight w:val="none"/>
              </w:rPr>
            </w:pPr>
          </w:p>
        </w:tc>
        <w:tc>
          <w:tcPr>
            <w:tcW w:w="856" w:type="dxa"/>
            <w:vMerge w:val="continue"/>
            <w:tcBorders>
              <w:top w:val="nil"/>
            </w:tcBorders>
            <w:vAlign w:val="top"/>
          </w:tcPr>
          <w:p w14:paraId="13FD4606">
            <w:pPr>
              <w:rPr>
                <w:rFonts w:ascii="Arial"/>
                <w:color w:val="auto"/>
                <w:sz w:val="21"/>
                <w:highlight w:val="none"/>
              </w:rPr>
            </w:pPr>
          </w:p>
        </w:tc>
        <w:tc>
          <w:tcPr>
            <w:tcW w:w="1131" w:type="dxa"/>
            <w:vAlign w:val="top"/>
          </w:tcPr>
          <w:p w14:paraId="044DAFD7">
            <w:pPr>
              <w:pStyle w:val="17"/>
              <w:spacing w:before="154" w:line="218" w:lineRule="auto"/>
              <w:ind w:left="117"/>
              <w:rPr>
                <w:color w:val="auto"/>
                <w:sz w:val="24"/>
                <w:szCs w:val="24"/>
                <w:highlight w:val="none"/>
              </w:rPr>
            </w:pPr>
            <w:r>
              <w:rPr>
                <w:color w:val="auto"/>
                <w:spacing w:val="-6"/>
                <w:sz w:val="24"/>
                <w:szCs w:val="24"/>
                <w:highlight w:val="none"/>
              </w:rPr>
              <w:t>（单价）</w:t>
            </w:r>
          </w:p>
        </w:tc>
        <w:tc>
          <w:tcPr>
            <w:tcW w:w="1134" w:type="dxa"/>
            <w:vAlign w:val="top"/>
          </w:tcPr>
          <w:p w14:paraId="7EFF5CB8">
            <w:pPr>
              <w:pStyle w:val="17"/>
              <w:spacing w:before="154" w:line="218" w:lineRule="auto"/>
              <w:ind w:left="121"/>
              <w:rPr>
                <w:color w:val="auto"/>
                <w:sz w:val="24"/>
                <w:szCs w:val="24"/>
                <w:highlight w:val="none"/>
              </w:rPr>
            </w:pPr>
            <w:r>
              <w:rPr>
                <w:color w:val="auto"/>
                <w:spacing w:val="-6"/>
                <w:sz w:val="24"/>
                <w:szCs w:val="24"/>
                <w:highlight w:val="none"/>
              </w:rPr>
              <w:t>（单价）</w:t>
            </w:r>
          </w:p>
        </w:tc>
        <w:tc>
          <w:tcPr>
            <w:tcW w:w="1131" w:type="dxa"/>
            <w:vAlign w:val="top"/>
          </w:tcPr>
          <w:p w14:paraId="27A6A9CD">
            <w:pPr>
              <w:pStyle w:val="17"/>
              <w:spacing w:before="154" w:line="218" w:lineRule="auto"/>
              <w:ind w:left="120"/>
              <w:rPr>
                <w:color w:val="auto"/>
                <w:sz w:val="24"/>
                <w:szCs w:val="24"/>
                <w:highlight w:val="none"/>
              </w:rPr>
            </w:pPr>
            <w:r>
              <w:rPr>
                <w:color w:val="auto"/>
                <w:spacing w:val="-6"/>
                <w:sz w:val="24"/>
                <w:szCs w:val="24"/>
                <w:highlight w:val="none"/>
              </w:rPr>
              <w:t>（单价）</w:t>
            </w:r>
          </w:p>
        </w:tc>
        <w:tc>
          <w:tcPr>
            <w:tcW w:w="1134" w:type="dxa"/>
            <w:vAlign w:val="top"/>
          </w:tcPr>
          <w:p w14:paraId="2E88E26A">
            <w:pPr>
              <w:pStyle w:val="17"/>
              <w:spacing w:before="154" w:line="218" w:lineRule="auto"/>
              <w:ind w:left="124"/>
              <w:rPr>
                <w:color w:val="auto"/>
                <w:sz w:val="24"/>
                <w:szCs w:val="24"/>
                <w:highlight w:val="none"/>
              </w:rPr>
            </w:pPr>
            <w:r>
              <w:rPr>
                <w:color w:val="auto"/>
                <w:spacing w:val="-6"/>
                <w:sz w:val="24"/>
                <w:szCs w:val="24"/>
                <w:highlight w:val="none"/>
              </w:rPr>
              <w:t>（单价）</w:t>
            </w:r>
          </w:p>
        </w:tc>
        <w:tc>
          <w:tcPr>
            <w:tcW w:w="1131" w:type="dxa"/>
            <w:vAlign w:val="top"/>
          </w:tcPr>
          <w:p w14:paraId="7B5ADDF4">
            <w:pPr>
              <w:pStyle w:val="17"/>
              <w:spacing w:before="154" w:line="218" w:lineRule="auto"/>
              <w:ind w:left="123"/>
              <w:rPr>
                <w:color w:val="auto"/>
                <w:sz w:val="24"/>
                <w:szCs w:val="24"/>
                <w:highlight w:val="none"/>
              </w:rPr>
            </w:pPr>
            <w:r>
              <w:rPr>
                <w:color w:val="auto"/>
                <w:spacing w:val="-6"/>
                <w:sz w:val="24"/>
                <w:szCs w:val="24"/>
                <w:highlight w:val="none"/>
              </w:rPr>
              <w:t>（单价）</w:t>
            </w:r>
          </w:p>
        </w:tc>
        <w:tc>
          <w:tcPr>
            <w:tcW w:w="1134" w:type="dxa"/>
            <w:vAlign w:val="top"/>
          </w:tcPr>
          <w:p w14:paraId="768119D6">
            <w:pPr>
              <w:pStyle w:val="17"/>
              <w:spacing w:before="154" w:line="218" w:lineRule="auto"/>
              <w:ind w:left="127"/>
              <w:rPr>
                <w:color w:val="auto"/>
                <w:sz w:val="24"/>
                <w:szCs w:val="24"/>
                <w:highlight w:val="none"/>
              </w:rPr>
            </w:pPr>
            <w:r>
              <w:rPr>
                <w:color w:val="auto"/>
                <w:spacing w:val="-6"/>
                <w:sz w:val="24"/>
                <w:szCs w:val="24"/>
                <w:highlight w:val="none"/>
              </w:rPr>
              <w:t>（单价）</w:t>
            </w:r>
          </w:p>
        </w:tc>
        <w:tc>
          <w:tcPr>
            <w:tcW w:w="1132" w:type="dxa"/>
            <w:vMerge w:val="continue"/>
            <w:tcBorders>
              <w:top w:val="nil"/>
            </w:tcBorders>
            <w:vAlign w:val="top"/>
          </w:tcPr>
          <w:p w14:paraId="47DAA552">
            <w:pPr>
              <w:rPr>
                <w:rFonts w:ascii="Arial"/>
                <w:color w:val="auto"/>
                <w:sz w:val="21"/>
                <w:highlight w:val="none"/>
              </w:rPr>
            </w:pPr>
          </w:p>
        </w:tc>
        <w:tc>
          <w:tcPr>
            <w:tcW w:w="851" w:type="dxa"/>
            <w:vMerge w:val="continue"/>
            <w:tcBorders>
              <w:top w:val="nil"/>
            </w:tcBorders>
            <w:vAlign w:val="top"/>
          </w:tcPr>
          <w:p w14:paraId="05A80395">
            <w:pPr>
              <w:rPr>
                <w:rFonts w:ascii="Arial"/>
                <w:color w:val="auto"/>
                <w:sz w:val="21"/>
                <w:highlight w:val="none"/>
              </w:rPr>
            </w:pPr>
          </w:p>
        </w:tc>
        <w:tc>
          <w:tcPr>
            <w:tcW w:w="858" w:type="dxa"/>
            <w:vMerge w:val="continue"/>
            <w:tcBorders>
              <w:top w:val="nil"/>
              <w:right w:val="single" w:color="000000" w:sz="6" w:space="0"/>
            </w:tcBorders>
            <w:vAlign w:val="top"/>
          </w:tcPr>
          <w:p w14:paraId="282E6B0F">
            <w:pPr>
              <w:rPr>
                <w:rFonts w:ascii="Arial"/>
                <w:color w:val="auto"/>
                <w:sz w:val="21"/>
                <w:highlight w:val="none"/>
              </w:rPr>
            </w:pPr>
          </w:p>
        </w:tc>
      </w:tr>
      <w:tr w14:paraId="38A77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4465F8ED">
            <w:pPr>
              <w:rPr>
                <w:rFonts w:ascii="Arial"/>
                <w:color w:val="auto"/>
                <w:sz w:val="21"/>
                <w:highlight w:val="none"/>
              </w:rPr>
            </w:pPr>
          </w:p>
        </w:tc>
        <w:tc>
          <w:tcPr>
            <w:tcW w:w="726" w:type="dxa"/>
            <w:vAlign w:val="top"/>
          </w:tcPr>
          <w:p w14:paraId="0081DA5C">
            <w:pPr>
              <w:rPr>
                <w:rFonts w:ascii="Arial"/>
                <w:color w:val="auto"/>
                <w:sz w:val="21"/>
                <w:highlight w:val="none"/>
              </w:rPr>
            </w:pPr>
          </w:p>
        </w:tc>
        <w:tc>
          <w:tcPr>
            <w:tcW w:w="726" w:type="dxa"/>
            <w:vAlign w:val="top"/>
          </w:tcPr>
          <w:p w14:paraId="26FCD851">
            <w:pPr>
              <w:rPr>
                <w:rFonts w:ascii="Arial"/>
                <w:color w:val="auto"/>
                <w:sz w:val="21"/>
                <w:highlight w:val="none"/>
              </w:rPr>
            </w:pPr>
          </w:p>
        </w:tc>
        <w:tc>
          <w:tcPr>
            <w:tcW w:w="856" w:type="dxa"/>
            <w:vAlign w:val="top"/>
          </w:tcPr>
          <w:p w14:paraId="6B6D519D">
            <w:pPr>
              <w:rPr>
                <w:rFonts w:ascii="Arial"/>
                <w:color w:val="auto"/>
                <w:sz w:val="21"/>
                <w:highlight w:val="none"/>
              </w:rPr>
            </w:pPr>
          </w:p>
        </w:tc>
        <w:tc>
          <w:tcPr>
            <w:tcW w:w="1131" w:type="dxa"/>
            <w:vAlign w:val="top"/>
          </w:tcPr>
          <w:p w14:paraId="24F99BCB">
            <w:pPr>
              <w:rPr>
                <w:rFonts w:ascii="Arial"/>
                <w:color w:val="auto"/>
                <w:sz w:val="21"/>
                <w:highlight w:val="none"/>
              </w:rPr>
            </w:pPr>
          </w:p>
        </w:tc>
        <w:tc>
          <w:tcPr>
            <w:tcW w:w="1134" w:type="dxa"/>
            <w:vAlign w:val="top"/>
          </w:tcPr>
          <w:p w14:paraId="40E4DF36">
            <w:pPr>
              <w:rPr>
                <w:rFonts w:ascii="Arial"/>
                <w:color w:val="auto"/>
                <w:sz w:val="21"/>
                <w:highlight w:val="none"/>
              </w:rPr>
            </w:pPr>
          </w:p>
        </w:tc>
        <w:tc>
          <w:tcPr>
            <w:tcW w:w="1131" w:type="dxa"/>
            <w:vAlign w:val="top"/>
          </w:tcPr>
          <w:p w14:paraId="6DDDFB88">
            <w:pPr>
              <w:rPr>
                <w:rFonts w:ascii="Arial"/>
                <w:color w:val="auto"/>
                <w:sz w:val="21"/>
                <w:highlight w:val="none"/>
              </w:rPr>
            </w:pPr>
          </w:p>
        </w:tc>
        <w:tc>
          <w:tcPr>
            <w:tcW w:w="1134" w:type="dxa"/>
            <w:vAlign w:val="top"/>
          </w:tcPr>
          <w:p w14:paraId="2B664118">
            <w:pPr>
              <w:rPr>
                <w:rFonts w:ascii="Arial"/>
                <w:color w:val="auto"/>
                <w:sz w:val="21"/>
                <w:highlight w:val="none"/>
              </w:rPr>
            </w:pPr>
          </w:p>
        </w:tc>
        <w:tc>
          <w:tcPr>
            <w:tcW w:w="1131" w:type="dxa"/>
            <w:vAlign w:val="top"/>
          </w:tcPr>
          <w:p w14:paraId="7D82044C">
            <w:pPr>
              <w:rPr>
                <w:rFonts w:ascii="Arial"/>
                <w:color w:val="auto"/>
                <w:sz w:val="21"/>
                <w:highlight w:val="none"/>
              </w:rPr>
            </w:pPr>
          </w:p>
        </w:tc>
        <w:tc>
          <w:tcPr>
            <w:tcW w:w="1134" w:type="dxa"/>
            <w:vAlign w:val="top"/>
          </w:tcPr>
          <w:p w14:paraId="447CAB22">
            <w:pPr>
              <w:rPr>
                <w:rFonts w:ascii="Arial"/>
                <w:color w:val="auto"/>
                <w:sz w:val="21"/>
                <w:highlight w:val="none"/>
              </w:rPr>
            </w:pPr>
          </w:p>
        </w:tc>
        <w:tc>
          <w:tcPr>
            <w:tcW w:w="1132" w:type="dxa"/>
            <w:vAlign w:val="top"/>
          </w:tcPr>
          <w:p w14:paraId="3D252A8D">
            <w:pPr>
              <w:rPr>
                <w:rFonts w:ascii="Arial"/>
                <w:color w:val="auto"/>
                <w:sz w:val="21"/>
                <w:highlight w:val="none"/>
              </w:rPr>
            </w:pPr>
          </w:p>
        </w:tc>
        <w:tc>
          <w:tcPr>
            <w:tcW w:w="851" w:type="dxa"/>
            <w:vAlign w:val="top"/>
          </w:tcPr>
          <w:p w14:paraId="00086664">
            <w:pPr>
              <w:rPr>
                <w:rFonts w:ascii="Arial"/>
                <w:color w:val="auto"/>
                <w:sz w:val="21"/>
                <w:highlight w:val="none"/>
              </w:rPr>
            </w:pPr>
          </w:p>
        </w:tc>
        <w:tc>
          <w:tcPr>
            <w:tcW w:w="858" w:type="dxa"/>
            <w:tcBorders>
              <w:right w:val="single" w:color="000000" w:sz="6" w:space="0"/>
            </w:tcBorders>
            <w:vAlign w:val="top"/>
          </w:tcPr>
          <w:p w14:paraId="5C14FB95">
            <w:pPr>
              <w:rPr>
                <w:rFonts w:ascii="Arial"/>
                <w:color w:val="auto"/>
                <w:sz w:val="21"/>
                <w:highlight w:val="none"/>
              </w:rPr>
            </w:pPr>
          </w:p>
        </w:tc>
      </w:tr>
      <w:tr w14:paraId="0B59C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35" w:type="dxa"/>
            <w:tcBorders>
              <w:left w:val="single" w:color="000000" w:sz="6" w:space="0"/>
            </w:tcBorders>
            <w:vAlign w:val="top"/>
          </w:tcPr>
          <w:p w14:paraId="3C1BD4DA">
            <w:pPr>
              <w:rPr>
                <w:rFonts w:ascii="Arial"/>
                <w:color w:val="auto"/>
                <w:sz w:val="21"/>
                <w:highlight w:val="none"/>
              </w:rPr>
            </w:pPr>
          </w:p>
        </w:tc>
        <w:tc>
          <w:tcPr>
            <w:tcW w:w="726" w:type="dxa"/>
            <w:vAlign w:val="top"/>
          </w:tcPr>
          <w:p w14:paraId="77235DD9">
            <w:pPr>
              <w:rPr>
                <w:rFonts w:ascii="Arial"/>
                <w:color w:val="auto"/>
                <w:sz w:val="21"/>
                <w:highlight w:val="none"/>
              </w:rPr>
            </w:pPr>
          </w:p>
        </w:tc>
        <w:tc>
          <w:tcPr>
            <w:tcW w:w="726" w:type="dxa"/>
            <w:vAlign w:val="top"/>
          </w:tcPr>
          <w:p w14:paraId="56B19DFB">
            <w:pPr>
              <w:rPr>
                <w:rFonts w:ascii="Arial"/>
                <w:color w:val="auto"/>
                <w:sz w:val="21"/>
                <w:highlight w:val="none"/>
              </w:rPr>
            </w:pPr>
          </w:p>
        </w:tc>
        <w:tc>
          <w:tcPr>
            <w:tcW w:w="856" w:type="dxa"/>
            <w:vAlign w:val="top"/>
          </w:tcPr>
          <w:p w14:paraId="272E7010">
            <w:pPr>
              <w:rPr>
                <w:rFonts w:ascii="Arial"/>
                <w:color w:val="auto"/>
                <w:sz w:val="21"/>
                <w:highlight w:val="none"/>
              </w:rPr>
            </w:pPr>
          </w:p>
        </w:tc>
        <w:tc>
          <w:tcPr>
            <w:tcW w:w="1131" w:type="dxa"/>
            <w:vAlign w:val="top"/>
          </w:tcPr>
          <w:p w14:paraId="329AEC8D">
            <w:pPr>
              <w:rPr>
                <w:rFonts w:ascii="Arial"/>
                <w:color w:val="auto"/>
                <w:sz w:val="21"/>
                <w:highlight w:val="none"/>
              </w:rPr>
            </w:pPr>
          </w:p>
        </w:tc>
        <w:tc>
          <w:tcPr>
            <w:tcW w:w="1134" w:type="dxa"/>
            <w:vAlign w:val="top"/>
          </w:tcPr>
          <w:p w14:paraId="14390EED">
            <w:pPr>
              <w:rPr>
                <w:rFonts w:ascii="Arial"/>
                <w:color w:val="auto"/>
                <w:sz w:val="21"/>
                <w:highlight w:val="none"/>
              </w:rPr>
            </w:pPr>
          </w:p>
        </w:tc>
        <w:tc>
          <w:tcPr>
            <w:tcW w:w="1131" w:type="dxa"/>
            <w:vAlign w:val="top"/>
          </w:tcPr>
          <w:p w14:paraId="60DAD5ED">
            <w:pPr>
              <w:rPr>
                <w:rFonts w:ascii="Arial"/>
                <w:color w:val="auto"/>
                <w:sz w:val="21"/>
                <w:highlight w:val="none"/>
              </w:rPr>
            </w:pPr>
          </w:p>
        </w:tc>
        <w:tc>
          <w:tcPr>
            <w:tcW w:w="1134" w:type="dxa"/>
            <w:vAlign w:val="top"/>
          </w:tcPr>
          <w:p w14:paraId="5CE13454">
            <w:pPr>
              <w:rPr>
                <w:rFonts w:ascii="Arial"/>
                <w:color w:val="auto"/>
                <w:sz w:val="21"/>
                <w:highlight w:val="none"/>
              </w:rPr>
            </w:pPr>
          </w:p>
        </w:tc>
        <w:tc>
          <w:tcPr>
            <w:tcW w:w="1131" w:type="dxa"/>
            <w:vAlign w:val="top"/>
          </w:tcPr>
          <w:p w14:paraId="61CBEE70">
            <w:pPr>
              <w:rPr>
                <w:rFonts w:ascii="Arial"/>
                <w:color w:val="auto"/>
                <w:sz w:val="21"/>
                <w:highlight w:val="none"/>
              </w:rPr>
            </w:pPr>
          </w:p>
        </w:tc>
        <w:tc>
          <w:tcPr>
            <w:tcW w:w="1134" w:type="dxa"/>
            <w:vAlign w:val="top"/>
          </w:tcPr>
          <w:p w14:paraId="21607F27">
            <w:pPr>
              <w:rPr>
                <w:rFonts w:ascii="Arial"/>
                <w:color w:val="auto"/>
                <w:sz w:val="21"/>
                <w:highlight w:val="none"/>
              </w:rPr>
            </w:pPr>
          </w:p>
        </w:tc>
        <w:tc>
          <w:tcPr>
            <w:tcW w:w="1132" w:type="dxa"/>
            <w:vAlign w:val="top"/>
          </w:tcPr>
          <w:p w14:paraId="74FBCBAA">
            <w:pPr>
              <w:rPr>
                <w:rFonts w:ascii="Arial"/>
                <w:color w:val="auto"/>
                <w:sz w:val="21"/>
                <w:highlight w:val="none"/>
              </w:rPr>
            </w:pPr>
          </w:p>
        </w:tc>
        <w:tc>
          <w:tcPr>
            <w:tcW w:w="851" w:type="dxa"/>
            <w:vAlign w:val="top"/>
          </w:tcPr>
          <w:p w14:paraId="1262CAE8">
            <w:pPr>
              <w:rPr>
                <w:rFonts w:ascii="Arial"/>
                <w:color w:val="auto"/>
                <w:sz w:val="21"/>
                <w:highlight w:val="none"/>
              </w:rPr>
            </w:pPr>
          </w:p>
        </w:tc>
        <w:tc>
          <w:tcPr>
            <w:tcW w:w="858" w:type="dxa"/>
            <w:tcBorders>
              <w:right w:val="single" w:color="000000" w:sz="6" w:space="0"/>
            </w:tcBorders>
            <w:vAlign w:val="top"/>
          </w:tcPr>
          <w:p w14:paraId="4236A5D0">
            <w:pPr>
              <w:rPr>
                <w:rFonts w:ascii="Arial"/>
                <w:color w:val="auto"/>
                <w:sz w:val="21"/>
                <w:highlight w:val="none"/>
              </w:rPr>
            </w:pPr>
          </w:p>
        </w:tc>
      </w:tr>
      <w:tr w14:paraId="2B44C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26236C6B">
            <w:pPr>
              <w:rPr>
                <w:rFonts w:ascii="Arial"/>
                <w:color w:val="auto"/>
                <w:sz w:val="21"/>
                <w:highlight w:val="none"/>
              </w:rPr>
            </w:pPr>
          </w:p>
        </w:tc>
        <w:tc>
          <w:tcPr>
            <w:tcW w:w="726" w:type="dxa"/>
            <w:vAlign w:val="top"/>
          </w:tcPr>
          <w:p w14:paraId="27FE81FD">
            <w:pPr>
              <w:rPr>
                <w:rFonts w:ascii="Arial"/>
                <w:color w:val="auto"/>
                <w:sz w:val="21"/>
                <w:highlight w:val="none"/>
              </w:rPr>
            </w:pPr>
          </w:p>
        </w:tc>
        <w:tc>
          <w:tcPr>
            <w:tcW w:w="726" w:type="dxa"/>
            <w:vAlign w:val="top"/>
          </w:tcPr>
          <w:p w14:paraId="35A6EA42">
            <w:pPr>
              <w:rPr>
                <w:rFonts w:ascii="Arial"/>
                <w:color w:val="auto"/>
                <w:sz w:val="21"/>
                <w:highlight w:val="none"/>
              </w:rPr>
            </w:pPr>
          </w:p>
        </w:tc>
        <w:tc>
          <w:tcPr>
            <w:tcW w:w="856" w:type="dxa"/>
            <w:vAlign w:val="top"/>
          </w:tcPr>
          <w:p w14:paraId="27E5EAD5">
            <w:pPr>
              <w:rPr>
                <w:rFonts w:ascii="Arial"/>
                <w:color w:val="auto"/>
                <w:sz w:val="21"/>
                <w:highlight w:val="none"/>
              </w:rPr>
            </w:pPr>
          </w:p>
        </w:tc>
        <w:tc>
          <w:tcPr>
            <w:tcW w:w="1131" w:type="dxa"/>
            <w:vAlign w:val="top"/>
          </w:tcPr>
          <w:p w14:paraId="7AB140B8">
            <w:pPr>
              <w:rPr>
                <w:rFonts w:ascii="Arial"/>
                <w:color w:val="auto"/>
                <w:sz w:val="21"/>
                <w:highlight w:val="none"/>
              </w:rPr>
            </w:pPr>
          </w:p>
        </w:tc>
        <w:tc>
          <w:tcPr>
            <w:tcW w:w="1134" w:type="dxa"/>
            <w:vAlign w:val="top"/>
          </w:tcPr>
          <w:p w14:paraId="58C4AB7E">
            <w:pPr>
              <w:rPr>
                <w:rFonts w:ascii="Arial"/>
                <w:color w:val="auto"/>
                <w:sz w:val="21"/>
                <w:highlight w:val="none"/>
              </w:rPr>
            </w:pPr>
          </w:p>
        </w:tc>
        <w:tc>
          <w:tcPr>
            <w:tcW w:w="1131" w:type="dxa"/>
            <w:vAlign w:val="top"/>
          </w:tcPr>
          <w:p w14:paraId="149F6299">
            <w:pPr>
              <w:rPr>
                <w:rFonts w:ascii="Arial"/>
                <w:color w:val="auto"/>
                <w:sz w:val="21"/>
                <w:highlight w:val="none"/>
              </w:rPr>
            </w:pPr>
          </w:p>
        </w:tc>
        <w:tc>
          <w:tcPr>
            <w:tcW w:w="1134" w:type="dxa"/>
            <w:vAlign w:val="top"/>
          </w:tcPr>
          <w:p w14:paraId="1F7D4718">
            <w:pPr>
              <w:rPr>
                <w:rFonts w:ascii="Arial"/>
                <w:color w:val="auto"/>
                <w:sz w:val="21"/>
                <w:highlight w:val="none"/>
              </w:rPr>
            </w:pPr>
          </w:p>
        </w:tc>
        <w:tc>
          <w:tcPr>
            <w:tcW w:w="1131" w:type="dxa"/>
            <w:vAlign w:val="top"/>
          </w:tcPr>
          <w:p w14:paraId="72BDD568">
            <w:pPr>
              <w:rPr>
                <w:rFonts w:ascii="Arial"/>
                <w:color w:val="auto"/>
                <w:sz w:val="21"/>
                <w:highlight w:val="none"/>
              </w:rPr>
            </w:pPr>
          </w:p>
        </w:tc>
        <w:tc>
          <w:tcPr>
            <w:tcW w:w="1134" w:type="dxa"/>
            <w:vAlign w:val="top"/>
          </w:tcPr>
          <w:p w14:paraId="7EB24357">
            <w:pPr>
              <w:rPr>
                <w:rFonts w:ascii="Arial"/>
                <w:color w:val="auto"/>
                <w:sz w:val="21"/>
                <w:highlight w:val="none"/>
              </w:rPr>
            </w:pPr>
          </w:p>
        </w:tc>
        <w:tc>
          <w:tcPr>
            <w:tcW w:w="1132" w:type="dxa"/>
            <w:vAlign w:val="top"/>
          </w:tcPr>
          <w:p w14:paraId="4CC96BB1">
            <w:pPr>
              <w:rPr>
                <w:rFonts w:ascii="Arial"/>
                <w:color w:val="auto"/>
                <w:sz w:val="21"/>
                <w:highlight w:val="none"/>
              </w:rPr>
            </w:pPr>
          </w:p>
        </w:tc>
        <w:tc>
          <w:tcPr>
            <w:tcW w:w="851" w:type="dxa"/>
            <w:vAlign w:val="top"/>
          </w:tcPr>
          <w:p w14:paraId="496EAE36">
            <w:pPr>
              <w:rPr>
                <w:rFonts w:ascii="Arial"/>
                <w:color w:val="auto"/>
                <w:sz w:val="21"/>
                <w:highlight w:val="none"/>
              </w:rPr>
            </w:pPr>
          </w:p>
        </w:tc>
        <w:tc>
          <w:tcPr>
            <w:tcW w:w="858" w:type="dxa"/>
            <w:tcBorders>
              <w:right w:val="single" w:color="000000" w:sz="6" w:space="0"/>
            </w:tcBorders>
            <w:vAlign w:val="top"/>
          </w:tcPr>
          <w:p w14:paraId="05F4D089">
            <w:pPr>
              <w:rPr>
                <w:rFonts w:ascii="Arial"/>
                <w:color w:val="auto"/>
                <w:sz w:val="21"/>
                <w:highlight w:val="none"/>
              </w:rPr>
            </w:pPr>
          </w:p>
        </w:tc>
      </w:tr>
      <w:tr w14:paraId="23A93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67F9965A">
            <w:pPr>
              <w:rPr>
                <w:rFonts w:ascii="Arial"/>
                <w:color w:val="auto"/>
                <w:sz w:val="21"/>
                <w:highlight w:val="none"/>
              </w:rPr>
            </w:pPr>
          </w:p>
        </w:tc>
        <w:tc>
          <w:tcPr>
            <w:tcW w:w="726" w:type="dxa"/>
            <w:vAlign w:val="top"/>
          </w:tcPr>
          <w:p w14:paraId="582548F9">
            <w:pPr>
              <w:rPr>
                <w:rFonts w:ascii="Arial"/>
                <w:color w:val="auto"/>
                <w:sz w:val="21"/>
                <w:highlight w:val="none"/>
              </w:rPr>
            </w:pPr>
          </w:p>
        </w:tc>
        <w:tc>
          <w:tcPr>
            <w:tcW w:w="726" w:type="dxa"/>
            <w:vAlign w:val="top"/>
          </w:tcPr>
          <w:p w14:paraId="42C039D8">
            <w:pPr>
              <w:rPr>
                <w:rFonts w:ascii="Arial"/>
                <w:color w:val="auto"/>
                <w:sz w:val="21"/>
                <w:highlight w:val="none"/>
              </w:rPr>
            </w:pPr>
          </w:p>
        </w:tc>
        <w:tc>
          <w:tcPr>
            <w:tcW w:w="856" w:type="dxa"/>
            <w:vAlign w:val="top"/>
          </w:tcPr>
          <w:p w14:paraId="657D2A4D">
            <w:pPr>
              <w:rPr>
                <w:rFonts w:ascii="Arial"/>
                <w:color w:val="auto"/>
                <w:sz w:val="21"/>
                <w:highlight w:val="none"/>
              </w:rPr>
            </w:pPr>
          </w:p>
        </w:tc>
        <w:tc>
          <w:tcPr>
            <w:tcW w:w="1131" w:type="dxa"/>
            <w:vAlign w:val="top"/>
          </w:tcPr>
          <w:p w14:paraId="366A7AD6">
            <w:pPr>
              <w:rPr>
                <w:rFonts w:ascii="Arial"/>
                <w:color w:val="auto"/>
                <w:sz w:val="21"/>
                <w:highlight w:val="none"/>
              </w:rPr>
            </w:pPr>
          </w:p>
        </w:tc>
        <w:tc>
          <w:tcPr>
            <w:tcW w:w="1134" w:type="dxa"/>
            <w:vAlign w:val="top"/>
          </w:tcPr>
          <w:p w14:paraId="27FFF1AB">
            <w:pPr>
              <w:rPr>
                <w:rFonts w:ascii="Arial"/>
                <w:color w:val="auto"/>
                <w:sz w:val="21"/>
                <w:highlight w:val="none"/>
              </w:rPr>
            </w:pPr>
          </w:p>
        </w:tc>
        <w:tc>
          <w:tcPr>
            <w:tcW w:w="1131" w:type="dxa"/>
            <w:vAlign w:val="top"/>
          </w:tcPr>
          <w:p w14:paraId="1F7FF981">
            <w:pPr>
              <w:rPr>
                <w:rFonts w:ascii="Arial"/>
                <w:color w:val="auto"/>
                <w:sz w:val="21"/>
                <w:highlight w:val="none"/>
              </w:rPr>
            </w:pPr>
          </w:p>
        </w:tc>
        <w:tc>
          <w:tcPr>
            <w:tcW w:w="1134" w:type="dxa"/>
            <w:vAlign w:val="top"/>
          </w:tcPr>
          <w:p w14:paraId="5DA49341">
            <w:pPr>
              <w:rPr>
                <w:rFonts w:ascii="Arial"/>
                <w:color w:val="auto"/>
                <w:sz w:val="21"/>
                <w:highlight w:val="none"/>
              </w:rPr>
            </w:pPr>
          </w:p>
        </w:tc>
        <w:tc>
          <w:tcPr>
            <w:tcW w:w="1131" w:type="dxa"/>
            <w:vAlign w:val="top"/>
          </w:tcPr>
          <w:p w14:paraId="7B50A6F8">
            <w:pPr>
              <w:rPr>
                <w:rFonts w:ascii="Arial"/>
                <w:color w:val="auto"/>
                <w:sz w:val="21"/>
                <w:highlight w:val="none"/>
              </w:rPr>
            </w:pPr>
          </w:p>
        </w:tc>
        <w:tc>
          <w:tcPr>
            <w:tcW w:w="1134" w:type="dxa"/>
            <w:vAlign w:val="top"/>
          </w:tcPr>
          <w:p w14:paraId="72BC14E6">
            <w:pPr>
              <w:rPr>
                <w:rFonts w:ascii="Arial"/>
                <w:color w:val="auto"/>
                <w:sz w:val="21"/>
                <w:highlight w:val="none"/>
              </w:rPr>
            </w:pPr>
          </w:p>
        </w:tc>
        <w:tc>
          <w:tcPr>
            <w:tcW w:w="1132" w:type="dxa"/>
            <w:vAlign w:val="top"/>
          </w:tcPr>
          <w:p w14:paraId="0E506703">
            <w:pPr>
              <w:rPr>
                <w:rFonts w:ascii="Arial"/>
                <w:color w:val="auto"/>
                <w:sz w:val="21"/>
                <w:highlight w:val="none"/>
              </w:rPr>
            </w:pPr>
          </w:p>
        </w:tc>
        <w:tc>
          <w:tcPr>
            <w:tcW w:w="851" w:type="dxa"/>
            <w:vAlign w:val="top"/>
          </w:tcPr>
          <w:p w14:paraId="237B1FC3">
            <w:pPr>
              <w:rPr>
                <w:rFonts w:ascii="Arial"/>
                <w:color w:val="auto"/>
                <w:sz w:val="21"/>
                <w:highlight w:val="none"/>
              </w:rPr>
            </w:pPr>
          </w:p>
        </w:tc>
        <w:tc>
          <w:tcPr>
            <w:tcW w:w="858" w:type="dxa"/>
            <w:tcBorders>
              <w:right w:val="single" w:color="000000" w:sz="6" w:space="0"/>
            </w:tcBorders>
            <w:vAlign w:val="top"/>
          </w:tcPr>
          <w:p w14:paraId="1050C74E">
            <w:pPr>
              <w:rPr>
                <w:rFonts w:ascii="Arial"/>
                <w:color w:val="auto"/>
                <w:sz w:val="21"/>
                <w:highlight w:val="none"/>
              </w:rPr>
            </w:pPr>
          </w:p>
        </w:tc>
      </w:tr>
      <w:tr w14:paraId="3DD44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 w:hRule="atLeast"/>
        </w:trPr>
        <w:tc>
          <w:tcPr>
            <w:tcW w:w="535" w:type="dxa"/>
            <w:tcBorders>
              <w:left w:val="single" w:color="000000" w:sz="6" w:space="0"/>
            </w:tcBorders>
            <w:vAlign w:val="top"/>
          </w:tcPr>
          <w:p w14:paraId="299DEEC8">
            <w:pPr>
              <w:rPr>
                <w:rFonts w:ascii="Arial"/>
                <w:color w:val="auto"/>
                <w:sz w:val="21"/>
                <w:highlight w:val="none"/>
              </w:rPr>
            </w:pPr>
          </w:p>
        </w:tc>
        <w:tc>
          <w:tcPr>
            <w:tcW w:w="726" w:type="dxa"/>
            <w:vAlign w:val="top"/>
          </w:tcPr>
          <w:p w14:paraId="7FA9EDF6">
            <w:pPr>
              <w:rPr>
                <w:rFonts w:ascii="Arial"/>
                <w:color w:val="auto"/>
                <w:sz w:val="21"/>
                <w:highlight w:val="none"/>
              </w:rPr>
            </w:pPr>
          </w:p>
        </w:tc>
        <w:tc>
          <w:tcPr>
            <w:tcW w:w="726" w:type="dxa"/>
            <w:vAlign w:val="top"/>
          </w:tcPr>
          <w:p w14:paraId="02CB961E">
            <w:pPr>
              <w:rPr>
                <w:rFonts w:ascii="Arial"/>
                <w:color w:val="auto"/>
                <w:sz w:val="21"/>
                <w:highlight w:val="none"/>
              </w:rPr>
            </w:pPr>
          </w:p>
        </w:tc>
        <w:tc>
          <w:tcPr>
            <w:tcW w:w="856" w:type="dxa"/>
            <w:vAlign w:val="top"/>
          </w:tcPr>
          <w:p w14:paraId="38942042">
            <w:pPr>
              <w:rPr>
                <w:rFonts w:ascii="Arial"/>
                <w:color w:val="auto"/>
                <w:sz w:val="21"/>
                <w:highlight w:val="none"/>
              </w:rPr>
            </w:pPr>
          </w:p>
        </w:tc>
        <w:tc>
          <w:tcPr>
            <w:tcW w:w="1131" w:type="dxa"/>
            <w:vAlign w:val="top"/>
          </w:tcPr>
          <w:p w14:paraId="1FDA6819">
            <w:pPr>
              <w:rPr>
                <w:rFonts w:ascii="Arial"/>
                <w:color w:val="auto"/>
                <w:sz w:val="21"/>
                <w:highlight w:val="none"/>
              </w:rPr>
            </w:pPr>
          </w:p>
        </w:tc>
        <w:tc>
          <w:tcPr>
            <w:tcW w:w="1134" w:type="dxa"/>
            <w:vAlign w:val="top"/>
          </w:tcPr>
          <w:p w14:paraId="28092202">
            <w:pPr>
              <w:rPr>
                <w:rFonts w:ascii="Arial"/>
                <w:color w:val="auto"/>
                <w:sz w:val="21"/>
                <w:highlight w:val="none"/>
              </w:rPr>
            </w:pPr>
          </w:p>
        </w:tc>
        <w:tc>
          <w:tcPr>
            <w:tcW w:w="1131" w:type="dxa"/>
            <w:vAlign w:val="top"/>
          </w:tcPr>
          <w:p w14:paraId="1215A8C4">
            <w:pPr>
              <w:rPr>
                <w:rFonts w:ascii="Arial"/>
                <w:color w:val="auto"/>
                <w:sz w:val="21"/>
                <w:highlight w:val="none"/>
              </w:rPr>
            </w:pPr>
          </w:p>
        </w:tc>
        <w:tc>
          <w:tcPr>
            <w:tcW w:w="1134" w:type="dxa"/>
            <w:vAlign w:val="top"/>
          </w:tcPr>
          <w:p w14:paraId="45F0F7A4">
            <w:pPr>
              <w:rPr>
                <w:rFonts w:ascii="Arial"/>
                <w:color w:val="auto"/>
                <w:sz w:val="21"/>
                <w:highlight w:val="none"/>
              </w:rPr>
            </w:pPr>
          </w:p>
        </w:tc>
        <w:tc>
          <w:tcPr>
            <w:tcW w:w="1131" w:type="dxa"/>
            <w:vAlign w:val="top"/>
          </w:tcPr>
          <w:p w14:paraId="76380B7E">
            <w:pPr>
              <w:rPr>
                <w:rFonts w:ascii="Arial"/>
                <w:color w:val="auto"/>
                <w:sz w:val="21"/>
                <w:highlight w:val="none"/>
              </w:rPr>
            </w:pPr>
          </w:p>
        </w:tc>
        <w:tc>
          <w:tcPr>
            <w:tcW w:w="1134" w:type="dxa"/>
            <w:vAlign w:val="top"/>
          </w:tcPr>
          <w:p w14:paraId="3178762B">
            <w:pPr>
              <w:rPr>
                <w:rFonts w:ascii="Arial"/>
                <w:color w:val="auto"/>
                <w:sz w:val="21"/>
                <w:highlight w:val="none"/>
              </w:rPr>
            </w:pPr>
          </w:p>
        </w:tc>
        <w:tc>
          <w:tcPr>
            <w:tcW w:w="1132" w:type="dxa"/>
            <w:vAlign w:val="top"/>
          </w:tcPr>
          <w:p w14:paraId="26E30475">
            <w:pPr>
              <w:rPr>
                <w:rFonts w:ascii="Arial"/>
                <w:color w:val="auto"/>
                <w:sz w:val="21"/>
                <w:highlight w:val="none"/>
              </w:rPr>
            </w:pPr>
          </w:p>
        </w:tc>
        <w:tc>
          <w:tcPr>
            <w:tcW w:w="851" w:type="dxa"/>
            <w:vAlign w:val="top"/>
          </w:tcPr>
          <w:p w14:paraId="120855F9">
            <w:pPr>
              <w:rPr>
                <w:rFonts w:ascii="Arial"/>
                <w:color w:val="auto"/>
                <w:sz w:val="21"/>
                <w:highlight w:val="none"/>
              </w:rPr>
            </w:pPr>
          </w:p>
        </w:tc>
        <w:tc>
          <w:tcPr>
            <w:tcW w:w="858" w:type="dxa"/>
            <w:tcBorders>
              <w:right w:val="single" w:color="000000" w:sz="6" w:space="0"/>
            </w:tcBorders>
            <w:vAlign w:val="top"/>
          </w:tcPr>
          <w:p w14:paraId="2D6D9710">
            <w:pPr>
              <w:rPr>
                <w:rFonts w:ascii="Arial"/>
                <w:color w:val="auto"/>
                <w:sz w:val="21"/>
                <w:highlight w:val="none"/>
              </w:rPr>
            </w:pPr>
          </w:p>
        </w:tc>
      </w:tr>
      <w:tr w14:paraId="1F55B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535" w:type="dxa"/>
            <w:tcBorders>
              <w:left w:val="single" w:color="000000" w:sz="6" w:space="0"/>
            </w:tcBorders>
            <w:vAlign w:val="top"/>
          </w:tcPr>
          <w:p w14:paraId="2DD9D1F7">
            <w:pPr>
              <w:rPr>
                <w:rFonts w:ascii="Arial"/>
                <w:color w:val="auto"/>
                <w:sz w:val="21"/>
                <w:highlight w:val="none"/>
              </w:rPr>
            </w:pPr>
          </w:p>
        </w:tc>
        <w:tc>
          <w:tcPr>
            <w:tcW w:w="726" w:type="dxa"/>
            <w:vAlign w:val="top"/>
          </w:tcPr>
          <w:p w14:paraId="60683C32">
            <w:pPr>
              <w:rPr>
                <w:rFonts w:ascii="Arial"/>
                <w:color w:val="auto"/>
                <w:sz w:val="21"/>
                <w:highlight w:val="none"/>
              </w:rPr>
            </w:pPr>
          </w:p>
        </w:tc>
        <w:tc>
          <w:tcPr>
            <w:tcW w:w="726" w:type="dxa"/>
            <w:vAlign w:val="top"/>
          </w:tcPr>
          <w:p w14:paraId="033101CD">
            <w:pPr>
              <w:rPr>
                <w:rFonts w:ascii="Arial"/>
                <w:color w:val="auto"/>
                <w:sz w:val="21"/>
                <w:highlight w:val="none"/>
              </w:rPr>
            </w:pPr>
          </w:p>
        </w:tc>
        <w:tc>
          <w:tcPr>
            <w:tcW w:w="856" w:type="dxa"/>
            <w:vAlign w:val="top"/>
          </w:tcPr>
          <w:p w14:paraId="5D7324A8">
            <w:pPr>
              <w:rPr>
                <w:rFonts w:ascii="Arial"/>
                <w:color w:val="auto"/>
                <w:sz w:val="21"/>
                <w:highlight w:val="none"/>
              </w:rPr>
            </w:pPr>
          </w:p>
        </w:tc>
        <w:tc>
          <w:tcPr>
            <w:tcW w:w="1131" w:type="dxa"/>
            <w:vAlign w:val="top"/>
          </w:tcPr>
          <w:p w14:paraId="32CB2323">
            <w:pPr>
              <w:rPr>
                <w:rFonts w:ascii="Arial"/>
                <w:color w:val="auto"/>
                <w:sz w:val="21"/>
                <w:highlight w:val="none"/>
              </w:rPr>
            </w:pPr>
          </w:p>
        </w:tc>
        <w:tc>
          <w:tcPr>
            <w:tcW w:w="1134" w:type="dxa"/>
            <w:vAlign w:val="top"/>
          </w:tcPr>
          <w:p w14:paraId="0F52FF8F">
            <w:pPr>
              <w:rPr>
                <w:rFonts w:ascii="Arial"/>
                <w:color w:val="auto"/>
                <w:sz w:val="21"/>
                <w:highlight w:val="none"/>
              </w:rPr>
            </w:pPr>
          </w:p>
        </w:tc>
        <w:tc>
          <w:tcPr>
            <w:tcW w:w="1131" w:type="dxa"/>
            <w:vAlign w:val="top"/>
          </w:tcPr>
          <w:p w14:paraId="3D5DB134">
            <w:pPr>
              <w:rPr>
                <w:rFonts w:ascii="Arial"/>
                <w:color w:val="auto"/>
                <w:sz w:val="21"/>
                <w:highlight w:val="none"/>
              </w:rPr>
            </w:pPr>
          </w:p>
        </w:tc>
        <w:tc>
          <w:tcPr>
            <w:tcW w:w="1134" w:type="dxa"/>
            <w:vAlign w:val="top"/>
          </w:tcPr>
          <w:p w14:paraId="4B220195">
            <w:pPr>
              <w:rPr>
                <w:rFonts w:ascii="Arial"/>
                <w:color w:val="auto"/>
                <w:sz w:val="21"/>
                <w:highlight w:val="none"/>
              </w:rPr>
            </w:pPr>
          </w:p>
        </w:tc>
        <w:tc>
          <w:tcPr>
            <w:tcW w:w="1131" w:type="dxa"/>
            <w:vAlign w:val="top"/>
          </w:tcPr>
          <w:p w14:paraId="47D67153">
            <w:pPr>
              <w:rPr>
                <w:rFonts w:ascii="Arial"/>
                <w:color w:val="auto"/>
                <w:sz w:val="21"/>
                <w:highlight w:val="none"/>
              </w:rPr>
            </w:pPr>
          </w:p>
        </w:tc>
        <w:tc>
          <w:tcPr>
            <w:tcW w:w="1134" w:type="dxa"/>
            <w:vAlign w:val="top"/>
          </w:tcPr>
          <w:p w14:paraId="2AE7FC58">
            <w:pPr>
              <w:rPr>
                <w:rFonts w:ascii="Arial"/>
                <w:color w:val="auto"/>
                <w:sz w:val="21"/>
                <w:highlight w:val="none"/>
              </w:rPr>
            </w:pPr>
          </w:p>
        </w:tc>
        <w:tc>
          <w:tcPr>
            <w:tcW w:w="1132" w:type="dxa"/>
            <w:vAlign w:val="top"/>
          </w:tcPr>
          <w:p w14:paraId="7724F284">
            <w:pPr>
              <w:rPr>
                <w:rFonts w:ascii="Arial"/>
                <w:color w:val="auto"/>
                <w:sz w:val="21"/>
                <w:highlight w:val="none"/>
              </w:rPr>
            </w:pPr>
          </w:p>
        </w:tc>
        <w:tc>
          <w:tcPr>
            <w:tcW w:w="851" w:type="dxa"/>
            <w:vAlign w:val="top"/>
          </w:tcPr>
          <w:p w14:paraId="08EB17C6">
            <w:pPr>
              <w:rPr>
                <w:rFonts w:ascii="Arial"/>
                <w:color w:val="auto"/>
                <w:sz w:val="21"/>
                <w:highlight w:val="none"/>
              </w:rPr>
            </w:pPr>
          </w:p>
        </w:tc>
        <w:tc>
          <w:tcPr>
            <w:tcW w:w="858" w:type="dxa"/>
            <w:tcBorders>
              <w:right w:val="single" w:color="000000" w:sz="6" w:space="0"/>
            </w:tcBorders>
            <w:vAlign w:val="top"/>
          </w:tcPr>
          <w:p w14:paraId="0663D940">
            <w:pPr>
              <w:rPr>
                <w:rFonts w:ascii="Arial"/>
                <w:color w:val="auto"/>
                <w:sz w:val="21"/>
                <w:highlight w:val="none"/>
              </w:rPr>
            </w:pPr>
          </w:p>
        </w:tc>
      </w:tr>
      <w:tr w14:paraId="116E3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535" w:type="dxa"/>
            <w:tcBorders>
              <w:left w:val="single" w:color="000000" w:sz="6" w:space="0"/>
              <w:bottom w:val="single" w:color="000000" w:sz="6" w:space="0"/>
            </w:tcBorders>
            <w:vAlign w:val="top"/>
          </w:tcPr>
          <w:p w14:paraId="39D0AA88">
            <w:pPr>
              <w:rPr>
                <w:rFonts w:ascii="Arial"/>
                <w:color w:val="auto"/>
                <w:sz w:val="21"/>
                <w:highlight w:val="none"/>
              </w:rPr>
            </w:pPr>
          </w:p>
        </w:tc>
        <w:tc>
          <w:tcPr>
            <w:tcW w:w="726" w:type="dxa"/>
            <w:tcBorders>
              <w:bottom w:val="single" w:color="000000" w:sz="6" w:space="0"/>
            </w:tcBorders>
            <w:vAlign w:val="top"/>
          </w:tcPr>
          <w:p w14:paraId="367FA06A">
            <w:pPr>
              <w:rPr>
                <w:rFonts w:ascii="Arial"/>
                <w:color w:val="auto"/>
                <w:sz w:val="21"/>
                <w:highlight w:val="none"/>
              </w:rPr>
            </w:pPr>
          </w:p>
        </w:tc>
        <w:tc>
          <w:tcPr>
            <w:tcW w:w="726" w:type="dxa"/>
            <w:tcBorders>
              <w:bottom w:val="single" w:color="000000" w:sz="6" w:space="0"/>
            </w:tcBorders>
            <w:vAlign w:val="top"/>
          </w:tcPr>
          <w:p w14:paraId="17394952">
            <w:pPr>
              <w:rPr>
                <w:rFonts w:ascii="Arial"/>
                <w:color w:val="auto"/>
                <w:sz w:val="21"/>
                <w:highlight w:val="none"/>
              </w:rPr>
            </w:pPr>
          </w:p>
        </w:tc>
        <w:tc>
          <w:tcPr>
            <w:tcW w:w="856" w:type="dxa"/>
            <w:tcBorders>
              <w:bottom w:val="single" w:color="000000" w:sz="6" w:space="0"/>
            </w:tcBorders>
            <w:vAlign w:val="top"/>
          </w:tcPr>
          <w:p w14:paraId="6825B345">
            <w:pPr>
              <w:rPr>
                <w:rFonts w:ascii="Arial"/>
                <w:color w:val="auto"/>
                <w:sz w:val="21"/>
                <w:highlight w:val="none"/>
              </w:rPr>
            </w:pPr>
          </w:p>
        </w:tc>
        <w:tc>
          <w:tcPr>
            <w:tcW w:w="1131" w:type="dxa"/>
            <w:tcBorders>
              <w:bottom w:val="single" w:color="000000" w:sz="6" w:space="0"/>
            </w:tcBorders>
            <w:vAlign w:val="top"/>
          </w:tcPr>
          <w:p w14:paraId="48C75966">
            <w:pPr>
              <w:rPr>
                <w:rFonts w:ascii="Arial"/>
                <w:color w:val="auto"/>
                <w:sz w:val="21"/>
                <w:highlight w:val="none"/>
              </w:rPr>
            </w:pPr>
          </w:p>
        </w:tc>
        <w:tc>
          <w:tcPr>
            <w:tcW w:w="1134" w:type="dxa"/>
            <w:tcBorders>
              <w:bottom w:val="single" w:color="000000" w:sz="6" w:space="0"/>
            </w:tcBorders>
            <w:vAlign w:val="top"/>
          </w:tcPr>
          <w:p w14:paraId="163177E2">
            <w:pPr>
              <w:rPr>
                <w:rFonts w:ascii="Arial"/>
                <w:color w:val="auto"/>
                <w:sz w:val="21"/>
                <w:highlight w:val="none"/>
              </w:rPr>
            </w:pPr>
          </w:p>
        </w:tc>
        <w:tc>
          <w:tcPr>
            <w:tcW w:w="1131" w:type="dxa"/>
            <w:tcBorders>
              <w:bottom w:val="single" w:color="000000" w:sz="6" w:space="0"/>
            </w:tcBorders>
            <w:vAlign w:val="top"/>
          </w:tcPr>
          <w:p w14:paraId="3EFF6321">
            <w:pPr>
              <w:rPr>
                <w:rFonts w:ascii="Arial"/>
                <w:color w:val="auto"/>
                <w:sz w:val="21"/>
                <w:highlight w:val="none"/>
              </w:rPr>
            </w:pPr>
          </w:p>
        </w:tc>
        <w:tc>
          <w:tcPr>
            <w:tcW w:w="1134" w:type="dxa"/>
            <w:tcBorders>
              <w:bottom w:val="single" w:color="000000" w:sz="6" w:space="0"/>
            </w:tcBorders>
            <w:vAlign w:val="top"/>
          </w:tcPr>
          <w:p w14:paraId="7078E0AD">
            <w:pPr>
              <w:rPr>
                <w:rFonts w:ascii="Arial"/>
                <w:color w:val="auto"/>
                <w:sz w:val="21"/>
                <w:highlight w:val="none"/>
              </w:rPr>
            </w:pPr>
          </w:p>
        </w:tc>
        <w:tc>
          <w:tcPr>
            <w:tcW w:w="1131" w:type="dxa"/>
            <w:tcBorders>
              <w:bottom w:val="single" w:color="000000" w:sz="6" w:space="0"/>
            </w:tcBorders>
            <w:vAlign w:val="top"/>
          </w:tcPr>
          <w:p w14:paraId="4CD02284">
            <w:pPr>
              <w:rPr>
                <w:rFonts w:ascii="Arial"/>
                <w:color w:val="auto"/>
                <w:sz w:val="21"/>
                <w:highlight w:val="none"/>
              </w:rPr>
            </w:pPr>
          </w:p>
        </w:tc>
        <w:tc>
          <w:tcPr>
            <w:tcW w:w="1134" w:type="dxa"/>
            <w:tcBorders>
              <w:bottom w:val="single" w:color="000000" w:sz="6" w:space="0"/>
            </w:tcBorders>
            <w:vAlign w:val="top"/>
          </w:tcPr>
          <w:p w14:paraId="5F84714E">
            <w:pPr>
              <w:rPr>
                <w:rFonts w:ascii="Arial"/>
                <w:color w:val="auto"/>
                <w:sz w:val="21"/>
                <w:highlight w:val="none"/>
              </w:rPr>
            </w:pPr>
          </w:p>
        </w:tc>
        <w:tc>
          <w:tcPr>
            <w:tcW w:w="1132" w:type="dxa"/>
            <w:tcBorders>
              <w:bottom w:val="single" w:color="000000" w:sz="6" w:space="0"/>
            </w:tcBorders>
            <w:vAlign w:val="top"/>
          </w:tcPr>
          <w:p w14:paraId="66280EB2">
            <w:pPr>
              <w:rPr>
                <w:rFonts w:ascii="Arial"/>
                <w:color w:val="auto"/>
                <w:sz w:val="21"/>
                <w:highlight w:val="none"/>
              </w:rPr>
            </w:pPr>
          </w:p>
        </w:tc>
        <w:tc>
          <w:tcPr>
            <w:tcW w:w="851" w:type="dxa"/>
            <w:tcBorders>
              <w:bottom w:val="single" w:color="000000" w:sz="6" w:space="0"/>
            </w:tcBorders>
            <w:vAlign w:val="top"/>
          </w:tcPr>
          <w:p w14:paraId="585A7CD1">
            <w:pPr>
              <w:rPr>
                <w:rFonts w:ascii="Arial"/>
                <w:color w:val="auto"/>
                <w:sz w:val="21"/>
                <w:highlight w:val="none"/>
              </w:rPr>
            </w:pPr>
          </w:p>
        </w:tc>
        <w:tc>
          <w:tcPr>
            <w:tcW w:w="858" w:type="dxa"/>
            <w:tcBorders>
              <w:bottom w:val="single" w:color="000000" w:sz="6" w:space="0"/>
              <w:right w:val="single" w:color="000000" w:sz="6" w:space="0"/>
            </w:tcBorders>
            <w:vAlign w:val="top"/>
          </w:tcPr>
          <w:p w14:paraId="7FA1ADF3">
            <w:pPr>
              <w:rPr>
                <w:rFonts w:ascii="Arial"/>
                <w:color w:val="auto"/>
                <w:sz w:val="21"/>
                <w:highlight w:val="none"/>
              </w:rPr>
            </w:pPr>
          </w:p>
        </w:tc>
      </w:tr>
    </w:tbl>
    <w:p w14:paraId="0A650471">
      <w:pPr>
        <w:pStyle w:val="3"/>
        <w:rPr>
          <w:color w:val="auto"/>
          <w:highlight w:val="none"/>
        </w:rPr>
      </w:pPr>
    </w:p>
    <w:p w14:paraId="4386CD13">
      <w:pPr>
        <w:rPr>
          <w:color w:val="auto"/>
          <w:highlight w:val="none"/>
        </w:rPr>
        <w:sectPr>
          <w:pgSz w:w="16841" w:h="11907"/>
          <w:pgMar w:top="400" w:right="1438" w:bottom="1252" w:left="1453" w:header="0" w:footer="1091" w:gutter="0"/>
          <w:pgNumType w:fmt="decimal"/>
          <w:cols w:space="720" w:num="1"/>
        </w:sectPr>
      </w:pPr>
    </w:p>
    <w:p w14:paraId="43145D09">
      <w:pPr>
        <w:pStyle w:val="3"/>
        <w:spacing w:line="246" w:lineRule="auto"/>
        <w:rPr>
          <w:color w:val="auto"/>
          <w:highlight w:val="none"/>
        </w:rPr>
      </w:pPr>
    </w:p>
    <w:p w14:paraId="661FDED0">
      <w:pPr>
        <w:pStyle w:val="3"/>
        <w:spacing w:line="246" w:lineRule="auto"/>
        <w:rPr>
          <w:color w:val="auto"/>
          <w:highlight w:val="none"/>
        </w:rPr>
      </w:pPr>
    </w:p>
    <w:p w14:paraId="12F3F8F2">
      <w:pPr>
        <w:pStyle w:val="3"/>
        <w:spacing w:line="246" w:lineRule="auto"/>
        <w:rPr>
          <w:color w:val="auto"/>
          <w:highlight w:val="none"/>
        </w:rPr>
      </w:pPr>
    </w:p>
    <w:p w14:paraId="0BB2A49F">
      <w:pPr>
        <w:pStyle w:val="3"/>
        <w:spacing w:line="246" w:lineRule="auto"/>
        <w:rPr>
          <w:color w:val="auto"/>
          <w:highlight w:val="none"/>
        </w:rPr>
      </w:pPr>
    </w:p>
    <w:p w14:paraId="689EBF5D">
      <w:pPr>
        <w:spacing w:before="91" w:line="219" w:lineRule="auto"/>
        <w:ind w:left="2570"/>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总价项目分类分项工程分解表</w:t>
      </w:r>
    </w:p>
    <w:p w14:paraId="205D90E7">
      <w:pPr>
        <w:pStyle w:val="3"/>
        <w:spacing w:line="270" w:lineRule="auto"/>
        <w:rPr>
          <w:color w:val="auto"/>
          <w:highlight w:val="none"/>
        </w:rPr>
      </w:pPr>
    </w:p>
    <w:p w14:paraId="563C22C1">
      <w:pPr>
        <w:pStyle w:val="3"/>
        <w:spacing w:line="270" w:lineRule="auto"/>
        <w:rPr>
          <w:color w:val="auto"/>
          <w:highlight w:val="none"/>
        </w:rPr>
      </w:pPr>
    </w:p>
    <w:p w14:paraId="07E33DAC">
      <w:pPr>
        <w:spacing w:before="78" w:line="362" w:lineRule="auto"/>
        <w:ind w:right="3" w:firstLine="48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若招标人要求对总价项目进行分解的，可按分类分项工程量清</w:t>
      </w:r>
      <w:r>
        <w:rPr>
          <w:rFonts w:ascii="宋体" w:hAnsi="宋体" w:eastAsia="宋体" w:cs="宋体"/>
          <w:color w:val="auto"/>
          <w:spacing w:val="-4"/>
          <w:sz w:val="24"/>
          <w:szCs w:val="24"/>
          <w:highlight w:val="none"/>
        </w:rPr>
        <w:t>单计价表的格式进</w:t>
      </w:r>
      <w:r>
        <w:rPr>
          <w:rFonts w:ascii="宋体" w:hAnsi="宋体" w:eastAsia="宋体" w:cs="宋体"/>
          <w:color w:val="auto"/>
          <w:spacing w:val="-10"/>
          <w:sz w:val="24"/>
          <w:szCs w:val="24"/>
          <w:highlight w:val="none"/>
        </w:rPr>
        <w:t>行分解。</w:t>
      </w:r>
    </w:p>
    <w:p w14:paraId="5E26C6C8">
      <w:pPr>
        <w:spacing w:line="362" w:lineRule="auto"/>
        <w:rPr>
          <w:rFonts w:ascii="宋体" w:hAnsi="宋体" w:eastAsia="宋体" w:cs="宋体"/>
          <w:color w:val="auto"/>
          <w:sz w:val="24"/>
          <w:szCs w:val="24"/>
          <w:highlight w:val="none"/>
        </w:rPr>
        <w:sectPr>
          <w:footerReference r:id="rId180" w:type="default"/>
          <w:pgSz w:w="11907" w:h="16841"/>
          <w:pgMar w:top="400" w:right="1527" w:bottom="1254" w:left="1602" w:header="0" w:footer="1093" w:gutter="0"/>
          <w:pgNumType w:fmt="decimal"/>
          <w:cols w:space="720" w:num="1"/>
        </w:sectPr>
      </w:pPr>
    </w:p>
    <w:p w14:paraId="541EBECE">
      <w:pPr>
        <w:pStyle w:val="3"/>
        <w:spacing w:line="246" w:lineRule="auto"/>
        <w:rPr>
          <w:color w:val="auto"/>
          <w:highlight w:val="none"/>
        </w:rPr>
      </w:pPr>
    </w:p>
    <w:p w14:paraId="6D006F5B">
      <w:pPr>
        <w:pStyle w:val="3"/>
        <w:spacing w:line="246" w:lineRule="auto"/>
        <w:rPr>
          <w:color w:val="auto"/>
          <w:highlight w:val="none"/>
        </w:rPr>
      </w:pPr>
    </w:p>
    <w:p w14:paraId="3CE617E1">
      <w:pPr>
        <w:pStyle w:val="3"/>
        <w:spacing w:line="246" w:lineRule="auto"/>
        <w:rPr>
          <w:color w:val="auto"/>
          <w:highlight w:val="none"/>
        </w:rPr>
      </w:pPr>
    </w:p>
    <w:p w14:paraId="6B1B704F">
      <w:pPr>
        <w:pStyle w:val="3"/>
        <w:spacing w:line="246" w:lineRule="auto"/>
        <w:rPr>
          <w:color w:val="auto"/>
          <w:highlight w:val="none"/>
        </w:rPr>
      </w:pPr>
    </w:p>
    <w:p w14:paraId="3F061339">
      <w:pPr>
        <w:spacing w:before="91" w:line="219" w:lineRule="auto"/>
        <w:ind w:left="3821"/>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单价计算表</w:t>
      </w:r>
    </w:p>
    <w:p w14:paraId="3B113DE3">
      <w:pPr>
        <w:spacing w:line="171" w:lineRule="exact"/>
        <w:rPr>
          <w:color w:val="auto"/>
          <w:highlight w:val="none"/>
        </w:rPr>
      </w:pPr>
    </w:p>
    <w:tbl>
      <w:tblPr>
        <w:tblStyle w:val="16"/>
        <w:tblW w:w="900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2760"/>
        <w:gridCol w:w="990"/>
        <w:gridCol w:w="1557"/>
        <w:gridCol w:w="1414"/>
        <w:gridCol w:w="1533"/>
      </w:tblGrid>
      <w:tr w14:paraId="7DABC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505" w:type="dxa"/>
            <w:gridSpan w:val="3"/>
            <w:tcBorders>
              <w:top w:val="single" w:color="000000" w:sz="6" w:space="0"/>
              <w:left w:val="single" w:color="000000" w:sz="6" w:space="0"/>
            </w:tcBorders>
            <w:vAlign w:val="top"/>
          </w:tcPr>
          <w:p w14:paraId="4A5495C1">
            <w:pPr>
              <w:pStyle w:val="17"/>
              <w:spacing w:before="138" w:line="218" w:lineRule="auto"/>
              <w:ind w:left="1777"/>
              <w:rPr>
                <w:color w:val="auto"/>
                <w:sz w:val="24"/>
                <w:szCs w:val="24"/>
                <w:highlight w:val="none"/>
              </w:rPr>
            </w:pPr>
            <w:r>
              <w:rPr>
                <w:color w:val="auto"/>
                <w:spacing w:val="-3"/>
                <w:sz w:val="24"/>
                <w:szCs w:val="24"/>
                <w:highlight w:val="none"/>
              </w:rPr>
              <w:t>单价序号</w:t>
            </w:r>
          </w:p>
        </w:tc>
        <w:tc>
          <w:tcPr>
            <w:tcW w:w="4504" w:type="dxa"/>
            <w:gridSpan w:val="3"/>
            <w:tcBorders>
              <w:top w:val="single" w:color="000000" w:sz="6" w:space="0"/>
              <w:right w:val="single" w:color="000000" w:sz="6" w:space="0"/>
            </w:tcBorders>
            <w:vAlign w:val="top"/>
          </w:tcPr>
          <w:p w14:paraId="78ABDFD6">
            <w:pPr>
              <w:rPr>
                <w:rFonts w:ascii="Arial"/>
                <w:color w:val="auto"/>
                <w:sz w:val="21"/>
                <w:highlight w:val="none"/>
              </w:rPr>
            </w:pPr>
          </w:p>
        </w:tc>
      </w:tr>
      <w:tr w14:paraId="4FE21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505" w:type="dxa"/>
            <w:gridSpan w:val="3"/>
            <w:tcBorders>
              <w:left w:val="single" w:color="000000" w:sz="6" w:space="0"/>
            </w:tcBorders>
            <w:vAlign w:val="top"/>
          </w:tcPr>
          <w:p w14:paraId="41989F70">
            <w:pPr>
              <w:pStyle w:val="17"/>
              <w:spacing w:before="135" w:line="220" w:lineRule="auto"/>
              <w:ind w:left="1779"/>
              <w:rPr>
                <w:color w:val="auto"/>
                <w:sz w:val="24"/>
                <w:szCs w:val="24"/>
                <w:highlight w:val="none"/>
              </w:rPr>
            </w:pPr>
            <w:r>
              <w:rPr>
                <w:color w:val="auto"/>
                <w:spacing w:val="-3"/>
                <w:sz w:val="24"/>
                <w:szCs w:val="24"/>
                <w:highlight w:val="none"/>
              </w:rPr>
              <w:t>项目名称</w:t>
            </w:r>
          </w:p>
        </w:tc>
        <w:tc>
          <w:tcPr>
            <w:tcW w:w="4504" w:type="dxa"/>
            <w:gridSpan w:val="3"/>
            <w:tcBorders>
              <w:right w:val="single" w:color="000000" w:sz="6" w:space="0"/>
            </w:tcBorders>
            <w:vAlign w:val="top"/>
          </w:tcPr>
          <w:p w14:paraId="796FD3F8">
            <w:pPr>
              <w:rPr>
                <w:rFonts w:ascii="Arial"/>
                <w:color w:val="auto"/>
                <w:sz w:val="21"/>
                <w:highlight w:val="none"/>
              </w:rPr>
            </w:pPr>
          </w:p>
        </w:tc>
      </w:tr>
      <w:tr w14:paraId="1C9F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505" w:type="dxa"/>
            <w:gridSpan w:val="3"/>
            <w:tcBorders>
              <w:left w:val="single" w:color="000000" w:sz="6" w:space="0"/>
            </w:tcBorders>
            <w:vAlign w:val="top"/>
          </w:tcPr>
          <w:p w14:paraId="0CEF9802">
            <w:pPr>
              <w:pStyle w:val="17"/>
              <w:spacing w:before="137" w:line="220" w:lineRule="auto"/>
              <w:ind w:left="1780"/>
              <w:rPr>
                <w:color w:val="auto"/>
                <w:sz w:val="24"/>
                <w:szCs w:val="24"/>
                <w:highlight w:val="none"/>
              </w:rPr>
            </w:pPr>
            <w:r>
              <w:rPr>
                <w:color w:val="auto"/>
                <w:spacing w:val="-3"/>
                <w:sz w:val="24"/>
                <w:szCs w:val="24"/>
                <w:highlight w:val="none"/>
              </w:rPr>
              <w:t>定额编号</w:t>
            </w:r>
          </w:p>
        </w:tc>
        <w:tc>
          <w:tcPr>
            <w:tcW w:w="4504" w:type="dxa"/>
            <w:gridSpan w:val="3"/>
            <w:tcBorders>
              <w:right w:val="single" w:color="000000" w:sz="6" w:space="0"/>
            </w:tcBorders>
            <w:vAlign w:val="top"/>
          </w:tcPr>
          <w:p w14:paraId="4FDE827F">
            <w:pPr>
              <w:rPr>
                <w:rFonts w:ascii="Arial"/>
                <w:color w:val="auto"/>
                <w:sz w:val="21"/>
                <w:highlight w:val="none"/>
              </w:rPr>
            </w:pPr>
          </w:p>
        </w:tc>
      </w:tr>
      <w:tr w14:paraId="6E241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4505" w:type="dxa"/>
            <w:gridSpan w:val="3"/>
            <w:tcBorders>
              <w:left w:val="single" w:color="000000" w:sz="6" w:space="0"/>
            </w:tcBorders>
            <w:vAlign w:val="top"/>
          </w:tcPr>
          <w:p w14:paraId="5E117A7F">
            <w:pPr>
              <w:pStyle w:val="17"/>
              <w:spacing w:before="137" w:line="220" w:lineRule="auto"/>
              <w:ind w:left="1774"/>
              <w:rPr>
                <w:color w:val="auto"/>
                <w:sz w:val="24"/>
                <w:szCs w:val="24"/>
                <w:highlight w:val="none"/>
              </w:rPr>
            </w:pPr>
            <w:r>
              <w:rPr>
                <w:color w:val="auto"/>
                <w:spacing w:val="-2"/>
                <w:sz w:val="24"/>
                <w:szCs w:val="24"/>
                <w:highlight w:val="none"/>
              </w:rPr>
              <w:t>施工措施</w:t>
            </w:r>
          </w:p>
        </w:tc>
        <w:tc>
          <w:tcPr>
            <w:tcW w:w="4504" w:type="dxa"/>
            <w:gridSpan w:val="3"/>
            <w:tcBorders>
              <w:right w:val="single" w:color="000000" w:sz="6" w:space="0"/>
            </w:tcBorders>
            <w:vAlign w:val="top"/>
          </w:tcPr>
          <w:p w14:paraId="30AAA066">
            <w:pPr>
              <w:rPr>
                <w:rFonts w:ascii="Arial"/>
                <w:color w:val="auto"/>
                <w:sz w:val="21"/>
                <w:highlight w:val="none"/>
              </w:rPr>
            </w:pPr>
          </w:p>
        </w:tc>
      </w:tr>
      <w:tr w14:paraId="47B6D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505" w:type="dxa"/>
            <w:gridSpan w:val="3"/>
            <w:tcBorders>
              <w:left w:val="single" w:color="000000" w:sz="6" w:space="0"/>
            </w:tcBorders>
            <w:vAlign w:val="top"/>
          </w:tcPr>
          <w:p w14:paraId="1A3C0F11">
            <w:pPr>
              <w:pStyle w:val="17"/>
              <w:spacing w:before="136" w:line="220" w:lineRule="auto"/>
              <w:ind w:left="1780"/>
              <w:rPr>
                <w:color w:val="auto"/>
                <w:sz w:val="24"/>
                <w:szCs w:val="24"/>
                <w:highlight w:val="none"/>
              </w:rPr>
            </w:pPr>
            <w:r>
              <w:rPr>
                <w:color w:val="auto"/>
                <w:spacing w:val="-3"/>
                <w:sz w:val="24"/>
                <w:szCs w:val="24"/>
                <w:highlight w:val="none"/>
              </w:rPr>
              <w:t>定额单位</w:t>
            </w:r>
          </w:p>
        </w:tc>
        <w:tc>
          <w:tcPr>
            <w:tcW w:w="4504" w:type="dxa"/>
            <w:gridSpan w:val="3"/>
            <w:tcBorders>
              <w:right w:val="single" w:color="000000" w:sz="6" w:space="0"/>
            </w:tcBorders>
            <w:vAlign w:val="top"/>
          </w:tcPr>
          <w:p w14:paraId="3140D48A">
            <w:pPr>
              <w:rPr>
                <w:rFonts w:ascii="Arial"/>
                <w:color w:val="auto"/>
                <w:sz w:val="21"/>
                <w:highlight w:val="none"/>
              </w:rPr>
            </w:pPr>
          </w:p>
        </w:tc>
      </w:tr>
      <w:tr w14:paraId="1F6E8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755" w:type="dxa"/>
            <w:tcBorders>
              <w:left w:val="single" w:color="000000" w:sz="6" w:space="0"/>
            </w:tcBorders>
            <w:vAlign w:val="top"/>
          </w:tcPr>
          <w:p w14:paraId="5ECC1260">
            <w:pPr>
              <w:pStyle w:val="17"/>
              <w:spacing w:before="110" w:line="220" w:lineRule="auto"/>
              <w:ind w:left="137"/>
              <w:rPr>
                <w:color w:val="auto"/>
                <w:sz w:val="24"/>
                <w:szCs w:val="24"/>
                <w:highlight w:val="none"/>
              </w:rPr>
            </w:pPr>
            <w:r>
              <w:rPr>
                <w:color w:val="auto"/>
                <w:spacing w:val="-3"/>
                <w:sz w:val="24"/>
                <w:szCs w:val="24"/>
                <w:highlight w:val="none"/>
              </w:rPr>
              <w:t>编号</w:t>
            </w:r>
          </w:p>
        </w:tc>
        <w:tc>
          <w:tcPr>
            <w:tcW w:w="2760" w:type="dxa"/>
            <w:vAlign w:val="top"/>
          </w:tcPr>
          <w:p w14:paraId="74B35AF1">
            <w:pPr>
              <w:pStyle w:val="17"/>
              <w:spacing w:before="111" w:line="220" w:lineRule="auto"/>
              <w:ind w:left="903"/>
              <w:rPr>
                <w:color w:val="auto"/>
                <w:sz w:val="24"/>
                <w:szCs w:val="24"/>
                <w:highlight w:val="none"/>
              </w:rPr>
            </w:pPr>
            <w:r>
              <w:rPr>
                <w:color w:val="auto"/>
                <w:spacing w:val="-3"/>
                <w:sz w:val="24"/>
                <w:szCs w:val="24"/>
                <w:highlight w:val="none"/>
              </w:rPr>
              <w:t>工料名称</w:t>
            </w:r>
          </w:p>
        </w:tc>
        <w:tc>
          <w:tcPr>
            <w:tcW w:w="990" w:type="dxa"/>
            <w:vAlign w:val="top"/>
          </w:tcPr>
          <w:p w14:paraId="7B7739F6">
            <w:pPr>
              <w:pStyle w:val="17"/>
              <w:spacing w:before="111" w:line="220" w:lineRule="auto"/>
              <w:ind w:left="261"/>
              <w:rPr>
                <w:color w:val="auto"/>
                <w:sz w:val="24"/>
                <w:szCs w:val="24"/>
                <w:highlight w:val="none"/>
              </w:rPr>
            </w:pPr>
            <w:r>
              <w:rPr>
                <w:color w:val="auto"/>
                <w:spacing w:val="-3"/>
                <w:sz w:val="24"/>
                <w:szCs w:val="24"/>
                <w:highlight w:val="none"/>
              </w:rPr>
              <w:t>单位</w:t>
            </w:r>
          </w:p>
        </w:tc>
        <w:tc>
          <w:tcPr>
            <w:tcW w:w="1557" w:type="dxa"/>
            <w:vAlign w:val="top"/>
          </w:tcPr>
          <w:p w14:paraId="7182DB16">
            <w:pPr>
              <w:pStyle w:val="17"/>
              <w:spacing w:before="111" w:line="218" w:lineRule="auto"/>
              <w:ind w:left="188"/>
              <w:rPr>
                <w:color w:val="auto"/>
                <w:sz w:val="24"/>
                <w:szCs w:val="24"/>
                <w:highlight w:val="none"/>
              </w:rPr>
            </w:pPr>
            <w:r>
              <w:rPr>
                <w:color w:val="auto"/>
                <w:spacing w:val="-5"/>
                <w:sz w:val="24"/>
                <w:szCs w:val="24"/>
                <w:highlight w:val="none"/>
              </w:rPr>
              <w:t>单价（元）</w:t>
            </w:r>
          </w:p>
        </w:tc>
        <w:tc>
          <w:tcPr>
            <w:tcW w:w="1414" w:type="dxa"/>
            <w:vAlign w:val="top"/>
          </w:tcPr>
          <w:p w14:paraId="034D7D93">
            <w:pPr>
              <w:pStyle w:val="17"/>
              <w:spacing w:before="110" w:line="220" w:lineRule="auto"/>
              <w:ind w:left="240"/>
              <w:rPr>
                <w:color w:val="auto"/>
                <w:sz w:val="24"/>
                <w:szCs w:val="24"/>
                <w:highlight w:val="none"/>
              </w:rPr>
            </w:pPr>
            <w:r>
              <w:rPr>
                <w:color w:val="auto"/>
                <w:spacing w:val="-3"/>
                <w:sz w:val="24"/>
                <w:szCs w:val="24"/>
                <w:highlight w:val="none"/>
              </w:rPr>
              <w:t>工料定额</w:t>
            </w:r>
          </w:p>
        </w:tc>
        <w:tc>
          <w:tcPr>
            <w:tcW w:w="1533" w:type="dxa"/>
            <w:tcBorders>
              <w:right w:val="single" w:color="000000" w:sz="6" w:space="0"/>
            </w:tcBorders>
            <w:vAlign w:val="top"/>
          </w:tcPr>
          <w:p w14:paraId="5F0427D9">
            <w:pPr>
              <w:pStyle w:val="17"/>
              <w:spacing w:before="111" w:line="218" w:lineRule="auto"/>
              <w:ind w:left="173"/>
              <w:rPr>
                <w:color w:val="auto"/>
                <w:sz w:val="24"/>
                <w:szCs w:val="24"/>
                <w:highlight w:val="none"/>
              </w:rPr>
            </w:pPr>
            <w:r>
              <w:rPr>
                <w:color w:val="auto"/>
                <w:spacing w:val="-5"/>
                <w:sz w:val="24"/>
                <w:szCs w:val="24"/>
                <w:highlight w:val="none"/>
              </w:rPr>
              <w:t>合价（元）</w:t>
            </w:r>
          </w:p>
        </w:tc>
      </w:tr>
      <w:tr w14:paraId="315C5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2328CB18">
            <w:pPr>
              <w:rPr>
                <w:rFonts w:ascii="Arial"/>
                <w:color w:val="auto"/>
                <w:sz w:val="21"/>
                <w:highlight w:val="none"/>
              </w:rPr>
            </w:pPr>
          </w:p>
        </w:tc>
        <w:tc>
          <w:tcPr>
            <w:tcW w:w="2760" w:type="dxa"/>
            <w:vAlign w:val="top"/>
          </w:tcPr>
          <w:p w14:paraId="51BC76E7">
            <w:pPr>
              <w:rPr>
                <w:rFonts w:ascii="Arial"/>
                <w:color w:val="auto"/>
                <w:sz w:val="21"/>
                <w:highlight w:val="none"/>
              </w:rPr>
            </w:pPr>
          </w:p>
        </w:tc>
        <w:tc>
          <w:tcPr>
            <w:tcW w:w="990" w:type="dxa"/>
            <w:vAlign w:val="top"/>
          </w:tcPr>
          <w:p w14:paraId="67D6B02E">
            <w:pPr>
              <w:rPr>
                <w:rFonts w:ascii="Arial"/>
                <w:color w:val="auto"/>
                <w:sz w:val="21"/>
                <w:highlight w:val="none"/>
              </w:rPr>
            </w:pPr>
          </w:p>
        </w:tc>
        <w:tc>
          <w:tcPr>
            <w:tcW w:w="1557" w:type="dxa"/>
            <w:vAlign w:val="top"/>
          </w:tcPr>
          <w:p w14:paraId="10A1E25A">
            <w:pPr>
              <w:rPr>
                <w:rFonts w:ascii="Arial"/>
                <w:color w:val="auto"/>
                <w:sz w:val="21"/>
                <w:highlight w:val="none"/>
              </w:rPr>
            </w:pPr>
          </w:p>
        </w:tc>
        <w:tc>
          <w:tcPr>
            <w:tcW w:w="1414" w:type="dxa"/>
            <w:vAlign w:val="top"/>
          </w:tcPr>
          <w:p w14:paraId="23857E57">
            <w:pPr>
              <w:rPr>
                <w:rFonts w:ascii="Arial"/>
                <w:color w:val="auto"/>
                <w:sz w:val="21"/>
                <w:highlight w:val="none"/>
              </w:rPr>
            </w:pPr>
          </w:p>
        </w:tc>
        <w:tc>
          <w:tcPr>
            <w:tcW w:w="1533" w:type="dxa"/>
            <w:tcBorders>
              <w:right w:val="single" w:color="000000" w:sz="6" w:space="0"/>
            </w:tcBorders>
            <w:vAlign w:val="top"/>
          </w:tcPr>
          <w:p w14:paraId="1DEE631E">
            <w:pPr>
              <w:rPr>
                <w:rFonts w:ascii="Arial"/>
                <w:color w:val="auto"/>
                <w:sz w:val="21"/>
                <w:highlight w:val="none"/>
              </w:rPr>
            </w:pPr>
          </w:p>
        </w:tc>
      </w:tr>
      <w:tr w14:paraId="1B387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0465F952">
            <w:pPr>
              <w:rPr>
                <w:rFonts w:ascii="Arial"/>
                <w:color w:val="auto"/>
                <w:sz w:val="21"/>
                <w:highlight w:val="none"/>
              </w:rPr>
            </w:pPr>
          </w:p>
        </w:tc>
        <w:tc>
          <w:tcPr>
            <w:tcW w:w="2760" w:type="dxa"/>
            <w:vAlign w:val="top"/>
          </w:tcPr>
          <w:p w14:paraId="79DDD0A4">
            <w:pPr>
              <w:rPr>
                <w:rFonts w:ascii="Arial"/>
                <w:color w:val="auto"/>
                <w:sz w:val="21"/>
                <w:highlight w:val="none"/>
              </w:rPr>
            </w:pPr>
          </w:p>
        </w:tc>
        <w:tc>
          <w:tcPr>
            <w:tcW w:w="990" w:type="dxa"/>
            <w:vAlign w:val="top"/>
          </w:tcPr>
          <w:p w14:paraId="46C16F52">
            <w:pPr>
              <w:rPr>
                <w:rFonts w:ascii="Arial"/>
                <w:color w:val="auto"/>
                <w:sz w:val="21"/>
                <w:highlight w:val="none"/>
              </w:rPr>
            </w:pPr>
          </w:p>
        </w:tc>
        <w:tc>
          <w:tcPr>
            <w:tcW w:w="1557" w:type="dxa"/>
            <w:vAlign w:val="top"/>
          </w:tcPr>
          <w:p w14:paraId="57DA08E7">
            <w:pPr>
              <w:rPr>
                <w:rFonts w:ascii="Arial"/>
                <w:color w:val="auto"/>
                <w:sz w:val="21"/>
                <w:highlight w:val="none"/>
              </w:rPr>
            </w:pPr>
          </w:p>
        </w:tc>
        <w:tc>
          <w:tcPr>
            <w:tcW w:w="1414" w:type="dxa"/>
            <w:vAlign w:val="top"/>
          </w:tcPr>
          <w:p w14:paraId="779B887C">
            <w:pPr>
              <w:rPr>
                <w:rFonts w:ascii="Arial"/>
                <w:color w:val="auto"/>
                <w:sz w:val="21"/>
                <w:highlight w:val="none"/>
              </w:rPr>
            </w:pPr>
          </w:p>
        </w:tc>
        <w:tc>
          <w:tcPr>
            <w:tcW w:w="1533" w:type="dxa"/>
            <w:tcBorders>
              <w:right w:val="single" w:color="000000" w:sz="6" w:space="0"/>
            </w:tcBorders>
            <w:vAlign w:val="top"/>
          </w:tcPr>
          <w:p w14:paraId="3E39BC23">
            <w:pPr>
              <w:rPr>
                <w:rFonts w:ascii="Arial"/>
                <w:color w:val="auto"/>
                <w:sz w:val="21"/>
                <w:highlight w:val="none"/>
              </w:rPr>
            </w:pPr>
          </w:p>
        </w:tc>
      </w:tr>
      <w:tr w14:paraId="1939A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608C85AB">
            <w:pPr>
              <w:rPr>
                <w:rFonts w:ascii="Arial"/>
                <w:color w:val="auto"/>
                <w:sz w:val="21"/>
                <w:highlight w:val="none"/>
              </w:rPr>
            </w:pPr>
          </w:p>
        </w:tc>
        <w:tc>
          <w:tcPr>
            <w:tcW w:w="2760" w:type="dxa"/>
            <w:vAlign w:val="top"/>
          </w:tcPr>
          <w:p w14:paraId="4FA59542">
            <w:pPr>
              <w:rPr>
                <w:rFonts w:ascii="Arial"/>
                <w:color w:val="auto"/>
                <w:sz w:val="21"/>
                <w:highlight w:val="none"/>
              </w:rPr>
            </w:pPr>
          </w:p>
        </w:tc>
        <w:tc>
          <w:tcPr>
            <w:tcW w:w="990" w:type="dxa"/>
            <w:vAlign w:val="top"/>
          </w:tcPr>
          <w:p w14:paraId="0F7F28AB">
            <w:pPr>
              <w:rPr>
                <w:rFonts w:ascii="Arial"/>
                <w:color w:val="auto"/>
                <w:sz w:val="21"/>
                <w:highlight w:val="none"/>
              </w:rPr>
            </w:pPr>
          </w:p>
        </w:tc>
        <w:tc>
          <w:tcPr>
            <w:tcW w:w="1557" w:type="dxa"/>
            <w:vAlign w:val="top"/>
          </w:tcPr>
          <w:p w14:paraId="362140C8">
            <w:pPr>
              <w:rPr>
                <w:rFonts w:ascii="Arial"/>
                <w:color w:val="auto"/>
                <w:sz w:val="21"/>
                <w:highlight w:val="none"/>
              </w:rPr>
            </w:pPr>
          </w:p>
        </w:tc>
        <w:tc>
          <w:tcPr>
            <w:tcW w:w="1414" w:type="dxa"/>
            <w:vAlign w:val="top"/>
          </w:tcPr>
          <w:p w14:paraId="601E5317">
            <w:pPr>
              <w:rPr>
                <w:rFonts w:ascii="Arial"/>
                <w:color w:val="auto"/>
                <w:sz w:val="21"/>
                <w:highlight w:val="none"/>
              </w:rPr>
            </w:pPr>
          </w:p>
        </w:tc>
        <w:tc>
          <w:tcPr>
            <w:tcW w:w="1533" w:type="dxa"/>
            <w:tcBorders>
              <w:right w:val="single" w:color="000000" w:sz="6" w:space="0"/>
            </w:tcBorders>
            <w:vAlign w:val="top"/>
          </w:tcPr>
          <w:p w14:paraId="28EE1082">
            <w:pPr>
              <w:rPr>
                <w:rFonts w:ascii="Arial"/>
                <w:color w:val="auto"/>
                <w:sz w:val="21"/>
                <w:highlight w:val="none"/>
              </w:rPr>
            </w:pPr>
          </w:p>
        </w:tc>
      </w:tr>
      <w:tr w14:paraId="6BA03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3BFDEA27">
            <w:pPr>
              <w:rPr>
                <w:rFonts w:ascii="Arial"/>
                <w:color w:val="auto"/>
                <w:sz w:val="21"/>
                <w:highlight w:val="none"/>
              </w:rPr>
            </w:pPr>
          </w:p>
        </w:tc>
        <w:tc>
          <w:tcPr>
            <w:tcW w:w="2760" w:type="dxa"/>
            <w:vAlign w:val="top"/>
          </w:tcPr>
          <w:p w14:paraId="00E7B1DA">
            <w:pPr>
              <w:rPr>
                <w:rFonts w:ascii="Arial"/>
                <w:color w:val="auto"/>
                <w:sz w:val="21"/>
                <w:highlight w:val="none"/>
              </w:rPr>
            </w:pPr>
          </w:p>
        </w:tc>
        <w:tc>
          <w:tcPr>
            <w:tcW w:w="990" w:type="dxa"/>
            <w:vAlign w:val="top"/>
          </w:tcPr>
          <w:p w14:paraId="1E5614DB">
            <w:pPr>
              <w:rPr>
                <w:rFonts w:ascii="Arial"/>
                <w:color w:val="auto"/>
                <w:sz w:val="21"/>
                <w:highlight w:val="none"/>
              </w:rPr>
            </w:pPr>
          </w:p>
        </w:tc>
        <w:tc>
          <w:tcPr>
            <w:tcW w:w="1557" w:type="dxa"/>
            <w:vAlign w:val="top"/>
          </w:tcPr>
          <w:p w14:paraId="2E82C9C8">
            <w:pPr>
              <w:rPr>
                <w:rFonts w:ascii="Arial"/>
                <w:color w:val="auto"/>
                <w:sz w:val="21"/>
                <w:highlight w:val="none"/>
              </w:rPr>
            </w:pPr>
          </w:p>
        </w:tc>
        <w:tc>
          <w:tcPr>
            <w:tcW w:w="1414" w:type="dxa"/>
            <w:vAlign w:val="top"/>
          </w:tcPr>
          <w:p w14:paraId="0EC0DD8D">
            <w:pPr>
              <w:rPr>
                <w:rFonts w:ascii="Arial"/>
                <w:color w:val="auto"/>
                <w:sz w:val="21"/>
                <w:highlight w:val="none"/>
              </w:rPr>
            </w:pPr>
          </w:p>
        </w:tc>
        <w:tc>
          <w:tcPr>
            <w:tcW w:w="1533" w:type="dxa"/>
            <w:tcBorders>
              <w:right w:val="single" w:color="000000" w:sz="6" w:space="0"/>
            </w:tcBorders>
            <w:vAlign w:val="top"/>
          </w:tcPr>
          <w:p w14:paraId="7E5897B6">
            <w:pPr>
              <w:rPr>
                <w:rFonts w:ascii="Arial"/>
                <w:color w:val="auto"/>
                <w:sz w:val="21"/>
                <w:highlight w:val="none"/>
              </w:rPr>
            </w:pPr>
          </w:p>
        </w:tc>
      </w:tr>
      <w:tr w14:paraId="4DCC6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76831AA6">
            <w:pPr>
              <w:rPr>
                <w:rFonts w:ascii="Arial"/>
                <w:color w:val="auto"/>
                <w:sz w:val="21"/>
                <w:highlight w:val="none"/>
              </w:rPr>
            </w:pPr>
          </w:p>
        </w:tc>
        <w:tc>
          <w:tcPr>
            <w:tcW w:w="2760" w:type="dxa"/>
            <w:vAlign w:val="top"/>
          </w:tcPr>
          <w:p w14:paraId="2498D983">
            <w:pPr>
              <w:rPr>
                <w:rFonts w:ascii="Arial"/>
                <w:color w:val="auto"/>
                <w:sz w:val="21"/>
                <w:highlight w:val="none"/>
              </w:rPr>
            </w:pPr>
          </w:p>
        </w:tc>
        <w:tc>
          <w:tcPr>
            <w:tcW w:w="990" w:type="dxa"/>
            <w:vAlign w:val="top"/>
          </w:tcPr>
          <w:p w14:paraId="3B005FAA">
            <w:pPr>
              <w:rPr>
                <w:rFonts w:ascii="Arial"/>
                <w:color w:val="auto"/>
                <w:sz w:val="21"/>
                <w:highlight w:val="none"/>
              </w:rPr>
            </w:pPr>
          </w:p>
        </w:tc>
        <w:tc>
          <w:tcPr>
            <w:tcW w:w="1557" w:type="dxa"/>
            <w:vAlign w:val="top"/>
          </w:tcPr>
          <w:p w14:paraId="5977C65D">
            <w:pPr>
              <w:rPr>
                <w:rFonts w:ascii="Arial"/>
                <w:color w:val="auto"/>
                <w:sz w:val="21"/>
                <w:highlight w:val="none"/>
              </w:rPr>
            </w:pPr>
          </w:p>
        </w:tc>
        <w:tc>
          <w:tcPr>
            <w:tcW w:w="1414" w:type="dxa"/>
            <w:vAlign w:val="top"/>
          </w:tcPr>
          <w:p w14:paraId="7AC3AFFC">
            <w:pPr>
              <w:rPr>
                <w:rFonts w:ascii="Arial"/>
                <w:color w:val="auto"/>
                <w:sz w:val="21"/>
                <w:highlight w:val="none"/>
              </w:rPr>
            </w:pPr>
          </w:p>
        </w:tc>
        <w:tc>
          <w:tcPr>
            <w:tcW w:w="1533" w:type="dxa"/>
            <w:tcBorders>
              <w:right w:val="single" w:color="000000" w:sz="6" w:space="0"/>
            </w:tcBorders>
            <w:vAlign w:val="top"/>
          </w:tcPr>
          <w:p w14:paraId="160077A1">
            <w:pPr>
              <w:rPr>
                <w:rFonts w:ascii="Arial"/>
                <w:color w:val="auto"/>
                <w:sz w:val="21"/>
                <w:highlight w:val="none"/>
              </w:rPr>
            </w:pPr>
          </w:p>
        </w:tc>
      </w:tr>
      <w:tr w14:paraId="29FBA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55" w:type="dxa"/>
            <w:tcBorders>
              <w:left w:val="single" w:color="000000" w:sz="6" w:space="0"/>
            </w:tcBorders>
            <w:vAlign w:val="top"/>
          </w:tcPr>
          <w:p w14:paraId="64F71B28">
            <w:pPr>
              <w:rPr>
                <w:rFonts w:ascii="Arial"/>
                <w:color w:val="auto"/>
                <w:sz w:val="21"/>
                <w:highlight w:val="none"/>
              </w:rPr>
            </w:pPr>
          </w:p>
        </w:tc>
        <w:tc>
          <w:tcPr>
            <w:tcW w:w="2760" w:type="dxa"/>
            <w:vAlign w:val="top"/>
          </w:tcPr>
          <w:p w14:paraId="6015028A">
            <w:pPr>
              <w:rPr>
                <w:rFonts w:ascii="Arial"/>
                <w:color w:val="auto"/>
                <w:sz w:val="21"/>
                <w:highlight w:val="none"/>
              </w:rPr>
            </w:pPr>
          </w:p>
        </w:tc>
        <w:tc>
          <w:tcPr>
            <w:tcW w:w="990" w:type="dxa"/>
            <w:vAlign w:val="top"/>
          </w:tcPr>
          <w:p w14:paraId="553CD7BF">
            <w:pPr>
              <w:rPr>
                <w:rFonts w:ascii="Arial"/>
                <w:color w:val="auto"/>
                <w:sz w:val="21"/>
                <w:highlight w:val="none"/>
              </w:rPr>
            </w:pPr>
          </w:p>
        </w:tc>
        <w:tc>
          <w:tcPr>
            <w:tcW w:w="1557" w:type="dxa"/>
            <w:vAlign w:val="top"/>
          </w:tcPr>
          <w:p w14:paraId="09380F7E">
            <w:pPr>
              <w:rPr>
                <w:rFonts w:ascii="Arial"/>
                <w:color w:val="auto"/>
                <w:sz w:val="21"/>
                <w:highlight w:val="none"/>
              </w:rPr>
            </w:pPr>
          </w:p>
        </w:tc>
        <w:tc>
          <w:tcPr>
            <w:tcW w:w="1414" w:type="dxa"/>
            <w:vAlign w:val="top"/>
          </w:tcPr>
          <w:p w14:paraId="4FFF1853">
            <w:pPr>
              <w:rPr>
                <w:rFonts w:ascii="Arial"/>
                <w:color w:val="auto"/>
                <w:sz w:val="21"/>
                <w:highlight w:val="none"/>
              </w:rPr>
            </w:pPr>
          </w:p>
        </w:tc>
        <w:tc>
          <w:tcPr>
            <w:tcW w:w="1533" w:type="dxa"/>
            <w:tcBorders>
              <w:right w:val="single" w:color="000000" w:sz="6" w:space="0"/>
            </w:tcBorders>
            <w:vAlign w:val="top"/>
          </w:tcPr>
          <w:p w14:paraId="1F49C5BC">
            <w:pPr>
              <w:rPr>
                <w:rFonts w:ascii="Arial"/>
                <w:color w:val="auto"/>
                <w:sz w:val="21"/>
                <w:highlight w:val="none"/>
              </w:rPr>
            </w:pPr>
          </w:p>
        </w:tc>
      </w:tr>
      <w:tr w14:paraId="51065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63504DD7">
            <w:pPr>
              <w:rPr>
                <w:rFonts w:ascii="Arial"/>
                <w:color w:val="auto"/>
                <w:sz w:val="21"/>
                <w:highlight w:val="none"/>
              </w:rPr>
            </w:pPr>
          </w:p>
        </w:tc>
        <w:tc>
          <w:tcPr>
            <w:tcW w:w="2760" w:type="dxa"/>
            <w:vAlign w:val="top"/>
          </w:tcPr>
          <w:p w14:paraId="1E9D339C">
            <w:pPr>
              <w:rPr>
                <w:rFonts w:ascii="Arial"/>
                <w:color w:val="auto"/>
                <w:sz w:val="21"/>
                <w:highlight w:val="none"/>
              </w:rPr>
            </w:pPr>
          </w:p>
        </w:tc>
        <w:tc>
          <w:tcPr>
            <w:tcW w:w="990" w:type="dxa"/>
            <w:vAlign w:val="top"/>
          </w:tcPr>
          <w:p w14:paraId="11318C43">
            <w:pPr>
              <w:rPr>
                <w:rFonts w:ascii="Arial"/>
                <w:color w:val="auto"/>
                <w:sz w:val="21"/>
                <w:highlight w:val="none"/>
              </w:rPr>
            </w:pPr>
          </w:p>
        </w:tc>
        <w:tc>
          <w:tcPr>
            <w:tcW w:w="1557" w:type="dxa"/>
            <w:vAlign w:val="top"/>
          </w:tcPr>
          <w:p w14:paraId="170EDBE4">
            <w:pPr>
              <w:rPr>
                <w:rFonts w:ascii="Arial"/>
                <w:color w:val="auto"/>
                <w:sz w:val="21"/>
                <w:highlight w:val="none"/>
              </w:rPr>
            </w:pPr>
          </w:p>
        </w:tc>
        <w:tc>
          <w:tcPr>
            <w:tcW w:w="1414" w:type="dxa"/>
            <w:vAlign w:val="top"/>
          </w:tcPr>
          <w:p w14:paraId="05BF0F89">
            <w:pPr>
              <w:rPr>
                <w:rFonts w:ascii="Arial"/>
                <w:color w:val="auto"/>
                <w:sz w:val="21"/>
                <w:highlight w:val="none"/>
              </w:rPr>
            </w:pPr>
          </w:p>
        </w:tc>
        <w:tc>
          <w:tcPr>
            <w:tcW w:w="1533" w:type="dxa"/>
            <w:tcBorders>
              <w:right w:val="single" w:color="000000" w:sz="6" w:space="0"/>
            </w:tcBorders>
            <w:vAlign w:val="top"/>
          </w:tcPr>
          <w:p w14:paraId="624ED4D5">
            <w:pPr>
              <w:rPr>
                <w:rFonts w:ascii="Arial"/>
                <w:color w:val="auto"/>
                <w:sz w:val="21"/>
                <w:highlight w:val="none"/>
              </w:rPr>
            </w:pPr>
          </w:p>
        </w:tc>
      </w:tr>
      <w:tr w14:paraId="1CFF6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1803C9AB">
            <w:pPr>
              <w:rPr>
                <w:rFonts w:ascii="Arial"/>
                <w:color w:val="auto"/>
                <w:sz w:val="21"/>
                <w:highlight w:val="none"/>
              </w:rPr>
            </w:pPr>
          </w:p>
        </w:tc>
        <w:tc>
          <w:tcPr>
            <w:tcW w:w="2760" w:type="dxa"/>
            <w:vAlign w:val="top"/>
          </w:tcPr>
          <w:p w14:paraId="0641E864">
            <w:pPr>
              <w:rPr>
                <w:rFonts w:ascii="Arial"/>
                <w:color w:val="auto"/>
                <w:sz w:val="21"/>
                <w:highlight w:val="none"/>
              </w:rPr>
            </w:pPr>
          </w:p>
        </w:tc>
        <w:tc>
          <w:tcPr>
            <w:tcW w:w="990" w:type="dxa"/>
            <w:vAlign w:val="top"/>
          </w:tcPr>
          <w:p w14:paraId="154BCAF1">
            <w:pPr>
              <w:rPr>
                <w:rFonts w:ascii="Arial"/>
                <w:color w:val="auto"/>
                <w:sz w:val="21"/>
                <w:highlight w:val="none"/>
              </w:rPr>
            </w:pPr>
          </w:p>
        </w:tc>
        <w:tc>
          <w:tcPr>
            <w:tcW w:w="1557" w:type="dxa"/>
            <w:vAlign w:val="top"/>
          </w:tcPr>
          <w:p w14:paraId="3234E870">
            <w:pPr>
              <w:rPr>
                <w:rFonts w:ascii="Arial"/>
                <w:color w:val="auto"/>
                <w:sz w:val="21"/>
                <w:highlight w:val="none"/>
              </w:rPr>
            </w:pPr>
          </w:p>
        </w:tc>
        <w:tc>
          <w:tcPr>
            <w:tcW w:w="1414" w:type="dxa"/>
            <w:vAlign w:val="top"/>
          </w:tcPr>
          <w:p w14:paraId="7176911F">
            <w:pPr>
              <w:rPr>
                <w:rFonts w:ascii="Arial"/>
                <w:color w:val="auto"/>
                <w:sz w:val="21"/>
                <w:highlight w:val="none"/>
              </w:rPr>
            </w:pPr>
          </w:p>
        </w:tc>
        <w:tc>
          <w:tcPr>
            <w:tcW w:w="1533" w:type="dxa"/>
            <w:tcBorders>
              <w:right w:val="single" w:color="000000" w:sz="6" w:space="0"/>
            </w:tcBorders>
            <w:vAlign w:val="top"/>
          </w:tcPr>
          <w:p w14:paraId="6A9411D2">
            <w:pPr>
              <w:rPr>
                <w:rFonts w:ascii="Arial"/>
                <w:color w:val="auto"/>
                <w:sz w:val="21"/>
                <w:highlight w:val="none"/>
              </w:rPr>
            </w:pPr>
          </w:p>
        </w:tc>
      </w:tr>
      <w:tr w14:paraId="3B89D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24194362">
            <w:pPr>
              <w:rPr>
                <w:rFonts w:ascii="Arial"/>
                <w:color w:val="auto"/>
                <w:sz w:val="21"/>
                <w:highlight w:val="none"/>
              </w:rPr>
            </w:pPr>
          </w:p>
        </w:tc>
        <w:tc>
          <w:tcPr>
            <w:tcW w:w="2760" w:type="dxa"/>
            <w:vAlign w:val="top"/>
          </w:tcPr>
          <w:p w14:paraId="2AA27665">
            <w:pPr>
              <w:rPr>
                <w:rFonts w:ascii="Arial"/>
                <w:color w:val="auto"/>
                <w:sz w:val="21"/>
                <w:highlight w:val="none"/>
              </w:rPr>
            </w:pPr>
          </w:p>
        </w:tc>
        <w:tc>
          <w:tcPr>
            <w:tcW w:w="990" w:type="dxa"/>
            <w:vAlign w:val="top"/>
          </w:tcPr>
          <w:p w14:paraId="0D49F052">
            <w:pPr>
              <w:rPr>
                <w:rFonts w:ascii="Arial"/>
                <w:color w:val="auto"/>
                <w:sz w:val="21"/>
                <w:highlight w:val="none"/>
              </w:rPr>
            </w:pPr>
          </w:p>
        </w:tc>
        <w:tc>
          <w:tcPr>
            <w:tcW w:w="1557" w:type="dxa"/>
            <w:vAlign w:val="top"/>
          </w:tcPr>
          <w:p w14:paraId="13BBA150">
            <w:pPr>
              <w:rPr>
                <w:rFonts w:ascii="Arial"/>
                <w:color w:val="auto"/>
                <w:sz w:val="21"/>
                <w:highlight w:val="none"/>
              </w:rPr>
            </w:pPr>
          </w:p>
        </w:tc>
        <w:tc>
          <w:tcPr>
            <w:tcW w:w="1414" w:type="dxa"/>
            <w:vAlign w:val="top"/>
          </w:tcPr>
          <w:p w14:paraId="5CF0E7A6">
            <w:pPr>
              <w:rPr>
                <w:rFonts w:ascii="Arial"/>
                <w:color w:val="auto"/>
                <w:sz w:val="21"/>
                <w:highlight w:val="none"/>
              </w:rPr>
            </w:pPr>
          </w:p>
        </w:tc>
        <w:tc>
          <w:tcPr>
            <w:tcW w:w="1533" w:type="dxa"/>
            <w:tcBorders>
              <w:right w:val="single" w:color="000000" w:sz="6" w:space="0"/>
            </w:tcBorders>
            <w:vAlign w:val="top"/>
          </w:tcPr>
          <w:p w14:paraId="3DFBF11B">
            <w:pPr>
              <w:rPr>
                <w:rFonts w:ascii="Arial"/>
                <w:color w:val="auto"/>
                <w:sz w:val="21"/>
                <w:highlight w:val="none"/>
              </w:rPr>
            </w:pPr>
          </w:p>
        </w:tc>
      </w:tr>
      <w:tr w14:paraId="6F5AD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79C467A1">
            <w:pPr>
              <w:rPr>
                <w:rFonts w:ascii="Arial"/>
                <w:color w:val="auto"/>
                <w:sz w:val="21"/>
                <w:highlight w:val="none"/>
              </w:rPr>
            </w:pPr>
          </w:p>
        </w:tc>
        <w:tc>
          <w:tcPr>
            <w:tcW w:w="2760" w:type="dxa"/>
            <w:vAlign w:val="top"/>
          </w:tcPr>
          <w:p w14:paraId="32596FB4">
            <w:pPr>
              <w:rPr>
                <w:rFonts w:ascii="Arial"/>
                <w:color w:val="auto"/>
                <w:sz w:val="21"/>
                <w:highlight w:val="none"/>
              </w:rPr>
            </w:pPr>
          </w:p>
        </w:tc>
        <w:tc>
          <w:tcPr>
            <w:tcW w:w="990" w:type="dxa"/>
            <w:vAlign w:val="top"/>
          </w:tcPr>
          <w:p w14:paraId="33E9F822">
            <w:pPr>
              <w:rPr>
                <w:rFonts w:ascii="Arial"/>
                <w:color w:val="auto"/>
                <w:sz w:val="21"/>
                <w:highlight w:val="none"/>
              </w:rPr>
            </w:pPr>
          </w:p>
        </w:tc>
        <w:tc>
          <w:tcPr>
            <w:tcW w:w="1557" w:type="dxa"/>
            <w:vAlign w:val="top"/>
          </w:tcPr>
          <w:p w14:paraId="064DA201">
            <w:pPr>
              <w:rPr>
                <w:rFonts w:ascii="Arial"/>
                <w:color w:val="auto"/>
                <w:sz w:val="21"/>
                <w:highlight w:val="none"/>
              </w:rPr>
            </w:pPr>
          </w:p>
        </w:tc>
        <w:tc>
          <w:tcPr>
            <w:tcW w:w="1414" w:type="dxa"/>
            <w:vAlign w:val="top"/>
          </w:tcPr>
          <w:p w14:paraId="759AA1E8">
            <w:pPr>
              <w:rPr>
                <w:rFonts w:ascii="Arial"/>
                <w:color w:val="auto"/>
                <w:sz w:val="21"/>
                <w:highlight w:val="none"/>
              </w:rPr>
            </w:pPr>
          </w:p>
        </w:tc>
        <w:tc>
          <w:tcPr>
            <w:tcW w:w="1533" w:type="dxa"/>
            <w:tcBorders>
              <w:right w:val="single" w:color="000000" w:sz="6" w:space="0"/>
            </w:tcBorders>
            <w:vAlign w:val="top"/>
          </w:tcPr>
          <w:p w14:paraId="5F27B1FF">
            <w:pPr>
              <w:rPr>
                <w:rFonts w:ascii="Arial"/>
                <w:color w:val="auto"/>
                <w:sz w:val="21"/>
                <w:highlight w:val="none"/>
              </w:rPr>
            </w:pPr>
          </w:p>
        </w:tc>
      </w:tr>
      <w:tr w14:paraId="69B88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0263EADF">
            <w:pPr>
              <w:rPr>
                <w:rFonts w:ascii="Arial"/>
                <w:color w:val="auto"/>
                <w:sz w:val="21"/>
                <w:highlight w:val="none"/>
              </w:rPr>
            </w:pPr>
          </w:p>
        </w:tc>
        <w:tc>
          <w:tcPr>
            <w:tcW w:w="2760" w:type="dxa"/>
            <w:vAlign w:val="top"/>
          </w:tcPr>
          <w:p w14:paraId="41FB8415">
            <w:pPr>
              <w:rPr>
                <w:rFonts w:ascii="Arial"/>
                <w:color w:val="auto"/>
                <w:sz w:val="21"/>
                <w:highlight w:val="none"/>
              </w:rPr>
            </w:pPr>
          </w:p>
        </w:tc>
        <w:tc>
          <w:tcPr>
            <w:tcW w:w="990" w:type="dxa"/>
            <w:vAlign w:val="top"/>
          </w:tcPr>
          <w:p w14:paraId="2BC52914">
            <w:pPr>
              <w:rPr>
                <w:rFonts w:ascii="Arial"/>
                <w:color w:val="auto"/>
                <w:sz w:val="21"/>
                <w:highlight w:val="none"/>
              </w:rPr>
            </w:pPr>
          </w:p>
        </w:tc>
        <w:tc>
          <w:tcPr>
            <w:tcW w:w="1557" w:type="dxa"/>
            <w:vAlign w:val="top"/>
          </w:tcPr>
          <w:p w14:paraId="00AAB704">
            <w:pPr>
              <w:rPr>
                <w:rFonts w:ascii="Arial"/>
                <w:color w:val="auto"/>
                <w:sz w:val="21"/>
                <w:highlight w:val="none"/>
              </w:rPr>
            </w:pPr>
          </w:p>
        </w:tc>
        <w:tc>
          <w:tcPr>
            <w:tcW w:w="1414" w:type="dxa"/>
            <w:vAlign w:val="top"/>
          </w:tcPr>
          <w:p w14:paraId="653B6959">
            <w:pPr>
              <w:rPr>
                <w:rFonts w:ascii="Arial"/>
                <w:color w:val="auto"/>
                <w:sz w:val="21"/>
                <w:highlight w:val="none"/>
              </w:rPr>
            </w:pPr>
          </w:p>
        </w:tc>
        <w:tc>
          <w:tcPr>
            <w:tcW w:w="1533" w:type="dxa"/>
            <w:tcBorders>
              <w:right w:val="single" w:color="000000" w:sz="6" w:space="0"/>
            </w:tcBorders>
            <w:vAlign w:val="top"/>
          </w:tcPr>
          <w:p w14:paraId="079F56FA">
            <w:pPr>
              <w:rPr>
                <w:rFonts w:ascii="Arial"/>
                <w:color w:val="auto"/>
                <w:sz w:val="21"/>
                <w:highlight w:val="none"/>
              </w:rPr>
            </w:pPr>
          </w:p>
        </w:tc>
      </w:tr>
      <w:tr w14:paraId="51593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3419C357">
            <w:pPr>
              <w:rPr>
                <w:rFonts w:ascii="Arial"/>
                <w:color w:val="auto"/>
                <w:sz w:val="21"/>
                <w:highlight w:val="none"/>
              </w:rPr>
            </w:pPr>
          </w:p>
        </w:tc>
        <w:tc>
          <w:tcPr>
            <w:tcW w:w="2760" w:type="dxa"/>
            <w:vAlign w:val="top"/>
          </w:tcPr>
          <w:p w14:paraId="7BBA03E4">
            <w:pPr>
              <w:pStyle w:val="17"/>
              <w:spacing w:before="122" w:line="220" w:lineRule="auto"/>
              <w:ind w:left="542"/>
              <w:rPr>
                <w:color w:val="auto"/>
                <w:sz w:val="24"/>
                <w:szCs w:val="24"/>
                <w:highlight w:val="none"/>
              </w:rPr>
            </w:pPr>
            <w:r>
              <w:rPr>
                <w:color w:val="auto"/>
                <w:spacing w:val="-2"/>
                <w:sz w:val="24"/>
                <w:szCs w:val="24"/>
                <w:highlight w:val="none"/>
              </w:rPr>
              <w:t>直接工程费小计</w:t>
            </w:r>
          </w:p>
        </w:tc>
        <w:tc>
          <w:tcPr>
            <w:tcW w:w="990" w:type="dxa"/>
            <w:vAlign w:val="top"/>
          </w:tcPr>
          <w:p w14:paraId="376D3CAE">
            <w:pPr>
              <w:rPr>
                <w:rFonts w:ascii="Arial"/>
                <w:color w:val="auto"/>
                <w:sz w:val="21"/>
                <w:highlight w:val="none"/>
              </w:rPr>
            </w:pPr>
          </w:p>
        </w:tc>
        <w:tc>
          <w:tcPr>
            <w:tcW w:w="1557" w:type="dxa"/>
            <w:vAlign w:val="top"/>
          </w:tcPr>
          <w:p w14:paraId="5D740765">
            <w:pPr>
              <w:rPr>
                <w:rFonts w:ascii="Arial"/>
                <w:color w:val="auto"/>
                <w:sz w:val="21"/>
                <w:highlight w:val="none"/>
              </w:rPr>
            </w:pPr>
          </w:p>
        </w:tc>
        <w:tc>
          <w:tcPr>
            <w:tcW w:w="1414" w:type="dxa"/>
            <w:vAlign w:val="top"/>
          </w:tcPr>
          <w:p w14:paraId="0D21506C">
            <w:pPr>
              <w:rPr>
                <w:rFonts w:ascii="Arial"/>
                <w:color w:val="auto"/>
                <w:sz w:val="21"/>
                <w:highlight w:val="none"/>
              </w:rPr>
            </w:pPr>
          </w:p>
        </w:tc>
        <w:tc>
          <w:tcPr>
            <w:tcW w:w="1533" w:type="dxa"/>
            <w:tcBorders>
              <w:right w:val="single" w:color="000000" w:sz="6" w:space="0"/>
            </w:tcBorders>
            <w:vAlign w:val="top"/>
          </w:tcPr>
          <w:p w14:paraId="47B0F725">
            <w:pPr>
              <w:rPr>
                <w:rFonts w:ascii="Arial"/>
                <w:color w:val="auto"/>
                <w:sz w:val="21"/>
                <w:highlight w:val="none"/>
              </w:rPr>
            </w:pPr>
          </w:p>
        </w:tc>
      </w:tr>
      <w:tr w14:paraId="05FB3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2891F4B6">
            <w:pPr>
              <w:rPr>
                <w:rFonts w:ascii="Arial"/>
                <w:color w:val="auto"/>
                <w:sz w:val="21"/>
                <w:highlight w:val="none"/>
              </w:rPr>
            </w:pPr>
          </w:p>
        </w:tc>
        <w:tc>
          <w:tcPr>
            <w:tcW w:w="2760" w:type="dxa"/>
            <w:vAlign w:val="top"/>
          </w:tcPr>
          <w:p w14:paraId="14153CEA">
            <w:pPr>
              <w:pStyle w:val="17"/>
              <w:spacing w:before="123" w:line="220" w:lineRule="auto"/>
              <w:ind w:left="1020"/>
              <w:rPr>
                <w:color w:val="auto"/>
                <w:sz w:val="24"/>
                <w:szCs w:val="24"/>
                <w:highlight w:val="none"/>
              </w:rPr>
            </w:pPr>
            <w:r>
              <w:rPr>
                <w:color w:val="auto"/>
                <w:spacing w:val="-3"/>
                <w:sz w:val="24"/>
                <w:szCs w:val="24"/>
                <w:highlight w:val="none"/>
              </w:rPr>
              <w:t>措施费</w:t>
            </w:r>
          </w:p>
        </w:tc>
        <w:tc>
          <w:tcPr>
            <w:tcW w:w="990" w:type="dxa"/>
            <w:vAlign w:val="top"/>
          </w:tcPr>
          <w:p w14:paraId="5AD211F1">
            <w:pPr>
              <w:rPr>
                <w:rFonts w:ascii="Arial"/>
                <w:color w:val="auto"/>
                <w:sz w:val="21"/>
                <w:highlight w:val="none"/>
              </w:rPr>
            </w:pPr>
          </w:p>
        </w:tc>
        <w:tc>
          <w:tcPr>
            <w:tcW w:w="1557" w:type="dxa"/>
            <w:vAlign w:val="top"/>
          </w:tcPr>
          <w:p w14:paraId="48993468">
            <w:pPr>
              <w:rPr>
                <w:rFonts w:ascii="Arial"/>
                <w:color w:val="auto"/>
                <w:sz w:val="21"/>
                <w:highlight w:val="none"/>
              </w:rPr>
            </w:pPr>
          </w:p>
        </w:tc>
        <w:tc>
          <w:tcPr>
            <w:tcW w:w="1414" w:type="dxa"/>
            <w:vAlign w:val="top"/>
          </w:tcPr>
          <w:p w14:paraId="28B230E6">
            <w:pPr>
              <w:rPr>
                <w:rFonts w:ascii="Arial"/>
                <w:color w:val="auto"/>
                <w:sz w:val="21"/>
                <w:highlight w:val="none"/>
              </w:rPr>
            </w:pPr>
          </w:p>
        </w:tc>
        <w:tc>
          <w:tcPr>
            <w:tcW w:w="1533" w:type="dxa"/>
            <w:tcBorders>
              <w:right w:val="single" w:color="000000" w:sz="6" w:space="0"/>
            </w:tcBorders>
            <w:vAlign w:val="top"/>
          </w:tcPr>
          <w:p w14:paraId="0D447D4E">
            <w:pPr>
              <w:rPr>
                <w:rFonts w:ascii="Arial"/>
                <w:color w:val="auto"/>
                <w:sz w:val="21"/>
                <w:highlight w:val="none"/>
              </w:rPr>
            </w:pPr>
          </w:p>
        </w:tc>
      </w:tr>
      <w:tr w14:paraId="15E22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4ACE8EA7">
            <w:pPr>
              <w:rPr>
                <w:rFonts w:ascii="Arial"/>
                <w:color w:val="auto"/>
                <w:sz w:val="21"/>
                <w:highlight w:val="none"/>
              </w:rPr>
            </w:pPr>
          </w:p>
        </w:tc>
        <w:tc>
          <w:tcPr>
            <w:tcW w:w="2760" w:type="dxa"/>
            <w:vAlign w:val="top"/>
          </w:tcPr>
          <w:p w14:paraId="6D9901EA">
            <w:pPr>
              <w:pStyle w:val="17"/>
              <w:spacing w:before="124" w:line="220" w:lineRule="auto"/>
              <w:ind w:left="1039"/>
              <w:rPr>
                <w:color w:val="auto"/>
                <w:sz w:val="24"/>
                <w:szCs w:val="24"/>
                <w:highlight w:val="none"/>
              </w:rPr>
            </w:pPr>
            <w:r>
              <w:rPr>
                <w:color w:val="auto"/>
                <w:spacing w:val="-7"/>
                <w:sz w:val="24"/>
                <w:szCs w:val="24"/>
                <w:highlight w:val="none"/>
              </w:rPr>
              <w:t>间接费</w:t>
            </w:r>
          </w:p>
        </w:tc>
        <w:tc>
          <w:tcPr>
            <w:tcW w:w="990" w:type="dxa"/>
            <w:vAlign w:val="top"/>
          </w:tcPr>
          <w:p w14:paraId="6C7B0E75">
            <w:pPr>
              <w:rPr>
                <w:rFonts w:ascii="Arial"/>
                <w:color w:val="auto"/>
                <w:sz w:val="21"/>
                <w:highlight w:val="none"/>
              </w:rPr>
            </w:pPr>
          </w:p>
        </w:tc>
        <w:tc>
          <w:tcPr>
            <w:tcW w:w="1557" w:type="dxa"/>
            <w:vAlign w:val="top"/>
          </w:tcPr>
          <w:p w14:paraId="693CEB31">
            <w:pPr>
              <w:rPr>
                <w:rFonts w:ascii="Arial"/>
                <w:color w:val="auto"/>
                <w:sz w:val="21"/>
                <w:highlight w:val="none"/>
              </w:rPr>
            </w:pPr>
          </w:p>
        </w:tc>
        <w:tc>
          <w:tcPr>
            <w:tcW w:w="1414" w:type="dxa"/>
            <w:vAlign w:val="top"/>
          </w:tcPr>
          <w:p w14:paraId="546BA643">
            <w:pPr>
              <w:rPr>
                <w:rFonts w:ascii="Arial"/>
                <w:color w:val="auto"/>
                <w:sz w:val="21"/>
                <w:highlight w:val="none"/>
              </w:rPr>
            </w:pPr>
          </w:p>
        </w:tc>
        <w:tc>
          <w:tcPr>
            <w:tcW w:w="1533" w:type="dxa"/>
            <w:tcBorders>
              <w:right w:val="single" w:color="000000" w:sz="6" w:space="0"/>
            </w:tcBorders>
            <w:vAlign w:val="top"/>
          </w:tcPr>
          <w:p w14:paraId="174D1247">
            <w:pPr>
              <w:rPr>
                <w:rFonts w:ascii="Arial"/>
                <w:color w:val="auto"/>
                <w:sz w:val="21"/>
                <w:highlight w:val="none"/>
              </w:rPr>
            </w:pPr>
          </w:p>
        </w:tc>
      </w:tr>
      <w:tr w14:paraId="241BE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00F501FB">
            <w:pPr>
              <w:rPr>
                <w:rFonts w:ascii="Arial"/>
                <w:color w:val="auto"/>
                <w:sz w:val="21"/>
                <w:highlight w:val="none"/>
              </w:rPr>
            </w:pPr>
          </w:p>
        </w:tc>
        <w:tc>
          <w:tcPr>
            <w:tcW w:w="2760" w:type="dxa"/>
            <w:vAlign w:val="top"/>
          </w:tcPr>
          <w:p w14:paraId="24203472">
            <w:pPr>
              <w:pStyle w:val="17"/>
              <w:spacing w:before="124" w:line="220" w:lineRule="auto"/>
              <w:ind w:left="1141"/>
              <w:rPr>
                <w:color w:val="auto"/>
                <w:sz w:val="24"/>
                <w:szCs w:val="24"/>
                <w:highlight w:val="none"/>
              </w:rPr>
            </w:pPr>
            <w:r>
              <w:rPr>
                <w:color w:val="auto"/>
                <w:spacing w:val="-3"/>
                <w:sz w:val="24"/>
                <w:szCs w:val="24"/>
                <w:highlight w:val="none"/>
              </w:rPr>
              <w:t>利润</w:t>
            </w:r>
          </w:p>
        </w:tc>
        <w:tc>
          <w:tcPr>
            <w:tcW w:w="990" w:type="dxa"/>
            <w:vAlign w:val="top"/>
          </w:tcPr>
          <w:p w14:paraId="75F59D8E">
            <w:pPr>
              <w:rPr>
                <w:rFonts w:ascii="Arial"/>
                <w:color w:val="auto"/>
                <w:sz w:val="21"/>
                <w:highlight w:val="none"/>
              </w:rPr>
            </w:pPr>
          </w:p>
        </w:tc>
        <w:tc>
          <w:tcPr>
            <w:tcW w:w="1557" w:type="dxa"/>
            <w:vAlign w:val="top"/>
          </w:tcPr>
          <w:p w14:paraId="3B83EAEC">
            <w:pPr>
              <w:rPr>
                <w:rFonts w:ascii="Arial"/>
                <w:color w:val="auto"/>
                <w:sz w:val="21"/>
                <w:highlight w:val="none"/>
              </w:rPr>
            </w:pPr>
          </w:p>
        </w:tc>
        <w:tc>
          <w:tcPr>
            <w:tcW w:w="1414" w:type="dxa"/>
            <w:vAlign w:val="top"/>
          </w:tcPr>
          <w:p w14:paraId="34F5F1F1">
            <w:pPr>
              <w:rPr>
                <w:rFonts w:ascii="Arial"/>
                <w:color w:val="auto"/>
                <w:sz w:val="21"/>
                <w:highlight w:val="none"/>
              </w:rPr>
            </w:pPr>
          </w:p>
        </w:tc>
        <w:tc>
          <w:tcPr>
            <w:tcW w:w="1533" w:type="dxa"/>
            <w:tcBorders>
              <w:right w:val="single" w:color="000000" w:sz="6" w:space="0"/>
            </w:tcBorders>
            <w:vAlign w:val="top"/>
          </w:tcPr>
          <w:p w14:paraId="1C39A664">
            <w:pPr>
              <w:rPr>
                <w:rFonts w:ascii="Arial"/>
                <w:color w:val="auto"/>
                <w:sz w:val="21"/>
                <w:highlight w:val="none"/>
              </w:rPr>
            </w:pPr>
          </w:p>
        </w:tc>
      </w:tr>
      <w:tr w14:paraId="1F94B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0FE72E5C">
            <w:pPr>
              <w:rPr>
                <w:rFonts w:ascii="Arial"/>
                <w:color w:val="auto"/>
                <w:sz w:val="21"/>
                <w:highlight w:val="none"/>
              </w:rPr>
            </w:pPr>
          </w:p>
        </w:tc>
        <w:tc>
          <w:tcPr>
            <w:tcW w:w="2760" w:type="dxa"/>
            <w:vAlign w:val="top"/>
          </w:tcPr>
          <w:p w14:paraId="0232581C">
            <w:pPr>
              <w:pStyle w:val="17"/>
              <w:spacing w:before="123" w:line="219" w:lineRule="auto"/>
              <w:ind w:left="900"/>
              <w:rPr>
                <w:color w:val="auto"/>
                <w:sz w:val="24"/>
                <w:szCs w:val="24"/>
                <w:highlight w:val="none"/>
              </w:rPr>
            </w:pPr>
            <w:r>
              <w:rPr>
                <w:color w:val="auto"/>
                <w:spacing w:val="-2"/>
                <w:sz w:val="24"/>
                <w:szCs w:val="24"/>
                <w:highlight w:val="none"/>
              </w:rPr>
              <w:t>材料补差</w:t>
            </w:r>
          </w:p>
        </w:tc>
        <w:tc>
          <w:tcPr>
            <w:tcW w:w="990" w:type="dxa"/>
            <w:vAlign w:val="top"/>
          </w:tcPr>
          <w:p w14:paraId="4AEE5554">
            <w:pPr>
              <w:rPr>
                <w:rFonts w:ascii="Arial"/>
                <w:color w:val="auto"/>
                <w:sz w:val="21"/>
                <w:highlight w:val="none"/>
              </w:rPr>
            </w:pPr>
          </w:p>
        </w:tc>
        <w:tc>
          <w:tcPr>
            <w:tcW w:w="1557" w:type="dxa"/>
            <w:vAlign w:val="top"/>
          </w:tcPr>
          <w:p w14:paraId="1FF2841E">
            <w:pPr>
              <w:rPr>
                <w:rFonts w:ascii="Arial"/>
                <w:color w:val="auto"/>
                <w:sz w:val="21"/>
                <w:highlight w:val="none"/>
              </w:rPr>
            </w:pPr>
          </w:p>
        </w:tc>
        <w:tc>
          <w:tcPr>
            <w:tcW w:w="1414" w:type="dxa"/>
            <w:vAlign w:val="top"/>
          </w:tcPr>
          <w:p w14:paraId="2F500185">
            <w:pPr>
              <w:rPr>
                <w:rFonts w:ascii="Arial"/>
                <w:color w:val="auto"/>
                <w:sz w:val="21"/>
                <w:highlight w:val="none"/>
              </w:rPr>
            </w:pPr>
          </w:p>
        </w:tc>
        <w:tc>
          <w:tcPr>
            <w:tcW w:w="1533" w:type="dxa"/>
            <w:tcBorders>
              <w:right w:val="single" w:color="000000" w:sz="6" w:space="0"/>
            </w:tcBorders>
            <w:vAlign w:val="top"/>
          </w:tcPr>
          <w:p w14:paraId="35F2003D">
            <w:pPr>
              <w:rPr>
                <w:rFonts w:ascii="Arial"/>
                <w:color w:val="auto"/>
                <w:sz w:val="21"/>
                <w:highlight w:val="none"/>
              </w:rPr>
            </w:pPr>
          </w:p>
        </w:tc>
      </w:tr>
      <w:tr w14:paraId="6B207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55" w:type="dxa"/>
            <w:tcBorders>
              <w:left w:val="single" w:color="000000" w:sz="6" w:space="0"/>
            </w:tcBorders>
            <w:vAlign w:val="top"/>
          </w:tcPr>
          <w:p w14:paraId="04A9599B">
            <w:pPr>
              <w:rPr>
                <w:rFonts w:ascii="Arial"/>
                <w:color w:val="auto"/>
                <w:sz w:val="21"/>
                <w:highlight w:val="none"/>
              </w:rPr>
            </w:pPr>
          </w:p>
        </w:tc>
        <w:tc>
          <w:tcPr>
            <w:tcW w:w="2760" w:type="dxa"/>
            <w:vAlign w:val="top"/>
          </w:tcPr>
          <w:p w14:paraId="1A4CB7D4">
            <w:pPr>
              <w:pStyle w:val="17"/>
              <w:spacing w:before="125" w:line="219" w:lineRule="auto"/>
              <w:ind w:left="780"/>
              <w:rPr>
                <w:color w:val="auto"/>
                <w:sz w:val="24"/>
                <w:szCs w:val="24"/>
                <w:highlight w:val="none"/>
              </w:rPr>
            </w:pPr>
            <w:r>
              <w:rPr>
                <w:color w:val="auto"/>
                <w:spacing w:val="-2"/>
                <w:sz w:val="24"/>
                <w:szCs w:val="24"/>
                <w:highlight w:val="none"/>
              </w:rPr>
              <w:t>装置性材料</w:t>
            </w:r>
          </w:p>
        </w:tc>
        <w:tc>
          <w:tcPr>
            <w:tcW w:w="990" w:type="dxa"/>
            <w:vAlign w:val="top"/>
          </w:tcPr>
          <w:p w14:paraId="373EA7A4">
            <w:pPr>
              <w:rPr>
                <w:rFonts w:ascii="Arial"/>
                <w:color w:val="auto"/>
                <w:sz w:val="21"/>
                <w:highlight w:val="none"/>
              </w:rPr>
            </w:pPr>
          </w:p>
        </w:tc>
        <w:tc>
          <w:tcPr>
            <w:tcW w:w="1557" w:type="dxa"/>
            <w:vAlign w:val="top"/>
          </w:tcPr>
          <w:p w14:paraId="071E4FCC">
            <w:pPr>
              <w:rPr>
                <w:rFonts w:ascii="Arial"/>
                <w:color w:val="auto"/>
                <w:sz w:val="21"/>
                <w:highlight w:val="none"/>
              </w:rPr>
            </w:pPr>
          </w:p>
        </w:tc>
        <w:tc>
          <w:tcPr>
            <w:tcW w:w="1414" w:type="dxa"/>
            <w:vAlign w:val="top"/>
          </w:tcPr>
          <w:p w14:paraId="2B48592F">
            <w:pPr>
              <w:rPr>
                <w:rFonts w:ascii="Arial"/>
                <w:color w:val="auto"/>
                <w:sz w:val="21"/>
                <w:highlight w:val="none"/>
              </w:rPr>
            </w:pPr>
          </w:p>
        </w:tc>
        <w:tc>
          <w:tcPr>
            <w:tcW w:w="1533" w:type="dxa"/>
            <w:tcBorders>
              <w:right w:val="single" w:color="000000" w:sz="6" w:space="0"/>
            </w:tcBorders>
            <w:vAlign w:val="top"/>
          </w:tcPr>
          <w:p w14:paraId="1AB9AA54">
            <w:pPr>
              <w:rPr>
                <w:rFonts w:ascii="Arial"/>
                <w:color w:val="auto"/>
                <w:sz w:val="21"/>
                <w:highlight w:val="none"/>
              </w:rPr>
            </w:pPr>
          </w:p>
        </w:tc>
      </w:tr>
      <w:tr w14:paraId="41C6C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55" w:type="dxa"/>
            <w:tcBorders>
              <w:left w:val="single" w:color="000000" w:sz="6" w:space="0"/>
            </w:tcBorders>
            <w:vAlign w:val="top"/>
          </w:tcPr>
          <w:p w14:paraId="0829A80E">
            <w:pPr>
              <w:rPr>
                <w:rFonts w:ascii="Arial"/>
                <w:color w:val="auto"/>
                <w:sz w:val="21"/>
                <w:highlight w:val="none"/>
              </w:rPr>
            </w:pPr>
          </w:p>
        </w:tc>
        <w:tc>
          <w:tcPr>
            <w:tcW w:w="2760" w:type="dxa"/>
            <w:vAlign w:val="top"/>
          </w:tcPr>
          <w:p w14:paraId="248B7E20">
            <w:pPr>
              <w:pStyle w:val="17"/>
              <w:spacing w:before="123" w:line="220" w:lineRule="auto"/>
              <w:ind w:left="1139"/>
              <w:rPr>
                <w:color w:val="auto"/>
                <w:sz w:val="24"/>
                <w:szCs w:val="24"/>
                <w:highlight w:val="none"/>
              </w:rPr>
            </w:pPr>
            <w:r>
              <w:rPr>
                <w:color w:val="auto"/>
                <w:spacing w:val="-3"/>
                <w:sz w:val="24"/>
                <w:szCs w:val="24"/>
                <w:highlight w:val="none"/>
              </w:rPr>
              <w:t>税金</w:t>
            </w:r>
          </w:p>
        </w:tc>
        <w:tc>
          <w:tcPr>
            <w:tcW w:w="990" w:type="dxa"/>
            <w:vAlign w:val="top"/>
          </w:tcPr>
          <w:p w14:paraId="456869A7">
            <w:pPr>
              <w:rPr>
                <w:rFonts w:ascii="Arial"/>
                <w:color w:val="auto"/>
                <w:sz w:val="21"/>
                <w:highlight w:val="none"/>
              </w:rPr>
            </w:pPr>
          </w:p>
        </w:tc>
        <w:tc>
          <w:tcPr>
            <w:tcW w:w="1557" w:type="dxa"/>
            <w:vAlign w:val="top"/>
          </w:tcPr>
          <w:p w14:paraId="0F3BB43F">
            <w:pPr>
              <w:rPr>
                <w:rFonts w:ascii="Arial"/>
                <w:color w:val="auto"/>
                <w:sz w:val="21"/>
                <w:highlight w:val="none"/>
              </w:rPr>
            </w:pPr>
          </w:p>
        </w:tc>
        <w:tc>
          <w:tcPr>
            <w:tcW w:w="1414" w:type="dxa"/>
            <w:vAlign w:val="top"/>
          </w:tcPr>
          <w:p w14:paraId="1529E6FB">
            <w:pPr>
              <w:rPr>
                <w:rFonts w:ascii="Arial"/>
                <w:color w:val="auto"/>
                <w:sz w:val="21"/>
                <w:highlight w:val="none"/>
              </w:rPr>
            </w:pPr>
          </w:p>
        </w:tc>
        <w:tc>
          <w:tcPr>
            <w:tcW w:w="1533" w:type="dxa"/>
            <w:tcBorders>
              <w:right w:val="single" w:color="000000" w:sz="6" w:space="0"/>
            </w:tcBorders>
            <w:vAlign w:val="top"/>
          </w:tcPr>
          <w:p w14:paraId="7654EF69">
            <w:pPr>
              <w:rPr>
                <w:rFonts w:ascii="Arial"/>
                <w:color w:val="auto"/>
                <w:sz w:val="21"/>
                <w:highlight w:val="none"/>
              </w:rPr>
            </w:pPr>
          </w:p>
        </w:tc>
      </w:tr>
      <w:tr w14:paraId="02037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755" w:type="dxa"/>
            <w:tcBorders>
              <w:left w:val="single" w:color="000000" w:sz="6" w:space="0"/>
            </w:tcBorders>
            <w:vAlign w:val="top"/>
          </w:tcPr>
          <w:p w14:paraId="2D06FD1E">
            <w:pPr>
              <w:rPr>
                <w:rFonts w:ascii="Arial"/>
                <w:color w:val="auto"/>
                <w:sz w:val="21"/>
                <w:highlight w:val="none"/>
              </w:rPr>
            </w:pPr>
          </w:p>
        </w:tc>
        <w:tc>
          <w:tcPr>
            <w:tcW w:w="2760" w:type="dxa"/>
            <w:vAlign w:val="top"/>
          </w:tcPr>
          <w:p w14:paraId="63CF4707">
            <w:pPr>
              <w:pStyle w:val="17"/>
              <w:spacing w:before="126" w:line="221" w:lineRule="auto"/>
              <w:ind w:left="1141"/>
              <w:rPr>
                <w:color w:val="auto"/>
                <w:sz w:val="24"/>
                <w:szCs w:val="24"/>
                <w:highlight w:val="none"/>
              </w:rPr>
            </w:pPr>
            <w:r>
              <w:rPr>
                <w:color w:val="auto"/>
                <w:spacing w:val="-3"/>
                <w:sz w:val="24"/>
                <w:szCs w:val="24"/>
                <w:highlight w:val="none"/>
              </w:rPr>
              <w:t>合计</w:t>
            </w:r>
          </w:p>
        </w:tc>
        <w:tc>
          <w:tcPr>
            <w:tcW w:w="990" w:type="dxa"/>
            <w:vAlign w:val="top"/>
          </w:tcPr>
          <w:p w14:paraId="707C8B4B">
            <w:pPr>
              <w:rPr>
                <w:rFonts w:ascii="Arial"/>
                <w:color w:val="auto"/>
                <w:sz w:val="21"/>
                <w:highlight w:val="none"/>
              </w:rPr>
            </w:pPr>
          </w:p>
        </w:tc>
        <w:tc>
          <w:tcPr>
            <w:tcW w:w="1557" w:type="dxa"/>
            <w:vAlign w:val="top"/>
          </w:tcPr>
          <w:p w14:paraId="4F7DE8AF">
            <w:pPr>
              <w:rPr>
                <w:rFonts w:ascii="Arial"/>
                <w:color w:val="auto"/>
                <w:sz w:val="21"/>
                <w:highlight w:val="none"/>
              </w:rPr>
            </w:pPr>
          </w:p>
        </w:tc>
        <w:tc>
          <w:tcPr>
            <w:tcW w:w="1414" w:type="dxa"/>
            <w:vAlign w:val="top"/>
          </w:tcPr>
          <w:p w14:paraId="6DD36BE2">
            <w:pPr>
              <w:rPr>
                <w:rFonts w:ascii="Arial"/>
                <w:color w:val="auto"/>
                <w:sz w:val="21"/>
                <w:highlight w:val="none"/>
              </w:rPr>
            </w:pPr>
          </w:p>
        </w:tc>
        <w:tc>
          <w:tcPr>
            <w:tcW w:w="1533" w:type="dxa"/>
            <w:tcBorders>
              <w:right w:val="single" w:color="000000" w:sz="6" w:space="0"/>
            </w:tcBorders>
            <w:vAlign w:val="top"/>
          </w:tcPr>
          <w:p w14:paraId="6468407C">
            <w:pPr>
              <w:rPr>
                <w:rFonts w:ascii="Arial"/>
                <w:color w:val="auto"/>
                <w:sz w:val="21"/>
                <w:highlight w:val="none"/>
              </w:rPr>
            </w:pPr>
          </w:p>
        </w:tc>
      </w:tr>
      <w:tr w14:paraId="61929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55" w:type="dxa"/>
            <w:tcBorders>
              <w:left w:val="single" w:color="000000" w:sz="6" w:space="0"/>
              <w:bottom w:val="single" w:color="000000" w:sz="6" w:space="0"/>
            </w:tcBorders>
            <w:vAlign w:val="top"/>
          </w:tcPr>
          <w:p w14:paraId="350A703D">
            <w:pPr>
              <w:rPr>
                <w:rFonts w:ascii="Arial"/>
                <w:color w:val="auto"/>
                <w:sz w:val="21"/>
                <w:highlight w:val="none"/>
              </w:rPr>
            </w:pPr>
          </w:p>
        </w:tc>
        <w:tc>
          <w:tcPr>
            <w:tcW w:w="2760" w:type="dxa"/>
            <w:tcBorders>
              <w:bottom w:val="single" w:color="000000" w:sz="6" w:space="0"/>
            </w:tcBorders>
            <w:vAlign w:val="top"/>
          </w:tcPr>
          <w:p w14:paraId="3ADB365F">
            <w:pPr>
              <w:pStyle w:val="17"/>
              <w:spacing w:before="127" w:line="218" w:lineRule="auto"/>
              <w:ind w:left="1142"/>
              <w:rPr>
                <w:color w:val="auto"/>
                <w:sz w:val="24"/>
                <w:szCs w:val="24"/>
                <w:highlight w:val="none"/>
              </w:rPr>
            </w:pPr>
            <w:r>
              <w:rPr>
                <w:color w:val="auto"/>
                <w:spacing w:val="-3"/>
                <w:sz w:val="24"/>
                <w:szCs w:val="24"/>
                <w:highlight w:val="none"/>
              </w:rPr>
              <w:t>单价</w:t>
            </w:r>
          </w:p>
        </w:tc>
        <w:tc>
          <w:tcPr>
            <w:tcW w:w="990" w:type="dxa"/>
            <w:tcBorders>
              <w:bottom w:val="single" w:color="000000" w:sz="6" w:space="0"/>
            </w:tcBorders>
            <w:vAlign w:val="top"/>
          </w:tcPr>
          <w:p w14:paraId="5317BFC5">
            <w:pPr>
              <w:rPr>
                <w:rFonts w:ascii="Arial"/>
                <w:color w:val="auto"/>
                <w:sz w:val="21"/>
                <w:highlight w:val="none"/>
              </w:rPr>
            </w:pPr>
          </w:p>
        </w:tc>
        <w:tc>
          <w:tcPr>
            <w:tcW w:w="1557" w:type="dxa"/>
            <w:tcBorders>
              <w:bottom w:val="single" w:color="000000" w:sz="6" w:space="0"/>
            </w:tcBorders>
            <w:vAlign w:val="top"/>
          </w:tcPr>
          <w:p w14:paraId="7FD6805C">
            <w:pPr>
              <w:rPr>
                <w:rFonts w:ascii="Arial"/>
                <w:color w:val="auto"/>
                <w:sz w:val="21"/>
                <w:highlight w:val="none"/>
              </w:rPr>
            </w:pPr>
          </w:p>
        </w:tc>
        <w:tc>
          <w:tcPr>
            <w:tcW w:w="1414" w:type="dxa"/>
            <w:tcBorders>
              <w:bottom w:val="single" w:color="000000" w:sz="6" w:space="0"/>
            </w:tcBorders>
            <w:vAlign w:val="top"/>
          </w:tcPr>
          <w:p w14:paraId="5E7128D1">
            <w:pPr>
              <w:rPr>
                <w:rFonts w:ascii="Arial"/>
                <w:color w:val="auto"/>
                <w:sz w:val="21"/>
                <w:highlight w:val="none"/>
              </w:rPr>
            </w:pPr>
          </w:p>
        </w:tc>
        <w:tc>
          <w:tcPr>
            <w:tcW w:w="1533" w:type="dxa"/>
            <w:tcBorders>
              <w:bottom w:val="single" w:color="000000" w:sz="6" w:space="0"/>
              <w:right w:val="single" w:color="000000" w:sz="6" w:space="0"/>
            </w:tcBorders>
            <w:vAlign w:val="top"/>
          </w:tcPr>
          <w:p w14:paraId="074253B8">
            <w:pPr>
              <w:rPr>
                <w:rFonts w:ascii="Arial"/>
                <w:color w:val="auto"/>
                <w:sz w:val="21"/>
                <w:highlight w:val="none"/>
              </w:rPr>
            </w:pPr>
          </w:p>
          <w:p w14:paraId="269D15F5">
            <w:pPr>
              <w:bidi w:val="0"/>
              <w:ind w:firstLine="346" w:firstLineChars="0"/>
              <w:jc w:val="left"/>
              <w:rPr>
                <w:color w:val="auto"/>
                <w:highlight w:val="none"/>
              </w:rPr>
            </w:pPr>
          </w:p>
        </w:tc>
      </w:tr>
    </w:tbl>
    <w:p w14:paraId="42F99276">
      <w:pPr>
        <w:spacing w:before="36" w:line="211" w:lineRule="auto"/>
        <w:ind w:left="227"/>
        <w:rPr>
          <w:rFonts w:ascii="宋体" w:hAnsi="宋体" w:eastAsia="宋体" w:cs="宋体"/>
          <w:color w:val="auto"/>
          <w:sz w:val="25"/>
          <w:szCs w:val="25"/>
          <w:highlight w:val="none"/>
        </w:rPr>
      </w:pPr>
      <w:r>
        <w:rPr>
          <w:rFonts w:ascii="宋体" w:hAnsi="宋体" w:eastAsia="宋体" w:cs="宋体"/>
          <w:i/>
          <w:iCs/>
          <w:color w:val="auto"/>
          <w:spacing w:val="-19"/>
          <w:sz w:val="25"/>
          <w:szCs w:val="25"/>
          <w:highlight w:val="none"/>
        </w:rPr>
        <w:t>注：材料补差按不同材料分别计算补差费用。</w:t>
      </w:r>
    </w:p>
    <w:p w14:paraId="425E6973">
      <w:pPr>
        <w:spacing w:line="211" w:lineRule="auto"/>
        <w:rPr>
          <w:rFonts w:ascii="宋体" w:hAnsi="宋体" w:eastAsia="宋体" w:cs="宋体"/>
          <w:color w:val="auto"/>
          <w:sz w:val="25"/>
          <w:szCs w:val="25"/>
          <w:highlight w:val="none"/>
        </w:rPr>
        <w:sectPr>
          <w:pgSz w:w="11907" w:h="16841"/>
          <w:pgMar w:top="400" w:right="1411" w:bottom="1254" w:left="1471" w:header="0" w:footer="1093" w:gutter="0"/>
          <w:pgNumType w:fmt="decimal"/>
          <w:cols w:space="720" w:num="1"/>
        </w:sectPr>
      </w:pPr>
    </w:p>
    <w:p w14:paraId="11ABF888">
      <w:pPr>
        <w:pStyle w:val="3"/>
        <w:spacing w:line="246" w:lineRule="auto"/>
        <w:rPr>
          <w:color w:val="auto"/>
          <w:highlight w:val="none"/>
        </w:rPr>
      </w:pPr>
    </w:p>
    <w:p w14:paraId="7D343C67">
      <w:pPr>
        <w:pStyle w:val="3"/>
        <w:spacing w:line="246" w:lineRule="auto"/>
        <w:rPr>
          <w:color w:val="auto"/>
          <w:highlight w:val="none"/>
        </w:rPr>
      </w:pPr>
    </w:p>
    <w:p w14:paraId="58EFBD9F">
      <w:pPr>
        <w:pStyle w:val="3"/>
        <w:spacing w:line="246" w:lineRule="auto"/>
        <w:rPr>
          <w:color w:val="auto"/>
          <w:highlight w:val="none"/>
        </w:rPr>
      </w:pPr>
    </w:p>
    <w:p w14:paraId="6A8FB9E7">
      <w:pPr>
        <w:pStyle w:val="3"/>
        <w:spacing w:line="246" w:lineRule="auto"/>
        <w:rPr>
          <w:color w:val="auto"/>
          <w:highlight w:val="none"/>
        </w:rPr>
      </w:pPr>
    </w:p>
    <w:p w14:paraId="48B5D81B">
      <w:pPr>
        <w:spacing w:before="91" w:line="219" w:lineRule="auto"/>
        <w:ind w:left="2599"/>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电、风、水、砂石单价计算表</w:t>
      </w:r>
    </w:p>
    <w:p w14:paraId="0D2851F3">
      <w:pPr>
        <w:pStyle w:val="3"/>
        <w:spacing w:line="269" w:lineRule="auto"/>
        <w:rPr>
          <w:color w:val="auto"/>
          <w:highlight w:val="none"/>
        </w:rPr>
      </w:pPr>
    </w:p>
    <w:p w14:paraId="772F56CF">
      <w:pPr>
        <w:pStyle w:val="3"/>
        <w:spacing w:line="270" w:lineRule="auto"/>
        <w:rPr>
          <w:color w:val="auto"/>
          <w:highlight w:val="none"/>
        </w:rPr>
      </w:pPr>
    </w:p>
    <w:p w14:paraId="3388A8DD">
      <w:pPr>
        <w:spacing w:before="78" w:line="361" w:lineRule="auto"/>
        <w:ind w:right="14" w:firstLine="50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电、风、水、砂石单价计算按照施工组织设计确定的施工方案、供应方式</w:t>
      </w:r>
      <w:r>
        <w:rPr>
          <w:rFonts w:ascii="宋体" w:hAnsi="宋体" w:eastAsia="宋体" w:cs="宋体"/>
          <w:color w:val="auto"/>
          <w:spacing w:val="-5"/>
          <w:sz w:val="24"/>
          <w:szCs w:val="24"/>
          <w:highlight w:val="none"/>
        </w:rPr>
        <w:t>、相应</w:t>
      </w:r>
      <w:r>
        <w:rPr>
          <w:rFonts w:ascii="宋体" w:hAnsi="宋体" w:eastAsia="宋体" w:cs="宋体"/>
          <w:color w:val="auto"/>
          <w:spacing w:val="-2"/>
          <w:sz w:val="24"/>
          <w:szCs w:val="24"/>
          <w:highlight w:val="none"/>
        </w:rPr>
        <w:t>价格，采用计算书的形式表述。如采用外购的，本表可不提供。</w:t>
      </w:r>
    </w:p>
    <w:p w14:paraId="5A9ABB8F">
      <w:pPr>
        <w:spacing w:line="361" w:lineRule="auto"/>
        <w:rPr>
          <w:rFonts w:ascii="宋体" w:hAnsi="宋体" w:eastAsia="宋体" w:cs="宋体"/>
          <w:color w:val="auto"/>
          <w:sz w:val="24"/>
          <w:szCs w:val="24"/>
          <w:highlight w:val="none"/>
        </w:rPr>
        <w:sectPr>
          <w:footerReference r:id="rId181" w:type="default"/>
          <w:pgSz w:w="11907" w:h="16841"/>
          <w:pgMar w:top="400" w:right="1527" w:bottom="1254" w:left="1599" w:header="0" w:footer="1093" w:gutter="0"/>
          <w:pgNumType w:fmt="decimal"/>
          <w:cols w:space="720" w:num="1"/>
        </w:sectPr>
      </w:pPr>
    </w:p>
    <w:p w14:paraId="7C4360B1">
      <w:pPr>
        <w:pStyle w:val="3"/>
        <w:spacing w:line="246" w:lineRule="auto"/>
        <w:rPr>
          <w:color w:val="auto"/>
          <w:highlight w:val="none"/>
        </w:rPr>
      </w:pPr>
    </w:p>
    <w:p w14:paraId="5BBDD6F9">
      <w:pPr>
        <w:pStyle w:val="3"/>
        <w:spacing w:line="246" w:lineRule="auto"/>
        <w:rPr>
          <w:color w:val="auto"/>
          <w:highlight w:val="none"/>
        </w:rPr>
      </w:pPr>
    </w:p>
    <w:p w14:paraId="2BFCC411">
      <w:pPr>
        <w:pStyle w:val="3"/>
        <w:spacing w:line="246" w:lineRule="auto"/>
        <w:rPr>
          <w:color w:val="auto"/>
          <w:highlight w:val="none"/>
        </w:rPr>
      </w:pPr>
    </w:p>
    <w:p w14:paraId="43C7FF3C">
      <w:pPr>
        <w:pStyle w:val="3"/>
        <w:spacing w:line="247" w:lineRule="auto"/>
        <w:rPr>
          <w:color w:val="auto"/>
          <w:highlight w:val="none"/>
        </w:rPr>
      </w:pPr>
    </w:p>
    <w:p w14:paraId="7CE55FFD">
      <w:pPr>
        <w:spacing w:before="91" w:line="219" w:lineRule="auto"/>
        <w:ind w:left="3363"/>
        <w:outlineLvl w:val="1"/>
        <w:rPr>
          <w:rFonts w:ascii="宋体" w:hAnsi="宋体" w:eastAsia="宋体" w:cs="宋体"/>
          <w:color w:val="auto"/>
          <w:sz w:val="28"/>
          <w:szCs w:val="28"/>
          <w:highlight w:val="none"/>
        </w:rPr>
      </w:pPr>
      <w:bookmarkStart w:id="1133" w:name="bookmark662"/>
      <w:bookmarkEnd w:id="1133"/>
      <w:bookmarkStart w:id="1134" w:name="_Toc14149"/>
      <w:bookmarkStart w:id="1135" w:name="_Toc16809"/>
      <w:r>
        <w:rPr>
          <w:rFonts w:ascii="宋体" w:hAnsi="宋体" w:eastAsia="宋体" w:cs="宋体"/>
          <w:b/>
          <w:bCs/>
          <w:color w:val="auto"/>
          <w:spacing w:val="-4"/>
          <w:sz w:val="28"/>
          <w:szCs w:val="28"/>
          <w:highlight w:val="none"/>
        </w:rPr>
        <w:t>三、其他材料</w:t>
      </w:r>
      <w:bookmarkEnd w:id="1134"/>
      <w:bookmarkEnd w:id="1135"/>
    </w:p>
    <w:sectPr>
      <w:footerReference r:id="rId182" w:type="default"/>
      <w:pgSz w:w="11907" w:h="16841"/>
      <w:pgMar w:top="400" w:right="1527" w:bottom="1254" w:left="1785" w:header="0" w:footer="1093"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微软简行楷">
    <w:altName w:val="宋体"/>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75625">
    <w:pPr>
      <w:spacing w:line="174" w:lineRule="auto"/>
      <w:jc w:val="right"/>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7ED13">
    <w:pPr>
      <w:pStyle w:val="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1E442">
                          <w:pPr>
                            <w:pStyle w:val="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14:paraId="2BF1E442">
                    <w:pPr>
                      <w:pStyle w:val="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72584">
    <w:pPr>
      <w:pStyle w:val="7"/>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EF921">
                          <w:pPr>
                            <w:pStyle w:val="7"/>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gjR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4I0bNAIAAGUEAAAOAAAAAAAAAAEAIAAAAB8BAABkcnMvZTJvRG9jLnhtbFBL&#10;BQYAAAAABgAGAFkBAADFBQAAAAA=&#10;">
              <v:fill on="f" focussize="0,0"/>
              <v:stroke on="f" weight="0.5pt"/>
              <v:imagedata o:title=""/>
              <o:lock v:ext="edit" aspectratio="f"/>
              <v:textbox inset="0mm,0mm,0mm,0mm" style="mso-fit-shape-to-text:t;">
                <w:txbxContent>
                  <w:p w14:paraId="6D5EF921">
                    <w:pPr>
                      <w:pStyle w:val="7"/>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57ACD">
    <w:pPr>
      <w:pStyle w:val="7"/>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C720A0">
                          <w:pPr>
                            <w:pStyle w:val="7"/>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14:paraId="72C720A0">
                    <w:pPr>
                      <w:pStyle w:val="7"/>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7F4F3">
    <w:pPr>
      <w:pStyle w:val="7"/>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C21ED">
                          <w:pPr>
                            <w:pStyle w:val="7"/>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lKOY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ZSjmNAIAAGUEAAAOAAAAAAAAAAEAIAAAAB8BAABkcnMvZTJvRG9jLnhtbFBL&#10;BQYAAAAABgAGAFkBAADFBQAAAAA=&#10;">
              <v:fill on="f" focussize="0,0"/>
              <v:stroke on="f" weight="0.5pt"/>
              <v:imagedata o:title=""/>
              <o:lock v:ext="edit" aspectratio="f"/>
              <v:textbox inset="0mm,0mm,0mm,0mm" style="mso-fit-shape-to-text:t;">
                <w:txbxContent>
                  <w:p w14:paraId="4E8C21ED">
                    <w:pPr>
                      <w:pStyle w:val="7"/>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9DF60">
    <w:pPr>
      <w:pStyle w:val="7"/>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CC492">
                          <w:pPr>
                            <w:pStyle w:val="7"/>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Ztno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tm2ejUCAABlBAAADgAAAAAAAAABACAAAAAfAQAAZHJzL2Uyb0RvYy54bWxQ&#10;SwUGAAAAAAYABgBZAQAAxgUAAAAA&#10;">
              <v:fill on="f" focussize="0,0"/>
              <v:stroke on="f" weight="0.5pt"/>
              <v:imagedata o:title=""/>
              <o:lock v:ext="edit" aspectratio="f"/>
              <v:textbox inset="0mm,0mm,0mm,0mm" style="mso-fit-shape-to-text:t;">
                <w:txbxContent>
                  <w:p w14:paraId="621CC492">
                    <w:pPr>
                      <w:pStyle w:val="7"/>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968F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17763F">
                          <w:pPr>
                            <w:pStyle w:val="7"/>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bZAQ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G2QENAIAAGUEAAAOAAAAAAAAAAEAIAAAAB8BAABkcnMvZTJvRG9jLnhtbFBL&#10;BQYAAAAABgAGAFkBAADFBQAAAAA=&#10;">
              <v:fill on="f" focussize="0,0"/>
              <v:stroke on="f" weight="0.5pt"/>
              <v:imagedata o:title=""/>
              <o:lock v:ext="edit" aspectratio="f"/>
              <v:textbox inset="0mm,0mm,0mm,0mm" style="mso-fit-shape-to-text:t;">
                <w:txbxContent>
                  <w:p w14:paraId="5517763F">
                    <w:pPr>
                      <w:pStyle w:val="7"/>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52F5A">
    <w:pPr>
      <w:pStyle w:val="7"/>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DB741">
                          <w:pPr>
                            <w:pStyle w:val="7"/>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n+p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2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p/qYNAIAAGUEAAAOAAAAAAAAAAEAIAAAAB8BAABkcnMvZTJvRG9jLnhtbFBL&#10;BQYAAAAABgAGAFkBAADFBQAAAAA=&#10;">
              <v:fill on="f" focussize="0,0"/>
              <v:stroke on="f" weight="0.5pt"/>
              <v:imagedata o:title=""/>
              <o:lock v:ext="edit" aspectratio="f"/>
              <v:textbox inset="0mm,0mm,0mm,0mm" style="mso-fit-shape-to-text:t;">
                <w:txbxContent>
                  <w:p w14:paraId="656DB741">
                    <w:pPr>
                      <w:pStyle w:val="7"/>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FE4EC">
    <w:pPr>
      <w:pStyle w:val="7"/>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84009">
                          <w:pPr>
                            <w:pStyle w:val="7"/>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oEs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aBLGNAIAAGUEAAAOAAAAAAAAAAEAIAAAAB8BAABkcnMvZTJvRG9jLnhtbFBL&#10;BQYAAAAABgAGAFkBAADFBQAAAAA=&#10;">
              <v:fill on="f" focussize="0,0"/>
              <v:stroke on="f" weight="0.5pt"/>
              <v:imagedata o:title=""/>
              <o:lock v:ext="edit" aspectratio="f"/>
              <v:textbox inset="0mm,0mm,0mm,0mm" style="mso-fit-shape-to-text:t;">
                <w:txbxContent>
                  <w:p w14:paraId="64084009">
                    <w:pPr>
                      <w:pStyle w:val="7"/>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530FD">
    <w:pPr>
      <w:pStyle w:val="7"/>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00B97">
                          <w:pPr>
                            <w:pStyle w:val="7"/>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UjFo1AgAAZQQAAA4AAABkcnMvZTJvRG9jLnhtbK1UzY7TMBC+I/EO&#10;lu80aRGrbt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9SMWjUCAABlBAAADgAAAAAAAAABACAAAAAfAQAAZHJzL2Uyb0RvYy54bWxQ&#10;SwUGAAAAAAYABgBZAQAAxgUAAAAA&#10;">
              <v:fill on="f" focussize="0,0"/>
              <v:stroke on="f" weight="0.5pt"/>
              <v:imagedata o:title=""/>
              <o:lock v:ext="edit" aspectratio="f"/>
              <v:textbox inset="0mm,0mm,0mm,0mm" style="mso-fit-shape-to-text:t;">
                <w:txbxContent>
                  <w:p w14:paraId="64A00B97">
                    <w:pPr>
                      <w:pStyle w:val="7"/>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8AC4C">
    <w:pPr>
      <w:pStyle w:val="7"/>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F1041">
                          <w:pPr>
                            <w:pStyle w:val="7"/>
                          </w:pPr>
                          <w:r>
                            <w:fldChar w:fldCharType="begin"/>
                          </w:r>
                          <w:r>
                            <w:instrText xml:space="preserve"> PAGE  \* MERGEFORMAT </w:instrText>
                          </w:r>
                          <w:r>
                            <w:fldChar w:fldCharType="separate"/>
                          </w:r>
                          <w:r>
                            <w:t>154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14:paraId="679F1041">
                    <w:pPr>
                      <w:pStyle w:val="7"/>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703C4">
    <w:pPr>
      <w:pStyle w:val="7"/>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1727E">
                          <w:pPr>
                            <w:pStyle w:val="7"/>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SmaNAIAAGUEAAAOAAAAAAAAAAEAIAAAAB8BAABkcnMvZTJvRG9jLnhtbFBL&#10;BQYAAAAABgAGAFkBAADFBQAAAAA=&#10;">
              <v:fill on="f" focussize="0,0"/>
              <v:stroke on="f" weight="0.5pt"/>
              <v:imagedata o:title=""/>
              <o:lock v:ext="edit" aspectratio="f"/>
              <v:textbox inset="0mm,0mm,0mm,0mm" style="mso-fit-shape-to-text:t;">
                <w:txbxContent>
                  <w:p w14:paraId="17F1727E">
                    <w:pPr>
                      <w:pStyle w:val="7"/>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E6E08">
    <w:pPr>
      <w:pStyle w:val="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38C7B">
                          <w:pPr>
                            <w:pStyle w:val="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14:paraId="1FA38C7B">
                    <w:pPr>
                      <w:pStyle w:val="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51035">
    <w:pPr>
      <w:pStyle w:val="7"/>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7DB19">
                          <w:pPr>
                            <w:pStyle w:val="7"/>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7++Q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f5hB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O/vkNAIAAGUEAAAOAAAAAAAAAAEAIAAAAB8BAABkcnMvZTJvRG9jLnhtbFBL&#10;BQYAAAAABgAGAFkBAADFBQAAAAA=&#10;">
              <v:fill on="f" focussize="0,0"/>
              <v:stroke on="f" weight="0.5pt"/>
              <v:imagedata o:title=""/>
              <o:lock v:ext="edit" aspectratio="f"/>
              <v:textbox inset="0mm,0mm,0mm,0mm" style="mso-fit-shape-to-text:t;">
                <w:txbxContent>
                  <w:p w14:paraId="1737DB19">
                    <w:pPr>
                      <w:pStyle w:val="7"/>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A3FC9">
    <w:pPr>
      <w:pStyle w:val="7"/>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B6E14">
                          <w:pPr>
                            <w:pStyle w:val="7"/>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HZX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mU0o0Uyj55cf3&#10;y8/fl1/fSDyERLX1c0TuLGJD8840aJzh3OMwMm8Kp+IXnAj8EPh8FVg0gfB4aTaZzVK4OHzDBvjJ&#10;03XrfHgvjCLRyKhDBVth2WnrQxc6hMRs2mwqKdsqSk3qjN5M36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h2V4NAIAAGUEAAAOAAAAAAAAAAEAIAAAAB8BAABkcnMvZTJvRG9jLnhtbFBL&#10;BQYAAAAABgAGAFkBAADFBQAAAAA=&#10;">
              <v:fill on="f" focussize="0,0"/>
              <v:stroke on="f" weight="0.5pt"/>
              <v:imagedata o:title=""/>
              <o:lock v:ext="edit" aspectratio="f"/>
              <v:textbox inset="0mm,0mm,0mm,0mm" style="mso-fit-shape-to-text:t;">
                <w:txbxContent>
                  <w:p w14:paraId="17AB6E14">
                    <w:pPr>
                      <w:pStyle w:val="7"/>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F67B6">
    <w:pPr>
      <w:pStyle w:val="7"/>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34358">
                          <w:pPr>
                            <w:pStyle w:val="7"/>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Xhk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TYlhGiU/ff92&#10;+vHr9PMrSYeQqHFhhsgHh9jYvrUtGmc4DzhMzNvK6/QFJwI/BD5eBBZtJDxdmk6m0xwuDt+wAX72&#10;eN35EN8Jq0kyCupRwU5YdtiE2IcOISmbsWupVFdFZUhT0OurN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vl4ZNAIAAGUEAAAOAAAAAAAAAAEAIAAAAB8BAABkcnMvZTJvRG9jLnhtbFBL&#10;BQYAAAAABgAGAFkBAADFBQAAAAA=&#10;">
              <v:fill on="f" focussize="0,0"/>
              <v:stroke on="f" weight="0.5pt"/>
              <v:imagedata o:title=""/>
              <o:lock v:ext="edit" aspectratio="f"/>
              <v:textbox inset="0mm,0mm,0mm,0mm" style="mso-fit-shape-to-text:t;">
                <w:txbxContent>
                  <w:p w14:paraId="05D34358">
                    <w:pPr>
                      <w:pStyle w:val="7"/>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627CB">
    <w:pPr>
      <w:pStyle w:val="7"/>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86D9E">
                          <w:pPr>
                            <w:pStyle w:val="7"/>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LAhTUCAABlBAAADgAAAAAAAAABACAAAAAfAQAAZHJzL2Uyb0RvYy54bWxQ&#10;SwUGAAAAAAYABgBZAQAAxgUAAAAA&#10;">
              <v:fill on="f" focussize="0,0"/>
              <v:stroke on="f" weight="0.5pt"/>
              <v:imagedata o:title=""/>
              <o:lock v:ext="edit" aspectratio="f"/>
              <v:textbox inset="0mm,0mm,0mm,0mm" style="mso-fit-shape-to-text:t;">
                <w:txbxContent>
                  <w:p w14:paraId="2D186D9E">
                    <w:pPr>
                      <w:pStyle w:val="7"/>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EAA0E">
    <w:pPr>
      <w:pStyle w:val="7"/>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1571A">
                          <w:pPr>
                            <w:pStyle w:val="7"/>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AEv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2wBL7NAIAAGUEAAAOAAAAAAAAAAEAIAAAAB8BAABkcnMvZTJvRG9jLnhtbFBL&#10;BQYAAAAABgAGAFkBAADFBQAAAAA=&#10;">
              <v:fill on="f" focussize="0,0"/>
              <v:stroke on="f" weight="0.5pt"/>
              <v:imagedata o:title=""/>
              <o:lock v:ext="edit" aspectratio="f"/>
              <v:textbox inset="0mm,0mm,0mm,0mm" style="mso-fit-shape-to-text:t;">
                <w:txbxContent>
                  <w:p w14:paraId="0571571A">
                    <w:pPr>
                      <w:pStyle w:val="7"/>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9D94C">
    <w:pPr>
      <w:spacing w:line="174" w:lineRule="auto"/>
      <w:ind w:left="850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437AE">
                          <w:pPr>
                            <w:pStyle w:val="7"/>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8jGc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fIxnNAIAAGUEAAAOAAAAAAAAAAEAIAAAAB8BAABkcnMvZTJvRG9jLnhtbFBL&#10;BQYAAAAABgAGAFkBAADFBQAAAAA=&#10;">
              <v:fill on="f" focussize="0,0"/>
              <v:stroke on="f" weight="0.5pt"/>
              <v:imagedata o:title=""/>
              <o:lock v:ext="edit" aspectratio="f"/>
              <v:textbox inset="0mm,0mm,0mm,0mm" style="mso-fit-shape-to-text:t;">
                <w:txbxContent>
                  <w:p w14:paraId="7BB437AE">
                    <w:pPr>
                      <w:pStyle w:val="7"/>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51C76">
    <w:pPr>
      <w:pStyle w:val="7"/>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BBAAA">
                          <w:pPr>
                            <w:pStyle w:val="7"/>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zZDk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s2Q5NAIAAGUEAAAOAAAAAAAAAAEAIAAAAB8BAABkcnMvZTJvRG9jLnhtbFBL&#10;BQYAAAAABgAGAFkBAADFBQAAAAA=&#10;">
              <v:fill on="f" focussize="0,0"/>
              <v:stroke on="f" weight="0.5pt"/>
              <v:imagedata o:title=""/>
              <o:lock v:ext="edit" aspectratio="f"/>
              <v:textbox inset="0mm,0mm,0mm,0mm" style="mso-fit-shape-to-text:t;">
                <w:txbxContent>
                  <w:p w14:paraId="746BBAAA">
                    <w:pPr>
                      <w:pStyle w:val="7"/>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0F0AC">
    <w:pPr>
      <w:pStyle w:val="7"/>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A6F49">
                          <w:pPr>
                            <w:pStyle w:val="7"/>
                          </w:pPr>
                          <w:r>
                            <w:fldChar w:fldCharType="begin"/>
                          </w:r>
                          <w:r>
                            <w:instrText xml:space="preserve"> PAGE  \* MERGEFORMAT </w:instrText>
                          </w:r>
                          <w:r>
                            <w:fldChar w:fldCharType="separate"/>
                          </w:r>
                          <w:r>
                            <w:t>163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P+qU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Cp/Q4lhGiU/ff92&#10;+vHr9PMrSYeQqHFhhsgHh9jYvrUtGmc4DzhMzNvK6/QFJwI/BD5eBBZtJDxdmk6m0xwuDt+wAX72&#10;eN35EN8Jq0kyCupRwU5YdtiE2IcOISmbsWupVFdFZUhT0Our1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7D/qlNAIAAGUEAAAOAAAAAAAAAAEAIAAAAB8BAABkcnMvZTJvRG9jLnhtbFBL&#10;BQYAAAAABgAGAFkBAADFBQAAAAA=&#10;">
              <v:fill on="f" focussize="0,0"/>
              <v:stroke on="f" weight="0.5pt"/>
              <v:imagedata o:title=""/>
              <o:lock v:ext="edit" aspectratio="f"/>
              <v:textbox inset="0mm,0mm,0mm,0mm" style="mso-fit-shape-to-text:t;">
                <w:txbxContent>
                  <w:p w14:paraId="7B5A6F49">
                    <w:pPr>
                      <w:pStyle w:val="7"/>
                    </w:pPr>
                    <w:r>
                      <w:fldChar w:fldCharType="begin"/>
                    </w:r>
                    <w:r>
                      <w:instrText xml:space="preserve"> PAGE  \* MERGEFORMAT </w:instrText>
                    </w:r>
                    <w:r>
                      <w:fldChar w:fldCharType="separate"/>
                    </w:r>
                    <w:r>
                      <w:t>163</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37C6F">
    <w:pPr>
      <w:pStyle w:val="7"/>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6B9C0">
                          <w:pPr>
                            <w:pStyle w:val="7"/>
                          </w:pPr>
                          <w:r>
                            <w:fldChar w:fldCharType="begin"/>
                          </w:r>
                          <w:r>
                            <w:instrText xml:space="preserve"> PAGE  \* MERGEFORMAT </w:instrText>
                          </w:r>
                          <w:r>
                            <w:fldChar w:fldCharType="separate"/>
                          </w:r>
                          <w:r>
                            <w:t>164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jS9w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iY0vcNAIAAGUEAAAOAAAAAAAAAAEAIAAAAB8BAABkcnMvZTJvRG9jLnhtbFBL&#10;BQYAAAAABgAGAFkBAADFBQAAAAA=&#10;">
              <v:fill on="f" focussize="0,0"/>
              <v:stroke on="f" weight="0.5pt"/>
              <v:imagedata o:title=""/>
              <o:lock v:ext="edit" aspectratio="f"/>
              <v:textbox inset="0mm,0mm,0mm,0mm" style="mso-fit-shape-to-text:t;">
                <w:txbxContent>
                  <w:p w14:paraId="2B06B9C0">
                    <w:pPr>
                      <w:pStyle w:val="7"/>
                    </w:pPr>
                    <w:r>
                      <w:fldChar w:fldCharType="begin"/>
                    </w:r>
                    <w:r>
                      <w:instrText xml:space="preserve"> PAGE  \* MERGEFORMAT </w:instrText>
                    </w:r>
                    <w:r>
                      <w:fldChar w:fldCharType="separate"/>
                    </w:r>
                    <w:r>
                      <w:t>164</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AA8AA">
    <w:pPr>
      <w:pStyle w:val="7"/>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C6A904">
                          <w:pPr>
                            <w:pStyle w:val="7"/>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f1UA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oy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39VANAIAAGUEAAAOAAAAAAAAAAEAIAAAAB8BAABkcnMvZTJvRG9jLnhtbFBL&#10;BQYAAAAABgAGAFkBAADFBQAAAAA=&#10;">
              <v:fill on="f" focussize="0,0"/>
              <v:stroke on="f" weight="0.5pt"/>
              <v:imagedata o:title=""/>
              <o:lock v:ext="edit" aspectratio="f"/>
              <v:textbox inset="0mm,0mm,0mm,0mm" style="mso-fit-shape-to-text:t;">
                <w:txbxContent>
                  <w:p w14:paraId="5BC6A904">
                    <w:pPr>
                      <w:pStyle w:val="7"/>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52261">
    <w:pPr>
      <w:pStyle w:val="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4FFCC8">
                          <w:pPr>
                            <w:pStyle w:val="7"/>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14:paraId="6A4FFCC8">
                    <w:pPr>
                      <w:pStyle w:val="7"/>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A8517">
    <w:pPr>
      <w:pStyle w:val="7"/>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0F3C6">
                          <w:pPr>
                            <w:pStyle w:val="7"/>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Bz4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T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1HQc+NAIAAGUEAAAOAAAAAAAAAAEAIAAAAB8BAABkcnMvZTJvRG9jLnhtbFBL&#10;BQYAAAAABgAGAFkBAADFBQAAAAA=&#10;">
              <v:fill on="f" focussize="0,0"/>
              <v:stroke on="f" weight="0.5pt"/>
              <v:imagedata o:title=""/>
              <o:lock v:ext="edit" aspectratio="f"/>
              <v:textbox inset="0mm,0mm,0mm,0mm" style="mso-fit-shape-to-text:t;">
                <w:txbxContent>
                  <w:p w14:paraId="1EB0F3C6">
                    <w:pPr>
                      <w:pStyle w:val="7"/>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94679">
    <w:pPr>
      <w:pStyle w:val="7"/>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07BEB">
                          <w:pPr>
                            <w:pStyle w:val="7"/>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6hmaI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2O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eoZmiNAIAAGUEAAAOAAAAAAAAAAEAIAAAAB8BAABkcnMvZTJvRG9jLnhtbFBL&#10;BQYAAAAABgAGAFkBAADFBQAAAAA=&#10;">
              <v:fill on="f" focussize="0,0"/>
              <v:stroke on="f" weight="0.5pt"/>
              <v:imagedata o:title=""/>
              <o:lock v:ext="edit" aspectratio="f"/>
              <v:textbox inset="0mm,0mm,0mm,0mm" style="mso-fit-shape-to-text:t;">
                <w:txbxContent>
                  <w:p w14:paraId="20907BEB">
                    <w:pPr>
                      <w:pStyle w:val="7"/>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45F08">
    <w:pPr>
      <w:pStyle w:val="7"/>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57269">
                          <w:pPr>
                            <w:pStyle w:val="7"/>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YosM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iiwzUCAABlBAAADgAAAAAAAAABACAAAAAfAQAAZHJzL2Uyb0RvYy54bWxQ&#10;SwUGAAAAAAYABgBZAQAAxgUAAAAA&#10;">
              <v:fill on="f" focussize="0,0"/>
              <v:stroke on="f" weight="0.5pt"/>
              <v:imagedata o:title=""/>
              <o:lock v:ext="edit" aspectratio="f"/>
              <v:textbox inset="0mm,0mm,0mm,0mm" style="mso-fit-shape-to-text:t;">
                <w:txbxContent>
                  <w:p w14:paraId="00A57269">
                    <w:pPr>
                      <w:pStyle w:val="7"/>
                    </w:pPr>
                    <w:r>
                      <w:fldChar w:fldCharType="begin"/>
                    </w:r>
                    <w:r>
                      <w:instrText xml:space="preserve"> PAGE  \* MERGEFORMAT </w:instrText>
                    </w:r>
                    <w:r>
                      <w:fldChar w:fldCharType="separate"/>
                    </w:r>
                    <w:r>
                      <w:t>168</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145B1">
    <w:pPr>
      <w:pStyle w:val="7"/>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8B0B8">
                          <w:pPr>
                            <w:pStyle w:val="7"/>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kPF8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eT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JDxfNAIAAGUEAAAOAAAAAAAAAAEAIAAAAB8BAABkcnMvZTJvRG9jLnhtbFBL&#10;BQYAAAAABgAGAFkBAADFBQAAAAA=&#10;">
              <v:fill on="f" focussize="0,0"/>
              <v:stroke on="f" weight="0.5pt"/>
              <v:imagedata o:title=""/>
              <o:lock v:ext="edit" aspectratio="f"/>
              <v:textbox inset="0mm,0mm,0mm,0mm" style="mso-fit-shape-to-text:t;">
                <w:txbxContent>
                  <w:p w14:paraId="66C8B0B8">
                    <w:pPr>
                      <w:pStyle w:val="7"/>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778CE">
    <w:pPr>
      <w:pStyle w:val="7"/>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D0A1A">
                          <w:pPr>
                            <w:pStyle w:val="7"/>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m7iE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5u4hNAIAAGUEAAAOAAAAAAAAAAEAIAAAAB8BAABkcnMvZTJvRG9jLnhtbFBL&#10;BQYAAAAABgAGAFkBAADFBQAAAAA=&#10;">
              <v:fill on="f" focussize="0,0"/>
              <v:stroke on="f" weight="0.5pt"/>
              <v:imagedata o:title=""/>
              <o:lock v:ext="edit" aspectratio="f"/>
              <v:textbox inset="0mm,0mm,0mm,0mm" style="mso-fit-shape-to-text:t;">
                <w:txbxContent>
                  <w:p w14:paraId="197D0A1A">
                    <w:pPr>
                      <w:pStyle w:val="7"/>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D4CF4">
    <w:pPr>
      <w:pStyle w:val="7"/>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ED229">
                          <w:pPr>
                            <w:pStyle w:val="7"/>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cL0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VpwvTUCAABlBAAADgAAAAAAAAABACAAAAAfAQAAZHJzL2Uyb0RvYy54bWxQ&#10;SwUGAAAAAAYABgBZAQAAxgUAAAAA&#10;">
              <v:fill on="f" focussize="0,0"/>
              <v:stroke on="f" weight="0.5pt"/>
              <v:imagedata o:title=""/>
              <o:lock v:ext="edit" aspectratio="f"/>
              <v:textbox inset="0mm,0mm,0mm,0mm" style="mso-fit-shape-to-text:t;">
                <w:txbxContent>
                  <w:p w14:paraId="474ED229">
                    <w:pPr>
                      <w:pStyle w:val="7"/>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99DCE">
    <w:pPr>
      <w:pStyle w:val="7"/>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93ED1">
                          <w:pPr>
                            <w:pStyle w:val="7"/>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yVmOM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T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8lZjjNAIAAGUEAAAOAAAAAAAAAAEAIAAAAB8BAABkcnMvZTJvRG9jLnhtbFBL&#10;BQYAAAAABgAGAFkBAADFBQAAAAA=&#10;">
              <v:fill on="f" focussize="0,0"/>
              <v:stroke on="f" weight="0.5pt"/>
              <v:imagedata o:title=""/>
              <o:lock v:ext="edit" aspectratio="f"/>
              <v:textbox inset="0mm,0mm,0mm,0mm" style="mso-fit-shape-to-text:t;">
                <w:txbxContent>
                  <w:p w14:paraId="71993ED1">
                    <w:pPr>
                      <w:pStyle w:val="7"/>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BF91">
    <w:pPr>
      <w:pStyle w:val="7"/>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C2C36">
                          <w:pPr>
                            <w:pStyle w:val="7"/>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pBn8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8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ykGfzUCAABlBAAADgAAAAAAAAABACAAAAAfAQAAZHJzL2Uyb0RvYy54bWxQ&#10;SwUGAAAAAAYABgBZAQAAxgUAAAAA&#10;">
              <v:fill on="f" focussize="0,0"/>
              <v:stroke on="f" weight="0.5pt"/>
              <v:imagedata o:title=""/>
              <o:lock v:ext="edit" aspectratio="f"/>
              <v:textbox inset="0mm,0mm,0mm,0mm" style="mso-fit-shape-to-text:t;">
                <w:txbxContent>
                  <w:p w14:paraId="690C2C36">
                    <w:pPr>
                      <w:pStyle w:val="7"/>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35A43">
    <w:pPr>
      <w:pStyle w:val="7"/>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A4B3A">
                          <w:pPr>
                            <w:pStyle w:val="7"/>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PPmg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Dz5oNAIAAGUEAAAOAAAAAAAAAAEAIAAAAB8BAABkcnMvZTJvRG9jLnhtbFBL&#10;BQYAAAAABgAGAFkBAADFBQAAAAA=&#10;">
              <v:fill on="f" focussize="0,0"/>
              <v:stroke on="f" weight="0.5pt"/>
              <v:imagedata o:title=""/>
              <o:lock v:ext="edit" aspectratio="f"/>
              <v:textbox inset="0mm,0mm,0mm,0mm" style="mso-fit-shape-to-text:t;">
                <w:txbxContent>
                  <w:p w14:paraId="4C7A4B3A">
                    <w:pPr>
                      <w:pStyle w:val="7"/>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C0AAC">
    <w:pPr>
      <w:pStyle w:val="7"/>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E032F8">
                          <w:pPr>
                            <w:pStyle w:val="7"/>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yzoPQ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o6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8s6D0NAIAAGUEAAAOAAAAAAAAAAEAIAAAAB8BAABkcnMvZTJvRG9jLnhtbFBL&#10;BQYAAAAABgAGAFkBAADFBQAAAAA=&#10;">
              <v:fill on="f" focussize="0,0"/>
              <v:stroke on="f" weight="0.5pt"/>
              <v:imagedata o:title=""/>
              <o:lock v:ext="edit" aspectratio="f"/>
              <v:textbox inset="0mm,0mm,0mm,0mm" style="mso-fit-shape-to-text:t;">
                <w:txbxContent>
                  <w:p w14:paraId="0EE032F8">
                    <w:pPr>
                      <w:pStyle w:val="7"/>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A88CD">
    <w:pPr>
      <w:pStyle w:val="7"/>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40767">
                          <w:pPr>
                            <w:pStyle w:val="7"/>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14:paraId="21B40767">
                    <w:pPr>
                      <w:pStyle w:val="7"/>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29945">
    <w:pPr>
      <w:pStyle w:val="7"/>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2BF9D6">
                          <w:pPr>
                            <w:pStyle w:val="7"/>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coo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fT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cXKKNAIAAGUEAAAOAAAAAAAAAAEAIAAAAB8BAABkcnMvZTJvRG9jLnhtbFBL&#10;BQYAAAAABgAGAFkBAADFBQAAAAA=&#10;">
              <v:fill on="f" focussize="0,0"/>
              <v:stroke on="f" weight="0.5pt"/>
              <v:imagedata o:title=""/>
              <o:lock v:ext="edit" aspectratio="f"/>
              <v:textbox inset="0mm,0mm,0mm,0mm" style="mso-fit-shape-to-text:t;">
                <w:txbxContent>
                  <w:p w14:paraId="5A2BF9D6">
                    <w:pPr>
                      <w:pStyle w:val="7"/>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13FDE">
    <w:pPr>
      <w:pStyle w:val="7"/>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B1124">
                          <w:pPr>
                            <w:pStyle w:val="7"/>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N7BY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p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zewWNAIAAGUEAAAOAAAAAAAAAAEAIAAAAB8BAABkcnMvZTJvRG9jLnhtbFBL&#10;BQYAAAAABgAGAFkBAADFBQAAAAA=&#10;">
              <v:fill on="f" focussize="0,0"/>
              <v:stroke on="f" weight="0.5pt"/>
              <v:imagedata o:title=""/>
              <o:lock v:ext="edit" aspectratio="f"/>
              <v:textbox inset="0mm,0mm,0mm,0mm" style="mso-fit-shape-to-text:t;">
                <w:txbxContent>
                  <w:p w14:paraId="65AB1124">
                    <w:pPr>
                      <w:pStyle w:val="7"/>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FCA49">
    <w:pPr>
      <w:pStyle w:val="7"/>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C62A9">
                          <w:pPr>
                            <w:pStyle w:val="7"/>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013c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PTXdzUCAABlBAAADgAAAAAAAAABACAAAAAfAQAAZHJzL2Uyb0RvYy54bWxQ&#10;SwUGAAAAAAYABgBZAQAAxgUAAAAA&#10;">
              <v:fill on="f" focussize="0,0"/>
              <v:stroke on="f" weight="0.5pt"/>
              <v:imagedata o:title=""/>
              <o:lock v:ext="edit" aspectratio="f"/>
              <v:textbox inset="0mm,0mm,0mm,0mm" style="mso-fit-shape-to-text:t;">
                <w:txbxContent>
                  <w:p w14:paraId="050C62A9">
                    <w:pPr>
                      <w:pStyle w:val="7"/>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0412F">
    <w:pPr>
      <w:pStyle w:val="7"/>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AD8D91">
                          <w:pPr>
                            <w:pStyle w:val="7"/>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ISe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T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SEnrNAIAAGUEAAAOAAAAAAAAAAEAIAAAAB8BAABkcnMvZTJvRG9jLnhtbFBL&#10;BQYAAAAABgAGAFkBAADFBQAAAAA=&#10;">
              <v:fill on="f" focussize="0,0"/>
              <v:stroke on="f" weight="0.5pt"/>
              <v:imagedata o:title=""/>
              <o:lock v:ext="edit" aspectratio="f"/>
              <v:textbox inset="0mm,0mm,0mm,0mm" style="mso-fit-shape-to-text:t;">
                <w:txbxContent>
                  <w:p w14:paraId="32AD8D91">
                    <w:pPr>
                      <w:pStyle w:val="7"/>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4B136">
    <w:pPr>
      <w:pStyle w:val="7"/>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86B63">
                          <w:pPr>
                            <w:pStyle w:val="7"/>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m5U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ipuVNAIAAGUEAAAOAAAAAAAAAAEAIAAAAB8BAABkcnMvZTJvRG9jLnhtbFBL&#10;BQYAAAAABgAGAFkBAADFBQAAAAA=&#10;">
              <v:fill on="f" focussize="0,0"/>
              <v:stroke on="f" weight="0.5pt"/>
              <v:imagedata o:title=""/>
              <o:lock v:ext="edit" aspectratio="f"/>
              <v:textbox inset="0mm,0mm,0mm,0mm" style="mso-fit-shape-to-text:t;">
                <w:txbxContent>
                  <w:p w14:paraId="56386B63">
                    <w:pPr>
                      <w:pStyle w:val="7"/>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88A8C">
    <w:pPr>
      <w:pStyle w:val="7"/>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B3370">
                          <w:pPr>
                            <w:pStyle w:val="7"/>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2BQk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DYFCTUCAABlBAAADgAAAAAAAAABACAAAAAfAQAAZHJzL2Uyb0RvYy54bWxQ&#10;SwUGAAAAAAYABgBZAQAAxgUAAAAA&#10;">
              <v:fill on="f" focussize="0,0"/>
              <v:stroke on="f" weight="0.5pt"/>
              <v:imagedata o:title=""/>
              <o:lock v:ext="edit" aspectratio="f"/>
              <v:textbox inset="0mm,0mm,0mm,0mm" style="mso-fit-shape-to-text:t;">
                <w:txbxContent>
                  <w:p w14:paraId="005B3370">
                    <w:pPr>
                      <w:pStyle w:val="7"/>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7F01C">
    <w:pPr>
      <w:pStyle w:val="7"/>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0C515">
                          <w:pPr>
                            <w:pStyle w:val="7"/>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57Vc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e1XNAIAAGUEAAAOAAAAAAAAAAEAIAAAAB8BAABkcnMvZTJvRG9jLnhtbFBL&#10;BQYAAAAABgAGAFkBAADFBQAAAAA=&#10;">
              <v:fill on="f" focussize="0,0"/>
              <v:stroke on="f" weight="0.5pt"/>
              <v:imagedata o:title=""/>
              <o:lock v:ext="edit" aspectratio="f"/>
              <v:textbox inset="0mm,0mm,0mm,0mm" style="mso-fit-shape-to-text:t;">
                <w:txbxContent>
                  <w:p w14:paraId="1260C515">
                    <w:pPr>
                      <w:pStyle w:val="7"/>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8D522">
    <w:pPr>
      <w:pStyle w:val="7"/>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1F393B">
                          <w:pPr>
                            <w:pStyle w:val="7"/>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Fc8s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ry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kVzyzUCAABlBAAADgAAAAAAAAABACAAAAAfAQAAZHJzL2Uyb0RvYy54bWxQ&#10;SwUGAAAAAAYABgBZAQAAxgUAAAAA&#10;">
              <v:fill on="f" focussize="0,0"/>
              <v:stroke on="f" weight="0.5pt"/>
              <v:imagedata o:title=""/>
              <o:lock v:ext="edit" aspectratio="f"/>
              <v:textbox inset="0mm,0mm,0mm,0mm" style="mso-fit-shape-to-text:t;">
                <w:txbxContent>
                  <w:p w14:paraId="5C1F393B">
                    <w:pPr>
                      <w:pStyle w:val="7"/>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69BE9">
    <w:pPr>
      <w:pStyle w:val="7"/>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23EB7">
                          <w:pPr>
                            <w:pStyle w:val="7"/>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pwrI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oYlmCiW//Ph+&#10;+fn78usbiYeQqLZ+jsidRWxo3pkGjTOcexxG5k3hVPyCE4EfYOerwKIJhMdLs8lslsLF4Rs2wE+e&#10;rlvnw3thFIlGRh0q2ArLTlsfutAhJGbTZlNJ2VZRalJn9Gb6N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KcKyNAIAAGUEAAAOAAAAAAAAAAEAIAAAAB8BAABkcnMvZTJvRG9jLnhtbFBL&#10;BQYAAAAABgAGAFkBAADFBQAAAAA=&#10;">
              <v:fill on="f" focussize="0,0"/>
              <v:stroke on="f" weight="0.5pt"/>
              <v:imagedata o:title=""/>
              <o:lock v:ext="edit" aspectratio="f"/>
              <v:textbox inset="0mm,0mm,0mm,0mm" style="mso-fit-shape-to-text:t;">
                <w:txbxContent>
                  <w:p w14:paraId="29323EB7">
                    <w:pPr>
                      <w:pStyle w:val="7"/>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6993A">
    <w:pPr>
      <w:pStyle w:val="7"/>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C6028F">
                          <w:pPr>
                            <w:pStyle w:val="7"/>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lVwuNAIAAGUEAAAOAAAAAAAAAAEAIAAAAB8BAABkcnMvZTJvRG9jLnhtbFBL&#10;BQYAAAAABgAGAFkBAADFBQAAAAA=&#10;">
              <v:fill on="f" focussize="0,0"/>
              <v:stroke on="f" weight="0.5pt"/>
              <v:imagedata o:title=""/>
              <o:lock v:ext="edit" aspectratio="f"/>
              <v:textbox inset="0mm,0mm,0mm,0mm" style="mso-fit-shape-to-text:t;">
                <w:txbxContent>
                  <w:p w14:paraId="07C6028F">
                    <w:pPr>
                      <w:pStyle w:val="7"/>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BC5BD">
    <w:pPr>
      <w:pStyle w:val="7"/>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829F3">
                          <w:pPr>
                            <w:pStyle w:val="7"/>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vgF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b4BdNAIAAGUEAAAOAAAAAAAAAAEAIAAAAB8BAABkcnMvZTJvRG9jLnhtbFBL&#10;BQYAAAAABgAGAFkBAADFBQAAAAA=&#10;">
              <v:fill on="f" focussize="0,0"/>
              <v:stroke on="f" weight="0.5pt"/>
              <v:imagedata o:title=""/>
              <o:lock v:ext="edit" aspectratio="f"/>
              <v:textbox inset="0mm,0mm,0mm,0mm" style="mso-fit-shape-to-text:t;">
                <w:txbxContent>
                  <w:p w14:paraId="21E829F3">
                    <w:pPr>
                      <w:pStyle w:val="7"/>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EC15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1C40D">
                          <w:pPr>
                            <w:pStyle w:val="7"/>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jlA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J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45QNAIAAGUEAAAOAAAAAAAAAAEAIAAAAB8BAABkcnMvZTJvRG9jLnhtbFBL&#10;BQYAAAAABgAGAFkBAADFBQAAAAA=&#10;">
              <v:fill on="f" focussize="0,0"/>
              <v:stroke on="f" weight="0.5pt"/>
              <v:imagedata o:title=""/>
              <o:lock v:ext="edit" aspectratio="f"/>
              <v:textbox inset="0mm,0mm,0mm,0mm" style="mso-fit-shape-to-text:t;">
                <w:txbxContent>
                  <w:p w14:paraId="0491C40D">
                    <w:pPr>
                      <w:pStyle w:val="7"/>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82A29">
    <w:pPr>
      <w:pStyle w:val="7"/>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77FD1">
                          <w:pPr>
                            <w:pStyle w:val="7"/>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rEMw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6xDMNAIAAGUEAAAOAAAAAAAAAAEAIAAAAB8BAABkcnMvZTJvRG9jLnhtbFBL&#10;BQYAAAAABgAGAFkBAADFBQAAAAA=&#10;">
              <v:fill on="f" focussize="0,0"/>
              <v:stroke on="f" weight="0.5pt"/>
              <v:imagedata o:title=""/>
              <o:lock v:ext="edit" aspectratio="f"/>
              <v:textbox inset="0mm,0mm,0mm,0mm" style="mso-fit-shape-to-text:t;">
                <w:txbxContent>
                  <w:p w14:paraId="77C77FD1">
                    <w:pPr>
                      <w:pStyle w:val="7"/>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DA791">
    <w:pPr>
      <w:pStyle w:val="7"/>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5FBC9">
                          <w:pPr>
                            <w:pStyle w:val="7"/>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SK600AgAAZ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a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0iutNAIAAGUEAAAOAAAAAAAAAAEAIAAAAB8BAABkcnMvZTJvRG9jLnhtbFBL&#10;BQYAAAAABgAGAFkBAADFBQAAAAA=&#10;">
              <v:fill on="f" focussize="0,0"/>
              <v:stroke on="f" weight="0.5pt"/>
              <v:imagedata o:title=""/>
              <o:lock v:ext="edit" aspectratio="f"/>
              <v:textbox inset="0mm,0mm,0mm,0mm" style="mso-fit-shape-to-text:t;">
                <w:txbxContent>
                  <w:p w14:paraId="2795FBC9">
                    <w:pPr>
                      <w:pStyle w:val="7"/>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2A404">
    <w:pPr>
      <w:pStyle w:val="7"/>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6BBF3">
                          <w:pPr>
                            <w:pStyle w:val="7"/>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utTE0AgAAZQ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byjRTKHkl+/f&#10;Lj9+XX5+JfEQEtXWzxG5s4gNzVvToHGGc4/DyLwpnIpfcCLwQ+DzVWDRBMLjpdlkNkvh4vANG+An&#10;T9et8+GdMIpEI6MOFWyFZaetD13oEBKzabOppGyrKDWpM3o7vUn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rUxNAIAAGUEAAAOAAAAAAAAAAEAIAAAAB8BAABkcnMvZTJvRG9jLnhtbFBL&#10;BQYAAAAABgAGAFkBAADFBQAAAAA=&#10;">
              <v:fill on="f" focussize="0,0"/>
              <v:stroke on="f" weight="0.5pt"/>
              <v:imagedata o:title=""/>
              <o:lock v:ext="edit" aspectratio="f"/>
              <v:textbox inset="0mm,0mm,0mm,0mm" style="mso-fit-shape-to-text:t;">
                <w:txbxContent>
                  <w:p w14:paraId="4096BBF3">
                    <w:pPr>
                      <w:pStyle w:val="7"/>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8EF62">
    <w:pPr>
      <w:pStyle w:val="7"/>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F7CF6">
                          <w:pPr>
                            <w:pStyle w:val="7"/>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sZ080AgAAZQ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1OZ5RoplDyy4/v&#10;l5+/L7++kXgIiWrrF4h8sIgNzTvToHGGc4/DyLwpnIpfcCLwQ+DzVWDRBMLjpflkPk/h4vANG+An&#10;T9et8+G9MIpEI6MOFWyFZaedD13oEBKzabOtpGyrKDWpMzqbvk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rGdPNAIAAGUEAAAOAAAAAAAAAAEAIAAAAB8BAABkcnMvZTJvRG9jLnhtbFBL&#10;BQYAAAAABgAGAFkBAADFBQAAAAA=&#10;">
              <v:fill on="f" focussize="0,0"/>
              <v:stroke on="f" weight="0.5pt"/>
              <v:imagedata o:title=""/>
              <o:lock v:ext="edit" aspectratio="f"/>
              <v:textbox inset="0mm,0mm,0mm,0mm" style="mso-fit-shape-to-text:t;">
                <w:txbxContent>
                  <w:p w14:paraId="60CF7CF6">
                    <w:pPr>
                      <w:pStyle w:val="7"/>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DB06C">
    <w:pPr>
      <w:pStyle w:val="7"/>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E229B">
                          <w:pPr>
                            <w:pStyle w:val="7"/>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Q+dM0AgAAZQ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EPnTNAIAAGUEAAAOAAAAAAAAAAEAIAAAAB8BAABkcnMvZTJvRG9jLnhtbFBL&#10;BQYAAAAABgAGAFkBAADFBQAAAAA=&#10;">
              <v:fill on="f" focussize="0,0"/>
              <v:stroke on="f" weight="0.5pt"/>
              <v:imagedata o:title=""/>
              <o:lock v:ext="edit" aspectratio="f"/>
              <v:textbox inset="0mm,0mm,0mm,0mm" style="mso-fit-shape-to-text:t;">
                <w:txbxContent>
                  <w:p w14:paraId="29EE229B">
                    <w:pPr>
                      <w:pStyle w:val="7"/>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9978F">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8E612">
                          <w:pPr>
                            <w:pStyle w:val="7"/>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fEY0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UXjNFEp++fH9&#10;8vP35dc3Eg8hUW39HJE7i9jQvDMNGmc49ziMzJvCqfgFJwI/BD5fBRZNIDxemk1msxQuDt+wAX7y&#10;dN06H94Lo0g0MupQwVZYdtr60IUOITGbNptKyraKUpM6ozfTt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3xGNNAIAAGUEAAAOAAAAAAAAAAEAIAAAAB8BAABkcnMvZTJvRG9jLnhtbFBL&#10;BQYAAAAABgAGAFkBAADFBQAAAAA=&#10;">
              <v:fill on="f" focussize="0,0"/>
              <v:stroke on="f" weight="0.5pt"/>
              <v:imagedata o:title=""/>
              <o:lock v:ext="edit" aspectratio="f"/>
              <v:textbox inset="0mm,0mm,0mm,0mm" style="mso-fit-shape-to-text:t;">
                <w:txbxContent>
                  <w:p w14:paraId="7648E612">
                    <w:pPr>
                      <w:pStyle w:val="7"/>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7D11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4B0D8">
                          <w:pPr>
                            <w:pStyle w:val="7"/>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5jjxE0AgAAZQQAAA4AAABkcnMvZTJvRG9jLnhtbK1UzY7TMBC+I/EO&#10;lu80aStW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pG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OY48RNAIAAGUEAAAOAAAAAAAAAAEAIAAAAB8BAABkcnMvZTJvRG9jLnhtbFBL&#10;BQYAAAAABgAGAFkBAADFBQAAAAA=&#10;">
              <v:fill on="f" focussize="0,0"/>
              <v:stroke on="f" weight="0.5pt"/>
              <v:imagedata o:title=""/>
              <o:lock v:ext="edit" aspectratio="f"/>
              <v:textbox inset="0mm,0mm,0mm,0mm" style="mso-fit-shape-to-text:t;">
                <w:txbxContent>
                  <w:p w14:paraId="39A4B0D8">
                    <w:pPr>
                      <w:pStyle w:val="7"/>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67E71">
    <w:pPr>
      <w:pStyle w:val="7"/>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D80CF">
                          <w:pPr>
                            <w:pStyle w:val="7"/>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Qpds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NDFMo+Sn799O&#10;P36dfn4l6RASNS7MEPngEBvbt7ZF4wznAYeJeVt5nb7gROAH2PEisGgj4enSdDKd5nBx+IYN8LPH&#10;686H+E5YTZJRUI8KdsKywybEPnQISdmMXUuluioqQ5qCXl+9yb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80KXbNAIAAGUEAAAOAAAAAAAAAAEAIAAAAB8BAABkcnMvZTJvRG9jLnhtbFBL&#10;BQYAAAAABgAGAFkBAADFBQAAAAA=&#10;">
              <v:fill on="f" focussize="0,0"/>
              <v:stroke on="f" weight="0.5pt"/>
              <v:imagedata o:title=""/>
              <o:lock v:ext="edit" aspectratio="f"/>
              <v:textbox inset="0mm,0mm,0mm,0mm" style="mso-fit-shape-to-text:t;">
                <w:txbxContent>
                  <w:p w14:paraId="7ECD80CF">
                    <w:pPr>
                      <w:pStyle w:val="7"/>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1FD2A">
    <w:pPr>
      <w:pStyle w:val="7"/>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76835">
                          <w:pPr>
                            <w:pStyle w:val="7"/>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sO0c0AgAAZQ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bDtHNAIAAGUEAAAOAAAAAAAAAAEAIAAAAB8BAABkcnMvZTJvRG9jLnhtbFBL&#10;BQYAAAAABgAGAFkBAADFBQAAAAA=&#10;">
              <v:fill on="f" focussize="0,0"/>
              <v:stroke on="f" weight="0.5pt"/>
              <v:imagedata o:title=""/>
              <o:lock v:ext="edit" aspectratio="f"/>
              <v:textbox inset="0mm,0mm,0mm,0mm" style="mso-fit-shape-to-text:t;">
                <w:txbxContent>
                  <w:p w14:paraId="31876835">
                    <w:pPr>
                      <w:pStyle w:val="7"/>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2BDD0">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A3C4F">
                          <w:pPr>
                            <w:pStyle w:val="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14:paraId="7F5A3C4F">
                    <w:pPr>
                      <w:pStyle w:val="7"/>
                    </w:pPr>
                    <w:r>
                      <w:fldChar w:fldCharType="begin"/>
                    </w:r>
                    <w:r>
                      <w:instrText xml:space="preserve"> PAGE  \* MERGEFORMAT </w:instrText>
                    </w:r>
                    <w:r>
                      <w:fldChar w:fldCharType="separate"/>
                    </w:r>
                    <w:r>
                      <w:t>43</w:t>
                    </w:r>
                    <w:r>
                      <w:fldChar w:fldCharType="end"/>
                    </w:r>
                  </w:p>
                </w:txbxContent>
              </v:textbox>
            </v:shape>
          </w:pict>
        </mc:Fallback>
      </mc:AlternateContent>
    </w:r>
    <w:r>
      <w:rPr>
        <w:rFonts w:ascii="Times New Roman" w:hAnsi="Times New Roman" w:eastAsia="Times New Roman" w:cs="Times New Roman"/>
        <w:spacing w:val="-4"/>
        <w:sz w:val="18"/>
        <w:szCs w:val="18"/>
      </w:rPr>
      <w:t>68</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DB52E">
    <w:pPr>
      <w:pStyle w:val="7"/>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975701">
                          <w:pPr>
                            <w:pStyle w:val="7"/>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u6T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r1hB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67pOTUCAABlBAAADgAAAAAAAAABACAAAAAfAQAAZHJzL2Uyb0RvYy54bWxQ&#10;SwUGAAAAAAYABgBZAQAAxgUAAAAA&#10;">
              <v:fill on="f" focussize="0,0"/>
              <v:stroke on="f" weight="0.5pt"/>
              <v:imagedata o:title=""/>
              <o:lock v:ext="edit" aspectratio="f"/>
              <v:textbox inset="0mm,0mm,0mm,0mm" style="mso-fit-shape-to-text:t;">
                <w:txbxContent>
                  <w:p w14:paraId="1A975701">
                    <w:pPr>
                      <w:pStyle w:val="7"/>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8783D">
    <w:pPr>
      <w:pStyle w:val="7"/>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AD5833">
                          <w:pPr>
                            <w:pStyle w:val="7"/>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Sd6U0AgAAZQ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XU0o0Uyj55fu3&#10;y49fl59fSTyERLX1c0TuLGJD89Y0aJzh3OMwMm8Kp+IXnAj8EPh8FVg0gfB4aTaZzVK4OHzDBvjJ&#10;43XrfHgnjCLRyKhDBVth2WnrQxc6hMRs2mwqKdsqSk3qjN5M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EnelNAIAAGUEAAAOAAAAAAAAAAEAIAAAAB8BAABkcnMvZTJvRG9jLnhtbFBL&#10;BQYAAAAABgAGAFkBAADFBQAAAAA=&#10;">
              <v:fill on="f" focussize="0,0"/>
              <v:stroke on="f" weight="0.5pt"/>
              <v:imagedata o:title=""/>
              <o:lock v:ext="edit" aspectratio="f"/>
              <v:textbox inset="0mm,0mm,0mm,0mm" style="mso-fit-shape-to-text:t;">
                <w:txbxContent>
                  <w:p w14:paraId="0BAD5833">
                    <w:pPr>
                      <w:pStyle w:val="7"/>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8359B">
    <w:pPr>
      <w:pStyle w:val="7"/>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B6598">
                          <w:pPr>
                            <w:pStyle w:val="7"/>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rTMQ1AgAAZQQAAA4AAABkcnMvZTJvRG9jLnhtbK1US27bMBDdF+gd&#10;CO5ryU4a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poSzRRKfv7x&#10;/fzz8fzrG4mHkKi2fobIrUVsaN6ZBo0znHscRuZN4VT8ghOBHwKfLgKLJhAeL00n02kKF4dv2AA/&#10;ebpunQ/vhVEkGhl1qGArLDtufOhCh5CYTZt1JWVbRalJndGb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ytMxDUCAABlBAAADgAAAAAAAAABACAAAAAfAQAAZHJzL2Uyb0RvYy54bWxQ&#10;SwUGAAAAAAYABgBZAQAAxgUAAAAA&#10;">
              <v:fill on="f" focussize="0,0"/>
              <v:stroke on="f" weight="0.5pt"/>
              <v:imagedata o:title=""/>
              <o:lock v:ext="edit" aspectratio="f"/>
              <v:textbox inset="0mm,0mm,0mm,0mm" style="mso-fit-shape-to-text:t;">
                <w:txbxContent>
                  <w:p w14:paraId="1DDB6598">
                    <w:pPr>
                      <w:pStyle w:val="7"/>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47844">
    <w:pPr>
      <w:pStyle w:val="7"/>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9A1CC">
                          <w:pPr>
                            <w:pStyle w:val="7"/>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iX0lg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7T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JfSWDUCAABlBAAADgAAAAAAAAABACAAAAAfAQAAZHJzL2Uyb0RvYy54bWxQ&#10;SwUGAAAAAAYABgBZAQAAxgUAAAAA&#10;">
              <v:fill on="f" focussize="0,0"/>
              <v:stroke on="f" weight="0.5pt"/>
              <v:imagedata o:title=""/>
              <o:lock v:ext="edit" aspectratio="f"/>
              <v:textbox inset="0mm,0mm,0mm,0mm" style="mso-fit-shape-to-text:t;">
                <w:txbxContent>
                  <w:p w14:paraId="1299A1CC">
                    <w:pPr>
                      <w:pStyle w:val="7"/>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BDFD7">
    <w:pPr>
      <w:pStyle w:val="7"/>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3689A4">
                          <w:pPr>
                            <w:pStyle w:val="7"/>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VACY0AgAAZ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XU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EVQAmNAIAAGUEAAAOAAAAAAAAAAEAIAAAAB8BAABkcnMvZTJvRG9jLnhtbFBL&#10;BQYAAAAABgAGAFkBAADFBQAAAAA=&#10;">
              <v:fill on="f" focussize="0,0"/>
              <v:stroke on="f" weight="0.5pt"/>
              <v:imagedata o:title=""/>
              <o:lock v:ext="edit" aspectratio="f"/>
              <v:textbox inset="0mm,0mm,0mm,0mm" style="mso-fit-shape-to-text:t;">
                <w:txbxContent>
                  <w:p w14:paraId="7C3689A4">
                    <w:pPr>
                      <w:pStyle w:val="7"/>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E2098">
    <w:pPr>
      <w:pStyle w:val="7"/>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A55">
                          <w:pPr>
                            <w:pStyle w:val="7"/>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nro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meujUCAABlBAAADgAAAAAAAAABACAAAAAfAQAAZHJzL2Uyb0RvYy54bWxQ&#10;SwUGAAAAAAYABgBZAQAAxgUAAAAA&#10;">
              <v:fill on="f" focussize="0,0"/>
              <v:stroke on="f" weight="0.5pt"/>
              <v:imagedata o:title=""/>
              <o:lock v:ext="edit" aspectratio="f"/>
              <v:textbox inset="0mm,0mm,0mm,0mm" style="mso-fit-shape-to-text:t;">
                <w:txbxContent>
                  <w:p w14:paraId="6AAB0A55">
                    <w:pPr>
                      <w:pStyle w:val="7"/>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20BA2">
    <w:pPr>
      <w:pStyle w:val="7"/>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6BDBF">
                          <w:pPr>
                            <w:pStyle w:val="7"/>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mdu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JnbkNAIAAGUEAAAOAAAAAAAAAAEAIAAAAB8BAABkcnMvZTJvRG9jLnhtbFBL&#10;BQYAAAAABgAGAFkBAADFBQAAAAA=&#10;">
              <v:fill on="f" focussize="0,0"/>
              <v:stroke on="f" weight="0.5pt"/>
              <v:imagedata o:title=""/>
              <o:lock v:ext="edit" aspectratio="f"/>
              <v:textbox inset="0mm,0mm,0mm,0mm" style="mso-fit-shape-to-text:t;">
                <w:txbxContent>
                  <w:p w14:paraId="5426BDBF">
                    <w:pPr>
                      <w:pStyle w:val="7"/>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D8347">
    <w:pPr>
      <w:pStyle w:val="7"/>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AB5A1">
                          <w:pPr>
                            <w:pStyle w:val="7"/>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a6Hg1AgAAZQQAAA4AAABkcnMvZTJvRG9jLnhtbK1UzY7TMBC+I/EO&#10;lu80aRdW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ku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ZroeDUCAABlBAAADgAAAAAAAAABACAAAAAfAQAAZHJzL2Uyb0RvYy54bWxQ&#10;SwUGAAAAAAYABgBZAQAAxgUAAAAA&#10;">
              <v:fill on="f" focussize="0,0"/>
              <v:stroke on="f" weight="0.5pt"/>
              <v:imagedata o:title=""/>
              <o:lock v:ext="edit" aspectratio="f"/>
              <v:textbox inset="0mm,0mm,0mm,0mm" style="mso-fit-shape-to-text:t;">
                <w:txbxContent>
                  <w:p w14:paraId="3E2AB5A1">
                    <w:pPr>
                      <w:pStyle w:val="7"/>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9F04A">
    <w:pPr>
      <w:pStyle w:val="7"/>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F506D">
                          <w:pPr>
                            <w:pStyle w:val="7"/>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2WQE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Q9lkBMQIAAGUEAAAOAAAAAAAAAAEAIAAAAB8BAABkcnMvZTJvRG9jLnhtbFBLBQYA&#10;AAAABgAGAFkBAADCBQAAAAA=&#10;">
              <v:fill on="f" focussize="0,0"/>
              <v:stroke on="f" weight="0.5pt"/>
              <v:imagedata o:title=""/>
              <o:lock v:ext="edit" aspectratio="f"/>
              <v:textbox inset="0mm,0mm,0mm,0mm" style="mso-fit-shape-to-text:t;">
                <w:txbxContent>
                  <w:p w14:paraId="5DEF506D">
                    <w:pPr>
                      <w:pStyle w:val="7"/>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AF5F">
    <w:pPr>
      <w:pStyle w:val="7"/>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6B6291">
                          <w:pPr>
                            <w:pStyle w:val="7"/>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7SsedNAIAAGUEAAAOAAAAAAAAAAEAIAAAAB8BAABkcnMvZTJvRG9jLnhtbFBL&#10;BQYAAAAABgAGAFkBAADFBQAAAAA=&#10;">
              <v:fill on="f" focussize="0,0"/>
              <v:stroke on="f" weight="0.5pt"/>
              <v:imagedata o:title=""/>
              <o:lock v:ext="edit" aspectratio="f"/>
              <v:textbox inset="0mm,0mm,0mm,0mm" style="mso-fit-shape-to-text:t;">
                <w:txbxContent>
                  <w:p w14:paraId="1D6B6291">
                    <w:pPr>
                      <w:pStyle w:val="7"/>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8E30C">
    <w:pPr>
      <w:spacing w:line="174" w:lineRule="auto"/>
      <w:ind w:left="86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9C07C">
                          <w:pPr>
                            <w:pStyle w:val="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14:paraId="2949C07C">
                    <w:pPr>
                      <w:pStyle w:val="7"/>
                    </w:pPr>
                    <w:r>
                      <w:fldChar w:fldCharType="begin"/>
                    </w:r>
                    <w:r>
                      <w:instrText xml:space="preserve"> PAGE  \* MERGEFORMAT </w:instrText>
                    </w:r>
                    <w:r>
                      <w:fldChar w:fldCharType="separate"/>
                    </w:r>
                    <w:r>
                      <w:t>44</w:t>
                    </w:r>
                    <w:r>
                      <w:fldChar w:fldCharType="end"/>
                    </w:r>
                  </w:p>
                </w:txbxContent>
              </v:textbox>
            </v:shape>
          </w:pict>
        </mc:Fallback>
      </mc:AlternateContent>
    </w:r>
    <w:r>
      <w:rPr>
        <w:rFonts w:ascii="Times New Roman" w:hAnsi="Times New Roman" w:eastAsia="Times New Roman" w:cs="Times New Roman"/>
        <w:spacing w:val="-2"/>
        <w:sz w:val="18"/>
        <w:szCs w:val="18"/>
      </w:rPr>
      <w:t>69</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1AED">
    <w:pPr>
      <w:pStyle w:val="7"/>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3C257">
                          <w:pPr>
                            <w:pStyle w:val="7"/>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IFeM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U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iBXjNAIAAGUEAAAOAAAAAAAAAAEAIAAAAB8BAABkcnMvZTJvRG9jLnhtbFBL&#10;BQYAAAAABgAGAFkBAADFBQAAAAA=&#10;">
              <v:fill on="f" focussize="0,0"/>
              <v:stroke on="f" weight="0.5pt"/>
              <v:imagedata o:title=""/>
              <o:lock v:ext="edit" aspectratio="f"/>
              <v:textbox inset="0mm,0mm,0mm,0mm" style="mso-fit-shape-to-text:t;">
                <w:txbxContent>
                  <w:p w14:paraId="4EF3C257">
                    <w:pPr>
                      <w:pStyle w:val="7"/>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480B4">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A9B30">
                          <w:pPr>
                            <w:pStyle w:val="7"/>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0i380AgAAZQ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3eTCnRTKHkl+/f&#10;Lj9+XX5+JfEQEtXWzxG5s4gNzVvToHGGc4/DyLwpnIpfcCLwQ+DzVWDRBMLjpdlkNkvh4vANG+An&#10;T9et8+GdMIpEI6MOFWyFZaetD13oEBKzabOppGyrKDWpM3o7vUn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It/NAIAAGUEAAAOAAAAAAAAAAEAIAAAAB8BAABkcnMvZTJvRG9jLnhtbFBL&#10;BQYAAAAABgAGAFkBAADFBQAAAAA=&#10;">
              <v:fill on="f" focussize="0,0"/>
              <v:stroke on="f" weight="0.5pt"/>
              <v:imagedata o:title=""/>
              <o:lock v:ext="edit" aspectratio="f"/>
              <v:textbox inset="0mm,0mm,0mm,0mm" style="mso-fit-shape-to-text:t;">
                <w:txbxContent>
                  <w:p w14:paraId="70CA9B30">
                    <w:pPr>
                      <w:pStyle w:val="7"/>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A0CBC">
    <w:pPr>
      <w:pStyle w:val="7"/>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BC8A6">
                          <w:pPr>
                            <w:pStyle w:val="7"/>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8NsB41AgAAZQQAAA4AAABkcnMvZTJvRG9jLnhtbK1US27bMBDdF+gd&#10;CO5ryU4T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w2wHjUCAABlBAAADgAAAAAAAAABACAAAAAfAQAAZHJzL2Uyb0RvYy54bWxQ&#10;SwUGAAAAAAYABgBZAQAAxgUAAAAA&#10;">
              <v:fill on="f" focussize="0,0"/>
              <v:stroke on="f" weight="0.5pt"/>
              <v:imagedata o:title=""/>
              <o:lock v:ext="edit" aspectratio="f"/>
              <v:textbox inset="0mm,0mm,0mm,0mm" style="mso-fit-shape-to-text:t;">
                <w:txbxContent>
                  <w:p w14:paraId="1E1BC8A6">
                    <w:pPr>
                      <w:pStyle w:val="7"/>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9F3EB">
    <w:pPr>
      <w:pStyle w:val="7"/>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A5D7DF">
                          <w:pPr>
                            <w:pStyle w:val="7"/>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xLoI0AgAAZQQAAA4AAABkcnMvZTJvRG9jLnhtbK1UzY7TMBC+I/EO&#10;lu80aVd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b2ZTinRTKHkl+/f&#10;Lj9+XX5+JfEQEtXWzxG5s4gNzVvToHGGc4/DyLwpnIpfcCLwQ+DzVWDRBMLjpdlkNkvh4vANG+An&#10;T9et8+GdMIpEI6MOFWyFZaetD13oEBKzabOppGyrKDWpM3p7M0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sS6CNAIAAGUEAAAOAAAAAAAAAAEAIAAAAB8BAABkcnMvZTJvRG9jLnhtbFBL&#10;BQYAAAAABgAGAFkBAADFBQAAAAA=&#10;">
              <v:fill on="f" focussize="0,0"/>
              <v:stroke on="f" weight="0.5pt"/>
              <v:imagedata o:title=""/>
              <o:lock v:ext="edit" aspectratio="f"/>
              <v:textbox inset="0mm,0mm,0mm,0mm" style="mso-fit-shape-to-text:t;">
                <w:txbxContent>
                  <w:p w14:paraId="59A5D7DF">
                    <w:pPr>
                      <w:pStyle w:val="7"/>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4A002">
    <w:pPr>
      <w:pStyle w:val="7"/>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D5F43">
                          <w:pPr>
                            <w:pStyle w:val="7"/>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z/Pw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7cTi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c/z8NAIAAGUEAAAOAAAAAAAAAAEAIAAAAB8BAABkcnMvZTJvRG9jLnhtbFBL&#10;BQYAAAAABgAGAFkBAADFBQAAAAA=&#10;">
              <v:fill on="f" focussize="0,0"/>
              <v:stroke on="f" weight="0.5pt"/>
              <v:imagedata o:title=""/>
              <o:lock v:ext="edit" aspectratio="f"/>
              <v:textbox inset="0mm,0mm,0mm,0mm" style="mso-fit-shape-to-text:t;">
                <w:txbxContent>
                  <w:p w14:paraId="762D5F43">
                    <w:pPr>
                      <w:pStyle w:val="7"/>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EA5A2">
    <w:pPr>
      <w:pStyle w:val="7"/>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80EAA">
                          <w:pPr>
                            <w:pStyle w:val="7"/>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PYmA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89iYDUCAABlBAAADgAAAAAAAAABACAAAAAfAQAAZHJzL2Uyb0RvYy54bWxQ&#10;SwUGAAAAAAYABgBZAQAAxgUAAAAA&#10;">
              <v:fill on="f" focussize="0,0"/>
              <v:stroke on="f" weight="0.5pt"/>
              <v:imagedata o:title=""/>
              <o:lock v:ext="edit" aspectratio="f"/>
              <v:textbox inset="0mm,0mm,0mm,0mm" style="mso-fit-shape-to-text:t;">
                <w:txbxContent>
                  <w:p w14:paraId="78B80EAA">
                    <w:pPr>
                      <w:pStyle w:val="7"/>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EB390">
    <w:pPr>
      <w:pStyle w:val="7"/>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92E7F5">
                          <w:pPr>
                            <w:pStyle w:val="7"/>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Aij4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AIo+NAIAAGUEAAAOAAAAAAAAAAEAIAAAAB8BAABkcnMvZTJvRG9jLnhtbFBL&#10;BQYAAAAABgAGAFkBAADFBQAAAAA=&#10;">
              <v:fill on="f" focussize="0,0"/>
              <v:stroke on="f" weight="0.5pt"/>
              <v:imagedata o:title=""/>
              <o:lock v:ext="edit" aspectratio="f"/>
              <v:textbox inset="0mm,0mm,0mm,0mm" style="mso-fit-shape-to-text:t;">
                <w:txbxContent>
                  <w:p w14:paraId="1992E7F5">
                    <w:pPr>
                      <w:pStyle w:val="7"/>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A894B">
    <w:pPr>
      <w:spacing w:line="174" w:lineRule="auto"/>
      <w:ind w:left="1375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EBD31A">
                          <w:pPr>
                            <w:pStyle w:val="7"/>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8FKI1AgAAZQQAAA4AAABkcnMvZTJvRG9jLnhtbK1US27bMBDdF+gd&#10;CO5ryQ4Su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i0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bwUojUCAABlBAAADgAAAAAAAAABACAAAAAfAQAAZHJzL2Uyb0RvYy54bWxQ&#10;SwUGAAAAAAYABgBZAQAAxgUAAAAA&#10;">
              <v:fill on="f" focussize="0,0"/>
              <v:stroke on="f" weight="0.5pt"/>
              <v:imagedata o:title=""/>
              <o:lock v:ext="edit" aspectratio="f"/>
              <v:textbox inset="0mm,0mm,0mm,0mm" style="mso-fit-shape-to-text:t;">
                <w:txbxContent>
                  <w:p w14:paraId="31EBD31A">
                    <w:pPr>
                      <w:pStyle w:val="7"/>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0AA0F">
    <w:pPr>
      <w:pStyle w:val="7"/>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12AA45">
                          <w:pPr>
                            <w:pStyle w:val="7"/>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aLLU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lmiy1NAIAAGUEAAAOAAAAAAAAAAEAIAAAAB8BAABkcnMvZTJvRG9jLnhtbFBL&#10;BQYAAAAABgAGAFkBAADFBQAAAAA=&#10;">
              <v:fill on="f" focussize="0,0"/>
              <v:stroke on="f" weight="0.5pt"/>
              <v:imagedata o:title=""/>
              <o:lock v:ext="edit" aspectratio="f"/>
              <v:textbox inset="0mm,0mm,0mm,0mm" style="mso-fit-shape-to-text:t;">
                <w:txbxContent>
                  <w:p w14:paraId="6312AA45">
                    <w:pPr>
                      <w:pStyle w:val="7"/>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E525C">
    <w:pPr>
      <w:pStyle w:val="7"/>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B575A2">
                          <w:pPr>
                            <w:pStyle w:val="7"/>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OJrIpNAIAAGUEAAAOAAAAAAAAAAEAIAAAAB8BAABkcnMvZTJvRG9jLnhtbFBL&#10;BQYAAAAABgAGAFkBAADFBQAAAAA=&#10;">
              <v:fill on="f" focussize="0,0"/>
              <v:stroke on="f" weight="0.5pt"/>
              <v:imagedata o:title=""/>
              <o:lock v:ext="edit" aspectratio="f"/>
              <v:textbox inset="0mm,0mm,0mm,0mm" style="mso-fit-shape-to-text:t;">
                <w:txbxContent>
                  <w:p w14:paraId="55B575A2">
                    <w:pPr>
                      <w:pStyle w:val="7"/>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0646A">
    <w:pPr>
      <w:spacing w:line="174" w:lineRule="auto"/>
      <w:ind w:left="86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4051E">
                          <w:pPr>
                            <w:pStyle w:val="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14:paraId="7124051E">
                    <w:pPr>
                      <w:pStyle w:val="7"/>
                    </w:pPr>
                    <w:r>
                      <w:fldChar w:fldCharType="begin"/>
                    </w:r>
                    <w:r>
                      <w:instrText xml:space="preserve"> PAGE  \* MERGEFORMAT </w:instrText>
                    </w:r>
                    <w:r>
                      <w:fldChar w:fldCharType="separate"/>
                    </w:r>
                    <w:r>
                      <w:t>45</w:t>
                    </w:r>
                    <w:r>
                      <w:fldChar w:fldCharType="end"/>
                    </w:r>
                  </w:p>
                </w:txbxContent>
              </v:textbox>
            </v:shape>
          </w:pict>
        </mc:Fallback>
      </mc:AlternateContent>
    </w:r>
    <w:r>
      <w:rPr>
        <w:rFonts w:ascii="Times New Roman" w:hAnsi="Times New Roman" w:eastAsia="Times New Roman" w:cs="Times New Roman"/>
        <w:spacing w:val="-2"/>
        <w:sz w:val="18"/>
        <w:szCs w:val="18"/>
      </w:rPr>
      <w:t>70</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BB519">
    <w:pPr>
      <w:pStyle w:val="7"/>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48189">
                          <w:pPr>
                            <w:pStyle w:val="7"/>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kYFc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J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y5GBXNAIAAGUEAAAOAAAAAAAAAAEAIAAAAB8BAABkcnMvZTJvRG9jLnhtbFBL&#10;BQYAAAAABgAGAFkBAADFBQAAAAA=&#10;">
              <v:fill on="f" focussize="0,0"/>
              <v:stroke on="f" weight="0.5pt"/>
              <v:imagedata o:title=""/>
              <o:lock v:ext="edit" aspectratio="f"/>
              <v:textbox inset="0mm,0mm,0mm,0mm" style="mso-fit-shape-to-text:t;">
                <w:txbxContent>
                  <w:p w14:paraId="6A948189">
                    <w:pPr>
                      <w:pStyle w:val="7"/>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4BA8C">
    <w:pPr>
      <w:pStyle w:val="7"/>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0B0671">
                          <w:pPr>
                            <w:pStyle w:val="7"/>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Y/ss0AgAAZQ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3OppRoplDyy4/v&#10;l5+/L7++kXgIiWrrF4h8sIgNzTvToHGGc4/DyLwpnIpfcCLwQ+DzVWDRBMLjpflkPk/h4vANG+An&#10;T9et8+G9MIpEI6MOFWyFZaedD13oEBKzabOtpGyrKDWpMzqbvk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WP7LNAIAAGUEAAAOAAAAAAAAAAEAIAAAAB8BAABkcnMvZTJvRG9jLnhtbFBL&#10;BQYAAAAABgAGAFkBAADFBQAAAAA=&#10;">
              <v:fill on="f" focussize="0,0"/>
              <v:stroke on="f" weight="0.5pt"/>
              <v:imagedata o:title=""/>
              <o:lock v:ext="edit" aspectratio="f"/>
              <v:textbox inset="0mm,0mm,0mm,0mm" style="mso-fit-shape-to-text:t;">
                <w:txbxContent>
                  <w:p w14:paraId="190B0671">
                    <w:pPr>
                      <w:pStyle w:val="7"/>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9360E">
    <w:pPr>
      <w:pStyle w:val="7"/>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5AA9A3">
                          <w:pPr>
                            <w:pStyle w:val="7"/>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hxao0AgAAZ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a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YcWqNAIAAGUEAAAOAAAAAAAAAAEAIAAAAB8BAABkcnMvZTJvRG9jLnhtbFBL&#10;BQYAAAAABgAGAFkBAADFBQAAAAA=&#10;">
              <v:fill on="f" focussize="0,0"/>
              <v:stroke on="f" weight="0.5pt"/>
              <v:imagedata o:title=""/>
              <o:lock v:ext="edit" aspectratio="f"/>
              <v:textbox inset="0mm,0mm,0mm,0mm" style="mso-fit-shape-to-text:t;">
                <w:txbxContent>
                  <w:p w14:paraId="105AA9A3">
                    <w:pPr>
                      <w:pStyle w:val="7"/>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A6FBB">
    <w:pPr>
      <w:pStyle w:val="7"/>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912CFE">
                          <w:pPr>
                            <w:pStyle w:val="7"/>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3Vs2NAIAAGUEAAAOAAAAAAAAAAEAIAAAAB8BAABkcnMvZTJvRG9jLnhtbFBL&#10;BQYAAAAABgAGAFkBAADFBQAAAAA=&#10;">
              <v:fill on="f" focussize="0,0"/>
              <v:stroke on="f" weight="0.5pt"/>
              <v:imagedata o:title=""/>
              <o:lock v:ext="edit" aspectratio="f"/>
              <v:textbox inset="0mm,0mm,0mm,0mm" style="mso-fit-shape-to-text:t;">
                <w:txbxContent>
                  <w:p w14:paraId="4A912CFE">
                    <w:pPr>
                      <w:pStyle w:val="7"/>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DA530">
    <w:pPr>
      <w:pStyle w:val="7"/>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D6AA91">
                          <w:pPr>
                            <w:pStyle w:val="7"/>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fiUg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dH4lINAIAAGUEAAAOAAAAAAAAAAEAIAAAAB8BAABkcnMvZTJvRG9jLnhtbFBL&#10;BQYAAAAABgAGAFkBAADFBQAAAAA=&#10;">
              <v:fill on="f" focussize="0,0"/>
              <v:stroke on="f" weight="0.5pt"/>
              <v:imagedata o:title=""/>
              <o:lock v:ext="edit" aspectratio="f"/>
              <v:textbox inset="0mm,0mm,0mm,0mm" style="mso-fit-shape-to-text:t;">
                <w:txbxContent>
                  <w:p w14:paraId="4AD6AA91">
                    <w:pPr>
                      <w:pStyle w:val="7"/>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46E85">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F834B6">
                          <w:pPr>
                            <w:pStyle w:val="7"/>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jF9Q0AgAAZQQAAA4AAABkcnMvZTJvRG9jLnhtbK1UzY7TMBC+I/EO&#10;lu80aVeU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G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2oxfUNAIAAGUEAAAOAAAAAAAAAAEAIAAAAB8BAABkcnMvZTJvRG9jLnhtbFBL&#10;BQYAAAAABgAGAFkBAADFBQAAAAA=&#10;">
              <v:fill on="f" focussize="0,0"/>
              <v:stroke on="f" weight="0.5pt"/>
              <v:imagedata o:title=""/>
              <o:lock v:ext="edit" aspectratio="f"/>
              <v:textbox inset="0mm,0mm,0mm,0mm" style="mso-fit-shape-to-text:t;">
                <w:txbxContent>
                  <w:p w14:paraId="24F834B6">
                    <w:pPr>
                      <w:pStyle w:val="7"/>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B56D1">
    <w:pPr>
      <w:pStyle w:val="7"/>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D842">
                          <w:pPr>
                            <w:pStyle w:val="7"/>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s/4o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UXjNFEp++fH9&#10;8vP35dc3Eg8hUW39HJE7i9jQvDMNGmc49ziMzJvCqfgFJwI/BD5fBRZNIDxemk1msxQuDt+wAX7y&#10;dN06H94Lo0g0MupQwVZYdtr60IUOITGbNptKyraKUpM6o9Obt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bP+KNAIAAGUEAAAOAAAAAAAAAAEAIAAAAB8BAABkcnMvZTJvRG9jLnhtbFBL&#10;BQYAAAAABgAGAFkBAADFBQAAAAA=&#10;">
              <v:fill on="f" focussize="0,0"/>
              <v:stroke on="f" weight="0.5pt"/>
              <v:imagedata o:title=""/>
              <o:lock v:ext="edit" aspectratio="f"/>
              <v:textbox inset="0mm,0mm,0mm,0mm" style="mso-fit-shape-to-text:t;">
                <w:txbxContent>
                  <w:p w14:paraId="12CFD842">
                    <w:pPr>
                      <w:pStyle w:val="7"/>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2EA7">
    <w:pPr>
      <w:pStyle w:val="7"/>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339725" cy="203835"/>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339725" cy="203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FD659">
                          <w:pPr>
                            <w:pStyle w:val="7"/>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6.05pt;width:26.75pt;mso-position-horizontal:center;mso-position-horizontal-relative:margin;z-index:251837440;mso-width-relative:page;mso-height-relative:page;" filled="f" stroked="f" coordsize="21600,21600" o:gfxdata="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4N4sG0wAAAAMBAAAPAAAAAAAAAAEAIAAAACIAAABkcnMvZG93bnJl&#10;di54bWxQSwECFAAUAAAACACHTuJAe+gPBDsCAABlBAAADgAAAAAAAAABACAAAAAiAQAAZHJzL2Uy&#10;b0RvYy54bWxQSwUGAAAAAAYABgBZAQAAzwUAAAAA&#10;">
              <v:fill on="f" focussize="0,0"/>
              <v:stroke on="f" weight="0.5pt"/>
              <v:imagedata o:title=""/>
              <o:lock v:ext="edit" aspectratio="f"/>
              <v:textbox inset="0mm,0mm,0mm,0mm">
                <w:txbxContent>
                  <w:p w14:paraId="3F2FD659">
                    <w:pPr>
                      <w:pStyle w:val="7"/>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51BAC">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ECB57">
                          <w:pPr>
                            <w:pStyle w:val="7"/>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14:paraId="413ECB57">
                    <w:pPr>
                      <w:pStyle w:val="7"/>
                    </w:pPr>
                    <w:r>
                      <w:fldChar w:fldCharType="begin"/>
                    </w:r>
                    <w:r>
                      <w:instrText xml:space="preserve"> PAGE  \* MERGEFORMAT </w:instrText>
                    </w:r>
                    <w:r>
                      <w:fldChar w:fldCharType="separate"/>
                    </w:r>
                    <w:r>
                      <w:t>48</w:t>
                    </w:r>
                    <w:r>
                      <w:fldChar w:fldCharType="end"/>
                    </w:r>
                  </w:p>
                </w:txbxContent>
              </v:textbox>
            </v:shape>
          </w:pict>
        </mc:Fallback>
      </mc:AlternateContent>
    </w:r>
    <w:r>
      <w:rPr>
        <w:rFonts w:ascii="Times New Roman" w:hAnsi="Times New Roman" w:eastAsia="Times New Roman" w:cs="Times New Roman"/>
        <w:spacing w:val="-2"/>
        <w:sz w:val="18"/>
        <w:szCs w:val="18"/>
      </w:rPr>
      <w:t>73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B27D9">
    <w:pPr>
      <w:spacing w:line="174" w:lineRule="auto"/>
      <w:ind w:right="13"/>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A32E6">
                          <w:pPr>
                            <w:pStyle w:val="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14:paraId="05EA32E6">
                    <w:pPr>
                      <w:pStyle w:val="7"/>
                    </w:pPr>
                    <w:r>
                      <w:fldChar w:fldCharType="begin"/>
                    </w:r>
                    <w:r>
                      <w:instrText xml:space="preserve"> PAGE  \* MERGEFORMAT </w:instrText>
                    </w:r>
                    <w:r>
                      <w:fldChar w:fldCharType="separate"/>
                    </w:r>
                    <w:r>
                      <w:t>49</w:t>
                    </w:r>
                    <w:r>
                      <w:fldChar w:fldCharType="end"/>
                    </w:r>
                  </w:p>
                </w:txbxContent>
              </v:textbox>
            </v:shape>
          </w:pict>
        </mc:Fallback>
      </mc:AlternateContent>
    </w:r>
    <w:r>
      <w:rPr>
        <w:rFonts w:ascii="Times New Roman" w:hAnsi="Times New Roman" w:eastAsia="Times New Roman" w:cs="Times New Roman"/>
        <w:spacing w:val="-2"/>
        <w:sz w:val="18"/>
        <w:szCs w:val="18"/>
      </w:rPr>
      <w:t>74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184A8">
    <w:pPr>
      <w:spacing w:line="174" w:lineRule="auto"/>
      <w:jc w:val="right"/>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E7E6A">
    <w:pPr>
      <w:spacing w:line="171"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96E26">
                          <w:pPr>
                            <w:pStyle w:val="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2Xo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DM2XozAgAAZQQAAA4AAAAAAAAAAQAgAAAAHwEAAGRycy9lMm9Eb2MueG1sUEsF&#10;BgAAAAAGAAYAWQEAAMQFAAAAAA==&#10;">
              <v:fill on="f" focussize="0,0"/>
              <v:stroke on="f" weight="0.5pt"/>
              <v:imagedata o:title=""/>
              <o:lock v:ext="edit" aspectratio="f"/>
              <v:textbox inset="0mm,0mm,0mm,0mm" style="mso-fit-shape-to-text:t;">
                <w:txbxContent>
                  <w:p w14:paraId="4D696E26">
                    <w:pPr>
                      <w:pStyle w:val="7"/>
                    </w:pPr>
                    <w:r>
                      <w:fldChar w:fldCharType="begin"/>
                    </w:r>
                    <w:r>
                      <w:instrText xml:space="preserve"> PAGE  \* MERGEFORMAT </w:instrText>
                    </w:r>
                    <w:r>
                      <w:fldChar w:fldCharType="separate"/>
                    </w:r>
                    <w:r>
                      <w:t>50</w:t>
                    </w:r>
                    <w:r>
                      <w:fldChar w:fldCharType="end"/>
                    </w:r>
                  </w:p>
                </w:txbxContent>
              </v:textbox>
            </v:shape>
          </w:pict>
        </mc:Fallback>
      </mc:AlternateContent>
    </w:r>
    <w:r>
      <w:rPr>
        <w:rFonts w:ascii="Times New Roman" w:hAnsi="Times New Roman" w:eastAsia="Times New Roman" w:cs="Times New Roman"/>
        <w:spacing w:val="-3"/>
        <w:sz w:val="18"/>
        <w:szCs w:val="18"/>
      </w:rPr>
      <w:t>75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19776">
    <w:pPr>
      <w:spacing w:line="174" w:lineRule="auto"/>
      <w:ind w:right="15"/>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773EE">
                          <w:pPr>
                            <w:pStyle w:val="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14:paraId="640773EE">
                    <w:pPr>
                      <w:pStyle w:val="7"/>
                    </w:pPr>
                    <w:r>
                      <w:fldChar w:fldCharType="begin"/>
                    </w:r>
                    <w:r>
                      <w:instrText xml:space="preserve"> PAGE  \* MERGEFORMAT </w:instrText>
                    </w:r>
                    <w:r>
                      <w:fldChar w:fldCharType="separate"/>
                    </w:r>
                    <w:r>
                      <w:t>51</w:t>
                    </w:r>
                    <w:r>
                      <w:fldChar w:fldCharType="end"/>
                    </w:r>
                  </w:p>
                </w:txbxContent>
              </v:textbox>
            </v:shape>
          </w:pict>
        </mc:Fallback>
      </mc:AlternateContent>
    </w:r>
    <w:r>
      <w:rPr>
        <w:rFonts w:ascii="Times New Roman" w:hAnsi="Times New Roman" w:eastAsia="Times New Roman" w:cs="Times New Roman"/>
        <w:spacing w:val="-2"/>
        <w:sz w:val="18"/>
        <w:szCs w:val="18"/>
      </w:rPr>
      <w:t>76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AB963">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9BDA9">
                          <w:pPr>
                            <w:pStyle w:val="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14:paraId="08C9BDA9">
                    <w:pPr>
                      <w:pStyle w:val="7"/>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07140">
    <w:pPr>
      <w:pStyle w:val="7"/>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B17D4">
                          <w:pPr>
                            <w:pStyle w:val="7"/>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14:paraId="7F1B17D4">
                    <w:pPr>
                      <w:pStyle w:val="7"/>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D0F58">
    <w:pPr>
      <w:pStyle w:val="7"/>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B8E430">
                          <w:pPr>
                            <w:pStyle w:val="7"/>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14:paraId="18B8E430">
                    <w:pPr>
                      <w:pStyle w:val="7"/>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A6FBB">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-127000</wp:posOffset>
              </wp:positionV>
              <wp:extent cx="390525" cy="53975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390525" cy="539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156E62">
                          <w:pPr>
                            <w:pStyle w:val="7"/>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0pt;height:42.5pt;width:30.75pt;mso-position-horizontal:center;mso-position-horizontal-relative:margin;z-index:251681792;mso-width-relative:page;mso-height-relative:page;" filled="f" stroked="f" coordsize="21600,21600" o:gfxdata="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tb76bUAAAABgEAAA8AAAAAAAAAAQAgAAAAIgAAAGRycy9kb3ducmV2&#10;LnhtbFBLAQIUABQAAAAIAIdO4kAb3COQOQIAAGUEAAAOAAAAAAAAAAEAIAAAACMBAABkcnMvZTJv&#10;RG9jLnhtbFBLBQYAAAAABgAGAFkBAADOBQAAAAA=&#10;">
              <v:fill on="f" focussize="0,0"/>
              <v:stroke on="f" weight="0.5pt"/>
              <v:imagedata o:title=""/>
              <o:lock v:ext="edit" aspectratio="f"/>
              <v:textbox inset="0mm,0mm,0mm,0mm">
                <w:txbxContent>
                  <w:p w14:paraId="2E156E62">
                    <w:pPr>
                      <w:pStyle w:val="7"/>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AE324">
    <w:pPr>
      <w:pStyle w:val="7"/>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6C9B9">
                          <w:pPr>
                            <w:pStyle w:val="7"/>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14:paraId="0A96C9B9">
                    <w:pPr>
                      <w:pStyle w:val="7"/>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29D78">
    <w:pPr>
      <w:pStyle w:val="7"/>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2F805">
                          <w:pPr>
                            <w:pStyle w:val="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14:paraId="3C82F805">
                    <w:pPr>
                      <w:pStyle w:val="7"/>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02B0F">
    <w:pPr>
      <w:pStyle w:val="7"/>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5827D">
                          <w:pPr>
                            <w:pStyle w:val="7"/>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14:paraId="6DE5827D">
                    <w:pPr>
                      <w:pStyle w:val="7"/>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23192">
    <w:pPr>
      <w:pStyle w:val="7"/>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5F15C">
                          <w:pPr>
                            <w:pStyle w:val="7"/>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14:paraId="77C5F15C">
                    <w:pPr>
                      <w:pStyle w:val="7"/>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A7EDB">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46FAD">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14:paraId="29846FAD">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F23D5">
    <w:pPr>
      <w:pStyle w:val="7"/>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BC934">
                          <w:pPr>
                            <w:pStyle w:val="7"/>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14:paraId="588BC934">
                    <w:pPr>
                      <w:pStyle w:val="7"/>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A3DCB">
    <w:pPr>
      <w:pStyle w:val="7"/>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BB695">
                          <w:pPr>
                            <w:pStyle w:val="7"/>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14:paraId="3CABB695">
                    <w:pPr>
                      <w:pStyle w:val="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92F1B">
    <w:pPr>
      <w:pStyle w:val="7"/>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4E7BD6">
                          <w:pPr>
                            <w:pStyle w:val="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14:paraId="694E7BD6">
                    <w:pPr>
                      <w:pStyle w:val="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6A537">
    <w:pPr>
      <w:pStyle w:val="7"/>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F6234">
                          <w:pPr>
                            <w:pStyle w:val="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14:paraId="28FF6234">
                    <w:pPr>
                      <w:pStyle w:val="7"/>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CC36E">
    <w:pPr>
      <w:pStyle w:val="7"/>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4816">
                          <w:pPr>
                            <w:pStyle w:val="7"/>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14:paraId="1F674816">
                    <w:pPr>
                      <w:pStyle w:val="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D3ABF">
    <w:pPr>
      <w:pStyle w:val="7"/>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12D3E">
                          <w:pPr>
                            <w:pStyle w:val="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14:paraId="75212D3E">
                    <w:pPr>
                      <w:pStyle w:val="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E476D">
    <w:pPr>
      <w:pStyle w:val="7"/>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32D64">
                          <w:pPr>
                            <w:pStyle w:val="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14:paraId="14A32D64">
                    <w:pPr>
                      <w:pStyle w:val="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65716">
    <w:pPr>
      <w:pStyle w:val="7"/>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30849">
                          <w:pPr>
                            <w:pStyle w:val="7"/>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14:paraId="58E30849">
                    <w:pPr>
                      <w:pStyle w:val="7"/>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C86F7">
    <w:pPr>
      <w:pStyle w:val="7"/>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0B005">
                          <w:pPr>
                            <w:pStyle w:val="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14:paraId="7940B005">
                    <w:pPr>
                      <w:pStyle w:val="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A56F8">
    <w:pPr>
      <w:pStyle w:val="7"/>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E703F">
                          <w:pPr>
                            <w:pStyle w:val="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14:paraId="627E703F">
                    <w:pPr>
                      <w:pStyle w:val="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F2BE3">
    <w:pPr>
      <w:spacing w:line="176" w:lineRule="auto"/>
      <w:ind w:left="862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03814">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54203814">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3A0A0">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E05F9">
                          <w:pPr>
                            <w:pStyle w:val="7"/>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GUBQ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lAUNAIAAGUEAAAOAAAAAAAAAAEAIAAAAB8BAABkcnMvZTJvRG9jLnhtbFBL&#10;BQYAAAAABgAGAFkBAADFBQAAAAA=&#10;">
              <v:fill on="f" focussize="0,0"/>
              <v:stroke on="f" weight="0.5pt"/>
              <v:imagedata o:title=""/>
              <o:lock v:ext="edit" aspectratio="f"/>
              <v:textbox inset="0mm,0mm,0mm,0mm" style="mso-fit-shape-to-text:t;">
                <w:txbxContent>
                  <w:p w14:paraId="6FFE05F9">
                    <w:pPr>
                      <w:pStyle w:val="7"/>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34A83">
    <w:pPr>
      <w:pStyle w:val="7"/>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55E28">
                          <w:pPr>
                            <w:pStyle w:val="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14:paraId="67555E28">
                    <w:pPr>
                      <w:pStyle w:val="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E0388">
    <w:pPr>
      <w:pStyle w:val="7"/>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50FCEE">
                          <w:pPr>
                            <w:pStyle w:val="7"/>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D9e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QP16TUCAABlBAAADgAAAAAAAAABACAAAAAfAQAAZHJzL2Uyb0RvYy54bWxQ&#10;SwUGAAAAAAYABgBZAQAAxgUAAAAA&#10;">
              <v:fill on="f" focussize="0,0"/>
              <v:stroke on="f" weight="0.5pt"/>
              <v:imagedata o:title=""/>
              <o:lock v:ext="edit" aspectratio="f"/>
              <v:textbox inset="0mm,0mm,0mm,0mm" style="mso-fit-shape-to-text:t;">
                <w:txbxContent>
                  <w:p w14:paraId="4550FCEE">
                    <w:pPr>
                      <w:pStyle w:val="7"/>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7B169">
    <w:pPr>
      <w:pStyle w:val="7"/>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0CDA9">
                          <w:pPr>
                            <w:pStyle w:val="7"/>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14:paraId="2D80CDA9">
                    <w:pPr>
                      <w:pStyle w:val="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BAB41">
    <w:pPr>
      <w:pStyle w:val="7"/>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92FC6">
                          <w:pPr>
                            <w:pStyle w:val="7"/>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9uQ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fbkLNAIAAGUEAAAOAAAAAAAAAAEAIAAAAB8BAABkcnMvZTJvRG9jLnhtbFBL&#10;BQYAAAAABgAGAFkBAADFBQAAAAA=&#10;">
              <v:fill on="f" focussize="0,0"/>
              <v:stroke on="f" weight="0.5pt"/>
              <v:imagedata o:title=""/>
              <o:lock v:ext="edit" aspectratio="f"/>
              <v:textbox inset="0mm,0mm,0mm,0mm" style="mso-fit-shape-to-text:t;">
                <w:txbxContent>
                  <w:p w14:paraId="3E292FC6">
                    <w:pPr>
                      <w:pStyle w:val="7"/>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4554C">
    <w:pPr>
      <w:pStyle w:val="7"/>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4EBBE">
                          <w:pPr>
                            <w:pStyle w:val="7"/>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14:paraId="3384EBBE">
                    <w:pPr>
                      <w:pStyle w:val="7"/>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05B92">
    <w:pPr>
      <w:pStyle w:val="7"/>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04F75">
                          <w:pPr>
                            <w:pStyle w:val="7"/>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Oz8k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Ds/JNAIAAGUEAAAOAAAAAAAAAAEAIAAAAB8BAABkcnMvZTJvRG9jLnhtbFBL&#10;BQYAAAAABgAGAFkBAADFBQAAAAA=&#10;">
              <v:fill on="f" focussize="0,0"/>
              <v:stroke on="f" weight="0.5pt"/>
              <v:imagedata o:title=""/>
              <o:lock v:ext="edit" aspectratio="f"/>
              <v:textbox inset="0mm,0mm,0mm,0mm" style="mso-fit-shape-to-text:t;">
                <w:txbxContent>
                  <w:p w14:paraId="25704F75">
                    <w:pPr>
                      <w:pStyle w:val="7"/>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7C164">
    <w:pPr>
      <w:pStyle w:val="7"/>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C9D84D">
                          <w:pPr>
                            <w:pStyle w:val="7"/>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UVU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7JRVTUCAABlBAAADgAAAAAAAAABACAAAAAfAQAAZHJzL2Uyb0RvYy54bWxQ&#10;SwUGAAAAAAYABgBZAQAAxgUAAAAA&#10;">
              <v:fill on="f" focussize="0,0"/>
              <v:stroke on="f" weight="0.5pt"/>
              <v:imagedata o:title=""/>
              <o:lock v:ext="edit" aspectratio="f"/>
              <v:textbox inset="0mm,0mm,0mm,0mm" style="mso-fit-shape-to-text:t;">
                <w:txbxContent>
                  <w:p w14:paraId="68C9D84D">
                    <w:pPr>
                      <w:pStyle w:val="7"/>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523A3">
    <w:pPr>
      <w:pStyle w:val="7"/>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057DD7">
                          <w:pPr>
                            <w:pStyle w:val="7"/>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Be58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AXufNAIAAGUEAAAOAAAAAAAAAAEAIAAAAB8BAABkcnMvZTJvRG9jLnhtbFBL&#10;BQYAAAAABgAGAFkBAADFBQAAAAA=&#10;">
              <v:fill on="f" focussize="0,0"/>
              <v:stroke on="f" weight="0.5pt"/>
              <v:imagedata o:title=""/>
              <o:lock v:ext="edit" aspectratio="f"/>
              <v:textbox inset="0mm,0mm,0mm,0mm" style="mso-fit-shape-to-text:t;">
                <w:txbxContent>
                  <w:p w14:paraId="17057DD7">
                    <w:pPr>
                      <w:pStyle w:val="7"/>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F73E6">
    <w:pPr>
      <w:spacing w:line="174" w:lineRule="auto"/>
      <w:ind w:left="853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A396F">
                          <w:pPr>
                            <w:pStyle w:val="7"/>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95QM0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MKTFMo+WnH99P&#10;Px9Ov76RdAiJGhdmiLx3iI3tO9ticIbzgMPEvK28Tl9wIvBD4ONFYNFGwtOl6WQ6zeHi8A0b4GeP&#10;150P8b2wmiSjoB4d7IRlh02IfegQkrIZu5ZKdV1UhjQFvXr9N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veUDNAIAAGUEAAAOAAAAAAAAAAEAIAAAAB8BAABkcnMvZTJvRG9jLnhtbFBL&#10;BQYAAAAABgAGAFkBAADFBQAAAAA=&#10;">
              <v:fill on="f" focussize="0,0"/>
              <v:stroke on="f" weight="0.5pt"/>
              <v:imagedata o:title=""/>
              <o:lock v:ext="edit" aspectratio="f"/>
              <v:textbox inset="0mm,0mm,0mm,0mm" style="mso-fit-shape-to-text:t;">
                <w:txbxContent>
                  <w:p w14:paraId="380A396F">
                    <w:pPr>
                      <w:pStyle w:val="7"/>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E261E">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58B01">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14:paraId="67958B01">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DCF51">
    <w:pPr>
      <w:pStyle w:val="7"/>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CDE2D">
                          <w:pPr>
                            <w:pStyle w:val="7"/>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N3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mQo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zd9NAIAAGUEAAAOAAAAAAAAAAEAIAAAAB8BAABkcnMvZTJvRG9jLnhtbFBL&#10;BQYAAAAABgAGAFkBAADFBQAAAAA=&#10;">
              <v:fill on="f" focussize="0,0"/>
              <v:stroke on="f" weight="0.5pt"/>
              <v:imagedata o:title=""/>
              <o:lock v:ext="edit" aspectratio="f"/>
              <v:textbox inset="0mm,0mm,0mm,0mm" style="mso-fit-shape-to-text:t;">
                <w:txbxContent>
                  <w:p w14:paraId="7F1CDE2D">
                    <w:pPr>
                      <w:pStyle w:val="7"/>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8EFB3">
    <w:pPr>
      <w:pStyle w:val="7"/>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4D900">
                          <w:pPr>
                            <w:pStyle w:val="7"/>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DqeE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6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cOp4TUCAABlBAAADgAAAAAAAAABACAAAAAfAQAAZHJzL2Uyb0RvYy54bWxQ&#10;SwUGAAAAAAYABgBZAQAAxgUAAAAA&#10;">
              <v:fill on="f" focussize="0,0"/>
              <v:stroke on="f" weight="0.5pt"/>
              <v:imagedata o:title=""/>
              <o:lock v:ext="edit" aspectratio="f"/>
              <v:textbox inset="0mm,0mm,0mm,0mm" style="mso-fit-shape-to-text:t;">
                <w:txbxContent>
                  <w:p w14:paraId="4974D900">
                    <w:pPr>
                      <w:pStyle w:val="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E1D24">
    <w:pPr>
      <w:pStyle w:val="7"/>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5F8EF7">
                          <w:pPr>
                            <w:pStyle w:val="7"/>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6koA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J1RY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vqSgDUCAABlBAAADgAAAAAAAAABACAAAAAfAQAAZHJzL2Uyb0RvYy54bWxQ&#10;SwUGAAAAAAYABgBZAQAAxgUAAAAA&#10;">
              <v:fill on="f" focussize="0,0"/>
              <v:stroke on="f" weight="0.5pt"/>
              <v:imagedata o:title=""/>
              <o:lock v:ext="edit" aspectratio="f"/>
              <v:textbox inset="0mm,0mm,0mm,0mm" style="mso-fit-shape-to-text:t;">
                <w:txbxContent>
                  <w:p w14:paraId="3F5F8EF7">
                    <w:pPr>
                      <w:pStyle w:val="7"/>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C8F76">
    <w:pPr>
      <w:pStyle w:val="7"/>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99B55F">
                          <w:pPr>
                            <w:pStyle w:val="7"/>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GDBw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UYMHDUCAABlBAAADgAAAAAAAAABACAAAAAfAQAAZHJzL2Uyb0RvYy54bWxQ&#10;SwUGAAAAAAYABgBZAQAAxgUAAAAA&#10;">
              <v:fill on="f" focussize="0,0"/>
              <v:stroke on="f" weight="0.5pt"/>
              <v:imagedata o:title=""/>
              <o:lock v:ext="edit" aspectratio="f"/>
              <v:textbox inset="0mm,0mm,0mm,0mm" style="mso-fit-shape-to-text:t;">
                <w:txbxContent>
                  <w:p w14:paraId="3E99B55F">
                    <w:pPr>
                      <w:pStyle w:val="7"/>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64FF9">
    <w:pPr>
      <w:pStyle w:val="7"/>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84B27">
                          <w:pPr>
                            <w:pStyle w:val="7"/>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E3mI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mb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hN5iNAIAAGUEAAAOAAAAAAAAAAEAIAAAAB8BAABkcnMvZTJvRG9jLnhtbFBL&#10;BQYAAAAABgAGAFkBAADFBQAAAAA=&#10;">
              <v:fill on="f" focussize="0,0"/>
              <v:stroke on="f" weight="0.5pt"/>
              <v:imagedata o:title=""/>
              <o:lock v:ext="edit" aspectratio="f"/>
              <v:textbox inset="0mm,0mm,0mm,0mm" style="mso-fit-shape-to-text:t;">
                <w:txbxContent>
                  <w:p w14:paraId="75884B27">
                    <w:pPr>
                      <w:pStyle w:val="7"/>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00E82">
    <w:pPr>
      <w:pStyle w:val="7"/>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17E97">
                          <w:pPr>
                            <w:pStyle w:val="7"/>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4QP4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OED+NAIAAGUEAAAOAAAAAAAAAAEAIAAAAB8BAABkcnMvZTJvRG9jLnhtbFBL&#10;BQYAAAAABgAGAFkBAADFBQAAAAA=&#10;">
              <v:fill on="f" focussize="0,0"/>
              <v:stroke on="f" weight="0.5pt"/>
              <v:imagedata o:title=""/>
              <o:lock v:ext="edit" aspectratio="f"/>
              <v:textbox inset="0mm,0mm,0mm,0mm" style="mso-fit-shape-to-text:t;">
                <w:txbxContent>
                  <w:p w14:paraId="6AF17E97">
                    <w:pPr>
                      <w:pStyle w:val="7"/>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C70FA">
    <w:pPr>
      <w:pStyle w:val="7"/>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2BEFE">
                          <w:pPr>
                            <w:pStyle w:val="7"/>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3qK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96igNAIAAGUEAAAOAAAAAAAAAAEAIAAAAB8BAABkcnMvZTJvRG9jLnhtbFBL&#10;BQYAAAAABgAGAFkBAADFBQAAAAA=&#10;">
              <v:fill on="f" focussize="0,0"/>
              <v:stroke on="f" weight="0.5pt"/>
              <v:imagedata o:title=""/>
              <o:lock v:ext="edit" aspectratio="f"/>
              <v:textbox inset="0mm,0mm,0mm,0mm" style="mso-fit-shape-to-text:t;">
                <w:txbxContent>
                  <w:p w14:paraId="6332BEFE">
                    <w:pPr>
                      <w:pStyle w:val="7"/>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86DB7">
    <w:pPr>
      <w:pStyle w:val="7"/>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17D14">
                          <w:pPr>
                            <w:pStyle w:val="7"/>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LNjw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zY8NAIAAGUEAAAOAAAAAAAAAAEAIAAAAB8BAABkcnMvZTJvRG9jLnhtbFBL&#10;BQYAAAAABgAGAFkBAADFBQAAAAA=&#10;">
              <v:fill on="f" focussize="0,0"/>
              <v:stroke on="f" weight="0.5pt"/>
              <v:imagedata o:title=""/>
              <o:lock v:ext="edit" aspectratio="f"/>
              <v:textbox inset="0mm,0mm,0mm,0mm" style="mso-fit-shape-to-text:t;">
                <w:txbxContent>
                  <w:p w14:paraId="5E617D14">
                    <w:pPr>
                      <w:pStyle w:val="7"/>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B3347">
    <w:pPr>
      <w:pStyle w:val="7"/>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F7D1A">
                          <w:pPr>
                            <w:pStyle w:val="7"/>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Unh0Uy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SeHRTICAABlBAAADgAAAAAAAAABACAAAAAfAQAAZHJzL2Uyb0RvYy54bWxQSwUG&#10;AAAAAAYABgBZAQAAwwUAAAAA&#10;">
              <v:fill on="f" focussize="0,0"/>
              <v:stroke on="f" weight="0.5pt"/>
              <v:imagedata o:title=""/>
              <o:lock v:ext="edit" aspectratio="f"/>
              <v:textbox inset="0mm,0mm,0mm,0mm" style="mso-fit-shape-to-text:t;">
                <w:txbxContent>
                  <w:p w14:paraId="3CEF7D1A">
                    <w:pPr>
                      <w:pStyle w:val="7"/>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59132">
    <w:pPr>
      <w:pStyle w:val="7"/>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5983E">
                          <w:pPr>
                            <w:pStyle w:val="7"/>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bGdk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mxnZNAIAAGUEAAAOAAAAAAAAAAEAIAAAAB8BAABkcnMvZTJvRG9jLnhtbFBL&#10;BQYAAAAABgAGAFkBAADFBQAAAAA=&#10;">
              <v:fill on="f" focussize="0,0"/>
              <v:stroke on="f" weight="0.5pt"/>
              <v:imagedata o:title=""/>
              <o:lock v:ext="edit" aspectratio="f"/>
              <v:textbox inset="0mm,0mm,0mm,0mm" style="mso-fit-shape-to-text:t;">
                <w:txbxContent>
                  <w:p w14:paraId="6645983E">
                    <w:pPr>
                      <w:pStyle w:val="7"/>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12DD1">
    <w:pPr>
      <w:spacing w:line="174" w:lineRule="auto"/>
      <w:ind w:left="86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BF3BBD">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3BBF3BBD">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FF8CD">
    <w:pPr>
      <w:pStyle w:val="7"/>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C0CAA">
                          <w:pPr>
                            <w:pStyle w:val="7"/>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y6c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WcunNAIAAGUEAAAOAAAAAAAAAAEAIAAAAB8BAABkcnMvZTJvRG9jLnhtbFBL&#10;BQYAAAAABgAGAFkBAADFBQAAAAA=&#10;">
              <v:fill on="f" focussize="0,0"/>
              <v:stroke on="f" weight="0.5pt"/>
              <v:imagedata o:title=""/>
              <o:lock v:ext="edit" aspectratio="f"/>
              <v:textbox inset="0mm,0mm,0mm,0mm" style="mso-fit-shape-to-text:t;">
                <w:txbxContent>
                  <w:p w14:paraId="159C0CAA">
                    <w:pPr>
                      <w:pStyle w:val="7"/>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1778C">
    <w:pPr>
      <w:pStyle w:val="7"/>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C67A3">
                          <w:pPr>
                            <w:pStyle w:val="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14:paraId="7D1C67A3">
                    <w:pPr>
                      <w:pStyle w:val="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0967C">
    <w:pPr>
      <w:pStyle w:val="7"/>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1B72C">
                          <w:pPr>
                            <w:pStyle w:val="7"/>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cblo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txuWjUCAABlBAAADgAAAAAAAAABACAAAAAfAQAAZHJzL2Uyb0RvYy54bWxQ&#10;SwUGAAAAAAYABgBZAQAAxgUAAAAA&#10;">
              <v:fill on="f" focussize="0,0"/>
              <v:stroke on="f" weight="0.5pt"/>
              <v:imagedata o:title=""/>
              <o:lock v:ext="edit" aspectratio="f"/>
              <v:textbox inset="0mm,0mm,0mm,0mm" style="mso-fit-shape-to-text:t;">
                <w:txbxContent>
                  <w:p w14:paraId="66D1B72C">
                    <w:pPr>
                      <w:pStyle w:val="7"/>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E3980">
    <w:pPr>
      <w:spacing w:line="174" w:lineRule="auto"/>
      <w:ind w:left="852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FE059">
                          <w:pPr>
                            <w:pStyle w:val="7"/>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g8MY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YPDGNAIAAGUEAAAOAAAAAAAAAAEAIAAAAB8BAABkcnMvZTJvRG9jLnhtbFBL&#10;BQYAAAAABgAGAFkBAADFBQAAAAA=&#10;">
              <v:fill on="f" focussize="0,0"/>
              <v:stroke on="f" weight="0.5pt"/>
              <v:imagedata o:title=""/>
              <o:lock v:ext="edit" aspectratio="f"/>
              <v:textbox inset="0mm,0mm,0mm,0mm" style="mso-fit-shape-to-text:t;">
                <w:txbxContent>
                  <w:p w14:paraId="2D0FE059">
                    <w:pPr>
                      <w:pStyle w:val="7"/>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464CF">
    <w:pPr>
      <w:pStyle w:val="7"/>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EDEBC">
                          <w:pPr>
                            <w:pStyle w:val="7"/>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2iIrg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oiK4NAIAAGUEAAAOAAAAAAAAAAEAIAAAAB8BAABkcnMvZTJvRG9jLnhtbFBL&#10;BQYAAAAABgAGAFkBAADFBQAAAAA=&#10;">
              <v:fill on="f" focussize="0,0"/>
              <v:stroke on="f" weight="0.5pt"/>
              <v:imagedata o:title=""/>
              <o:lock v:ext="edit" aspectratio="f"/>
              <v:textbox inset="0mm,0mm,0mm,0mm" style="mso-fit-shape-to-text:t;">
                <w:txbxContent>
                  <w:p w14:paraId="019EDEBC">
                    <w:pPr>
                      <w:pStyle w:val="7"/>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1C4CF">
    <w:pPr>
      <w:pStyle w:val="7"/>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36267">
                          <w:pPr>
                            <w:pStyle w:val="7"/>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evCQ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h68JDUCAABlBAAADgAAAAAAAAABACAAAAAfAQAAZHJzL2Uyb0RvYy54bWxQ&#10;SwUGAAAAAAYABgBZAQAAxgUAAAAA&#10;">
              <v:fill on="f" focussize="0,0"/>
              <v:stroke on="f" weight="0.5pt"/>
              <v:imagedata o:title=""/>
              <o:lock v:ext="edit" aspectratio="f"/>
              <v:textbox inset="0mm,0mm,0mm,0mm" style="mso-fit-shape-to-text:t;">
                <w:txbxContent>
                  <w:p w14:paraId="02136267">
                    <w:pPr>
                      <w:pStyle w:val="7"/>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F2E75">
    <w:pPr>
      <w:pStyle w:val="7"/>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D59B4">
                          <w:pPr>
                            <w:pStyle w:val="7"/>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RVHo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0VR6NAIAAGUEAAAOAAAAAAAAAAEAIAAAAB8BAABkcnMvZTJvRG9jLnhtbFBL&#10;BQYAAAAABgAGAFkBAADFBQAAAAA=&#10;">
              <v:fill on="f" focussize="0,0"/>
              <v:stroke on="f" weight="0.5pt"/>
              <v:imagedata o:title=""/>
              <o:lock v:ext="edit" aspectratio="f"/>
              <v:textbox inset="0mm,0mm,0mm,0mm" style="mso-fit-shape-to-text:t;">
                <w:txbxContent>
                  <w:p w14:paraId="704D59B4">
                    <w:pPr>
                      <w:pStyle w:val="7"/>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33980">
    <w:pPr>
      <w:pStyle w:val="7"/>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C64A1">
                          <w:pPr>
                            <w:pStyle w:val="7"/>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tyuY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G3K5jUCAABlBAAADgAAAAAAAAABACAAAAAfAQAAZHJzL2Uyb0RvYy54bWxQ&#10;SwUGAAAAAAYABgBZAQAAxgUAAAAA&#10;">
              <v:fill on="f" focussize="0,0"/>
              <v:stroke on="f" weight="0.5pt"/>
              <v:imagedata o:title=""/>
              <o:lock v:ext="edit" aspectratio="f"/>
              <v:textbox inset="0mm,0mm,0mm,0mm" style="mso-fit-shape-to-text:t;">
                <w:txbxContent>
                  <w:p w14:paraId="08DC64A1">
                    <w:pPr>
                      <w:pStyle w:val="7"/>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05302">
    <w:pPr>
      <w:pStyle w:val="7"/>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FF0AF">
                          <w:pPr>
                            <w:pStyle w:val="7"/>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L8v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fQxDCNkl++f7v8&#10;+HX5+ZWkQ0hUu7BA5INDbGze2gaNM5wHHCbmTel1+oITgR9g56vAoomEp0vz6Xw+hovDN2yAnz1e&#10;dz7Ed8JqkoycelSwFZaddiF2oUNIymbsVirVVlEZUud09v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BL8vEzAgAAZQQAAA4AAAAAAAAAAQAgAAAAHwEAAGRycy9lMm9Eb2MueG1sUEsF&#10;BgAAAAAGAAYAWQEAAMQFAAAAAA==&#10;">
              <v:fill on="f" focussize="0,0"/>
              <v:stroke on="f" weight="0.5pt"/>
              <v:imagedata o:title=""/>
              <o:lock v:ext="edit" aspectratio="f"/>
              <v:textbox inset="0mm,0mm,0mm,0mm" style="mso-fit-shape-to-text:t;">
                <w:txbxContent>
                  <w:p w14:paraId="0E6FF0AF">
                    <w:pPr>
                      <w:pStyle w:val="7"/>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0207C">
    <w:pPr>
      <w:pStyle w:val="7"/>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1AD061">
                          <w:pPr>
                            <w:pStyle w:val="7"/>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3bG0z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v3bG0zAgAAZQQAAA4AAAAAAAAAAQAgAAAAHwEAAGRycy9lMm9Eb2MueG1sUEsF&#10;BgAAAAAGAAYAWQEAAMQFAAAAAA==&#10;">
              <v:fill on="f" focussize="0,0"/>
              <v:stroke on="f" weight="0.5pt"/>
              <v:imagedata o:title=""/>
              <o:lock v:ext="edit" aspectratio="f"/>
              <v:textbox inset="0mm,0mm,0mm,0mm" style="mso-fit-shape-to-text:t;">
                <w:txbxContent>
                  <w:p w14:paraId="4C1AD061">
                    <w:pPr>
                      <w:pStyle w:val="7"/>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4E506">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6170E">
                          <w:pPr>
                            <w:pStyle w:val="7"/>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14:paraId="6AC6170E">
                    <w:pPr>
                      <w:pStyle w:val="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FE418">
    <w:pPr>
      <w:pStyle w:val="7"/>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95466">
                          <w:pPr>
                            <w:pStyle w:val="7"/>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1vhM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K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Nb4TNAIAAGUEAAAOAAAAAAAAAAEAIAAAAB8BAABkcnMvZTJvRG9jLnhtbFBL&#10;BQYAAAAABgAGAFkBAADFBQAAAAA=&#10;">
              <v:fill on="f" focussize="0,0"/>
              <v:stroke on="f" weight="0.5pt"/>
              <v:imagedata o:title=""/>
              <o:lock v:ext="edit" aspectratio="f"/>
              <v:textbox inset="0mm,0mm,0mm,0mm" style="mso-fit-shape-to-text:t;">
                <w:txbxContent>
                  <w:p w14:paraId="68595466">
                    <w:pPr>
                      <w:pStyle w:val="7"/>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8C3EE">
    <w:pPr>
      <w:pStyle w:val="7"/>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1A079">
                          <w:pPr>
                            <w:pStyle w:val="7"/>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II8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iSCPNAIAAGUEAAAOAAAAAAAAAAEAIAAAAB8BAABkcnMvZTJvRG9jLnhtbFBL&#10;BQYAAAAABgAGAFkBAADFBQAAAAA=&#10;">
              <v:fill on="f" focussize="0,0"/>
              <v:stroke on="f" weight="0.5pt"/>
              <v:imagedata o:title=""/>
              <o:lock v:ext="edit" aspectratio="f"/>
              <v:textbox inset="0mm,0mm,0mm,0mm" style="mso-fit-shape-to-text:t;">
                <w:txbxContent>
                  <w:p w14:paraId="7241A079">
                    <w:pPr>
                      <w:pStyle w:val="7"/>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343E5">
    <w:pPr>
      <w:pStyle w:val="7"/>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9EA55">
                          <w:pPr>
                            <w:pStyle w:val="7"/>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G+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BvuNAIAAGUEAAAOAAAAAAAAAAEAIAAAAB8BAABkcnMvZTJvRG9jLnhtbFBL&#10;BQYAAAAABgAGAFkBAADFBQAAAAA=&#10;">
              <v:fill on="f" focussize="0,0"/>
              <v:stroke on="f" weight="0.5pt"/>
              <v:imagedata o:title=""/>
              <o:lock v:ext="edit" aspectratio="f"/>
              <v:textbox inset="0mm,0mm,0mm,0mm" style="mso-fit-shape-to-text:t;">
                <w:txbxContent>
                  <w:p w14:paraId="5439EA55">
                    <w:pPr>
                      <w:pStyle w:val="7"/>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EE614">
    <w:pPr>
      <w:pStyle w:val="7"/>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AF8AC">
                          <w:pPr>
                            <w:pStyle w:val="7"/>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MhXI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DIVyNAIAAGUEAAAOAAAAAAAAAAEAIAAAAB8BAABkcnMvZTJvRG9jLnhtbFBL&#10;BQYAAAAABgAGAFkBAADFBQAAAAA=&#10;">
              <v:fill on="f" focussize="0,0"/>
              <v:stroke on="f" weight="0.5pt"/>
              <v:imagedata o:title=""/>
              <o:lock v:ext="edit" aspectratio="f"/>
              <v:textbox inset="0mm,0mm,0mm,0mm" style="mso-fit-shape-to-text:t;">
                <w:txbxContent>
                  <w:p w14:paraId="70AAF8AC">
                    <w:pPr>
                      <w:pStyle w:val="7"/>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13589">
    <w:pPr>
      <w:pStyle w:val="7"/>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91AB1">
                          <w:pPr>
                            <w:pStyle w:val="7"/>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Vww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zlcMNAIAAGUEAAAOAAAAAAAAAAEAIAAAAB8BAABkcnMvZTJvRG9jLnhtbFBL&#10;BQYAAAAABgAGAFkBAADFBQAAAAA=&#10;">
              <v:fill on="f" focussize="0,0"/>
              <v:stroke on="f" weight="0.5pt"/>
              <v:imagedata o:title=""/>
              <o:lock v:ext="edit" aspectratio="f"/>
              <v:textbox inset="0mm,0mm,0mm,0mm" style="mso-fit-shape-to-text:t;">
                <w:txbxContent>
                  <w:p w14:paraId="50591AB1">
                    <w:pPr>
                      <w:pStyle w:val="7"/>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2C4B5">
    <w:pPr>
      <w:pStyle w:val="7"/>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243528">
                          <w:pPr>
                            <w:pStyle w:val="7"/>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yZA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smQNAIAAGUEAAAOAAAAAAAAAAEAIAAAAB8BAABkcnMvZTJvRG9jLnhtbFBL&#10;BQYAAAAABgAGAFkBAADFBQAAAAA=&#10;">
              <v:fill on="f" focussize="0,0"/>
              <v:stroke on="f" weight="0.5pt"/>
              <v:imagedata o:title=""/>
              <o:lock v:ext="edit" aspectratio="f"/>
              <v:textbox inset="0mm,0mm,0mm,0mm" style="mso-fit-shape-to-text:t;">
                <w:txbxContent>
                  <w:p w14:paraId="78243528">
                    <w:pPr>
                      <w:pStyle w:val="7"/>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3ECF4">
    <w:pPr>
      <w:pStyle w:val="7"/>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7A4CE9">
                          <w:pPr>
                            <w:pStyle w:val="7"/>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9Ic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69Ic4zAgAAZQQAAA4AAAAAAAAAAQAgAAAAHwEAAGRycy9lMm9Eb2MueG1sUEsF&#10;BgAAAAAGAAYAWQEAAMQFAAAAAA==&#10;">
              <v:fill on="f" focussize="0,0"/>
              <v:stroke on="f" weight="0.5pt"/>
              <v:imagedata o:title=""/>
              <o:lock v:ext="edit" aspectratio="f"/>
              <v:textbox inset="0mm,0mm,0mm,0mm" style="mso-fit-shape-to-text:t;">
                <w:txbxContent>
                  <w:p w14:paraId="747A4CE9">
                    <w:pPr>
                      <w:pStyle w:val="7"/>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4B178">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C336C">
                          <w:pPr>
                            <w:pStyle w:val="7"/>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Bv1I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Ab9SNAIAAGUEAAAOAAAAAAAAAAEAIAAAAB8BAABkcnMvZTJvRG9jLnhtbFBL&#10;BQYAAAAABgAGAFkBAADFBQAAAAA=&#10;">
              <v:fill on="f" focussize="0,0"/>
              <v:stroke on="f" weight="0.5pt"/>
              <v:imagedata o:title=""/>
              <o:lock v:ext="edit" aspectratio="f"/>
              <v:textbox inset="0mm,0mm,0mm,0mm" style="mso-fit-shape-to-text:t;">
                <w:txbxContent>
                  <w:p w14:paraId="35AC336C">
                    <w:pPr>
                      <w:pStyle w:val="7"/>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E807E">
    <w:pPr>
      <w:pStyle w:val="7"/>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9E6C5">
                          <w:pPr>
                            <w:pStyle w:val="7"/>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tDis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bQ4rNAIAAGUEAAAOAAAAAAAAAAEAIAAAAB8BAABkcnMvZTJvRG9jLnhtbFBL&#10;BQYAAAAABgAGAFkBAADFBQAAAAA=&#10;">
              <v:fill on="f" focussize="0,0"/>
              <v:stroke on="f" weight="0.5pt"/>
              <v:imagedata o:title=""/>
              <o:lock v:ext="edit" aspectratio="f"/>
              <v:textbox inset="0mm,0mm,0mm,0mm" style="mso-fit-shape-to-text:t;">
                <w:txbxContent>
                  <w:p w14:paraId="6289E6C5">
                    <w:pPr>
                      <w:pStyle w:val="7"/>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DAF3B">
    <w:pPr>
      <w:pStyle w:val="7"/>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D88AC">
                          <w:pPr>
                            <w:pStyle w:val="7"/>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RkLc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0ZC3NAIAAGUEAAAOAAAAAAAAAAEAIAAAAB8BAABkcnMvZTJvRG9jLnhtbFBL&#10;BQYAAAAABgAGAFkBAADFBQAAAAA=&#10;">
              <v:fill on="f" focussize="0,0"/>
              <v:stroke on="f" weight="0.5pt"/>
              <v:imagedata o:title=""/>
              <o:lock v:ext="edit" aspectratio="f"/>
              <v:textbox inset="0mm,0mm,0mm,0mm" style="mso-fit-shape-to-text:t;">
                <w:txbxContent>
                  <w:p w14:paraId="16BD88AC">
                    <w:pPr>
                      <w:pStyle w:val="7"/>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457C9">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420EF">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14:paraId="6EA420EF">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D2B91">
    <w:pPr>
      <w:pStyle w:val="7"/>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3296B">
                          <w:pPr>
                            <w:pStyle w:val="7"/>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TQs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E0LJNAIAAGUEAAAOAAAAAAAAAAEAIAAAAB8BAABkcnMvZTJvRG9jLnhtbFBL&#10;BQYAAAAABgAGAFkBAADFBQAAAAA=&#10;">
              <v:fill on="f" focussize="0,0"/>
              <v:stroke on="f" weight="0.5pt"/>
              <v:imagedata o:title=""/>
              <o:lock v:ext="edit" aspectratio="f"/>
              <v:textbox inset="0mm,0mm,0mm,0mm" style="mso-fit-shape-to-text:t;">
                <w:txbxContent>
                  <w:p w14:paraId="4C33296B">
                    <w:pPr>
                      <w:pStyle w:val="7"/>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31B60">
    <w:pPr>
      <w:pStyle w:val="7"/>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E332D">
                          <w:pPr>
                            <w:pStyle w:val="7"/>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v3FU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K/cVTUCAABlBAAADgAAAAAAAAABACAAAAAfAQAAZHJzL2Uyb0RvYy54bWxQ&#10;SwUGAAAAAAYABgBZAQAAxgUAAAAA&#10;">
              <v:fill on="f" focussize="0,0"/>
              <v:stroke on="f" weight="0.5pt"/>
              <v:imagedata o:title=""/>
              <o:lock v:ext="edit" aspectratio="f"/>
              <v:textbox inset="0mm,0mm,0mm,0mm" style="mso-fit-shape-to-text:t;">
                <w:txbxContent>
                  <w:p w14:paraId="555E332D">
                    <w:pPr>
                      <w:pStyle w:val="7"/>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5987F">
    <w:pPr>
      <w:pStyle w:val="7"/>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DE97E">
                          <w:pPr>
                            <w:pStyle w:val="7"/>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W5zQ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luc0NAIAAGUEAAAOAAAAAAAAAAEAIAAAAB8BAABkcnMvZTJvRG9jLnhtbFBL&#10;BQYAAAAABgAGAFkBAADFBQAAAAA=&#10;">
              <v:fill on="f" focussize="0,0"/>
              <v:stroke on="f" weight="0.5pt"/>
              <v:imagedata o:title=""/>
              <o:lock v:ext="edit" aspectratio="f"/>
              <v:textbox inset="0mm,0mm,0mm,0mm" style="mso-fit-shape-to-text:t;">
                <w:txbxContent>
                  <w:p w14:paraId="66EDE97E">
                    <w:pPr>
                      <w:pStyle w:val="7"/>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35282">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4A10A">
                          <w:pPr>
                            <w:pStyle w:val="7"/>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qeag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Cp5qDUCAABlBAAADgAAAAAAAAABACAAAAAfAQAAZHJzL2Uyb0RvYy54bWxQ&#10;SwUGAAAAAAYABgBZAQAAxgUAAAAA&#10;">
              <v:fill on="f" focussize="0,0"/>
              <v:stroke on="f" weight="0.5pt"/>
              <v:imagedata o:title=""/>
              <o:lock v:ext="edit" aspectratio="f"/>
              <v:textbox inset="0mm,0mm,0mm,0mm" style="mso-fit-shape-to-text:t;">
                <w:txbxContent>
                  <w:p w14:paraId="2C24A10A">
                    <w:pPr>
                      <w:pStyle w:val="7"/>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2F0C9">
    <w:pPr>
      <w:pStyle w:val="7"/>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D0AD7">
                          <w:pPr>
                            <w:pStyle w:val="7"/>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oq9Y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k6KvWNAIAAGUEAAAOAAAAAAAAAAEAIAAAAB8BAABkcnMvZTJvRG9jLnhtbFBL&#10;BQYAAAAABgAGAFkBAADFBQAAAAA=&#10;">
              <v:fill on="f" focussize="0,0"/>
              <v:stroke on="f" weight="0.5pt"/>
              <v:imagedata o:title=""/>
              <o:lock v:ext="edit" aspectratio="f"/>
              <v:textbox inset="0mm,0mm,0mm,0mm" style="mso-fit-shape-to-text:t;">
                <w:txbxContent>
                  <w:p w14:paraId="268D0AD7">
                    <w:pPr>
                      <w:pStyle w:val="7"/>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A8353">
    <w:pPr>
      <w:pStyle w:val="7"/>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B4822">
                          <w:pPr>
                            <w:pStyle w:val="7"/>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UNUo1AgAAZQQAAA4AAABkcnMvZTJvRG9jLnhtbK1UzY7TMBC+I/EO&#10;lu80aRG7Vd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1Q1SjUCAABlBAAADgAAAAAAAAABACAAAAAfAQAAZHJzL2Uyb0RvYy54bWxQ&#10;SwUGAAAAAAYABgBZAQAAxgUAAAAA&#10;">
              <v:fill on="f" focussize="0,0"/>
              <v:stroke on="f" weight="0.5pt"/>
              <v:imagedata o:title=""/>
              <o:lock v:ext="edit" aspectratio="f"/>
              <v:textbox inset="0mm,0mm,0mm,0mm" style="mso-fit-shape-to-text:t;">
                <w:txbxContent>
                  <w:p w14:paraId="51EB4822">
                    <w:pPr>
                      <w:pStyle w:val="7"/>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C545A">
    <w:pPr>
      <w:pStyle w:val="7"/>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425DA">
                          <w:pPr>
                            <w:pStyle w:val="7"/>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b3R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m90UNAIAAGUEAAAOAAAAAAAAAAEAIAAAAB8BAABkcnMvZTJvRG9jLnhtbFBL&#10;BQYAAAAABgAGAFkBAADFBQAAAAA=&#10;">
              <v:fill on="f" focussize="0,0"/>
              <v:stroke on="f" weight="0.5pt"/>
              <v:imagedata o:title=""/>
              <o:lock v:ext="edit" aspectratio="f"/>
              <v:textbox inset="0mm,0mm,0mm,0mm" style="mso-fit-shape-to-text:t;">
                <w:txbxContent>
                  <w:p w14:paraId="397425DA">
                    <w:pPr>
                      <w:pStyle w:val="7"/>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4A39E">
    <w:pPr>
      <w:pStyle w:val="7"/>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D41EC">
                          <w:pPr>
                            <w:pStyle w:val="7"/>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nQ4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J0OINAIAAGUEAAAOAAAAAAAAAAEAIAAAAB8BAABkcnMvZTJvRG9jLnhtbFBL&#10;BQYAAAAABgAGAFkBAADFBQAAAAA=&#10;">
              <v:fill on="f" focussize="0,0"/>
              <v:stroke on="f" weight="0.5pt"/>
              <v:imagedata o:title=""/>
              <o:lock v:ext="edit" aspectratio="f"/>
              <v:textbox inset="0mm,0mm,0mm,0mm" style="mso-fit-shape-to-text:t;">
                <w:txbxContent>
                  <w:p w14:paraId="7A3D41EC">
                    <w:pPr>
                      <w:pStyle w:val="7"/>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DB0B2">
    <w:pPr>
      <w:spacing w:line="174" w:lineRule="auto"/>
      <w:ind w:left="85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13D25">
                          <w:pPr>
                            <w:pStyle w:val="7"/>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64PS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64PSMzAgAAZQQAAA4AAAAAAAAAAQAgAAAAHwEAAGRycy9lMm9Eb2MueG1sUEsF&#10;BgAAAAAGAAYAWQEAAMQFAAAAAA==&#10;">
              <v:fill on="f" focussize="0,0"/>
              <v:stroke on="f" weight="0.5pt"/>
              <v:imagedata o:title=""/>
              <o:lock v:ext="edit" aspectratio="f"/>
              <v:textbox inset="0mm,0mm,0mm,0mm" style="mso-fit-shape-to-text:t;">
                <w:txbxContent>
                  <w:p w14:paraId="78813D25">
                    <w:pPr>
                      <w:pStyle w:val="7"/>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7F7B4">
    <w:pPr>
      <w:pStyle w:val="7"/>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D328B">
                          <w:pPr>
                            <w:pStyle w:val="7"/>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Eo78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x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UEo78zAgAAZQQAAA4AAAAAAAAAAQAgAAAAHwEAAGRycy9lMm9Eb2MueG1sUEsF&#10;BgAAAAAGAAYAWQEAAMQFAAAAAA==&#10;">
              <v:fill on="f" focussize="0,0"/>
              <v:stroke on="f" weight="0.5pt"/>
              <v:imagedata o:title=""/>
              <o:lock v:ext="edit" aspectratio="f"/>
              <v:textbox inset="0mm,0mm,0mm,0mm" style="mso-fit-shape-to-text:t;">
                <w:txbxContent>
                  <w:p w14:paraId="020D328B">
                    <w:pPr>
                      <w:pStyle w:val="7"/>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4F5E3">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F99EC">
                          <w:pPr>
                            <w:pStyle w:val="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14:paraId="75AF99EC">
                    <w:pPr>
                      <w:pStyle w:val="7"/>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068FC">
    <w:pPr>
      <w:pStyle w:val="7"/>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78BC1">
                          <w:pPr>
                            <w:pStyle w:val="7"/>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GccE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nGccEzAgAAZQQAAA4AAAAAAAAAAQAgAAAAHwEAAGRycy9lMm9Eb2MueG1sUEsF&#10;BgAAAAAGAAYAWQEAAMQFAAAAAA==&#10;">
              <v:fill on="f" focussize="0,0"/>
              <v:stroke on="f" weight="0.5pt"/>
              <v:imagedata o:title=""/>
              <o:lock v:ext="edit" aspectratio="f"/>
              <v:textbox inset="0mm,0mm,0mm,0mm" style="mso-fit-shape-to-text:t;">
                <w:txbxContent>
                  <w:p w14:paraId="77878BC1">
                    <w:pPr>
                      <w:pStyle w:val="7"/>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F0064">
    <w:pPr>
      <w:pStyle w:val="7"/>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28D7C">
                          <w:pPr>
                            <w:pStyle w:val="7"/>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6710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eu9dNAIAAGUEAAAOAAAAAAAAAAEAIAAAAB8BAABkcnMvZTJvRG9jLnhtbFBL&#10;BQYAAAAABgAGAFkBAADFBQAAAAA=&#10;">
              <v:fill on="f" focussize="0,0"/>
              <v:stroke on="f" weight="0.5pt"/>
              <v:imagedata o:title=""/>
              <o:lock v:ext="edit" aspectratio="f"/>
              <v:textbox inset="0mm,0mm,0mm,0mm" style="mso-fit-shape-to-text:t;">
                <w:txbxContent>
                  <w:p w14:paraId="4A628D7C">
                    <w:pPr>
                      <w:pStyle w:val="7"/>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C7C82">
    <w:pPr>
      <w:pStyle w:val="7"/>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020D1">
                          <w:pPr>
                            <w:pStyle w:val="7"/>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D1Dw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Q9Q8NAIAAGUEAAAOAAAAAAAAAAEAIAAAAB8BAABkcnMvZTJvRG9jLnhtbFBL&#10;BQYAAAAABgAGAFkBAADFBQAAAAA=&#10;">
              <v:fill on="f" focussize="0,0"/>
              <v:stroke on="f" weight="0.5pt"/>
              <v:imagedata o:title=""/>
              <o:lock v:ext="edit" aspectratio="f"/>
              <v:textbox inset="0mm,0mm,0mm,0mm" style="mso-fit-shape-to-text:t;">
                <w:txbxContent>
                  <w:p w14:paraId="578020D1">
                    <w:pPr>
                      <w:pStyle w:val="7"/>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E295E">
    <w:pPr>
      <w:pStyle w:val="7"/>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86653C">
                          <w:pPr>
                            <w:pStyle w:val="7"/>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SqA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0qgNAIAAGUEAAAOAAAAAAAAAAEAIAAAAB8BAABkcnMvZTJvRG9jLnhtbFBL&#10;BQYAAAAABgAGAFkBAADFBQAAAAA=&#10;">
              <v:fill on="f" focussize="0,0"/>
              <v:stroke on="f" weight="0.5pt"/>
              <v:imagedata o:title=""/>
              <o:lock v:ext="edit" aspectratio="f"/>
              <v:textbox inset="0mm,0mm,0mm,0mm" style="mso-fit-shape-to-text:t;">
                <w:txbxContent>
                  <w:p w14:paraId="6386653C">
                    <w:pPr>
                      <w:pStyle w:val="7"/>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4A29A">
    <w:pPr>
      <w:pStyle w:val="7"/>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4DC9C">
                          <w:pPr>
                            <w:pStyle w:val="7"/>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9mN4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u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PZjeNAIAAGUEAAAOAAAAAAAAAAEAIAAAAB8BAABkcnMvZTJvRG9jLnhtbFBL&#10;BQYAAAAABgAGAFkBAADFBQAAAAA=&#10;">
              <v:fill on="f" focussize="0,0"/>
              <v:stroke on="f" weight="0.5pt"/>
              <v:imagedata o:title=""/>
              <o:lock v:ext="edit" aspectratio="f"/>
              <v:textbox inset="0mm,0mm,0mm,0mm" style="mso-fit-shape-to-text:t;">
                <w:txbxContent>
                  <w:p w14:paraId="2514DC9C">
                    <w:pPr>
                      <w:pStyle w:val="7"/>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CD751">
    <w:pPr>
      <w:pStyle w:val="7"/>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30B714">
                          <w:pPr>
                            <w:pStyle w:val="7"/>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2BBkI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gQZCNAIAAGUEAAAOAAAAAAAAAAEAIAAAAB8BAABkcnMvZTJvRG9jLnhtbFBL&#10;BQYAAAAABgAGAFkBAADFBQAAAAA=&#10;">
              <v:fill on="f" focussize="0,0"/>
              <v:stroke on="f" weight="0.5pt"/>
              <v:imagedata o:title=""/>
              <o:lock v:ext="edit" aspectratio="f"/>
              <v:textbox inset="0mm,0mm,0mm,0mm" style="mso-fit-shape-to-text:t;">
                <w:txbxContent>
                  <w:p w14:paraId="0A30B714">
                    <w:pPr>
                      <w:pStyle w:val="7"/>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BC139">
    <w:pPr>
      <w:pStyle w:val="7"/>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5E230">
                          <w:pPr>
                            <w:pStyle w:val="7"/>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O7hwyAgAAZ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E7uHDICAABlBAAADgAAAAAAAAABACAAAAAfAQAAZHJzL2Uyb0RvYy54bWxQSwUG&#10;AAAAAAYABgBZAQAAwwUAAAAA&#10;">
              <v:fill on="f" focussize="0,0"/>
              <v:stroke on="f" weight="0.5pt"/>
              <v:imagedata o:title=""/>
              <o:lock v:ext="edit" aspectratio="f"/>
              <v:textbox inset="0mm,0mm,0mm,0mm" style="mso-fit-shape-to-text:t;">
                <w:txbxContent>
                  <w:p w14:paraId="4FF5E230">
                    <w:pPr>
                      <w:pStyle w:val="7"/>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3046E">
    <w:pPr>
      <w:spacing w:line="174"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0FD91">
                          <w:pPr>
                            <w:pStyle w:val="7"/>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cIA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8nCANAIAAGUEAAAOAAAAAAAAAAEAIAAAAB8BAABkcnMvZTJvRG9jLnhtbFBL&#10;BQYAAAAABgAGAFkBAADFBQAAAAA=&#10;">
              <v:fill on="f" focussize="0,0"/>
              <v:stroke on="f" weight="0.5pt"/>
              <v:imagedata o:title=""/>
              <o:lock v:ext="edit" aspectratio="f"/>
              <v:textbox inset="0mm,0mm,0mm,0mm" style="mso-fit-shape-to-text:t;">
                <w:txbxContent>
                  <w:p w14:paraId="1490FD91">
                    <w:pPr>
                      <w:pStyle w:val="7"/>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7BD74">
    <w:pPr>
      <w:pStyle w:val="7"/>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16AF2">
                          <w:pPr>
                            <w:pStyle w:val="7"/>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ewfk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nsH5NAIAAGUEAAAOAAAAAAAAAAEAIAAAAB8BAABkcnMvZTJvRG9jLnhtbFBL&#10;BQYAAAAABgAGAFkBAADFBQAAAAA=&#10;">
              <v:fill on="f" focussize="0,0"/>
              <v:stroke on="f" weight="0.5pt"/>
              <v:imagedata o:title=""/>
              <o:lock v:ext="edit" aspectratio="f"/>
              <v:textbox inset="0mm,0mm,0mm,0mm" style="mso-fit-shape-to-text:t;">
                <w:txbxContent>
                  <w:p w14:paraId="32916AF2">
                    <w:pPr>
                      <w:pStyle w:val="7"/>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43A18">
    <w:pPr>
      <w:pStyle w:val="7"/>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B565A">
                          <w:pPr>
                            <w:pStyle w:val="7"/>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14:paraId="36AB565A">
                    <w:pPr>
                      <w:pStyle w:val="7"/>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D73F6">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A63E50"/>
    <w:multiLevelType w:val="singleLevel"/>
    <w:tmpl w:val="E1A63E50"/>
    <w:lvl w:ilvl="0" w:tentative="0">
      <w:start w:val="2"/>
      <w:numFmt w:val="decimal"/>
      <w:suff w:val="space"/>
      <w:lvlText w:val="%1）"/>
      <w:lvlJc w:val="left"/>
    </w:lvl>
  </w:abstractNum>
  <w:abstractNum w:abstractNumId="1">
    <w:nsid w:val="E8E19B6F"/>
    <w:multiLevelType w:val="singleLevel"/>
    <w:tmpl w:val="E8E19B6F"/>
    <w:lvl w:ilvl="0" w:tentative="0">
      <w:start w:val="7"/>
      <w:numFmt w:val="chineseCounting"/>
      <w:suff w:val="nothing"/>
      <w:lvlText w:val="（%1）"/>
      <w:lvlJc w:val="left"/>
      <w:rPr>
        <w:rFonts w:hint="eastAsia"/>
      </w:rPr>
    </w:lvl>
  </w:abstractNum>
  <w:abstractNum w:abstractNumId="2">
    <w:nsid w:val="62D5ABD0"/>
    <w:multiLevelType w:val="singleLevel"/>
    <w:tmpl w:val="62D5ABD0"/>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2C231A"/>
    <w:rsid w:val="00B93F2F"/>
    <w:rsid w:val="00F51A7A"/>
    <w:rsid w:val="012A2737"/>
    <w:rsid w:val="01CD7566"/>
    <w:rsid w:val="03065425"/>
    <w:rsid w:val="031D6EFB"/>
    <w:rsid w:val="039E565E"/>
    <w:rsid w:val="03E07A24"/>
    <w:rsid w:val="04807D22"/>
    <w:rsid w:val="04C9495C"/>
    <w:rsid w:val="06E44D28"/>
    <w:rsid w:val="075C75B8"/>
    <w:rsid w:val="07CF716A"/>
    <w:rsid w:val="07E13D6B"/>
    <w:rsid w:val="07E6312F"/>
    <w:rsid w:val="09B1683E"/>
    <w:rsid w:val="0A5B0423"/>
    <w:rsid w:val="0AD96F7B"/>
    <w:rsid w:val="0B891F50"/>
    <w:rsid w:val="0CBE5B5F"/>
    <w:rsid w:val="0D046532"/>
    <w:rsid w:val="0E2F5830"/>
    <w:rsid w:val="0E6672CD"/>
    <w:rsid w:val="0E680D42"/>
    <w:rsid w:val="0E770F85"/>
    <w:rsid w:val="0E7D6015"/>
    <w:rsid w:val="0E9C1DD7"/>
    <w:rsid w:val="0F040A6B"/>
    <w:rsid w:val="0FDD72F2"/>
    <w:rsid w:val="10345380"/>
    <w:rsid w:val="11165CA7"/>
    <w:rsid w:val="116F4196"/>
    <w:rsid w:val="12021424"/>
    <w:rsid w:val="120314AE"/>
    <w:rsid w:val="12345524"/>
    <w:rsid w:val="12857D27"/>
    <w:rsid w:val="13A16819"/>
    <w:rsid w:val="13CE7899"/>
    <w:rsid w:val="147E132C"/>
    <w:rsid w:val="149D00E3"/>
    <w:rsid w:val="14EF3878"/>
    <w:rsid w:val="1534197E"/>
    <w:rsid w:val="15B36D47"/>
    <w:rsid w:val="15DB44F0"/>
    <w:rsid w:val="15E038B4"/>
    <w:rsid w:val="15FB473D"/>
    <w:rsid w:val="16526560"/>
    <w:rsid w:val="16F712CB"/>
    <w:rsid w:val="171E28E6"/>
    <w:rsid w:val="17620A24"/>
    <w:rsid w:val="179B5CE4"/>
    <w:rsid w:val="19626CBB"/>
    <w:rsid w:val="19781152"/>
    <w:rsid w:val="1A330456"/>
    <w:rsid w:val="1A5F0E32"/>
    <w:rsid w:val="1A670100"/>
    <w:rsid w:val="1B4F12C0"/>
    <w:rsid w:val="1BEF2AA3"/>
    <w:rsid w:val="1C43261A"/>
    <w:rsid w:val="1C827473"/>
    <w:rsid w:val="1CB63538"/>
    <w:rsid w:val="1D5A15F2"/>
    <w:rsid w:val="1DF966D4"/>
    <w:rsid w:val="1E8707A4"/>
    <w:rsid w:val="1EA00B50"/>
    <w:rsid w:val="1EAE454F"/>
    <w:rsid w:val="1EDC0931"/>
    <w:rsid w:val="1F65316D"/>
    <w:rsid w:val="20713A86"/>
    <w:rsid w:val="20A0436C"/>
    <w:rsid w:val="20E34258"/>
    <w:rsid w:val="21294738"/>
    <w:rsid w:val="22906042"/>
    <w:rsid w:val="22F553FF"/>
    <w:rsid w:val="23735D67"/>
    <w:rsid w:val="23C15745"/>
    <w:rsid w:val="23FF584D"/>
    <w:rsid w:val="245636BF"/>
    <w:rsid w:val="25BD16FC"/>
    <w:rsid w:val="26734234"/>
    <w:rsid w:val="2678382B"/>
    <w:rsid w:val="26CA0394"/>
    <w:rsid w:val="276B0E22"/>
    <w:rsid w:val="27743296"/>
    <w:rsid w:val="279775F6"/>
    <w:rsid w:val="28C01A4F"/>
    <w:rsid w:val="28E90015"/>
    <w:rsid w:val="29117352"/>
    <w:rsid w:val="291178BE"/>
    <w:rsid w:val="298F1827"/>
    <w:rsid w:val="29995DFC"/>
    <w:rsid w:val="29B83B80"/>
    <w:rsid w:val="2A021BF3"/>
    <w:rsid w:val="2A263B34"/>
    <w:rsid w:val="2A2953D2"/>
    <w:rsid w:val="2AAD0F93"/>
    <w:rsid w:val="2B0F1CB0"/>
    <w:rsid w:val="2B817DB0"/>
    <w:rsid w:val="2B8D0C77"/>
    <w:rsid w:val="2CD755B9"/>
    <w:rsid w:val="2DAF5BEE"/>
    <w:rsid w:val="2E845E8D"/>
    <w:rsid w:val="2EAF6F8D"/>
    <w:rsid w:val="2ED27DE6"/>
    <w:rsid w:val="2F1E51DF"/>
    <w:rsid w:val="2F7F30A1"/>
    <w:rsid w:val="30C3032E"/>
    <w:rsid w:val="31994BEB"/>
    <w:rsid w:val="31AC51C1"/>
    <w:rsid w:val="321960EA"/>
    <w:rsid w:val="324B60EB"/>
    <w:rsid w:val="32690A61"/>
    <w:rsid w:val="3316226B"/>
    <w:rsid w:val="336E20A7"/>
    <w:rsid w:val="34627AFE"/>
    <w:rsid w:val="363332BA"/>
    <w:rsid w:val="366969BD"/>
    <w:rsid w:val="36C041ED"/>
    <w:rsid w:val="371A67CE"/>
    <w:rsid w:val="372C6501"/>
    <w:rsid w:val="376E6B1A"/>
    <w:rsid w:val="37C60704"/>
    <w:rsid w:val="38340D52"/>
    <w:rsid w:val="3858180F"/>
    <w:rsid w:val="39034A3D"/>
    <w:rsid w:val="39395969"/>
    <w:rsid w:val="3951224F"/>
    <w:rsid w:val="3982475E"/>
    <w:rsid w:val="3A396F6B"/>
    <w:rsid w:val="3A5B311E"/>
    <w:rsid w:val="3B947C57"/>
    <w:rsid w:val="3BE253E0"/>
    <w:rsid w:val="3C2E6878"/>
    <w:rsid w:val="3CA65F73"/>
    <w:rsid w:val="3CCB2319"/>
    <w:rsid w:val="3D4E5423"/>
    <w:rsid w:val="3D5F4D11"/>
    <w:rsid w:val="3E7569E0"/>
    <w:rsid w:val="3EAD5B0D"/>
    <w:rsid w:val="3EC779DD"/>
    <w:rsid w:val="3EEE3B04"/>
    <w:rsid w:val="3F364BB4"/>
    <w:rsid w:val="3F8073EA"/>
    <w:rsid w:val="3FB862D5"/>
    <w:rsid w:val="40D774DE"/>
    <w:rsid w:val="41294477"/>
    <w:rsid w:val="41EF63A4"/>
    <w:rsid w:val="423073DF"/>
    <w:rsid w:val="42417305"/>
    <w:rsid w:val="425C082B"/>
    <w:rsid w:val="42B23A97"/>
    <w:rsid w:val="43096C77"/>
    <w:rsid w:val="4376746B"/>
    <w:rsid w:val="438D13F2"/>
    <w:rsid w:val="443469F5"/>
    <w:rsid w:val="444E2313"/>
    <w:rsid w:val="45B57ED7"/>
    <w:rsid w:val="45D43FEC"/>
    <w:rsid w:val="46002906"/>
    <w:rsid w:val="46EA6EAB"/>
    <w:rsid w:val="474F0E7F"/>
    <w:rsid w:val="482079BC"/>
    <w:rsid w:val="483178DD"/>
    <w:rsid w:val="485B6C46"/>
    <w:rsid w:val="486419EF"/>
    <w:rsid w:val="48B41A2D"/>
    <w:rsid w:val="48C1343E"/>
    <w:rsid w:val="48DF6239"/>
    <w:rsid w:val="493F3E72"/>
    <w:rsid w:val="493F3FB2"/>
    <w:rsid w:val="49E014BA"/>
    <w:rsid w:val="49F509D5"/>
    <w:rsid w:val="4A6A0EE4"/>
    <w:rsid w:val="4A9B4903"/>
    <w:rsid w:val="4B3F0159"/>
    <w:rsid w:val="4B54393C"/>
    <w:rsid w:val="4B97236D"/>
    <w:rsid w:val="4DA70238"/>
    <w:rsid w:val="4E200716"/>
    <w:rsid w:val="506643DA"/>
    <w:rsid w:val="50757BE1"/>
    <w:rsid w:val="5089636E"/>
    <w:rsid w:val="50AE3941"/>
    <w:rsid w:val="51505537"/>
    <w:rsid w:val="51BD123F"/>
    <w:rsid w:val="52505165"/>
    <w:rsid w:val="527E237F"/>
    <w:rsid w:val="52E141EC"/>
    <w:rsid w:val="53B3293D"/>
    <w:rsid w:val="53BD470D"/>
    <w:rsid w:val="53EA0E7E"/>
    <w:rsid w:val="545D28DF"/>
    <w:rsid w:val="55855303"/>
    <w:rsid w:val="56876E58"/>
    <w:rsid w:val="56B73239"/>
    <w:rsid w:val="57513C7F"/>
    <w:rsid w:val="57EE3633"/>
    <w:rsid w:val="584C035A"/>
    <w:rsid w:val="5886386C"/>
    <w:rsid w:val="58C72BED"/>
    <w:rsid w:val="58D81BED"/>
    <w:rsid w:val="58DE7204"/>
    <w:rsid w:val="5AC91BDE"/>
    <w:rsid w:val="5BD3328F"/>
    <w:rsid w:val="5BF837AA"/>
    <w:rsid w:val="5CB318A3"/>
    <w:rsid w:val="5CFB497D"/>
    <w:rsid w:val="5D172CE4"/>
    <w:rsid w:val="5D2378DB"/>
    <w:rsid w:val="5E7B435A"/>
    <w:rsid w:val="5E7B54F5"/>
    <w:rsid w:val="5F557AF4"/>
    <w:rsid w:val="5F5F6BC4"/>
    <w:rsid w:val="61343606"/>
    <w:rsid w:val="619F774C"/>
    <w:rsid w:val="61F66318"/>
    <w:rsid w:val="62A32EB9"/>
    <w:rsid w:val="62EE0324"/>
    <w:rsid w:val="62F85366"/>
    <w:rsid w:val="630A26B0"/>
    <w:rsid w:val="631D6B7A"/>
    <w:rsid w:val="63365E8E"/>
    <w:rsid w:val="635A7DCF"/>
    <w:rsid w:val="64DF4A2F"/>
    <w:rsid w:val="6522491C"/>
    <w:rsid w:val="65877B96"/>
    <w:rsid w:val="659A268E"/>
    <w:rsid w:val="65B422A5"/>
    <w:rsid w:val="65D425B6"/>
    <w:rsid w:val="6675128B"/>
    <w:rsid w:val="6676436C"/>
    <w:rsid w:val="669B6734"/>
    <w:rsid w:val="66DE4873"/>
    <w:rsid w:val="66DE6A20"/>
    <w:rsid w:val="67544B35"/>
    <w:rsid w:val="683B5730"/>
    <w:rsid w:val="690C3919"/>
    <w:rsid w:val="693469CC"/>
    <w:rsid w:val="6949691B"/>
    <w:rsid w:val="69937B96"/>
    <w:rsid w:val="699E02E9"/>
    <w:rsid w:val="69B0594C"/>
    <w:rsid w:val="6A9425BA"/>
    <w:rsid w:val="6B014FD4"/>
    <w:rsid w:val="6B0D0EFB"/>
    <w:rsid w:val="6B1E44EB"/>
    <w:rsid w:val="6B611D48"/>
    <w:rsid w:val="6B62279B"/>
    <w:rsid w:val="6D01750D"/>
    <w:rsid w:val="6E4E23A1"/>
    <w:rsid w:val="6E877F26"/>
    <w:rsid w:val="6F2E42FC"/>
    <w:rsid w:val="6F3C482C"/>
    <w:rsid w:val="6F4B4A6F"/>
    <w:rsid w:val="70425E72"/>
    <w:rsid w:val="705B0CE2"/>
    <w:rsid w:val="70701266"/>
    <w:rsid w:val="713D4BE9"/>
    <w:rsid w:val="71735EB2"/>
    <w:rsid w:val="72850298"/>
    <w:rsid w:val="72894B0D"/>
    <w:rsid w:val="737F56CB"/>
    <w:rsid w:val="73BC5F3C"/>
    <w:rsid w:val="73D239B1"/>
    <w:rsid w:val="748A67E2"/>
    <w:rsid w:val="75A31161"/>
    <w:rsid w:val="75A90F84"/>
    <w:rsid w:val="76277FE4"/>
    <w:rsid w:val="763C64A6"/>
    <w:rsid w:val="76544F52"/>
    <w:rsid w:val="76E45ED5"/>
    <w:rsid w:val="76F83ED1"/>
    <w:rsid w:val="775121C4"/>
    <w:rsid w:val="7783749C"/>
    <w:rsid w:val="77E54D55"/>
    <w:rsid w:val="782F3180"/>
    <w:rsid w:val="78774B27"/>
    <w:rsid w:val="79536335"/>
    <w:rsid w:val="795575EE"/>
    <w:rsid w:val="79A6790A"/>
    <w:rsid w:val="79BF4557"/>
    <w:rsid w:val="7A173A19"/>
    <w:rsid w:val="7A966E20"/>
    <w:rsid w:val="7B0D354C"/>
    <w:rsid w:val="7B347AFD"/>
    <w:rsid w:val="7B474C85"/>
    <w:rsid w:val="7C120DEF"/>
    <w:rsid w:val="7C9418FF"/>
    <w:rsid w:val="7C9A0DE4"/>
    <w:rsid w:val="7CC66C84"/>
    <w:rsid w:val="7ECB3848"/>
    <w:rsid w:val="7F65758F"/>
    <w:rsid w:val="7F9E7500"/>
    <w:rsid w:val="7FA34C8E"/>
    <w:rsid w:val="BB9FE4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Body Text Indent"/>
    <w:basedOn w:val="1"/>
    <w:qFormat/>
    <w:uiPriority w:val="0"/>
    <w:pPr>
      <w:ind w:left="420" w:leftChars="200"/>
    </w:pPr>
  </w:style>
  <w:style w:type="paragraph" w:styleId="5">
    <w:name w:val="toc 3"/>
    <w:basedOn w:val="1"/>
    <w:next w:val="1"/>
    <w:qFormat/>
    <w:uiPriority w:val="0"/>
    <w:pPr>
      <w:ind w:left="840" w:leftChars="400"/>
    </w:pPr>
  </w:style>
  <w:style w:type="paragraph" w:styleId="6">
    <w:name w:val="Plain Text"/>
    <w:basedOn w:val="1"/>
    <w:qFormat/>
    <w:uiPriority w:val="0"/>
    <w:rPr>
      <w:rFonts w:ascii="Courier New" w:hAnsi="Courier New" w:eastAsia="微软雅黑"/>
      <w:szCs w:val="20"/>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2">
    <w:name w:val="Body Text First Indent 2"/>
    <w:basedOn w:val="4"/>
    <w:qFormat/>
    <w:uiPriority w:val="0"/>
    <w:pPr>
      <w:ind w:left="200" w:firstLine="200" w:firstLineChars="200"/>
    </w:pPr>
  </w:style>
  <w:style w:type="character" w:styleId="15">
    <w:name w:val="Hyperlink"/>
    <w:basedOn w:val="14"/>
    <w:qFormat/>
    <w:uiPriority w:val="0"/>
    <w:rPr>
      <w:color w:val="0000FF"/>
      <w:u w:val="single"/>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Table Text"/>
    <w:basedOn w:val="1"/>
    <w:semiHidden/>
    <w:qFormat/>
    <w:uiPriority w:val="0"/>
    <w:rPr>
      <w:rFonts w:ascii="宋体" w:hAnsi="宋体" w:eastAsia="宋体" w:cs="宋体"/>
      <w:sz w:val="18"/>
      <w:szCs w:val="18"/>
      <w:lang w:val="en-US" w:eastAsia="en-US" w:bidi="ar-SA"/>
    </w:rPr>
  </w:style>
  <w:style w:type="paragraph" w:customStyle="1" w:styleId="18">
    <w:name w:val="样式 标题 3 + (中文) 黑体 小四 非加粗 段前: 7.8 磅 段后: 0 磅 行距: 固定值 20 磅"/>
    <w:basedOn w:val="2"/>
    <w:qFormat/>
    <w:uiPriority w:val="0"/>
    <w:pPr>
      <w:spacing w:before="0" w:after="0" w:line="400" w:lineRule="exact"/>
    </w:pPr>
    <w:rPr>
      <w:rFonts w:eastAsia="黑体" w:cs="宋体"/>
      <w:b w:val="0"/>
      <w:bCs w:val="0"/>
      <w:sz w:val="24"/>
      <w:szCs w:val="20"/>
    </w:rPr>
  </w:style>
  <w:style w:type="paragraph" w:styleId="19">
    <w:name w:val="List Paragraph"/>
    <w:basedOn w:val="1"/>
    <w:qFormat/>
    <w:uiPriority w:val="99"/>
    <w:pPr>
      <w:ind w:firstLine="420" w:firstLineChars="200"/>
    </w:pPr>
  </w:style>
  <w:style w:type="paragraph" w:customStyle="1" w:styleId="20">
    <w:name w:val="Heading #1|1"/>
    <w:basedOn w:val="1"/>
    <w:qFormat/>
    <w:uiPriority w:val="0"/>
    <w:pPr>
      <w:widowControl w:val="0"/>
      <w:kinsoku/>
      <w:autoSpaceDE/>
      <w:autoSpaceDN/>
      <w:adjustRightInd/>
      <w:snapToGrid/>
      <w:spacing w:after="450"/>
      <w:textAlignment w:val="auto"/>
      <w:outlineLvl w:val="0"/>
    </w:pPr>
    <w:rPr>
      <w:rFonts w:ascii="宋体" w:hAnsi="宋体" w:eastAsia="宋体" w:cs="宋体"/>
      <w:snapToGrid/>
      <w:sz w:val="38"/>
      <w:szCs w:val="38"/>
      <w:lang w:val="zh-TW" w:eastAsia="zh-TW" w:bidi="zh-TW"/>
    </w:rPr>
  </w:style>
  <w:style w:type="paragraph" w:customStyle="1" w:styleId="21">
    <w:name w:val="Table Paragraph"/>
    <w:basedOn w:val="1"/>
    <w:qFormat/>
    <w:uiPriority w:val="0"/>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png"/><Relationship Id="rId183" Type="http://schemas.openxmlformats.org/officeDocument/2006/relationships/theme" Target="theme/theme1.xml"/><Relationship Id="rId182" Type="http://schemas.openxmlformats.org/officeDocument/2006/relationships/footer" Target="footer177.xml"/><Relationship Id="rId181" Type="http://schemas.openxmlformats.org/officeDocument/2006/relationships/footer" Target="footer176.xml"/><Relationship Id="rId180" Type="http://schemas.openxmlformats.org/officeDocument/2006/relationships/footer" Target="footer175.xml"/><Relationship Id="rId18" Type="http://schemas.openxmlformats.org/officeDocument/2006/relationships/footer" Target="footer14.xml"/><Relationship Id="rId179" Type="http://schemas.openxmlformats.org/officeDocument/2006/relationships/footer" Target="footer174.xml"/><Relationship Id="rId178" Type="http://schemas.openxmlformats.org/officeDocument/2006/relationships/footer" Target="footer173.xml"/><Relationship Id="rId177" Type="http://schemas.openxmlformats.org/officeDocument/2006/relationships/footer" Target="footer172.xml"/><Relationship Id="rId176" Type="http://schemas.openxmlformats.org/officeDocument/2006/relationships/footer" Target="footer171.xml"/><Relationship Id="rId175" Type="http://schemas.openxmlformats.org/officeDocument/2006/relationships/footer" Target="footer170.xml"/><Relationship Id="rId174" Type="http://schemas.openxmlformats.org/officeDocument/2006/relationships/footer" Target="footer169.xml"/><Relationship Id="rId173" Type="http://schemas.openxmlformats.org/officeDocument/2006/relationships/footer" Target="footer168.xml"/><Relationship Id="rId172" Type="http://schemas.openxmlformats.org/officeDocument/2006/relationships/footer" Target="footer167.xml"/><Relationship Id="rId171" Type="http://schemas.openxmlformats.org/officeDocument/2006/relationships/footer" Target="footer166.xml"/><Relationship Id="rId170" Type="http://schemas.openxmlformats.org/officeDocument/2006/relationships/footer" Target="footer165.xml"/><Relationship Id="rId17" Type="http://schemas.openxmlformats.org/officeDocument/2006/relationships/footer" Target="footer13.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2.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footer" Target="footer149.xml"/><Relationship Id="rId153" Type="http://schemas.openxmlformats.org/officeDocument/2006/relationships/footer" Target="footer148.xml"/><Relationship Id="rId152" Type="http://schemas.openxmlformats.org/officeDocument/2006/relationships/footer" Target="footer147.xml"/><Relationship Id="rId151" Type="http://schemas.openxmlformats.org/officeDocument/2006/relationships/footer" Target="footer146.xml"/><Relationship Id="rId150" Type="http://schemas.openxmlformats.org/officeDocument/2006/relationships/footer" Target="footer145.xml"/><Relationship Id="rId15" Type="http://schemas.openxmlformats.org/officeDocument/2006/relationships/footer" Target="footer11.xml"/><Relationship Id="rId149" Type="http://schemas.openxmlformats.org/officeDocument/2006/relationships/footer" Target="footer144.xml"/><Relationship Id="rId148" Type="http://schemas.openxmlformats.org/officeDocument/2006/relationships/footer" Target="footer143.xml"/><Relationship Id="rId147" Type="http://schemas.openxmlformats.org/officeDocument/2006/relationships/footer" Target="footer142.xml"/><Relationship Id="rId146" Type="http://schemas.openxmlformats.org/officeDocument/2006/relationships/footer" Target="footer141.xml"/><Relationship Id="rId145" Type="http://schemas.openxmlformats.org/officeDocument/2006/relationships/footer" Target="footer140.xml"/><Relationship Id="rId144" Type="http://schemas.openxmlformats.org/officeDocument/2006/relationships/footer" Target="footer139.xml"/><Relationship Id="rId143" Type="http://schemas.openxmlformats.org/officeDocument/2006/relationships/footer" Target="footer138.xml"/><Relationship Id="rId142" Type="http://schemas.openxmlformats.org/officeDocument/2006/relationships/footer" Target="footer137.xml"/><Relationship Id="rId141" Type="http://schemas.openxmlformats.org/officeDocument/2006/relationships/footer" Target="footer136.xml"/><Relationship Id="rId140" Type="http://schemas.openxmlformats.org/officeDocument/2006/relationships/footer" Target="footer135.xml"/><Relationship Id="rId14" Type="http://schemas.openxmlformats.org/officeDocument/2006/relationships/footer" Target="footer10.xml"/><Relationship Id="rId139" Type="http://schemas.openxmlformats.org/officeDocument/2006/relationships/footer" Target="footer134.xml"/><Relationship Id="rId138" Type="http://schemas.openxmlformats.org/officeDocument/2006/relationships/footer" Target="footer133.xml"/><Relationship Id="rId137" Type="http://schemas.openxmlformats.org/officeDocument/2006/relationships/footer" Target="footer132.xml"/><Relationship Id="rId136" Type="http://schemas.openxmlformats.org/officeDocument/2006/relationships/footer" Target="footer131.xml"/><Relationship Id="rId135" Type="http://schemas.openxmlformats.org/officeDocument/2006/relationships/footer" Target="footer130.xml"/><Relationship Id="rId134" Type="http://schemas.openxmlformats.org/officeDocument/2006/relationships/footer" Target="footer129.xml"/><Relationship Id="rId133" Type="http://schemas.openxmlformats.org/officeDocument/2006/relationships/footer" Target="footer128.xml"/><Relationship Id="rId132" Type="http://schemas.openxmlformats.org/officeDocument/2006/relationships/footer" Target="footer127.xml"/><Relationship Id="rId131" Type="http://schemas.openxmlformats.org/officeDocument/2006/relationships/footer" Target="footer126.xml"/><Relationship Id="rId130" Type="http://schemas.openxmlformats.org/officeDocument/2006/relationships/footer" Target="footer125.xml"/><Relationship Id="rId13" Type="http://schemas.openxmlformats.org/officeDocument/2006/relationships/footer" Target="footer9.xml"/><Relationship Id="rId129" Type="http://schemas.openxmlformats.org/officeDocument/2006/relationships/footer" Target="footer124.xml"/><Relationship Id="rId128" Type="http://schemas.openxmlformats.org/officeDocument/2006/relationships/footer" Target="footer123.xml"/><Relationship Id="rId127" Type="http://schemas.openxmlformats.org/officeDocument/2006/relationships/footer" Target="footer122.xml"/><Relationship Id="rId126" Type="http://schemas.openxmlformats.org/officeDocument/2006/relationships/footer" Target="footer121.xml"/><Relationship Id="rId125" Type="http://schemas.openxmlformats.org/officeDocument/2006/relationships/footer" Target="footer120.xml"/><Relationship Id="rId124" Type="http://schemas.openxmlformats.org/officeDocument/2006/relationships/footer" Target="footer119.xml"/><Relationship Id="rId123" Type="http://schemas.openxmlformats.org/officeDocument/2006/relationships/footer" Target="footer118.xml"/><Relationship Id="rId122" Type="http://schemas.openxmlformats.org/officeDocument/2006/relationships/footer" Target="footer117.xml"/><Relationship Id="rId121" Type="http://schemas.openxmlformats.org/officeDocument/2006/relationships/footer" Target="footer116.xml"/><Relationship Id="rId120" Type="http://schemas.openxmlformats.org/officeDocument/2006/relationships/footer" Target="footer115.xml"/><Relationship Id="rId12" Type="http://schemas.openxmlformats.org/officeDocument/2006/relationships/footer" Target="footer8.xml"/><Relationship Id="rId119" Type="http://schemas.openxmlformats.org/officeDocument/2006/relationships/footer" Target="footer114.xml"/><Relationship Id="rId118" Type="http://schemas.openxmlformats.org/officeDocument/2006/relationships/footer" Target="footer113.xml"/><Relationship Id="rId117" Type="http://schemas.openxmlformats.org/officeDocument/2006/relationships/footer" Target="footer112.xml"/><Relationship Id="rId116" Type="http://schemas.openxmlformats.org/officeDocument/2006/relationships/footer" Target="footer111.xml"/><Relationship Id="rId115" Type="http://schemas.openxmlformats.org/officeDocument/2006/relationships/footer" Target="footer110.xml"/><Relationship Id="rId114" Type="http://schemas.openxmlformats.org/officeDocument/2006/relationships/footer" Target="footer109.xml"/><Relationship Id="rId113" Type="http://schemas.openxmlformats.org/officeDocument/2006/relationships/footer" Target="footer108.xml"/><Relationship Id="rId112" Type="http://schemas.openxmlformats.org/officeDocument/2006/relationships/footer" Target="footer107.xml"/><Relationship Id="rId111" Type="http://schemas.openxmlformats.org/officeDocument/2006/relationships/footer" Target="footer106.xml"/><Relationship Id="rId110" Type="http://schemas.openxmlformats.org/officeDocument/2006/relationships/footer" Target="footer105.xml"/><Relationship Id="rId11" Type="http://schemas.openxmlformats.org/officeDocument/2006/relationships/footer" Target="footer7.xml"/><Relationship Id="rId109" Type="http://schemas.openxmlformats.org/officeDocument/2006/relationships/footer" Target="footer104.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header" Target="header1.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228</Pages>
  <Words>6218</Words>
  <Characters>6898</Characters>
  <TotalTime>31</TotalTime>
  <ScaleCrop>false</ScaleCrop>
  <LinksUpToDate>false</LinksUpToDate>
  <CharactersWithSpaces>7671</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2025-10-10T22:24:00Z</dcterms:created>
  <dc:creator>user</dc:creator>
  <cp:lastModifiedBy>【小囡 】</cp:lastModifiedBy>
  <cp:lastPrinted>2025-12-30T03:28:00Z</cp:lastPrinted>
  <dcterms:modified xsi:type="dcterms:W3CDTF">2026-01-06T07:58:27Z</dcterms:modified>
  <dc:title>浙江应村混凝土面板堆石坝</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2025-10-13T14:51:21Z</vt:filetime>
  </property>
  <property fmtid="{D5CDD505-2E9C-101B-9397-08002B2CF9AE}" pid="4" name="KSOTemplateDocerSaveRecord">
    <vt:lpwstr>eyJoZGlkIjoiNDYzYzI4NjQ1ZWYxZTY3ZDA3OTA0OTM2MWFjNjkwZGIiLCJ1c2VySWQiOiI2NjM4MTgwNjUifQ==</vt:lpwstr>
  </property>
  <property fmtid="{D5CDD505-2E9C-101B-9397-08002B2CF9AE}" pid="5" name="KSOProductBuildVer">
    <vt:lpwstr>2052-12.1.0.24034</vt:lpwstr>
  </property>
  <property fmtid="{D5CDD505-2E9C-101B-9397-08002B2CF9AE}" pid="6" name="ICV">
    <vt:lpwstr>E9C674CD1A2D41F6A0E0F51975475743_13</vt:lpwstr>
  </property>
</Properties>
</file>